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November 22,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Federal Realty Investment Trust (the “Trust”) entered into that certain Term Loan Agreement, dated as of November 22, 2011 (the “Agreement”), by and among the Trust, as Borrower, the financial institutions party thereto and their permitted assignees under Section 12.6., as Lenders, PNC Bank, National Association, as Administrative Agent (the Administrative Agent”), Capital One, N.A., as Syndication Agent, PNC Capital Markets LLC and Capital One, N.A. as Joint Lead Arrangers and Join Book Runners, and each of Regions Bank and SunTrust Bank, as Documentation Agent.</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Agreement consists of a $275.0 million unsecured term loan facility (the “New Term Loan”) with a maturity date of November 21, 2018. The New Term Loan bears interest at a rate of (i) LIBOR plus 145 basis points, with the spread over LIBOR subject to adjustment based on our credit rating or (ii) the highest of the prime rate of the Administrative Agent, the Federal Funds Open Rate (as defined in the Agreement) plus 0.50% or LIBOR plus 1.0%. Under an accordion feature, the Trust has the option to expand the borrowing capacity under the New Term Loan up to $350.0 million. In addition, the Trust may prepay the New Term Loan, in whole or in part at the prices (expressed as percentages of the principal amount of the Loans to be prepaid) set forth below, plus accrued and unpaid interest, if any, to the date of prepayment:</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65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Effective Date to and including November 21, 2013</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November 22, 2013 to and including November 21, 2014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November 21, 2014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Agreement contains a number of restrictions on the Trust’s business, including, but not limited to, restrictions on the Trust’s ability to incur indebtedness, make investments, incur liens, engage in certain affiliate transactions, and engage in major transactions such as mergers. In addition, the Trust is subject to various financial maintenance covenants, including, but not limited to, a minimum fixed charge coverage ratio, a maximum secured indebtedness ratio, and a minimum unencumbered leverage ratio. The Agreement also contains affirmative covenants and events of default, including, but not limited to, a cross default to the Trust’s other indebtedness and the occurrence of a change of control. The Trust’s failure to comply with these covenants, or the occurrence of an event of default, could result in acceleration of the Trust’s debt and other financial obligations under the Agreement.</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Affiliates of certain lenders under the Agreement have served, and may serve in the future, as underwriters in connection with public offerings of equity and debt securities by the Trust. In addition, affiliates of certain lenders under the Agreement have provided from time to time, and may provide in the future, investment and commercial banking and financial advisory services to the Trust or its affiliates in the ordinary course of business for which they have received and may continue to receive customary fees and commissions.</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foregoing does not constitute a complete summary of the terms and conditions of the Agreement, which is attached hereto as Exhibit 10.1. The description contained herein of the terms and conditions of the Agreement is qualified in its entirety by reference to the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2.03 is included in Item 1.01 and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9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5"/>
          <w:szCs w:val="15"/>
          <w:color w:val="auto"/>
        </w:rPr>
        <w:t>Term Loan Agreement, dated as of November 22, 2011, by and among the Trust, as</w:t>
      </w:r>
    </w:p>
    <w:p>
      <w:pPr>
        <w:sectPr>
          <w:pgSz w:w="11900" w:h="16838" w:orient="portrait"/>
          <w:cols w:equalWidth="0" w:num="1">
            <w:col w:w="11420"/>
          </w:cols>
          <w:pgMar w:left="240" w:top="274" w:right="239" w:bottom="1440" w:gutter="0" w:footer="0" w:header="0"/>
        </w:sectPr>
      </w:pPr>
    </w:p>
    <w:bookmarkStart w:id="2" w:name="page3"/>
    <w:bookmarkEnd w:id="2"/>
    <w:p>
      <w:pPr>
        <w:ind w:lef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the financial institutions party thereto and their permitted assignees under Section 12.6., as Lenders, PNC Bank, National Association, as Administrative Agent (the Administrative Agent”), Capital One, N.A., as Syndication Agent, PNC Capital Markets LLC and Capital One, N.A. as Joint Lead Arrangers and Join Book Runners, and each of Regions Bank and SunTrust Bank, as Documentation Agent.</w:t>
      </w:r>
    </w:p>
    <w:p>
      <w:pPr>
        <w:sectPr>
          <w:pgSz w:w="11900" w:h="16838" w:orient="portrait"/>
          <w:cols w:equalWidth="0" w:num="1">
            <w:col w:w="10060"/>
          </w:cols>
          <w:pgMar w:left="1440" w:top="388" w:right="3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28, 2011</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10795</wp:posOffset>
            </wp:positionV>
            <wp:extent cx="3439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3137LEAC7</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TERM LOAN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November 22, 2011</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FINANCIAL INSTITUTIONS PARTY HERETO</w:t>
      </w:r>
    </w:p>
    <w:p>
      <w:pPr>
        <w:spacing w:after="0" w:line="1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AND THEIR PERMITTED ASSIGNEES UNDER SECTION 12.6.,</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CAPITAL ONE, N.A.,</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PNC CAPITAL MARKETS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CAPITAL ONE, N.A.,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Joint Lead Arrangers and Joint Book</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Runners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each of</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a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888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440" w:type="dxa"/>
            <w:vAlign w:val="bottom"/>
          </w:tcPr>
          <w:p>
            <w:pPr>
              <w:spacing w:after="0"/>
              <w:rPr>
                <w:sz w:val="19"/>
                <w:szCs w:val="19"/>
                <w:color w:val="auto"/>
              </w:rPr>
            </w:pPr>
          </w:p>
        </w:tc>
      </w:tr>
      <w:tr>
        <w:trPr>
          <w:trHeight w:val="419"/>
        </w:trPr>
        <w:tc>
          <w:tcPr>
            <w:tcW w:w="8880" w:type="dxa"/>
            <w:vAlign w:val="bottom"/>
          </w:tcPr>
          <w:p>
            <w:pPr>
              <w:spacing w:after="0"/>
              <w:rPr>
                <w:sz w:val="20"/>
                <w:szCs w:val="20"/>
                <w:color w:val="auto"/>
              </w:rPr>
            </w:pPr>
            <w:r>
              <w:rPr>
                <w:rFonts w:ascii="Arial" w:cs="Arial" w:eastAsia="Arial" w:hAnsi="Arial"/>
                <w:sz w:val="18"/>
                <w:szCs w:val="18"/>
                <w:color w:val="auto"/>
              </w:rPr>
              <w:t>Article I. 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1.1. 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1.2. General; References to Eastern Time.</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1.3. Financial Attributes of Non-Wholly Owned Subsidiaries.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80" w:type="dxa"/>
            <w:vAlign w:val="bottom"/>
          </w:tcPr>
          <w:p>
            <w:pPr>
              <w:spacing w:after="0"/>
              <w:rPr>
                <w:sz w:val="20"/>
                <w:szCs w:val="20"/>
                <w:color w:val="auto"/>
              </w:rPr>
            </w:pPr>
            <w:r>
              <w:rPr>
                <w:rFonts w:ascii="Arial" w:cs="Arial" w:eastAsia="Arial" w:hAnsi="Arial"/>
                <w:sz w:val="18"/>
                <w:szCs w:val="18"/>
                <w:color w:val="auto"/>
              </w:rPr>
              <w:t>Article II. Credit Facility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2.1.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2.2. Rates and Payment of Interest on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2.3. Number of Interest Periods.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2.4. Repayment of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2.5. Prepayments.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2.6. Continuation.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2.7. Conversion.</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2.8. Notes.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2.9. Additional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880" w:type="dxa"/>
            <w:vAlign w:val="bottom"/>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3.1.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3.2. Pro Rata Treatment.</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3.3. Sharing of Payments, Etc.</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3.4. Several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3.5. Fees.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3.6. Computations.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3.7. Usury.</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3.8. Statements of Account.</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3.9. Defaulting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3.10. Taxes; Foreign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80" w:type="dxa"/>
            <w:vAlign w:val="bottom"/>
          </w:tcPr>
          <w:p>
            <w:pPr>
              <w:spacing w:after="0"/>
              <w:rPr>
                <w:sz w:val="20"/>
                <w:szCs w:val="20"/>
                <w:color w:val="auto"/>
              </w:rPr>
            </w:pPr>
            <w:r>
              <w:rPr>
                <w:rFonts w:ascii="Arial" w:cs="Arial" w:eastAsia="Arial" w:hAnsi="Arial"/>
                <w:sz w:val="18"/>
                <w:szCs w:val="18"/>
                <w:color w:val="auto"/>
              </w:rPr>
              <w:t>Article IV. Yield Protection, Etc.</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4.1. Additional Costs; Capital Adequacy.</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4.2. Suspension of LIBOR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4.3. Illegality.</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4.4. Compensation.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4.5. Treatment of Affected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4.6. Affected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80" w:type="dxa"/>
            <w:vAlign w:val="bottom"/>
          </w:tcPr>
          <w:p>
            <w:pPr>
              <w:ind w:left="660"/>
              <w:spacing w:after="0"/>
              <w:rPr>
                <w:sz w:val="20"/>
                <w:szCs w:val="20"/>
                <w:color w:val="auto"/>
              </w:rPr>
            </w:pPr>
            <w:r>
              <w:rPr>
                <w:rFonts w:ascii="Arial" w:cs="Arial" w:eastAsia="Arial" w:hAnsi="Arial"/>
                <w:sz w:val="18"/>
                <w:szCs w:val="18"/>
                <w:color w:val="auto"/>
              </w:rPr>
              <w:t>Section 4.7. Change of Lending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4.8. Assumptions Concerning Funding of LIBOR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80" w:type="dxa"/>
            <w:vAlign w:val="bottom"/>
          </w:tcPr>
          <w:p>
            <w:pPr>
              <w:spacing w:after="0"/>
              <w:rPr>
                <w:sz w:val="20"/>
                <w:szCs w:val="20"/>
                <w:color w:val="auto"/>
              </w:rPr>
            </w:pPr>
            <w:r>
              <w:rPr>
                <w:rFonts w:ascii="Arial" w:cs="Arial" w:eastAsia="Arial" w:hAnsi="Arial"/>
                <w:sz w:val="18"/>
                <w:szCs w:val="18"/>
                <w:color w:val="auto"/>
              </w:rPr>
              <w:t>Article V.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5.1. Initial Conditions Precedent.</w:t>
            </w:r>
          </w:p>
        </w:tc>
        <w:tc>
          <w:tcPr>
            <w:tcW w:w="2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5.2. Conditions Precedent to All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880" w:type="dxa"/>
            <w:vAlign w:val="bottom"/>
          </w:tcPr>
          <w:p>
            <w:pPr>
              <w:spacing w:after="0"/>
              <w:rPr>
                <w:sz w:val="20"/>
                <w:szCs w:val="20"/>
                <w:color w:val="auto"/>
              </w:rPr>
            </w:pPr>
            <w:r>
              <w:rPr>
                <w:rFonts w:ascii="Arial" w:cs="Arial" w:eastAsia="Arial" w:hAnsi="Arial"/>
                <w:sz w:val="18"/>
                <w:szCs w:val="18"/>
                <w:color w:val="auto"/>
              </w:rPr>
              <w:t>Article VI.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8880" w:type="dxa"/>
            <w:vAlign w:val="bottom"/>
          </w:tcPr>
          <w:p>
            <w:pPr>
              <w:ind w:left="660"/>
              <w:spacing w:after="0"/>
              <w:rPr>
                <w:sz w:val="20"/>
                <w:szCs w:val="20"/>
                <w:color w:val="auto"/>
              </w:rPr>
            </w:pPr>
            <w:r>
              <w:rPr>
                <w:rFonts w:ascii="Arial" w:cs="Arial" w:eastAsia="Arial" w:hAnsi="Arial"/>
                <w:sz w:val="18"/>
                <w:szCs w:val="18"/>
                <w:color w:val="auto"/>
              </w:rPr>
              <w:t>Section 6.1.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8880" w:type="dxa"/>
            <w:vAlign w:val="bottom"/>
          </w:tcPr>
          <w:p>
            <w:pPr>
              <w:ind w:left="660"/>
              <w:spacing w:after="0"/>
              <w:rPr>
                <w:sz w:val="20"/>
                <w:szCs w:val="20"/>
                <w:color w:val="auto"/>
              </w:rPr>
            </w:pPr>
            <w:r>
              <w:rPr>
                <w:rFonts w:ascii="Arial" w:cs="Arial" w:eastAsia="Arial" w:hAnsi="Arial"/>
                <w:sz w:val="18"/>
                <w:szCs w:val="18"/>
                <w:color w:val="auto"/>
              </w:rPr>
              <w:t>Section 6.2. Survival of Representations and Warranties, Etc.</w:t>
            </w:r>
          </w:p>
        </w:tc>
        <w:tc>
          <w:tcPr>
            <w:tcW w:w="24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Article VII. Affirmative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8680" w:type="dxa"/>
            <w:vAlign w:val="bottom"/>
          </w:tcPr>
          <w:p>
            <w:pPr>
              <w:ind w:left="780"/>
              <w:spacing w:after="0"/>
              <w:rPr>
                <w:sz w:val="20"/>
                <w:szCs w:val="20"/>
                <w:color w:val="auto"/>
              </w:rPr>
            </w:pPr>
            <w:r>
              <w:rPr>
                <w:rFonts w:ascii="Arial" w:cs="Arial" w:eastAsia="Arial" w:hAnsi="Arial"/>
                <w:sz w:val="18"/>
                <w:szCs w:val="18"/>
                <w:color w:val="auto"/>
              </w:rPr>
              <w:t>Section 7.1. Preservation of Existence and Similar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7.2. Compliance with Applicable Law and Material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7.3. Maintenance of Property.</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7.4. Conduct of Business.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7.5. Insurance.</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7.6. Payment of Taxes and Claims.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7.7. Books and Records; Inspections.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7.8. Use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7.9. Environmental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7.10. 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7.11. Reserved.</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7.12. REIT Status.</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7.13. Exchange Listing.</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8680" w:type="dxa"/>
            <w:vAlign w:val="bottom"/>
          </w:tcPr>
          <w:p>
            <w:pPr>
              <w:ind w:left="780"/>
              <w:spacing w:after="0"/>
              <w:rPr>
                <w:sz w:val="20"/>
                <w:szCs w:val="20"/>
                <w:color w:val="auto"/>
              </w:rPr>
            </w:pPr>
            <w:r>
              <w:rPr>
                <w:rFonts w:ascii="Arial" w:cs="Arial" w:eastAsia="Arial" w:hAnsi="Arial"/>
                <w:sz w:val="18"/>
                <w:szCs w:val="18"/>
                <w:color w:val="auto"/>
              </w:rPr>
              <w:t>Section 7.14. Guarantors.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Article VIII.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8680" w:type="dxa"/>
            <w:vAlign w:val="bottom"/>
          </w:tcPr>
          <w:p>
            <w:pPr>
              <w:ind w:left="780"/>
              <w:spacing w:after="0"/>
              <w:rPr>
                <w:sz w:val="20"/>
                <w:szCs w:val="20"/>
                <w:color w:val="auto"/>
              </w:rPr>
            </w:pPr>
            <w:r>
              <w:rPr>
                <w:rFonts w:ascii="Arial" w:cs="Arial" w:eastAsia="Arial" w:hAnsi="Arial"/>
                <w:sz w:val="18"/>
                <w:szCs w:val="18"/>
                <w:color w:val="auto"/>
              </w:rPr>
              <w:t>Section 8.1. Quarterly Financial Statements.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8.2. Year-End Statements.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8.3. Compliance Certificate.</w:t>
            </w:r>
          </w:p>
        </w:tc>
        <w:tc>
          <w:tcPr>
            <w:tcW w:w="2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8.4. Other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8.5. Electronic Delivery of Certain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8.6. Public/Private Information.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8680" w:type="dxa"/>
            <w:vAlign w:val="bottom"/>
          </w:tcPr>
          <w:p>
            <w:pPr>
              <w:ind w:left="780"/>
              <w:spacing w:after="0"/>
              <w:rPr>
                <w:sz w:val="20"/>
                <w:szCs w:val="20"/>
                <w:color w:val="auto"/>
              </w:rPr>
            </w:pPr>
            <w:r>
              <w:rPr>
                <w:rFonts w:ascii="Arial" w:cs="Arial" w:eastAsia="Arial" w:hAnsi="Arial"/>
                <w:sz w:val="18"/>
                <w:szCs w:val="18"/>
                <w:color w:val="auto"/>
              </w:rPr>
              <w:t>Section 8.7. USA Patriot Act Notice; Compliance.</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Article IX. Negative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8680" w:type="dxa"/>
            <w:vAlign w:val="bottom"/>
          </w:tcPr>
          <w:p>
            <w:pPr>
              <w:ind w:left="780"/>
              <w:spacing w:after="0"/>
              <w:rPr>
                <w:sz w:val="20"/>
                <w:szCs w:val="20"/>
                <w:color w:val="auto"/>
              </w:rPr>
            </w:pPr>
            <w:r>
              <w:rPr>
                <w:rFonts w:ascii="Arial" w:cs="Arial" w:eastAsia="Arial" w:hAnsi="Arial"/>
                <w:sz w:val="18"/>
                <w:szCs w:val="18"/>
                <w:color w:val="auto"/>
              </w:rPr>
              <w:t>Section 9.1. Financial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9.2. Investments Generally.</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9.3. Liens; Negative Pledges.</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9.4. Restrictions on Intercompany Transfers.</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9.5. Merger, Consolidation, Sales of Assets and Other Arrangements.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9.6. Plans.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9.7. Fiscal Year.</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9.8. Modifications of Organizational Documents.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9.9. Transactions with Affiliates.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9.10. Environmental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9.11. Non-Controlled Properties.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9.12. Derivatives Contracts.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8680" w:type="dxa"/>
            <w:vAlign w:val="bottom"/>
          </w:tcPr>
          <w:p>
            <w:pPr>
              <w:ind w:left="780"/>
              <w:spacing w:after="0"/>
              <w:rPr>
                <w:sz w:val="20"/>
                <w:szCs w:val="20"/>
                <w:color w:val="auto"/>
              </w:rPr>
            </w:pPr>
            <w:r>
              <w:rPr>
                <w:rFonts w:ascii="Arial" w:cs="Arial" w:eastAsia="Arial" w:hAnsi="Arial"/>
                <w:sz w:val="18"/>
                <w:szCs w:val="18"/>
                <w:color w:val="auto"/>
              </w:rPr>
              <w:t>Section 9.13. Anti-Terrorism Laws.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Article X.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8680" w:type="dxa"/>
            <w:vAlign w:val="bottom"/>
          </w:tcPr>
          <w:p>
            <w:pPr>
              <w:ind w:left="780"/>
              <w:spacing w:after="0"/>
              <w:rPr>
                <w:sz w:val="20"/>
                <w:szCs w:val="20"/>
                <w:color w:val="auto"/>
              </w:rPr>
            </w:pPr>
            <w:r>
              <w:rPr>
                <w:rFonts w:ascii="Arial" w:cs="Arial" w:eastAsia="Arial" w:hAnsi="Arial"/>
                <w:sz w:val="18"/>
                <w:szCs w:val="18"/>
                <w:color w:val="auto"/>
              </w:rPr>
              <w:t>Section 10.1. 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10.2. Remedies Upon Event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10.3. Marshaling; Payments Set Aside.</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10.4. Allocation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10.5. Rescission of Acceleration by Requisite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tcPr>
          <w:p>
            <w:pPr>
              <w:ind w:left="780"/>
              <w:spacing w:after="0"/>
              <w:rPr>
                <w:sz w:val="20"/>
                <w:szCs w:val="20"/>
                <w:color w:val="auto"/>
              </w:rPr>
            </w:pPr>
            <w:r>
              <w:rPr>
                <w:rFonts w:ascii="Arial" w:cs="Arial" w:eastAsia="Arial" w:hAnsi="Arial"/>
                <w:sz w:val="18"/>
                <w:szCs w:val="18"/>
                <w:color w:val="auto"/>
              </w:rPr>
              <w:t>Section 10.6. Performance by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8680" w:type="dxa"/>
            <w:vAlign w:val="bottom"/>
          </w:tcPr>
          <w:p>
            <w:pPr>
              <w:ind w:left="780"/>
              <w:spacing w:after="0"/>
              <w:rPr>
                <w:sz w:val="20"/>
                <w:szCs w:val="20"/>
                <w:color w:val="auto"/>
              </w:rPr>
            </w:pPr>
            <w:r>
              <w:rPr>
                <w:rFonts w:ascii="Arial" w:cs="Arial" w:eastAsia="Arial" w:hAnsi="Arial"/>
                <w:sz w:val="18"/>
                <w:szCs w:val="18"/>
                <w:color w:val="auto"/>
              </w:rPr>
              <w:t>Section 10.7. Rights Cumulative.</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11.1. Appointment and Authorization.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11.2. PNC Bank as Lender.</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11.3. Approvals of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11.4. Notice of Events of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11.5. Administrative Agent’s Reliance.</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11.6. Indemnification of Administrative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11.7. Lender Credit Decision, Etc.</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11.8. Successor Administrative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11.9. Titled Agents.</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11.10. No Reliance on Administrative Agent’s Customer Identification Program.</w:t>
            </w: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Article XII. Miscellaneous</w:t>
            </w:r>
          </w:p>
        </w:tc>
        <w:tc>
          <w:tcPr>
            <w:tcW w:w="66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2480" w:type="dxa"/>
            <w:vAlign w:val="bottom"/>
          </w:tcPr>
          <w:p>
            <w:pPr>
              <w:ind w:left="780"/>
              <w:spacing w:after="0"/>
              <w:rPr>
                <w:sz w:val="20"/>
                <w:szCs w:val="20"/>
                <w:color w:val="auto"/>
              </w:rPr>
            </w:pPr>
            <w:r>
              <w:rPr>
                <w:rFonts w:ascii="Arial" w:cs="Arial" w:eastAsia="Arial" w:hAnsi="Arial"/>
                <w:sz w:val="18"/>
                <w:szCs w:val="18"/>
                <w:color w:val="auto"/>
                <w:w w:val="95"/>
              </w:rPr>
              <w:t>Section 12.1. Notices.</w:t>
            </w:r>
          </w:p>
        </w:tc>
        <w:tc>
          <w:tcPr>
            <w:tcW w:w="66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480" w:type="dxa"/>
            <w:vAlign w:val="bottom"/>
          </w:tcPr>
          <w:p>
            <w:pPr>
              <w:ind w:left="780"/>
              <w:spacing w:after="0"/>
              <w:rPr>
                <w:sz w:val="20"/>
                <w:szCs w:val="20"/>
                <w:color w:val="auto"/>
              </w:rPr>
            </w:pPr>
            <w:r>
              <w:rPr>
                <w:rFonts w:ascii="Arial" w:cs="Arial" w:eastAsia="Arial" w:hAnsi="Arial"/>
                <w:sz w:val="18"/>
                <w:szCs w:val="18"/>
                <w:color w:val="auto"/>
                <w:w w:val="86"/>
              </w:rPr>
              <w:t>Section 12.2. Expenses.</w:t>
            </w:r>
          </w:p>
        </w:tc>
        <w:tc>
          <w:tcPr>
            <w:tcW w:w="66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12.3. Stamp, Intangible and Recording Taxes.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480" w:type="dxa"/>
            <w:vAlign w:val="bottom"/>
          </w:tcPr>
          <w:p>
            <w:pPr>
              <w:ind w:left="780"/>
              <w:spacing w:after="0"/>
              <w:rPr>
                <w:sz w:val="20"/>
                <w:szCs w:val="20"/>
                <w:color w:val="auto"/>
              </w:rPr>
            </w:pPr>
            <w:r>
              <w:rPr>
                <w:rFonts w:ascii="Arial" w:cs="Arial" w:eastAsia="Arial" w:hAnsi="Arial"/>
                <w:sz w:val="18"/>
                <w:szCs w:val="18"/>
                <w:color w:val="auto"/>
              </w:rPr>
              <w:t>Section 12.4. Setoff.</w:t>
            </w:r>
          </w:p>
        </w:tc>
        <w:tc>
          <w:tcPr>
            <w:tcW w:w="66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12.5. Litigation; Jurisdiction; Other Matters; Waivers.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12.6. Successors and Assigns.</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12.7. Amendments and Waivers.</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12.8. Nonliability of Administrative Agent and Lenders.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12.9. Confidentiality.</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12.10. Indemnification.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12.11. Termination; Survival.</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12.12. Severability of Provisions.</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12.13. 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12.14. Counterparts.</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12.15. Obligations with Respect to Loan Parties.</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12.16. Independence of Covenants.</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12.17. Limitation of Liability.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12.18. Entire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12.19. Construction.</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12.20. Headings.</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9080" w:type="dxa"/>
            <w:vAlign w:val="bottom"/>
            <w:gridSpan w:val="2"/>
          </w:tcPr>
          <w:p>
            <w:pPr>
              <w:ind w:left="780"/>
              <w:spacing w:after="0"/>
              <w:rPr>
                <w:sz w:val="20"/>
                <w:szCs w:val="20"/>
                <w:color w:val="auto"/>
              </w:rPr>
            </w:pPr>
            <w:r>
              <w:rPr>
                <w:rFonts w:ascii="Arial" w:cs="Arial" w:eastAsia="Arial" w:hAnsi="Arial"/>
                <w:sz w:val="18"/>
                <w:szCs w:val="18"/>
                <w:color w:val="auto"/>
              </w:rPr>
              <w:t>Section 12.21. Limitation of Liability of Trustees, Etc.</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SCHEDULE I</w:t>
            </w:r>
          </w:p>
        </w:tc>
        <w:tc>
          <w:tcPr>
            <w:tcW w:w="6600" w:type="dxa"/>
            <w:vAlign w:val="bottom"/>
          </w:tcPr>
          <w:p>
            <w:pPr>
              <w:ind w:left="20"/>
              <w:spacing w:after="0"/>
              <w:rPr>
                <w:sz w:val="20"/>
                <w:szCs w:val="20"/>
                <w:color w:val="auto"/>
              </w:rPr>
            </w:pPr>
            <w:r>
              <w:rPr>
                <w:rFonts w:ascii="Arial" w:cs="Arial" w:eastAsia="Arial" w:hAnsi="Arial"/>
                <w:sz w:val="18"/>
                <w:szCs w:val="18"/>
                <w:color w:val="auto"/>
              </w:rPr>
              <w:t>Commitments</w:t>
            </w:r>
          </w:p>
        </w:tc>
        <w:tc>
          <w:tcPr>
            <w:tcW w:w="2240" w:type="dxa"/>
            <w:vAlign w:val="bottom"/>
          </w:tcPr>
          <w:p>
            <w:pPr>
              <w:spacing w:after="0"/>
              <w:rPr>
                <w:sz w:val="24"/>
                <w:szCs w:val="24"/>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SCHEDULE 1.1.(a)</w:t>
            </w:r>
          </w:p>
        </w:tc>
        <w:tc>
          <w:tcPr>
            <w:tcW w:w="6600" w:type="dxa"/>
            <w:vAlign w:val="bottom"/>
          </w:tcPr>
          <w:p>
            <w:pPr>
              <w:ind w:left="20"/>
              <w:spacing w:after="0"/>
              <w:rPr>
                <w:sz w:val="20"/>
                <w:szCs w:val="20"/>
                <w:color w:val="auto"/>
              </w:rPr>
            </w:pPr>
            <w:r>
              <w:rPr>
                <w:rFonts w:ascii="Arial" w:cs="Arial" w:eastAsia="Arial" w:hAnsi="Arial"/>
                <w:sz w:val="18"/>
                <w:szCs w:val="18"/>
                <w:color w:val="auto"/>
              </w:rPr>
              <w:t>List of Loan Parties</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SCHEDULE 6.1.(b)</w:t>
            </w:r>
          </w:p>
        </w:tc>
        <w:tc>
          <w:tcPr>
            <w:tcW w:w="6600" w:type="dxa"/>
            <w:vAlign w:val="bottom"/>
          </w:tcPr>
          <w:p>
            <w:pPr>
              <w:ind w:left="20"/>
              <w:spacing w:after="0"/>
              <w:rPr>
                <w:sz w:val="20"/>
                <w:szCs w:val="20"/>
                <w:color w:val="auto"/>
              </w:rPr>
            </w:pPr>
            <w:r>
              <w:rPr>
                <w:rFonts w:ascii="Arial" w:cs="Arial" w:eastAsia="Arial" w:hAnsi="Arial"/>
                <w:sz w:val="18"/>
                <w:szCs w:val="18"/>
                <w:color w:val="auto"/>
              </w:rPr>
              <w:t>Ownership Structure</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SCHEDULE 6.1.(f)</w:t>
            </w:r>
          </w:p>
        </w:tc>
        <w:tc>
          <w:tcPr>
            <w:tcW w:w="660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SCHEDULE 6.1.(g)</w:t>
            </w:r>
          </w:p>
        </w:tc>
        <w:tc>
          <w:tcPr>
            <w:tcW w:w="6600" w:type="dxa"/>
            <w:vAlign w:val="bottom"/>
          </w:tcPr>
          <w:p>
            <w:pPr>
              <w:ind w:left="20"/>
              <w:spacing w:after="0"/>
              <w:rPr>
                <w:sz w:val="20"/>
                <w:szCs w:val="20"/>
                <w:color w:val="auto"/>
              </w:rPr>
            </w:pPr>
            <w:r>
              <w:rPr>
                <w:rFonts w:ascii="Arial" w:cs="Arial" w:eastAsia="Arial" w:hAnsi="Arial"/>
                <w:sz w:val="18"/>
                <w:szCs w:val="18"/>
                <w:color w:val="auto"/>
              </w:rPr>
              <w:t>Indebtedness and Guaranties</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SCHEDULE 6.1.(i)</w:t>
            </w:r>
          </w:p>
        </w:tc>
        <w:tc>
          <w:tcPr>
            <w:tcW w:w="660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240" w:type="dxa"/>
            <w:vAlign w:val="bottom"/>
          </w:tcPr>
          <w:p>
            <w:pPr>
              <w:spacing w:after="0"/>
              <w:rPr>
                <w:sz w:val="18"/>
                <w:szCs w:val="18"/>
                <w:color w:val="auto"/>
              </w:rPr>
            </w:pP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SCHEDULE 6.1.(z)</w:t>
            </w:r>
          </w:p>
        </w:tc>
        <w:tc>
          <w:tcPr>
            <w:tcW w:w="6600" w:type="dxa"/>
            <w:vAlign w:val="bottom"/>
          </w:tcPr>
          <w:p>
            <w:pPr>
              <w:ind w:left="20"/>
              <w:spacing w:after="0"/>
              <w:rPr>
                <w:sz w:val="20"/>
                <w:szCs w:val="20"/>
                <w:color w:val="auto"/>
              </w:rPr>
            </w:pPr>
            <w:r>
              <w:rPr>
                <w:rFonts w:ascii="Arial" w:cs="Arial" w:eastAsia="Arial" w:hAnsi="Arial"/>
                <w:sz w:val="18"/>
                <w:szCs w:val="18"/>
                <w:color w:val="auto"/>
              </w:rPr>
              <w:t>Unencumbered Assets</w:t>
            </w:r>
          </w:p>
        </w:tc>
        <w:tc>
          <w:tcPr>
            <w:tcW w:w="2240" w:type="dxa"/>
            <w:vAlign w:val="bottom"/>
          </w:tcPr>
          <w:p>
            <w:pPr>
              <w:spacing w:after="0"/>
              <w:rPr>
                <w:sz w:val="19"/>
                <w:szCs w:val="19"/>
                <w:color w:val="auto"/>
              </w:rPr>
            </w:pP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EXHIBIT A</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Assignment and Assumption Agreement</w:t>
            </w:r>
          </w:p>
        </w:tc>
        <w:tc>
          <w:tcPr>
            <w:tcW w:w="2240" w:type="dxa"/>
            <w:vAlign w:val="bottom"/>
          </w:tcPr>
          <w:p>
            <w:pPr>
              <w:spacing w:after="0"/>
              <w:rPr>
                <w:sz w:val="24"/>
                <w:szCs w:val="24"/>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EXHIBIT B</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Guaranty</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EXHIBIT C</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Notice of Borrowing</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EXHIBIT D</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Notice of Continuation</w:t>
            </w:r>
          </w:p>
        </w:tc>
        <w:tc>
          <w:tcPr>
            <w:tcW w:w="2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EXHIBIT E</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Notice of Conversion</w:t>
            </w:r>
          </w:p>
        </w:tc>
        <w:tc>
          <w:tcPr>
            <w:tcW w:w="2240" w:type="dxa"/>
            <w:vAlign w:val="bottom"/>
          </w:tcPr>
          <w:p>
            <w:pPr>
              <w:spacing w:after="0"/>
              <w:rPr>
                <w:sz w:val="18"/>
                <w:szCs w:val="18"/>
                <w:color w:val="auto"/>
              </w:rPr>
            </w:pP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EXHIBIT F</w:t>
            </w:r>
          </w:p>
        </w:tc>
        <w:tc>
          <w:tcPr>
            <w:tcW w:w="6600" w:type="dxa"/>
            <w:vAlign w:val="bottom"/>
          </w:tcPr>
          <w:p>
            <w:pPr>
              <w:ind w:left="20"/>
              <w:spacing w:after="0"/>
              <w:rPr>
                <w:sz w:val="20"/>
                <w:szCs w:val="20"/>
                <w:color w:val="auto"/>
              </w:rPr>
            </w:pPr>
            <w:r>
              <w:rPr>
                <w:rFonts w:ascii="Arial" w:cs="Arial" w:eastAsia="Arial" w:hAnsi="Arial"/>
                <w:sz w:val="18"/>
                <w:szCs w:val="18"/>
                <w:color w:val="auto"/>
              </w:rPr>
              <w:t>Form of Note</w:t>
            </w:r>
          </w:p>
        </w:tc>
        <w:tc>
          <w:tcPr>
            <w:tcW w:w="224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EXHIBIT 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Opinion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-219710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Form of Compliance Certificate</w:t>
      </w:r>
    </w:p>
    <w:p>
      <w:pPr>
        <w:spacing w:after="0" w:line="174" w:lineRule="exact"/>
        <w:rPr>
          <w:sz w:val="20"/>
          <w:szCs w:val="20"/>
          <w:color w:val="auto"/>
        </w:rPr>
      </w:pPr>
    </w:p>
    <w:p>
      <w:pPr>
        <w:sectPr>
          <w:pgSz w:w="11900" w:h="16838" w:orient="portrait"/>
          <w:cols w:equalWidth="0" w:num="2">
            <w:col w:w="1780" w:space="720"/>
            <w:col w:w="7719"/>
          </w:cols>
          <w:pgMar w:left="240" w:top="280" w:right="1440" w:bottom="1440" w:gutter="0" w:footer="0" w:header="0"/>
        </w:sectPr>
      </w:pPr>
    </w:p>
    <w:p>
      <w:pPr>
        <w:jc w:val="right"/>
        <w:ind w:right="4339"/>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80" w:right="1440" w:bottom="1440" w:gutter="0" w:footer="0" w:header="0"/>
          <w:type w:val="continuous"/>
        </w:sectPr>
      </w:pPr>
    </w:p>
    <w:bookmarkStart w:id="9" w:name="page10"/>
    <w:bookmarkEnd w:id="9"/>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TERM LOAN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November 22, 2011, by and among FEDERAL REALTY INVESTMENT TRUST, a real estate investment trust formed under the laws of the State of Maryland (the “</w:t>
      </w:r>
      <w:r>
        <w:rPr>
          <w:rFonts w:ascii="Arial" w:cs="Arial" w:eastAsia="Arial" w:hAnsi="Arial"/>
          <w:sz w:val="16"/>
          <w:szCs w:val="16"/>
          <w:b w:val="1"/>
          <w:bCs w:val="1"/>
          <w:color w:val="auto"/>
        </w:rPr>
        <w:t>Borrower</w:t>
      </w:r>
      <w:r>
        <w:rPr>
          <w:rFonts w:ascii="Arial" w:cs="Arial" w:eastAsia="Arial" w:hAnsi="Arial"/>
          <w:sz w:val="16"/>
          <w:szCs w:val="16"/>
          <w:color w:val="auto"/>
        </w:rPr>
        <w:t>”), each of the financial institutions initially a signatory hereto together with their successors and permitted assignees under Section 12.6. (the “</w:t>
      </w:r>
      <w:r>
        <w:rPr>
          <w:rFonts w:ascii="Arial" w:cs="Arial" w:eastAsia="Arial" w:hAnsi="Arial"/>
          <w:sz w:val="16"/>
          <w:szCs w:val="16"/>
          <w:b w:val="1"/>
          <w:bCs w:val="1"/>
          <w:color w:val="auto"/>
        </w:rPr>
        <w:t>Lenders</w:t>
      </w:r>
      <w:r>
        <w:rPr>
          <w:rFonts w:ascii="Arial" w:cs="Arial" w:eastAsia="Arial" w:hAnsi="Arial"/>
          <w:sz w:val="16"/>
          <w:szCs w:val="16"/>
          <w:color w:val="auto"/>
        </w:rPr>
        <w:t>”), PNC BANK, NATIONAL ASSOCIATION, as Administrative Agent (together with its successors and permitted assigns,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CAPITAL ONE, N.A., as Syndication Agent (the “</w:t>
      </w:r>
      <w:r>
        <w:rPr>
          <w:rFonts w:ascii="Arial" w:cs="Arial" w:eastAsia="Arial" w:hAnsi="Arial"/>
          <w:sz w:val="16"/>
          <w:szCs w:val="16"/>
          <w:b w:val="1"/>
          <w:bCs w:val="1"/>
          <w:color w:val="auto"/>
        </w:rPr>
        <w:t>Syndication Agent</w:t>
      </w:r>
      <w:r>
        <w:rPr>
          <w:rFonts w:ascii="Arial" w:cs="Arial" w:eastAsia="Arial" w:hAnsi="Arial"/>
          <w:sz w:val="16"/>
          <w:szCs w:val="16"/>
          <w:color w:val="auto"/>
        </w:rPr>
        <w:t>”), PNC CAPITAL MARKETS LLC and CAPITAL ONE, N.A., as Joint Lead Arrangers and Joint Book Runners (each, an “</w:t>
      </w:r>
      <w:r>
        <w:rPr>
          <w:rFonts w:ascii="Arial" w:cs="Arial" w:eastAsia="Arial" w:hAnsi="Arial"/>
          <w:sz w:val="16"/>
          <w:szCs w:val="16"/>
          <w:b w:val="1"/>
          <w:bCs w:val="1"/>
          <w:color w:val="auto"/>
        </w:rPr>
        <w:t>Arranger</w:t>
      </w:r>
      <w:r>
        <w:rPr>
          <w:rFonts w:ascii="Arial" w:cs="Arial" w:eastAsia="Arial" w:hAnsi="Arial"/>
          <w:sz w:val="16"/>
          <w:szCs w:val="16"/>
          <w:color w:val="auto"/>
        </w:rPr>
        <w:t>”), and each of REGIONS BANK and SUNTRUST BANK, as a Documentation Agent (each, a “</w:t>
      </w:r>
      <w:r>
        <w:rPr>
          <w:rFonts w:ascii="Arial" w:cs="Arial" w:eastAsia="Arial" w:hAnsi="Arial"/>
          <w:sz w:val="16"/>
          <w:szCs w:val="16"/>
          <w:b w:val="1"/>
          <w:bCs w:val="1"/>
          <w:color w:val="auto"/>
        </w:rPr>
        <w:t>Documentation Agent</w:t>
      </w:r>
      <w:r>
        <w:rPr>
          <w:rFonts w:ascii="Arial" w:cs="Arial" w:eastAsia="Arial" w:hAnsi="Arial"/>
          <w:sz w:val="16"/>
          <w:szCs w:val="16"/>
          <w:color w:val="auto"/>
        </w:rPr>
        <w:t>”).</w:t>
      </w:r>
    </w:p>
    <w:p>
      <w:pPr>
        <w:spacing w:after="0" w:line="11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Lenders desire to make available to the Borrower unsecured term loans in an aggregate principal amount of $275,000,000, on the terms and conditions contained herein.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4.1.(b).</w:t>
      </w:r>
    </w:p>
    <w:p>
      <w:pPr>
        <w:spacing w:after="0" w:line="171"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Excluded Subsidiaries, Unconsolidated Affiliates or the Specified Non-Wholly Owned Subsidiaries.</w:t>
      </w:r>
    </w:p>
    <w:p>
      <w:pPr>
        <w:spacing w:after="0" w:line="120"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PNC Bank, National Association as contractual representative of the Lenders under this Agreement, or any successor Administrative Agent appointed pursuant to Section 11.8.</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the Administrative Questionnaire completed by each Lender and delivered to the Administrative Agent in a form supplied by the Administrative Agent to the Lenders from time to time.</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ectPr>
          <w:pgSz w:w="11900" w:h="16838" w:orient="portrait"/>
          <w:cols w:equalWidth="0" w:num="1">
            <w:col w:w="11420"/>
          </w:cols>
          <w:pgMar w:left="240" w:top="274" w:right="239" w:bottom="1440" w:gutter="0" w:footer="0" w:header="0"/>
        </w:sectPr>
      </w:pPr>
    </w:p>
    <w:bookmarkStart w:id="10" w:name="page11"/>
    <w:bookmarkEnd w:id="10"/>
    <w:p>
      <w:pPr>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Anti-Terrorism Laws</w:t>
      </w:r>
      <w:r>
        <w:rPr>
          <w:rFonts w:ascii="Arial" w:cs="Arial" w:eastAsia="Arial" w:hAnsi="Arial"/>
          <w:sz w:val="18"/>
          <w:szCs w:val="18"/>
          <w:color w:val="auto"/>
        </w:rPr>
        <w:t>” means any Applicable Law relating to terrorism or money laundering, including Executive Order No. 13224, the USA Patriot Act, the laws comprising or implementing the Bank Secrecy Act, and the laws administered by OFAC (as any of the foregoing laws may from time to time be amended, renewed, extended, or replaced).</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0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rate set forth in the table below corresponding to the level (each a “</w:t>
      </w:r>
      <w:r>
        <w:rPr>
          <w:rFonts w:ascii="Arial" w:cs="Arial" w:eastAsia="Arial" w:hAnsi="Arial"/>
          <w:sz w:val="16"/>
          <w:szCs w:val="16"/>
          <w:b w:val="1"/>
          <w:bCs w:val="1"/>
          <w:color w:val="auto"/>
        </w:rPr>
        <w:t>Level</w:t>
      </w:r>
      <w:r>
        <w:rPr>
          <w:rFonts w:ascii="Arial" w:cs="Arial" w:eastAsia="Arial" w:hAnsi="Arial"/>
          <w:sz w:val="16"/>
          <w:szCs w:val="16"/>
          <w:color w:val="auto"/>
        </w:rPr>
        <w:t>”) into which the Borrower’s Credit Rating then falls. As of the Agreement Date, the Applicable Margin is determined based on Level 2.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5. The provisions of this definition shall be subject to Section 2.2.(c).</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Borrower’s Credit Rating</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Applicable Margin</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(S&amp;P/Moody’s or</w:t>
            </w:r>
          </w:p>
        </w:tc>
        <w:tc>
          <w:tcPr>
            <w:tcW w:w="62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for</w:t>
            </w:r>
          </w:p>
        </w:tc>
        <w:tc>
          <w:tcPr>
            <w:tcW w:w="1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Applicable Margin for</w:t>
            </w:r>
          </w:p>
        </w:tc>
        <w:tc>
          <w:tcPr>
            <w:tcW w:w="0" w:type="dxa"/>
            <w:vAlign w:val="bottom"/>
          </w:tcPr>
          <w:p>
            <w:pPr>
              <w:spacing w:after="0"/>
              <w:rPr>
                <w:sz w:val="1"/>
                <w:szCs w:val="1"/>
                <w:color w:val="auto"/>
              </w:rPr>
            </w:pPr>
          </w:p>
        </w:tc>
      </w:t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Level</w:t>
            </w:r>
          </w:p>
        </w:tc>
        <w:tc>
          <w:tcPr>
            <w:tcW w:w="7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6"/>
              </w:rPr>
              <w:t>equivalent)</w:t>
            </w:r>
          </w:p>
        </w:tc>
        <w:tc>
          <w:tcPr>
            <w:tcW w:w="62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LIBOR Loans</w:t>
            </w:r>
          </w:p>
        </w:tc>
        <w:tc>
          <w:tcPr>
            <w:tcW w:w="32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Base Rate Loans</w:t>
            </w: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700" w:type="dxa"/>
            <w:vAlign w:val="bottom"/>
            <w:vMerge w:val="restart"/>
            <w:shd w:val="clear" w:color="auto" w:fill="CCEEFF"/>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equivalent) or better</w:t>
            </w:r>
          </w:p>
        </w:tc>
        <w:tc>
          <w:tcPr>
            <w:tcW w:w="62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1.30%</w:t>
            </w:r>
          </w:p>
        </w:tc>
        <w:tc>
          <w:tcPr>
            <w:tcW w:w="32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4300" w:type="dxa"/>
            <w:vAlign w:val="bottom"/>
            <w:gridSpan w:val="2"/>
          </w:tcPr>
          <w:p>
            <w:pPr>
              <w:ind w:left="700"/>
              <w:spacing w:after="0"/>
              <w:rPr>
                <w:sz w:val="20"/>
                <w:szCs w:val="20"/>
                <w:color w:val="auto"/>
              </w:rPr>
            </w:pPr>
            <w:r>
              <w:rPr>
                <w:rFonts w:ascii="Arial" w:cs="Arial" w:eastAsia="Arial" w:hAnsi="Arial"/>
                <w:sz w:val="18"/>
                <w:szCs w:val="18"/>
                <w:color w:val="auto"/>
              </w:rPr>
              <w:t>BBB+/Baa1 (or equivalent)</w:t>
            </w:r>
          </w:p>
        </w:tc>
        <w:tc>
          <w:tcPr>
            <w:tcW w:w="2220" w:type="dxa"/>
            <w:vAlign w:val="bottom"/>
            <w:gridSpan w:val="3"/>
          </w:tcPr>
          <w:p>
            <w:pPr>
              <w:jc w:val="right"/>
              <w:ind w:right="340"/>
              <w:spacing w:after="0"/>
              <w:rPr>
                <w:sz w:val="20"/>
                <w:szCs w:val="20"/>
                <w:color w:val="auto"/>
              </w:rPr>
            </w:pPr>
            <w:r>
              <w:rPr>
                <w:rFonts w:ascii="Arial" w:cs="Arial" w:eastAsia="Arial" w:hAnsi="Arial"/>
                <w:sz w:val="18"/>
                <w:szCs w:val="18"/>
                <w:color w:val="auto"/>
              </w:rPr>
              <w:t>1.45%</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BBB/Baa2 (or equivalent)</w:t>
            </w:r>
          </w:p>
        </w:tc>
        <w:tc>
          <w:tcPr>
            <w:tcW w:w="2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4300" w:type="dxa"/>
            <w:vAlign w:val="bottom"/>
            <w:gridSpan w:val="2"/>
          </w:tcPr>
          <w:p>
            <w:pPr>
              <w:ind w:left="700"/>
              <w:spacing w:after="0"/>
              <w:rPr>
                <w:sz w:val="20"/>
                <w:szCs w:val="20"/>
                <w:color w:val="auto"/>
              </w:rPr>
            </w:pPr>
            <w:r>
              <w:rPr>
                <w:rFonts w:ascii="Arial" w:cs="Arial" w:eastAsia="Arial" w:hAnsi="Arial"/>
                <w:sz w:val="18"/>
                <w:szCs w:val="18"/>
                <w:color w:val="auto"/>
              </w:rPr>
              <w:t>BBB-/Baa3 (or equivalent)</w:t>
            </w:r>
          </w:p>
        </w:tc>
        <w:tc>
          <w:tcPr>
            <w:tcW w:w="2220" w:type="dxa"/>
            <w:vAlign w:val="bottom"/>
            <w:gridSpan w:val="3"/>
          </w:tcPr>
          <w:p>
            <w:pPr>
              <w:jc w:val="right"/>
              <w:ind w:right="340"/>
              <w:spacing w:after="0"/>
              <w:rPr>
                <w:sz w:val="20"/>
                <w:szCs w:val="20"/>
                <w:color w:val="auto"/>
              </w:rPr>
            </w:pPr>
            <w:r>
              <w:rPr>
                <w:rFonts w:ascii="Arial" w:cs="Arial" w:eastAsia="Arial" w:hAnsi="Arial"/>
                <w:sz w:val="18"/>
                <w:szCs w:val="18"/>
                <w:color w:val="auto"/>
              </w:rPr>
              <w:t>2.05%</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Lower than BBB-/Baa3 (or equivalent)</w:t>
            </w:r>
          </w:p>
        </w:tc>
        <w:tc>
          <w:tcPr>
            <w:tcW w:w="2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any entity that administers or manages a Lender.</w:t>
      </w:r>
    </w:p>
    <w:p>
      <w:pPr>
        <w:spacing w:after="0" w:line="120" w:lineRule="exact"/>
        <w:rPr>
          <w:sz w:val="20"/>
          <w:szCs w:val="20"/>
          <w:color w:val="auto"/>
        </w:rPr>
      </w:pPr>
    </w:p>
    <w:p>
      <w:pPr>
        <w:jc w:val="center"/>
        <w:ind w:right="4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has the meaning set forth in the introductory paragraph hereof and shall include each Arranger’s successors and permitted assigns. - 2 -</w:t>
      </w:r>
    </w:p>
    <w:p>
      <w:pPr>
        <w:sectPr>
          <w:pgSz w:w="11900" w:h="16838" w:orient="portrait"/>
          <w:cols w:equalWidth="0" w:num="1">
            <w:col w:w="11420"/>
          </w:cols>
          <w:pgMar w:left="240" w:top="274" w:right="239" w:bottom="1440" w:gutter="0" w:footer="0" w:header="0"/>
        </w:sectPr>
      </w:pPr>
    </w:p>
    <w:bookmarkStart w:id="11" w:name="page12"/>
    <w:bookmarkEnd w:id="11"/>
    <w:p>
      <w:pPr>
        <w:ind w:right="1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Agreement among a Lender, an Eligible Assignee and the Administrative Agent, substantially in the form of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Bankruptcy Code of 1978, as amended.</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for any day, a fluctuating per annum rate of interest equal to the highest of (a) the interest rate per annum announced from time to time by the Lender then acting as the Administrative Agent at its Principal Office as its then prime rate, which rate may not be the lowest rate then being charged commercial borrowers by such Lender, (b) the Federal Funds Open Rate plus one-half of one percent (0.50%), or (c) the Daily LIBOR Rate plus one percent (1.0%), so long as the Daily LIBOR Rate is offered, ascertainable and not unlawful.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any portion of a Loan bearing interest at a rate based on the Base Rate.</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has the meaning given that term in Section 6.1.(x).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Information</w:t>
      </w:r>
      <w:r>
        <w:rPr>
          <w:rFonts w:ascii="Arial" w:cs="Arial" w:eastAsia="Arial" w:hAnsi="Arial"/>
          <w:sz w:val="18"/>
          <w:szCs w:val="18"/>
          <w:color w:val="auto"/>
        </w:rPr>
        <w:t>” has the meaning given that term in Section 2.2.(c).</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or Sunday or a legal holiday on which commercial lenders are authorized or required to be closed for business in Pittsburgh, Pennsylvania and, if the applicable Business Day relates to a LIBOR Loan, such day must also be a day on which dealings are carried on in the London interbank market. Unless specifically referenced in this Agreement as a Business Day, all references to “days” shall be to calendar days.</w:t>
      </w:r>
    </w:p>
    <w:p>
      <w:pPr>
        <w:spacing w:after="0" w:line="9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xml:space="preserve">” means, for any period and with respect to any: (i) portion of a Property developed with improvements utilized for the retail sale of goods or services, office space or other use (other than residential apartments), an amount equal to (a) $0.15 per square foot </w:t>
      </w:r>
      <w:r>
        <w:rPr>
          <w:rFonts w:ascii="Arial" w:cs="Arial" w:eastAsia="Arial" w:hAnsi="Arial"/>
          <w:sz w:val="16"/>
          <w:szCs w:val="16"/>
          <w:u w:val="single" w:color="auto"/>
          <w:color w:val="auto"/>
        </w:rPr>
        <w:t>times</w:t>
      </w:r>
      <w:r>
        <w:rPr>
          <w:rFonts w:ascii="Arial" w:cs="Arial" w:eastAsia="Arial" w:hAnsi="Arial"/>
          <w:sz w:val="16"/>
          <w:szCs w:val="16"/>
          <w:color w:val="auto"/>
        </w:rPr>
        <w:t>,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ind w:firstLine="8"/>
        <w:spacing w:after="0" w:line="292"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Multifamily Property or any portion of a Property developed with improvements utilized as residential apartments (other than Properties having less than 20 residential units), an amount equal to (a) $200 per apartment unit in such Multifamily Property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(b) a fraction, the numerator of which is the number of days in such period and the denominator of which is 365. If the term Capital Reserves is used without reference to any specific Property, then the amount shall be determined on an aggregate basis with respect to all Office Properties, Retail Properties and Multifamily Properties of the Borrower and its Subsidiaries and a proportionate share of all Office, Retail and Multifamily Properties of all Unconsolidated Affiliates.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7.25%.</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obligations under a lease that are required to be capitalized for financial reporting purposes in accordance with GAAP. The amount of a Capitalized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12" w:name="page13"/>
    <w:bookmarkEnd w:id="12"/>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Obligation is the capitalized amount of such obligation as would be required to be reflected on a balance sheet of the applicable Person prepared in accordance with GAAP as of the applicable date.</w:t>
      </w:r>
    </w:p>
    <w:p>
      <w:pPr>
        <w:spacing w:after="0" w:line="12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w:t>
      </w:r>
    </w:p>
    <w:p>
      <w:pPr>
        <w:spacing w:after="0" w:line="4" w:lineRule="exact"/>
        <w:rPr>
          <w:sz w:val="20"/>
          <w:szCs w:val="20"/>
          <w:color w:val="auto"/>
        </w:rPr>
      </w:pPr>
    </w:p>
    <w:p>
      <w:pPr>
        <w:ind w:right="60" w:firstLine="8"/>
        <w:spacing w:after="0" w:line="323"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87"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a Lender, such Lender’s obligation to make a Loan pursuant to Section 2.1., in an amount up to, but not exceeding, the amount set forth for such Lender on Schedule I as such Lender’s “Commitment Amount”.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2.6.</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Construction-in-Process</w:t>
      </w:r>
      <w:r>
        <w:rPr>
          <w:rFonts w:ascii="Arial" w:cs="Arial" w:eastAsia="Arial" w:hAnsi="Arial"/>
          <w:sz w:val="18"/>
          <w:szCs w:val="18"/>
          <w:color w:val="auto"/>
        </w:rPr>
        <w:t>” means cash expenditures for land and improvements (including indirect costs internally allocated and development costs) in accordance with GAAP on all Development Properties.</w:t>
      </w:r>
    </w:p>
    <w:p>
      <w:pPr>
        <w:spacing w:after="0" w:line="120"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74"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the Loan Documents):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2.7.</w:t>
      </w:r>
    </w:p>
    <w:p>
      <w:pPr>
        <w:spacing w:after="0" w:line="194"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w:t>
      </w:r>
      <w:r>
        <w:rPr>
          <w:rFonts w:ascii="Arial" w:cs="Arial" w:eastAsia="Arial" w:hAnsi="Arial"/>
          <w:sz w:val="18"/>
          <w:szCs w:val="18"/>
          <w:color w:val="auto"/>
        </w:rPr>
        <w:t>” means any of the following: (a) the making of any Loan, (b) the Conversion of a Base Rate Loan into a LIBOR Loan and (c) the Continuation of a LIBOR Loan.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13" w:name="page14"/>
    <w:bookmarkEnd w:id="13"/>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Credit Percentage</w:t>
      </w:r>
      <w:r>
        <w:rPr>
          <w:rFonts w:ascii="Arial" w:cs="Arial" w:eastAsia="Arial" w:hAnsi="Arial"/>
          <w:sz w:val="18"/>
          <w:szCs w:val="18"/>
          <w:color w:val="auto"/>
        </w:rPr>
        <w:t>” means, as to each Lender, the ratio, expressed as a percentage, of (a) the unpaid principal amount of such Lender’s Loan to (b) the aggregate unpaid principal amount of all Loans.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a Person.</w:t>
      </w:r>
    </w:p>
    <w:p>
      <w:pPr>
        <w:spacing w:after="0" w:line="171" w:lineRule="exact"/>
        <w:rPr>
          <w:sz w:val="20"/>
          <w:szCs w:val="20"/>
          <w:color w:val="auto"/>
        </w:rPr>
      </w:pPr>
    </w:p>
    <w:p>
      <w:pPr>
        <w:jc w:val="both"/>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LIBOR Rate</w:t>
      </w:r>
      <w:r>
        <w:rPr>
          <w:rFonts w:ascii="Arial" w:cs="Arial" w:eastAsia="Arial" w:hAnsi="Arial"/>
          <w:sz w:val="16"/>
          <w:szCs w:val="16"/>
          <w:color w:val="auto"/>
        </w:rPr>
        <w:t>” means, for any day, the rate per annum determined by the Administrative Agent by dividing (a) the Published Rate by (b) a number equal to 1.00 minus the LIBOR Reserve Percentage. The Daily LIBOR Rate shall be adjusted with respect to any Base Rate Loan on and as of the effective date of any change in the LIBOR Reserve Percentage. The Administrative Agent shall give prompt notice to the Borrower of the Daily LIBOR Rate as determined or adjusted in accordance herewith, which determination shall be conclusive absent manifest error.</w:t>
      </w:r>
    </w:p>
    <w:p>
      <w:pPr>
        <w:spacing w:after="0" w:line="10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cannot be satisfied), or (c)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such Lender. Any determination by the Administrative Agent that a Lender is a Defaulting Lender under clauses (a) through (c) above shall be conclusive and binding absent manifest error, and such Lender shall be deemed to be a Defaulting Lender (subject to Section 3.9.(d)) upon delivery of written notice of such determination to the Borrower and each Lender.</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Support Document</w:t>
      </w:r>
      <w:r>
        <w:rPr>
          <w:rFonts w:ascii="Arial" w:cs="Arial" w:eastAsia="Arial" w:hAnsi="Arial"/>
          <w:sz w:val="16"/>
          <w:szCs w:val="16"/>
          <w:color w:val="auto"/>
        </w:rPr>
        <w:t>” means (i) any Credit Support Annex comprising part of (and as defined in) any Specified Derivatives Contract, and</w:t>
      </w:r>
    </w:p>
    <w:p>
      <w:pPr>
        <w:spacing w:after="0" w:line="44" w:lineRule="exact"/>
        <w:rPr>
          <w:sz w:val="20"/>
          <w:szCs w:val="20"/>
          <w:color w:val="auto"/>
        </w:rPr>
      </w:pPr>
    </w:p>
    <w:p>
      <w:pPr>
        <w:ind w:right="20" w:firstLine="8"/>
        <w:spacing w:after="0" w:line="323"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8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0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Property</w:t>
      </w:r>
      <w:r>
        <w:rPr>
          <w:rFonts w:ascii="Arial" w:cs="Arial" w:eastAsia="Arial" w:hAnsi="Arial"/>
          <w:sz w:val="18"/>
          <w:szCs w:val="18"/>
          <w:color w:val="auto"/>
        </w:rPr>
        <w:t>” means a Property that otherwise qualifies as an Eligible Property except it is not yet a Retail Property, an Office Property or a Multifamily Property but is being developed, or will have development commencing within 12 months of any date of determination, to become one. A Development Property will cease to constitute a Development Property upon the earlier to occur of (a) the date that is six months past substantial completion of such Property and (b) achieving an Occupancy Rate of 85.0%.</w:t>
      </w:r>
    </w:p>
    <w:p>
      <w:pPr>
        <w:spacing w:after="0" w:line="13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has the meaning set forth in the introductory paragraph hereof and shall include each Documentation Agent’s successors and permitted assigns.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Ownership Share of EBITDA (as determined in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80" w:right="299" w:bottom="1440" w:gutter="0" w:footer="0" w:header="0"/>
        </w:sectPr>
      </w:pPr>
    </w:p>
    <w:bookmarkStart w:id="15" w:name="page16"/>
    <w:bookmarkEnd w:id="15"/>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consistent with the foregoing clause (a)) of its Unconsolidated Affiliates. EBITDA will be adjusted to remove all impact of straight lining of rents required under GAAP and amortization of intangibles pursuant to FASB ASC 805.</w:t>
      </w:r>
    </w:p>
    <w:p>
      <w:pPr>
        <w:spacing w:after="0" w:line="12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by all of the Lenders.</w:t>
      </w:r>
    </w:p>
    <w:p>
      <w:pPr>
        <w:spacing w:after="0" w:line="120"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Borrower, any of the Borrower’s Affiliates or Subsidiaries or any Defaulting Lender.</w:t>
      </w:r>
    </w:p>
    <w:p>
      <w:pPr>
        <w:spacing w:after="0" w:line="9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an Office Property or a Multifamily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Lien other than Permitted Liens (excluding Permitted Liens of the type described in clauses (g) 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1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1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constituting Indebtedness that is convertible or exchangeable, or is being converted or exchanged, for Equity Interests.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12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0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 No. 13224</w:t>
      </w:r>
      <w:r>
        <w:rPr>
          <w:rFonts w:ascii="Arial" w:cs="Arial" w:eastAsia="Arial" w:hAnsi="Arial"/>
          <w:sz w:val="18"/>
          <w:szCs w:val="18"/>
          <w:color w:val="auto"/>
        </w:rPr>
        <w:t>” means the Executive Order No. 13224 on Terrorist Financing, effective September 24, 2001, as the same has been, or shall hereafter be, renewed, extended, amended or replaced.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0" w:right="259" w:bottom="1440" w:gutter="0" w:footer="0" w:header="0"/>
        </w:sectPr>
      </w:pPr>
    </w:p>
    <w:bookmarkStart w:id="17" w:name="page18"/>
    <w:bookmarkEnd w:id="17"/>
    <w:p>
      <w:pPr>
        <w:ind w:right="22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Existing Credit Agreement</w:t>
      </w:r>
      <w:r>
        <w:rPr>
          <w:rFonts w:ascii="Arial" w:cs="Arial" w:eastAsia="Arial" w:hAnsi="Arial"/>
          <w:sz w:val="16"/>
          <w:szCs w:val="16"/>
          <w:color w:val="auto"/>
        </w:rPr>
        <w:t>” means that certain Credit Agreement dated as of July 7, 2011, by and among Borrower, each of the financial institutions initially a signatory thereto together with their successors and permitted assignees pursuant to section 12.6. thereof, Wells Fargo Bank, National Association, as administrative agent, and each of the other parties thereto, as amended, restated, supplemented, or otherwise modified from time to time.</w:t>
      </w:r>
    </w:p>
    <w:p>
      <w:pPr>
        <w:spacing w:after="0" w:line="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Open Rate</w:t>
      </w:r>
      <w:r>
        <w:rPr>
          <w:rFonts w:ascii="Arial" w:cs="Arial" w:eastAsia="Arial" w:hAnsi="Arial"/>
          <w:sz w:val="16"/>
          <w:szCs w:val="16"/>
          <w:color w:val="auto"/>
        </w:rPr>
        <w:t>” means, for any day,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(for purposes of this definition, an “</w:t>
      </w:r>
      <w:r>
        <w:rPr>
          <w:rFonts w:ascii="Arial" w:cs="Arial" w:eastAsia="Arial" w:hAnsi="Arial"/>
          <w:sz w:val="16"/>
          <w:szCs w:val="16"/>
          <w:b w:val="1"/>
          <w:bCs w:val="1"/>
          <w:color w:val="auto"/>
        </w:rPr>
        <w:t>Alternate Source</w:t>
      </w:r>
      <w:r>
        <w:rPr>
          <w:rFonts w:ascii="Arial" w:cs="Arial" w:eastAsia="Arial" w:hAnsi="Arial"/>
          <w:sz w:val="16"/>
          <w:szCs w:val="16"/>
          <w:color w:val="auto"/>
        </w:rPr>
        <w:t>”) (or if such rate for such day does not appear on the Bloomberg Screen BTMM (or any substitute screen) or on any Alternate Source, or if there shall at any time, for any reason, no longer exist a Bloomberg Screen BTMM (or any substitute screen) or any Alternate Source, a comparable replacement rate determined by the Administrative Agent at such time (which determination shall be conclusive absent manifest error); provided however, that if such day is not a Business Day, the Federal Funds Open Rate for such day shall be the “open” rate on the immediately preceding Business Day. The rate of interest charged shall be adjusted as of each Business Day based on changes in the Federal Funds Open Rate without notice to the Borrower.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Fee Letter</w:t>
      </w:r>
      <w:r>
        <w:rPr>
          <w:rFonts w:ascii="Arial" w:cs="Arial" w:eastAsia="Arial" w:hAnsi="Arial"/>
          <w:sz w:val="16"/>
          <w:szCs w:val="16"/>
          <w:color w:val="auto"/>
        </w:rPr>
        <w:t>” means that certain fee letter dated as of October 24, 2011, by and among the Borrower, PNC Bank, the Syndication Agent and the Arrangers.</w:t>
      </w:r>
    </w:p>
    <w:p>
      <w:pPr>
        <w:spacing w:after="0" w:line="19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3.5. and any other fees payable by the Borrower hereunder, under any other Loan Document or under the Fee Letter.</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Guarantor (including any payments ultimately made to a Guarantor which may pass through a Subsidiary which is not a Guarantor so long as such amounts are subsequently passed to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18" w:name="page19"/>
    <w:bookmarkEnd w:id="18"/>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Guarantor promptly after such initial distribution);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that is organized under the laws of a jurisdiction other than that in which the Borrower is resident for tax purposes.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definition, the United States of America, each State thereof and the District of Columbia shall be deemed to constitute a single jurisdiction.</w:t>
      </w:r>
    </w:p>
    <w:p>
      <w:pPr>
        <w:spacing w:after="0" w:line="18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2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From Operations</w:t>
      </w:r>
      <w:r>
        <w:rPr>
          <w:rFonts w:ascii="Arial" w:cs="Arial" w:eastAsia="Arial" w:hAnsi="Arial"/>
          <w:sz w:val="16"/>
          <w:szCs w:val="16"/>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White Paper on Funds from Operations dated April 2002 issued by National Association of Real Estate Investment Trusts, Inc., but without giving effect to any supplements, amendments or other modifications promulgated after the Agreement Date.</w:t>
      </w:r>
    </w:p>
    <w:p>
      <w:pPr>
        <w:spacing w:after="0" w:line="11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3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11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Ground Lease</w:t>
      </w:r>
      <w:r>
        <w:rPr>
          <w:rFonts w:ascii="Arial" w:cs="Arial" w:eastAsia="Arial" w:hAnsi="Arial"/>
          <w:sz w:val="16"/>
          <w:szCs w:val="16"/>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19" w:name="page20"/>
    <w:bookmarkEnd w:id="19"/>
    <w:p>
      <w:pPr>
        <w:jc w:val="both"/>
        <w:ind w:right="6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34"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individually and collectively, as the context shall require: (i) all Material Subsidiaries (other than Excluded Subsidiaries and Subsidiaries owning Non-Controlled Properties), and (ii) any Subsidiary that elects to become a Guarantor.</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w:t>
      </w:r>
    </w:p>
    <w:p>
      <w:pPr>
        <w:spacing w:after="0" w:line="11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w:t>
      </w:r>
    </w:p>
    <w:p>
      <w:pPr>
        <w:spacing w:after="0" w:line="1" w:lineRule="exact"/>
        <w:rPr>
          <w:sz w:val="20"/>
          <w:szCs w:val="20"/>
          <w:color w:val="auto"/>
        </w:rPr>
      </w:pPr>
    </w:p>
    <w:p>
      <w:pPr>
        <w:ind w:firstLine="8"/>
        <w:spacing w:after="0" w:line="286"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3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with respect to each LIBOR Loan, each period commencing on the date such LIBOR Loan is made, or in the case of the Continuation of a LIBOR Loan, the last day of the preceding Interest Period for such Loan, and ending on the numerically corresponding day in the first, third or sixth calendar month thereafter, or such shorter period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except in the case of an Interest Period that has a duration of less than one month.</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 if any Interest Period would otherwise end after the Maturity Date, such Interest Period shall end on the Maturity Date; and</w:t>
      </w:r>
    </w:p>
    <w:p>
      <w:pPr>
        <w:spacing w:after="0" w:line="38" w:lineRule="exact"/>
        <w:rPr>
          <w:sz w:val="20"/>
          <w:szCs w:val="20"/>
          <w:color w:val="auto"/>
        </w:rPr>
      </w:pPr>
    </w:p>
    <w:p>
      <w:pPr>
        <w:ind w:right="660" w:firstLine="8"/>
        <w:spacing w:after="0" w:line="323" w:lineRule="auto"/>
        <w:tabs>
          <w:tab w:leader="none" w:pos="258"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21" w:name="page22"/>
    <w:bookmarkEnd w:id="21"/>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the equivalent) or higher from a Rating Agency.</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means, for the Interest Period for any LIBOR Loan, the interest rate per annum determined by the Administrative Agent by dividing (the resulting quotient rounded upwards, if necessary, to the nearest 1/100th of 1% per annum) (a)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which has been approved by the British Bankers’ Association as an authorized information vendor for the purpose of displaying rates at which US dollar deposits are offered by leading banks in the London interbank deposit market (for purposes of this definition, an “</w:t>
      </w:r>
      <w:r>
        <w:rPr>
          <w:rFonts w:ascii="Arial" w:cs="Arial" w:eastAsia="Arial" w:hAnsi="Arial"/>
          <w:sz w:val="16"/>
          <w:szCs w:val="16"/>
          <w:b w:val="1"/>
          <w:bCs w:val="1"/>
          <w:color w:val="auto"/>
        </w:rPr>
        <w:t>Alternate Source</w:t>
      </w:r>
      <w:r>
        <w:rPr>
          <w:rFonts w:ascii="Arial" w:cs="Arial" w:eastAsia="Arial" w:hAnsi="Arial"/>
          <w:sz w:val="16"/>
          <w:szCs w:val="16"/>
          <w:color w:val="auto"/>
        </w:rPr>
        <w:t>”), at approximately 11:00 a.m., London time, two (2) Business Days prior to the commencement of such Interest Period as the London interbank offered rate for Dollars for an amount comparable to such LIBOR Loan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 such time (which determination shall be conclusive absent manifest error)), by (b) a number equal to 1.00 minus the LIBOR Reserve Percentage.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LIBOR may also be expressed by the following formula:</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London interbank offered rates quoted by Bloomberg</w:t>
      </w:r>
    </w:p>
    <w:p>
      <w:pPr>
        <w:spacing w:after="0" w:line="15" w:lineRule="exact"/>
        <w:rPr>
          <w:sz w:val="20"/>
          <w:szCs w:val="20"/>
          <w:color w:val="auto"/>
        </w:rPr>
      </w:pPr>
    </w:p>
    <w:p>
      <w:pPr>
        <w:ind w:left="2580" w:right="2660" w:hanging="3916"/>
        <w:spacing w:after="0" w:line="261" w:lineRule="auto"/>
        <w:tabs>
          <w:tab w:leader="none" w:pos="256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u w:val="single" w:color="auto"/>
          <w:color w:val="auto"/>
        </w:rPr>
        <w:t>or appropriate successor as shown on Bloomberg Page BBAM1</w:t>
      </w:r>
      <w:r>
        <w:rPr>
          <w:rFonts w:ascii="Arial" w:cs="Arial" w:eastAsia="Arial" w:hAnsi="Arial"/>
          <w:sz w:val="18"/>
          <w:szCs w:val="18"/>
          <w:color w:val="auto"/>
        </w:rPr>
        <w:t xml:space="preserve"> 1.00 - LIBOR Reserve Percentage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4" w:right="259" w:bottom="1440" w:gutter="0" w:footer="0" w:header="0"/>
        </w:sectPr>
      </w:pPr>
    </w:p>
    <w:bookmarkStart w:id="22" w:name="page23"/>
    <w:bookmarkEnd w:id="2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LIBOR shall be adjusted with respect to any LIBOR Loan that is outstanding on the effective date of any change in the LIBOR Reserve Percentage as of such effective date. The Administrative Agent shall give prompt notice to the Borrower of LIBOR as determined or adjusted in accordance herewith, which determination shall be conclusive absent manifest error.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means a Loan (or any portion thereof) bearing interest at a rate based on LIBOR.</w:t>
      </w:r>
    </w:p>
    <w:p>
      <w:pPr>
        <w:spacing w:after="0" w:line="171" w:lineRule="exact"/>
        <w:rPr>
          <w:sz w:val="20"/>
          <w:szCs w:val="20"/>
          <w:color w:val="auto"/>
        </w:rPr>
      </w:pPr>
    </w:p>
    <w:p>
      <w:pPr>
        <w:jc w:val="both"/>
        <w:ind w:right="4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Reserve Percentage</w:t>
      </w:r>
      <w:r>
        <w:rPr>
          <w:rFonts w:ascii="Arial" w:cs="Arial" w:eastAsia="Arial" w:hAnsi="Arial"/>
          <w:sz w:val="16"/>
          <w:szCs w:val="16"/>
          <w:color w:val="auto"/>
        </w:rPr>
        <w:t>” means, as of any day the maximum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w:t>
      </w:r>
      <w:r>
        <w:rPr>
          <w:rFonts w:ascii="Arial" w:cs="Arial" w:eastAsia="Arial" w:hAnsi="Arial"/>
          <w:sz w:val="16"/>
          <w:szCs w:val="16"/>
          <w:b w:val="1"/>
          <w:bCs w:val="1"/>
          <w:color w:val="auto"/>
        </w:rPr>
        <w:t>Eurocurrency Liabilities</w:t>
      </w:r>
      <w:r>
        <w:rPr>
          <w:rFonts w:ascii="Arial" w:cs="Arial" w:eastAsia="Arial" w:hAnsi="Arial"/>
          <w:sz w:val="16"/>
          <w:szCs w:val="16"/>
          <w:color w:val="auto"/>
        </w:rPr>
        <w:t>”).</w:t>
      </w:r>
    </w:p>
    <w:p>
      <w:pPr>
        <w:spacing w:after="0" w:line="9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w:t>
      </w:r>
    </w:p>
    <w:p>
      <w:pPr>
        <w:ind w:right="40" w:firstLine="8"/>
        <w:spacing w:after="0" w:line="295" w:lineRule="auto"/>
        <w:tabs>
          <w:tab w:leader="none" w:pos="23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by a Lender to the Borrower pursuant to Section 2.1. or Section 2.9.</w:t>
      </w:r>
    </w:p>
    <w:p>
      <w:pPr>
        <w:spacing w:after="0" w:line="171"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w:t>
      </w:r>
      <w:r>
        <w:rPr>
          <w:rFonts w:ascii="Arial" w:cs="Arial" w:eastAsia="Arial" w:hAnsi="Arial"/>
          <w:sz w:val="16"/>
          <w:szCs w:val="16"/>
          <w:color w:val="auto"/>
        </w:rPr>
        <w:t>” means this Agreement, each Note, the Guaranty, and each other document or instrument now or hereafter executed and delivered by a Loan Party in connection with, pursuant to or relating to this Agreement (other than the Fee Letter and any Specified Derivatives Contract).</w:t>
      </w:r>
    </w:p>
    <w:p>
      <w:pPr>
        <w:spacing w:after="0" w:line="7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w:t>
      </w:r>
      <w:r>
        <w:rPr>
          <w:rFonts w:ascii="Arial" w:cs="Arial" w:eastAsia="Arial" w:hAnsi="Arial"/>
          <w:sz w:val="18"/>
          <w:szCs w:val="18"/>
          <w:color w:val="auto"/>
        </w:rPr>
        <w:t>” means each of the Borrower and each other Person who guarantees all or a portion of the Obligations. Schedule 1.1.(a) sets forth the Loan Parties in addition to the Borrower as of the Agreement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 Default</w:t>
      </w:r>
      <w:r>
        <w:rPr>
          <w:rFonts w:ascii="Arial" w:cs="Arial" w:eastAsia="Arial" w:hAnsi="Arial"/>
          <w:sz w:val="16"/>
          <w:szCs w:val="16"/>
          <w:color w:val="auto"/>
        </w:rPr>
        <w:t>” means a Default resulting from the occurrence of any of the events described in Section 10.1.(a), Section 10.1.(e) or Section 10.1.(f).</w:t>
      </w:r>
    </w:p>
    <w:p>
      <w:pPr>
        <w:spacing w:after="0" w:line="194"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Mandatorily Redeemable Stock</w:t>
      </w:r>
      <w:r>
        <w:rPr>
          <w:rFonts w:ascii="Arial" w:cs="Arial" w:eastAsia="Arial" w:hAnsi="Arial"/>
          <w:sz w:val="15"/>
          <w:szCs w:val="15"/>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right="80" w:firstLine="8"/>
        <w:spacing w:after="0" w:line="323"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is redeemable at the option of the holder thereof, in whole or in part (other than an Equity Interest which is redeemable solely in exchange for common stock or other equivalent common Equity Interests); in each case, on or prior to the Maturity Date. For purposes of this definition, Equity</w:t>
      </w:r>
    </w:p>
    <w:p>
      <w:pPr>
        <w:spacing w:after="0" w:line="79" w:lineRule="exact"/>
        <w:rPr>
          <w:rFonts w:ascii="Arial" w:cs="Arial" w:eastAsia="Arial" w:hAnsi="Arial"/>
          <w:sz w:val="16"/>
          <w:szCs w:val="16"/>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40"/>
          </w:cols>
          <w:pgMar w:left="240" w:top="280" w:right="319" w:bottom="1440" w:gutter="0" w:footer="0" w:header="0"/>
        </w:sectPr>
      </w:pPr>
    </w:p>
    <w:bookmarkStart w:id="23" w:name="page24"/>
    <w:bookmarkEnd w:id="2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in any of the following Subsidiaries which the Borrower is obligated to acquire pursuant to currently existing agreements (as in effect on the date hereof) with the holders of such Equity Interest shall not be considered to be Mandatorily Redeemable Stock: Congressional Plaza Associates, LLC, NVI-Avenue, LLC, Street Retail West 7, L.P., FR Pike 7 Limited Partnership, Federal Realty Partners L.P. and FR Leesburg Plaza, LP.</w:t>
      </w:r>
    </w:p>
    <w:p>
      <w:pPr>
        <w:spacing w:after="0" w:line="10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w:t>
      </w:r>
    </w:p>
    <w:p>
      <w:pPr>
        <w:spacing w:after="0" w:line="103"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means any Subsidiary to which more than 2% of Adjusted Total Asset Value is attributable on an individual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November 21, 2018.</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Project</w:t>
      </w:r>
      <w:r>
        <w:rPr>
          <w:rFonts w:ascii="Arial" w:cs="Arial" w:eastAsia="Arial" w:hAnsi="Arial"/>
          <w:sz w:val="18"/>
          <w:szCs w:val="18"/>
          <w:color w:val="auto"/>
        </w:rPr>
        <w:t>” means any mixed-use project that includes or will include a Retail Property and will also include a Multifamily Property and/or an Office Property.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which may include a Property that is a part of a Mixed-Use Project.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80"/>
          </w:cols>
          <w:pgMar w:left="240" w:top="280" w:right="279" w:bottom="1440" w:gutter="0" w:footer="0" w:header="0"/>
        </w:sectPr>
      </w:pPr>
    </w:p>
    <w:bookmarkStart w:id="24" w:name="page25"/>
    <w:bookmarkEnd w:id="24"/>
    <w:p>
      <w:pPr>
        <w:jc w:val="both"/>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Capital Reserves for such Property as of the end of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greater of (i) the actual property management fee paid during such period with respect to such Property and (ii) an imputed management fee in the amount equal to 3.0% of the gross revenues for such Property for such period.</w:t>
      </w:r>
    </w:p>
    <w:p>
      <w:pPr>
        <w:spacing w:after="0" w:line="115" w:lineRule="exact"/>
        <w:rPr>
          <w:sz w:val="20"/>
          <w:szCs w:val="20"/>
          <w:color w:val="auto"/>
        </w:rPr>
      </w:pPr>
    </w:p>
    <w:p>
      <w:pPr>
        <w:jc w:val="both"/>
        <w:ind w:right="2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36"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Non-Controlled Property</w:t>
      </w:r>
      <w:r>
        <w:rPr>
          <w:rFonts w:ascii="Arial" w:cs="Arial" w:eastAsia="Arial" w:hAnsi="Arial"/>
          <w:sz w:val="16"/>
          <w:szCs w:val="16"/>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given that term in Section 2.8.</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substantially in the form of Exhibit C (or such other form reasonably acceptable to the Administrative Agent and containing the information required in such Exhibit) to be delivered to the Administrative Agent pursuant to Section 2.1.(b) evidencing the Borrower’s request for the borrowing of the Loans.</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substantially in the form of Exhibit D (or such other form reasonably acceptable to the Administrative Agent and containing the information required in such Exhibit) to be delivered to the Administrative Agent pursuant to Section 2.6. evidencing the Borrower’s request for the Continuation of a LIBOR Loan.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4" w:right="259" w:bottom="1440" w:gutter="0" w:footer="0" w:header="0"/>
        </w:sectPr>
      </w:pPr>
    </w:p>
    <w:bookmarkStart w:id="25" w:name="page26"/>
    <w:bookmarkEnd w:id="25"/>
    <w:p>
      <w:pPr>
        <w:jc w:val="both"/>
        <w:ind w:right="1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2.7. evidencing the Borrower’s request for the Conversion of a Loan from one Type to another Type.</w:t>
      </w:r>
    </w:p>
    <w:p>
      <w:pPr>
        <w:spacing w:after="0" w:line="132"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individually and collectively: (a) the aggregate principal balance of, 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0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Occupancy Rate</w:t>
      </w:r>
      <w:r>
        <w:rPr>
          <w:rFonts w:ascii="Arial" w:cs="Arial" w:eastAsia="Arial" w:hAnsi="Arial"/>
          <w:sz w:val="16"/>
          <w:szCs w:val="16"/>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or for which a lease has been signed but the term has not yet commenced, to (b) the total square footage of such Property available for lease;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or for which a lease has been signed but the term has not yet commenced, to (b) the total units of such Multifamily Property available for lease.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Property</w:t>
      </w:r>
      <w:r>
        <w:rPr>
          <w:rFonts w:ascii="Arial" w:cs="Arial" w:eastAsia="Arial" w:hAnsi="Arial"/>
          <w:sz w:val="18"/>
          <w:szCs w:val="18"/>
          <w:color w:val="auto"/>
        </w:rPr>
        <w:t>” means a Property improved with a building or buildings the substantial use of which is office space, which may include a Property that is part of a Mixed-Use Project.</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Share</w:t>
      </w:r>
      <w:r>
        <w:rPr>
          <w:rFonts w:ascii="Arial" w:cs="Arial" w:eastAsia="Arial" w:hAnsi="Arial"/>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12.6.(d).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74" w:right="279" w:bottom="1440" w:gutter="0" w:footer="0" w:header="0"/>
        </w:sectPr>
      </w:pPr>
    </w:p>
    <w:bookmarkStart w:id="26" w:name="page27"/>
    <w:bookmarkEnd w:id="26"/>
    <w:p>
      <w:pPr>
        <w:ind w:firstLine="456"/>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b w:val="1"/>
          <w:bCs w:val="1"/>
          <w:color w:val="auto"/>
        </w:rPr>
        <w:t>Permitted Liens</w:t>
      </w:r>
      <w:r>
        <w:rPr>
          <w:rFonts w:ascii="Arial" w:cs="Arial" w:eastAsia="Arial" w:hAnsi="Arial"/>
          <w:sz w:val="15"/>
          <w:szCs w:val="15"/>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w:t>
      </w:r>
    </w:p>
    <w:p>
      <w:pPr>
        <w:ind w:firstLine="8"/>
        <w:spacing w:after="0" w:line="288"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(g) Liens in existence as of the Agreement Date and set forth on Part II of Schedule 6.1.(f); and (h) Liens securing Indebtedness permitted by the Loan Documents.</w:t>
      </w:r>
    </w:p>
    <w:p>
      <w:pPr>
        <w:spacing w:after="0" w:line="117"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32"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PNC Bank</w:t>
      </w:r>
      <w:r>
        <w:rPr>
          <w:rFonts w:ascii="Arial" w:cs="Arial" w:eastAsia="Arial" w:hAnsi="Arial"/>
          <w:sz w:val="18"/>
          <w:szCs w:val="18"/>
          <w:color w:val="auto"/>
        </w:rPr>
        <w:t>” means PNC Bank, National Association, and its successors and permitted assigns.</w:t>
      </w:r>
    </w:p>
    <w:p>
      <w:pPr>
        <w:spacing w:after="0" w:line="171"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other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issued by the Borrower, a Subsidiary or an Unconsolidated Affiliate.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103"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the main banking office of the Administrative Agent located in Pittsburgh, Pennsylvania, or such other office designated by the Administrative Agent.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4" w:right="259" w:bottom="1440" w:gutter="0" w:footer="0" w:header="0"/>
        </w:sectPr>
      </w:pPr>
    </w:p>
    <w:bookmarkStart w:id="27" w:name="page28"/>
    <w:bookmarkEnd w:id="27"/>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Published Rate</w:t>
      </w:r>
      <w:r>
        <w:rPr>
          <w:rFonts w:ascii="Arial" w:cs="Arial" w:eastAsia="Arial" w:hAnsi="Arial"/>
          <w:sz w:val="16"/>
          <w:szCs w:val="16"/>
          <w:color w:val="auto"/>
        </w:rPr>
        <w:t>” means the rate of interest published each Business Day in The Wall Street Journal “Money Rates” listing under the caption “London Interbank Offered Rates” for a one-month period (or, if no such rate is published therein for any reason, then the “Published Rate” shall be the eurodollar rate for a one month period as published for such Business Day in another publication determined by the Administrative Agent.)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Plan</w:t>
      </w:r>
      <w:r>
        <w:rPr>
          <w:rFonts w:ascii="Arial" w:cs="Arial" w:eastAsia="Arial" w:hAnsi="Arial"/>
          <w:sz w:val="18"/>
          <w:szCs w:val="18"/>
          <w:color w:val="auto"/>
        </w:rPr>
        <w:t>” means a Benefit Arrangement that is intended to be tax-qualified under Section 401(a) of the Internal Revenue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12.6.(c).</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Change</w:t>
      </w:r>
      <w:r>
        <w:rPr>
          <w:rFonts w:ascii="Arial" w:cs="Arial" w:eastAsia="Arial" w:hAnsi="Arial"/>
          <w:sz w:val="16"/>
          <w:szCs w:val="16"/>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20"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Lenders</w:t>
      </w:r>
      <w:r>
        <w:rPr>
          <w:rFonts w:ascii="Arial" w:cs="Arial" w:eastAsia="Arial" w:hAnsi="Arial"/>
          <w:sz w:val="16"/>
          <w:szCs w:val="16"/>
          <w:color w:val="auto"/>
        </w:rPr>
        <w:t>” means, as of any date, (a) Lenders having at least 66-2/3% of the aggregate amount of the Commitments or (b) if the Commitments have been terminated or reduced to zero, Lenders holding at least 66-2/3% of the principal amount of the aggregate outstanding Loans; provided that (i) in determining such percentage at any given time, all then existing Defaulting Lenders will be disregarded and excluded, and (ii) if there are fewer than 3 Lenders, the term “Requisite Lenders” shall mean all Lenders that are not as of such date a Defaulting Lender.</w:t>
      </w:r>
    </w:p>
    <w:p>
      <w:pPr>
        <w:spacing w:after="0" w:line="103"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operating officer of the Borrower or such</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7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and, solely in the case of the Borrower, the vice president-chief accounting officer of the Borrower.</w:t>
      </w:r>
    </w:p>
    <w:p>
      <w:pPr>
        <w:spacing w:after="0" w:line="165"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0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Ownership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9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w:t>
      </w:r>
      <w:r>
        <w:rPr>
          <w:rFonts w:ascii="Arial" w:cs="Arial" w:eastAsia="Arial" w:hAnsi="Arial"/>
          <w:sz w:val="18"/>
          <w:szCs w:val="18"/>
          <w:color w:val="auto"/>
        </w:rPr>
        <w:t>” means the Securities Exchange Act of 1934, as amended from time to time, together with all rules and regulations issued thereunder.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$50,000,000 of Total Asset Value is attributable on an individual basis.</w:t>
      </w:r>
    </w:p>
    <w:p>
      <w:pPr>
        <w:spacing w:after="0" w:line="19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w:t>
      </w:r>
    </w:p>
    <w:p>
      <w:pPr>
        <w:spacing w:after="0" w:line="1" w:lineRule="exact"/>
        <w:rPr>
          <w:sz w:val="20"/>
          <w:szCs w:val="20"/>
          <w:color w:val="auto"/>
        </w:rPr>
      </w:pPr>
    </w:p>
    <w:p>
      <w:pPr>
        <w:ind w:right="8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Person is able to pay its debts or other obligations in the ordinary course as they mature; and (c) such Person has capital not unreasonably small to carry on its business and all business in which it proposes to be engaged.</w:t>
      </w:r>
    </w:p>
    <w:p>
      <w:pPr>
        <w:spacing w:after="0" w:line="132"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Contract</w:t>
      </w:r>
      <w:r>
        <w:rPr>
          <w:rFonts w:ascii="Arial" w:cs="Arial" w:eastAsia="Arial" w:hAnsi="Arial"/>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32"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Obligations</w:t>
      </w:r>
      <w:r>
        <w:rPr>
          <w:rFonts w:ascii="Arial" w:cs="Arial" w:eastAsia="Arial" w:hAnsi="Arial"/>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60"/>
          </w:cols>
          <w:pgMar w:left="240" w:top="280" w:right="299" w:bottom="1440" w:gutter="0" w:footer="0" w:header="0"/>
        </w:sectPr>
      </w:pPr>
    </w:p>
    <w:bookmarkStart w:id="29" w:name="page30"/>
    <w:bookmarkEnd w:id="29"/>
    <w:p>
      <w:pPr>
        <w:ind w:right="4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Specified Derivatives Provider</w:t>
      </w:r>
      <w:r>
        <w:rPr>
          <w:rFonts w:ascii="Arial" w:cs="Arial" w:eastAsia="Arial" w:hAnsi="Arial"/>
          <w:sz w:val="18"/>
          <w:szCs w:val="18"/>
          <w:color w:val="auto"/>
        </w:rPr>
        <w:t>” means any Lender, or any Affiliate of a Lender that is a party to a Derivatives Contract at the time the Derivatives Contract is entered into.</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Non-Wholly Owned Subsidiary</w:t>
      </w:r>
      <w:r>
        <w:rPr>
          <w:rFonts w:ascii="Arial" w:cs="Arial" w:eastAsia="Arial" w:hAnsi="Arial"/>
          <w:sz w:val="18"/>
          <w:szCs w:val="18"/>
          <w:color w:val="auto"/>
        </w:rPr>
        <w:t>” means each of Congressional Plaza Associates, LLC, FRIT Escondido Promenade, LLC, NVI-Avenue, LLC, and Street Retail West 7, L.P.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property that is not a Development Property.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has the meaning set forth in the introductory paragraph hereof and shall include the Syndication Agent’s successors and permitted assigns.</w:t>
      </w:r>
    </w:p>
    <w:p>
      <w:pPr>
        <w:spacing w:after="0" w:line="120"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Tangible Net Worth</w:t>
      </w:r>
      <w:r>
        <w:rPr>
          <w:rFonts w:ascii="Arial" w:cs="Arial" w:eastAsia="Arial" w:hAnsi="Arial"/>
          <w:sz w:val="16"/>
          <w:szCs w:val="16"/>
          <w:color w:val="auto"/>
        </w:rPr>
        <w:t xml:space="preserve">” means, as of a given date, the shareholders’ (including common and preferred shareholders) equity of the Borrower and Subsidiaries determined on a consolidated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accumulated depreciation and amortization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following (to the extent reflected in determining such shareholders’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3.10.</w:t>
      </w:r>
    </w:p>
    <w:p>
      <w:pPr>
        <w:spacing w:after="0" w:line="171" w:lineRule="exact"/>
        <w:rPr>
          <w:sz w:val="20"/>
          <w:szCs w:val="20"/>
          <w:color w:val="auto"/>
        </w:rPr>
      </w:pPr>
    </w:p>
    <w:p>
      <w:pPr>
        <w:ind w:right="24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Asset Value</w:t>
      </w:r>
      <w:r>
        <w:rPr>
          <w:rFonts w:ascii="Arial" w:cs="Arial" w:eastAsia="Arial" w:hAnsi="Arial"/>
          <w:sz w:val="15"/>
          <w:szCs w:val="15"/>
          <w:color w:val="auto"/>
        </w:rPr>
        <w:t xml:space="preserve">” means the sum of all of the following of the Borrower and its Subsidiaries on a consolidated basis determined in accordance with GAAP applied on a consistent basis: (a) cash and cash equivalents,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with respect to each Stabilized Property owned by the Borrower or any Subsidiary,</w:t>
      </w:r>
    </w:p>
    <w:p>
      <w:pPr>
        <w:ind w:firstLine="8"/>
        <w:spacing w:after="0" w:line="287" w:lineRule="auto"/>
        <w:tabs>
          <w:tab w:leader="none" w:pos="2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EBITDA attributable to such Property for the fiscal quarter most recently ended (adjusted for acquisitions and dispositions) times (ii) 4, divided by (iii) the Capitalization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GAAP book value of Properties acquired during the most recent quarter,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Construction-in-Process,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annualized EBITDA from each Stabilized Property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18"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Budgeted Cost</w:t>
      </w:r>
      <w:r>
        <w:rPr>
          <w:rFonts w:ascii="Arial" w:cs="Arial" w:eastAsia="Arial" w:hAnsi="Arial"/>
          <w:sz w:val="18"/>
          <w:szCs w:val="18"/>
          <w:color w:val="auto"/>
        </w:rPr>
        <w:t>” means, at any time, the aggregate amount of all costs (net of third party contributions to, or reimbursement of, costs) budgeted to be paid, incurred or otherwise expended or accrued by the Borrower, a Subsidiary or an Unconsolidated Affiliate with respect to such Property to complete development and achieve a stabilized Occupancy Rate as reasonably determined by the Borrower in good faith, including without limitation, all amounts budgeted with respect to all of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acquisition of land and any related improvements; (b) a reserve for construction interest; (c) an operating deficit reserve; (d) tenant improvements;</w:t>
      </w:r>
    </w:p>
    <w:p>
      <w:pPr>
        <w:spacing w:after="0" w:line="38" w:lineRule="exact"/>
        <w:rPr>
          <w:sz w:val="20"/>
          <w:szCs w:val="20"/>
          <w:color w:val="auto"/>
        </w:rPr>
      </w:pPr>
    </w:p>
    <w:p>
      <w:pPr>
        <w:ind w:right="100" w:firstLine="8"/>
        <w:spacing w:after="0" w:line="292" w:lineRule="auto"/>
        <w:tabs>
          <w:tab w:leader="none" w:pos="2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leasing costs and commissions, (f) infrastructure costs and (g) other hard and soft costs associated with the development or redevelopment of such Property. Total Budgeted Costs shall also include the fully budgeted costs of Properties under development, acquired or to be acquired pursuant to purchase agreements or being developed by third parties under a loan that the Borrower, its Subsidiary or an Unconsolidated Affiliate has guaranteed or otherwise has liability for the payment thereof. If a Property is owned by an Unconsolidated Affiliate the Total Budgeted Cost shall be equal to the product of (i) the Borrower’s Ownership Share in such Unconsolidated Affiliate and (ii) the Total Budgeted Cost of such Property as calculated in accordance with this definition.</w:t>
      </w:r>
    </w:p>
    <w:p>
      <w:pPr>
        <w:spacing w:after="0" w:line="11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xml:space="preserve">” means (a) all Indebtedness of the Borrower and its Subsidiaries determined on a consolidated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Loan, refers to whether such Loan or portion thereof is a LIBOR Loan or a Base Rate Loan.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any applicable jurisdiction.</w:t>
      </w:r>
    </w:p>
    <w:p>
      <w:pPr>
        <w:spacing w:after="0" w:line="171"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Unconsolidated Affiliate</w:t>
      </w:r>
      <w:r>
        <w:rPr>
          <w:rFonts w:ascii="Arial" w:cs="Arial" w:eastAsia="Arial" w:hAnsi="Arial"/>
          <w:sz w:val="15"/>
          <w:szCs w:val="15"/>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Adjusted NOI</w:t>
      </w:r>
      <w:r>
        <w:rPr>
          <w:rFonts w:ascii="Arial" w:cs="Arial" w:eastAsia="Arial" w:hAnsi="Arial"/>
          <w:sz w:val="16"/>
          <w:szCs w:val="16"/>
          <w:color w:val="auto"/>
        </w:rPr>
        <w:t>” means the aggregate Net Operating Income from each (i) Wholly Owned Property; (ii) Controlled Property; and</w:t>
      </w:r>
    </w:p>
    <w:p>
      <w:pPr>
        <w:spacing w:after="0" w:line="44" w:lineRule="exact"/>
        <w:rPr>
          <w:sz w:val="20"/>
          <w:szCs w:val="20"/>
          <w:color w:val="auto"/>
        </w:rPr>
      </w:pPr>
    </w:p>
    <w:p>
      <w:pPr>
        <w:jc w:val="both"/>
        <w:ind w:firstLine="8"/>
        <w:spacing w:after="0" w:line="254" w:lineRule="auto"/>
        <w:tabs>
          <w:tab w:leader="none" w:pos="3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Non-Controlled Property (limited as set forth below) all of which are Stabilized Properties and have been owned for the entire period and as adjusted for any non-recurring items during the reporting period. The Unencumbered Adjusted NOI for each Property cannot be less than zero. For purposes of this definition, Net Operating Income from Non Controlled Properties is limited to the following properties: Congressional Plaza, Congressional Plaza Apartments, Escondido Promenade, Galaxy Building (Hollywood) and 7001 Hollywood Blvd (Peterson).</w:t>
      </w:r>
    </w:p>
    <w:p>
      <w:pPr>
        <w:spacing w:after="0" w:line="13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the annualized most recent reporting period Unencumbered Adjusted NOI divided by the Capitalization Rate, plus (b) the GAAP book value of all assets acquired during the most recent quarter which assets are not subject to any Liens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For purposes of this definition, to the extent that more than 20% of Unencumbered Asset Value would be attributable to Controlled Properties, Non-Controlled Properties and Development Properties such excess shall be excluded.</w:t>
      </w:r>
    </w:p>
    <w:p>
      <w:pPr>
        <w:spacing w:after="0" w:line="1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80"/>
          </w:cols>
          <w:pgMar w:left="240" w:top="280" w:right="279" w:bottom="1440" w:gutter="0" w:footer="0" w:header="0"/>
        </w:sectPr>
      </w:pPr>
    </w:p>
    <w:bookmarkStart w:id="31" w:name="page32"/>
    <w:bookmarkEnd w:id="31"/>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 as the same has been, or shall hereafter be, renewed, extended, amended or replaced.</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any liability as a result of a complete or partial withdrawal from a Multiemployer Plan as such terms are defined in Part I of Subtitle E of Title IV of ERISA.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Eastern Time.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Accordingly, the amount of liabilities shall be the historical cost basis, which generally is the contractual amount owed adjusted for amortization or accretion of any premium or discount.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40" w:top="274" w:right="279" w:bottom="1440" w:gutter="0" w:footer="0" w:header="0"/>
        </w:sectPr>
      </w:pPr>
    </w:p>
    <w:bookmarkStart w:id="32" w:name="page33"/>
    <w:bookmarkEnd w:id="3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Eastern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Loans.</w:t>
      </w:r>
    </w:p>
    <w:p>
      <w:pPr>
        <w:spacing w:after="0" w:line="96" w:lineRule="exact"/>
        <w:rPr>
          <w:sz w:val="20"/>
          <w:szCs w:val="20"/>
          <w:color w:val="auto"/>
        </w:rPr>
      </w:pPr>
    </w:p>
    <w:p>
      <w:pPr>
        <w:ind w:right="80" w:firstLine="464"/>
        <w:spacing w:after="0" w:line="294"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Making of Loans</w:t>
      </w:r>
      <w:r>
        <w:rPr>
          <w:rFonts w:ascii="Arial" w:cs="Arial" w:eastAsia="Arial" w:hAnsi="Arial"/>
          <w:sz w:val="16"/>
          <w:szCs w:val="16"/>
          <w:color w:val="auto"/>
        </w:rPr>
        <w:t>. Subject to the terms and conditions set forth in this Agreement, on the Effective Date each Lender severally and not jointly agrees to make a Loan to the Borrower in a principal amount equal to such Lender’s Commitment. Each LIBOR Loan made on the Effective Date and each Continuation under Section 2.6. of, and each Conversion under Section 2.7. of Base Rate Loans into, LIBOR Loans shall be in an aggregate minimum of $1,000,000 and integral multiples of $1,000,000 in excess of that amount. Additional Loans shall be made in accordance with Section 2.9. Upon the funding of a Lender’s Loan in an amount equal to such Lender’s Commitment, such Lender’s Commitment shall terminate.</w:t>
      </w:r>
    </w:p>
    <w:p>
      <w:pPr>
        <w:spacing w:after="0" w:line="11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Requests for Loans</w:t>
      </w:r>
      <w:r>
        <w:rPr>
          <w:rFonts w:ascii="Arial" w:cs="Arial" w:eastAsia="Arial" w:hAnsi="Arial"/>
          <w:sz w:val="18"/>
          <w:szCs w:val="18"/>
          <w:color w:val="auto"/>
        </w:rPr>
        <w:t>. The Borrower shall give the Administrative Agent notice pursuant to the Notice of Borrowing of the borrowing of the Loans no later than 2:00 p.m. Eastern time at least three (3) Business Days prior to the anticipated Effective Date. Such Notice of Borrowing shall be irrevocable once given and binding on the Borrower.</w:t>
      </w:r>
    </w:p>
    <w:p>
      <w:pPr>
        <w:spacing w:after="0" w:line="140" w:lineRule="exact"/>
        <w:rPr>
          <w:rFonts w:ascii="Arial" w:cs="Arial" w:eastAsia="Arial" w:hAnsi="Arial"/>
          <w:sz w:val="18"/>
          <w:szCs w:val="18"/>
          <w:color w:val="auto"/>
        </w:rPr>
      </w:pPr>
    </w:p>
    <w:p>
      <w:pPr>
        <w:ind w:firstLine="464"/>
        <w:spacing w:after="0" w:line="294"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Funding of Loans</w:t>
      </w:r>
      <w:r>
        <w:rPr>
          <w:rFonts w:ascii="Arial" w:cs="Arial" w:eastAsia="Arial" w:hAnsi="Arial"/>
          <w:sz w:val="16"/>
          <w:szCs w:val="16"/>
          <w:color w:val="auto"/>
        </w:rPr>
        <w:t>. Promptly after receipt of the Notice of Borrowing under the immediately preceding subsection (b), the Administrative Agent shall notify each Lender of the proposed borrowing. Each Lender shall deposit an amount equal to the Loan to be made by such Lender to the Borrower with the Administrative Agent at the Principal Office, in immediately available funds not later than 11:00 a.m. Eastern time on the Effective Date. Subject to fulfillment of the conditions set forth in Section 5.2., the Administrative Agent shall make available to the Borrower in the account specified in the Notice of Borrowing, not later than 12:00 p.m. Eastern time on the Effective Date, the proceeds of such amounts received by the Administrative Agent.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Rates and Payment of Interest on Loans.</w:t>
      </w:r>
    </w:p>
    <w:p>
      <w:pPr>
        <w:spacing w:after="0" w:line="96" w:lineRule="exact"/>
        <w:rPr>
          <w:sz w:val="20"/>
          <w:szCs w:val="20"/>
          <w:color w:val="auto"/>
        </w:rPr>
      </w:pPr>
    </w:p>
    <w:p>
      <w:pPr>
        <w:ind w:right="200" w:firstLine="464"/>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such periods as such Loan is a Base Rate Loan, at the Base Rate (as in effect from time to time), plus the Applicable Margin for Base Rate Loans;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80"/>
          </w:cols>
          <w:pgMar w:left="240" w:top="280" w:right="279" w:bottom="1440" w:gutter="0" w:footer="0" w:header="0"/>
        </w:sectPr>
      </w:pPr>
    </w:p>
    <w:bookmarkStart w:id="33" w:name="page34"/>
    <w:bookmarkEnd w:id="33"/>
    <w:p>
      <w:pPr>
        <w:ind w:left="460" w:right="420" w:firstLine="443"/>
        <w:spacing w:after="0" w:line="268" w:lineRule="auto"/>
        <w:tabs>
          <w:tab w:leader="none" w:pos="1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such periods as such Loan is a LIBOR Loan, at LIBOR for such Loan for the Interest Period therefor, plus the Applicable Margin for LIBOR Loans.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43" w:lineRule="exact"/>
        <w:rPr>
          <w:sz w:val="20"/>
          <w:szCs w:val="20"/>
          <w:color w:val="auto"/>
        </w:rPr>
      </w:pPr>
    </w:p>
    <w:p>
      <w:pPr>
        <w:ind w:right="40" w:firstLine="464"/>
        <w:spacing w:after="0" w:line="291"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201" w:lineRule="exact"/>
        <w:rPr>
          <w:rFonts w:ascii="Arial" w:cs="Arial" w:eastAsia="Arial" w:hAnsi="Arial"/>
          <w:sz w:val="16"/>
          <w:szCs w:val="16"/>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Borrower Information Used to Determine Applicable Interest Rates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291" w:lineRule="auto"/>
        <w:tabs>
          <w:tab w:leader="none" w:pos="11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If it is subsequently determined that any such Borrower Information was incorrect (for whatever reason,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39" w:lineRule="exact"/>
        <w:rPr>
          <w:rFonts w:ascii="Arial" w:cs="Arial" w:eastAsia="Arial" w:hAnsi="Arial"/>
          <w:sz w:val="16"/>
          <w:szCs w:val="16"/>
          <w:color w:val="auto"/>
        </w:rPr>
      </w:pPr>
    </w:p>
    <w:p>
      <w:pPr>
        <w:ind w:left="460" w:firstLine="443"/>
        <w:spacing w:after="0" w:line="253" w:lineRule="auto"/>
        <w:tabs>
          <w:tab w:leader="none" w:pos="11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event the Borrower’s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w:t>
      </w:r>
    </w:p>
    <w:p>
      <w:pPr>
        <w:spacing w:after="0" w:line="64" w:lineRule="exact"/>
        <w:rPr>
          <w:rFonts w:ascii="Arial" w:cs="Arial" w:eastAsia="Arial" w:hAnsi="Arial"/>
          <w:sz w:val="18"/>
          <w:szCs w:val="18"/>
          <w:color w:val="auto"/>
        </w:rPr>
      </w:pPr>
    </w:p>
    <w:p>
      <w:pPr>
        <w:ind w:left="460" w:right="140" w:firstLine="443"/>
        <w:spacing w:after="0" w:line="298" w:lineRule="auto"/>
        <w:tabs>
          <w:tab w:leader="none" w:pos="120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2.2.(c) shall survive the termination of this Agreement,</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280"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this provision shall not in any way limit any of the Administrative Agent’s or any Lender’s other rights under this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Number of Interest Periods.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may be no more than three (3) different Interest Periods for Loans outstanding at the same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Repayment of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repay the entire outstanding principal amount of, and all accrued but unpaid interest on, the Loans on the Maturity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Prepayments.</w:t>
      </w:r>
    </w:p>
    <w:p>
      <w:pPr>
        <w:spacing w:after="0" w:line="96" w:lineRule="exact"/>
        <w:rPr>
          <w:sz w:val="20"/>
          <w:szCs w:val="20"/>
          <w:color w:val="auto"/>
        </w:rPr>
      </w:pPr>
    </w:p>
    <w:p>
      <w:pPr>
        <w:ind w:right="200" w:firstLine="464"/>
        <w:spacing w:after="0" w:line="255"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as otherwise provided in the immediately following subsection and subject to Section 4.4., the Borrower may prepay any Loan in whole or part at any time without premium or penalty. The Borrower shall give the Administrative Agent at least one (1) Business Day’s prior written notice of the prepayment of any Loan. Each such notice of prepayment shall be irrevocable. Each voluntary prepayment of Loans shall be in an aggregate minimum amount of $1,000,000 and integral multiples of $100,000 in excess thereof (or, if less, the aggregate principal amount of Loans outstanding). Once repaid, the principal amount of a Loan may not be reborrowed.</w:t>
      </w:r>
    </w:p>
    <w:p>
      <w:pPr>
        <w:spacing w:after="0" w:line="142" w:lineRule="exact"/>
        <w:rPr>
          <w:rFonts w:ascii="Arial" w:cs="Arial" w:eastAsia="Arial" w:hAnsi="Arial"/>
          <w:sz w:val="18"/>
          <w:szCs w:val="18"/>
          <w:color w:val="auto"/>
        </w:rPr>
      </w:pPr>
    </w:p>
    <w:p>
      <w:pPr>
        <w:ind w:right="380" w:firstLine="464"/>
        <w:spacing w:after="0" w:line="332"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Prepayment Premium</w:t>
      </w:r>
      <w:r>
        <w:rPr>
          <w:rFonts w:ascii="Arial" w:cs="Arial" w:eastAsia="Arial" w:hAnsi="Arial"/>
          <w:sz w:val="16"/>
          <w:szCs w:val="16"/>
          <w:color w:val="auto"/>
        </w:rPr>
        <w:t>. During the periods set forth below, the Borrower may only prepay the Loans, in whole or in part, at the prices (expressed as percentages of the principal amount of the Loans to be prepaid) set forth below, plus accrued and unpaid interest, if any, to the date of prepayment:</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65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Effective Date to and including November 21, 2013</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November 22, 2013 to and including November 21, 2014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November 21, 2014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Borrower acknowledges and agrees that the amount payable by it in connection with the prepayment of the Loans as provided above, is a reasonable calculation of the Lenders’ lost profits in view of the difficulties and impracticality of determining actual damages resulting from the prepayment of the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Continuation.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no Event of Default exists, the Borrower may on any Business Day, with respect to any LIBOR Loan, elect to maintain such LIBOR Loan or any portion thereof as a LIBOR Loan by selecting a new Interest Period for such LIBOR Loan. Each Continuation of a LIBOR Loan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giving to the Administrative Agent a Notice of Continuation not later than 11:00 a.m. Eastern time on the third Business Day prior to the date of any such Continuation. Such notice by the Borrower of a Continuation shall be by telephone (confirmed promptly in writing on the same Business Day), telecopy, electronic mail or other similar form of communication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80"/>
          </w:cols>
          <w:pgMar w:left="240" w:top="280" w:right="279" w:bottom="1440" w:gutter="0" w:footer="0" w:header="0"/>
        </w:sectPr>
      </w:pPr>
    </w:p>
    <w:bookmarkStart w:id="35" w:name="page36"/>
    <w:bookmarkEnd w:id="35"/>
    <w:p>
      <w:pPr>
        <w:ind w:right="2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LIBOR Loan in accordance with this Section, such Loan will automatically, on the last day of the current Interest Period therefor, continue as a LIBOR Loan with an Interest Period of one month; provided, however that if an Event of Default exists, such Loan will automatically, on the last day of the current Interest Period therefor, Convert into a Base Rate Loan notwithstanding the first sentence of Section 2.7. or the Borrower’s failure to comply with any of the terms of such Section.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Conversion.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Borrower may on any Business Day, upon the Borrower’s giving of a Notice of Conversion to the Administrative Agent by telecopy, electronic mail or other similar form of communication, Convert all or a portion of a Loan of one Type into a Loan of another Type; provided, however, a Base Rate Loan may not be Converted into a LIBOR Loan if an Event of Default exists. Each Conversion of Base Rate Loans into LIBOR Loans shall be in an aggregate minimum amount of $1,000,000 and integral multiples of $1,000,000 in excess of that amount. Each such Notice of Conversion shall be given not later than 11:00 a.m. Eastern time three (3) Business Days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telecopy,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Notes.</w:t>
      </w:r>
    </w:p>
    <w:p>
      <w:pPr>
        <w:spacing w:after="0" w:line="96" w:lineRule="exact"/>
        <w:rPr>
          <w:sz w:val="20"/>
          <w:szCs w:val="20"/>
          <w:color w:val="auto"/>
        </w:rPr>
      </w:pPr>
    </w:p>
    <w:p>
      <w:pPr>
        <w:ind w:right="60" w:firstLine="464"/>
        <w:spacing w:after="0" w:line="306"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The Loan made by each Lender shall, in addition to this Agreement, also be evidenced by a promissory note substantially in the form of Exhibit F (a “</w:t>
      </w:r>
      <w:r>
        <w:rPr>
          <w:rFonts w:ascii="Arial" w:cs="Arial" w:eastAsia="Arial" w:hAnsi="Arial"/>
          <w:sz w:val="16"/>
          <w:szCs w:val="16"/>
          <w:b w:val="1"/>
          <w:bCs w:val="1"/>
          <w:color w:val="auto"/>
        </w:rPr>
        <w:t>Note</w:t>
      </w:r>
      <w:r>
        <w:rPr>
          <w:rFonts w:ascii="Arial" w:cs="Arial" w:eastAsia="Arial" w:hAnsi="Arial"/>
          <w:sz w:val="16"/>
          <w:szCs w:val="16"/>
          <w:color w:val="auto"/>
        </w:rPr>
        <w:t>”), payable to the order of such Lender in a principal amount equal to the amount of its Commitment as originally in effect and otherwise duly completed (or if such Lender was not a Lender on the Effective Date, in a principal amount equal to the initial principal amount of the Loan of such Lender).</w:t>
      </w:r>
    </w:p>
    <w:p>
      <w:pPr>
        <w:spacing w:after="0" w:line="106"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15" w:lineRule="exact"/>
        <w:rPr>
          <w:rFonts w:ascii="Arial" w:cs="Arial" w:eastAsia="Arial" w:hAnsi="Arial"/>
          <w:sz w:val="16"/>
          <w:szCs w:val="16"/>
          <w:color w:val="auto"/>
        </w:rPr>
      </w:pPr>
    </w:p>
    <w:p>
      <w:pPr>
        <w:ind w:firstLine="464"/>
        <w:spacing w:after="0" w:line="298"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80"/>
          </w:cols>
          <w:pgMar w:left="240" w:top="28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2.9. Additional Loans.</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The Borrower shall have the right at any time and from time to time during the period beginning on the Effective Date to but excluding the Maturity Date to request additional Loans by providing written notice to the Administrative Agent, which notice shall be irrevocable once given;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after giving effect to any such increases the aggregate amount of the Loans shall not exceed $350,000,000. Each such increase in the Loans must be an aggregate minimum amount of $25,000,000 and integral multiples of $5,000,000 in excess thereof. The Administrative Agent, in consultation with the Borrower, shall manage all aspects of the syndication of such increase in the Loans, including decisions as to the selection of the existing Lenders and/or other banks, financial institutions and other institutional lenders to be approached with respect to such increase and the allocations of the increase in the Loans among such existing Lenders and/or other banks, financial institutions and other institutional lenders; provided that any such other banks, financial institutions and other institutional lenders and the amounts of the respective increases and the allocations of such increases in the Loans or new Loans, as the case may be, shall be reasonably acceptable to the Borrower. No Lender shall be obligated in any way whatsoever to increase the principal amount of its Loan or provide a new Loan, and any new Lender becoming a party to this Agreement in connection with any such requested increase must be an Eligible Assignee. Effecting the increase of the Loans under this Section is subject to the following conditions precedent: (x) no Default or Event of Default shall be in existence on the effective date of such increase,</w:t>
      </w:r>
    </w:p>
    <w:p>
      <w:pPr>
        <w:spacing w:after="0" w:line="4" w:lineRule="exact"/>
        <w:rPr>
          <w:sz w:val="20"/>
          <w:szCs w:val="20"/>
          <w:color w:val="auto"/>
        </w:rPr>
      </w:pPr>
    </w:p>
    <w:p>
      <w:pPr>
        <w:ind w:firstLine="8"/>
        <w:spacing w:after="0" w:line="285"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representations and warranties made or deemed made by the Borrower or any other Loan Party in any Loan Document to which such Loan Party is a party shall be true and correct in all material respects on the effective date of such increase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hereunder, and (z) the Administrative Agent shall have received each of the following, in form and substance reasonably satisfactory to the Administrative Agent: (i) if not previously delivered to the Administrative Agent, copies certified by the Secretary or Assistant Secretary of (A) all corporate and other necessary action taken by the Borrower to authorize such increase and (B) all corporate and other necessary action taken by each Guarantor authorizing the guaranty of such increase; (ii) an opinion of counsel to the Borrower and the Guarantors, and addressed to the Administrative Agent and the Lenders covering such matters as reasonably requested by the Administrative Agent, and (iii) new Notes executed by the Borrower, payable to any new Lenders and replacement Notes executed by the Borrower, payable to any existing Lenders increasing the principal amount of their Loans, in the principal amount of such Lender’s Loan at the time of the effectiveness of the applicable increase in the aggregate principal amount of the Loans. In connection with any increase in the aggregate principal amount of the Loans pursuant to this Section 2.9. any Lender becoming a party hereto shall execute such documents and agreements as the Administrative Agent may reasonably request.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firstLine="464"/>
        <w:spacing w:after="0" w:line="291"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to the Administrative Agent at the Principal Office, not later than 1:00 p.m. Eastern time on the date on which such payment shall become due (each such payment made after such time on such due date to be deemed to have been made on the next succeeding Business Day). Subject to Section 10.4.,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80"/>
          </w:cols>
          <w:pgMar w:left="240" w:top="274" w:right="279" w:bottom="1440" w:gutter="0" w:footer="0" w:header="0"/>
        </w:sectPr>
      </w:pPr>
    </w:p>
    <w:bookmarkStart w:id="37" w:name="page38"/>
    <w:bookmarkEnd w:id="37"/>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Open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20" w:lineRule="exact"/>
        <w:rPr>
          <w:sz w:val="20"/>
          <w:szCs w:val="20"/>
          <w:color w:val="auto"/>
        </w:rPr>
      </w:pPr>
    </w:p>
    <w:p>
      <w:pPr>
        <w:ind w:right="100" w:firstLine="464"/>
        <w:spacing w:after="0" w:line="291"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Presumptions Regarding Payments by Borrower</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Open 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Except to the extent otherwise provided herein: (a) the making of the Loans by the Lenders under Section 2.1.(a) shall be made by the Lenders pro rata according to the amount of their respective Commitments; (b) each payment or prepayment of principal of the Loans shall be made for the account of the Lenders pro rata in accordance with the respective unpaid principal amounts of the Loans held by them; (c) each payment of interest on the Loans shall be made for the account of the Lenders pro rata in accordance with the amounts of interest on such Loans then due and payable to the respective Lenders; and (d) the Conversion and Continuation of Loans of a particular Type (other than Conversions provided for by Sections 4.1.(c) and 4.5.) shall be made pro rata among the Lenders according to the amounts of their respective Loans and the then current Interest Period for each Lender’s portion of each Loan of such Type shall be coterminous.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10.4.,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10.4., as applicable. To such end, all the Lenders shall make appropriate adjustments among themselves (by the resale of participations sold or otherwise) if such payment is rescinded or must otherwise be restored. The Borrower agrees that 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280" w:right="259" w:bottom="1440" w:gutter="0" w:footer="0" w:header="0"/>
        </w:sectPr>
      </w:pPr>
    </w:p>
    <w:bookmarkStart w:id="38" w:name="page39"/>
    <w:bookmarkEnd w:id="38"/>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Fees.</w:t>
      </w:r>
    </w:p>
    <w:p>
      <w:pPr>
        <w:spacing w:after="0" w:line="96" w:lineRule="exact"/>
        <w:rPr>
          <w:sz w:val="20"/>
          <w:szCs w:val="20"/>
          <w:color w:val="auto"/>
        </w:rPr>
      </w:pPr>
    </w:p>
    <w:p>
      <w:pPr>
        <w:ind w:right="32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Closing Fee</w:t>
      </w:r>
      <w:r>
        <w:rPr>
          <w:rFonts w:ascii="Arial" w:cs="Arial" w:eastAsia="Arial" w:hAnsi="Arial"/>
          <w:sz w:val="18"/>
          <w:szCs w:val="18"/>
          <w:color w:val="auto"/>
        </w:rPr>
        <w:t>. On the Effective Date, the Borrower agrees to pay to the Administrative Agent and each Lender all loan fees as have been agreed to in writing by the Borrower in the Fee Letter.</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Computations.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Usury.</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Sections 2.2.(a)(i) and (ii). Notwithstanding the foregoing, the parties hereto further agree and stipulate that all agency fees, syndication fees, arrangement fees, closing fees, underwriting fees, default charges, late charges, funding or “breakage” charges, prepayment premiums,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All charges other than charges for the use of money shall be fully earned and nonrefundable when due.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Statements of Account.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Defaulting Lenders.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32" w:lineRule="exact"/>
        <w:rPr>
          <w:sz w:val="20"/>
          <w:szCs w:val="20"/>
          <w:color w:val="auto"/>
        </w:rPr>
      </w:pPr>
    </w:p>
    <w:p>
      <w:pPr>
        <w:ind w:right="100" w:firstLine="464"/>
        <w:spacing w:after="0" w:line="256"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143" w:lineRule="exact"/>
        <w:rPr>
          <w:rFonts w:ascii="Arial" w:cs="Arial" w:eastAsia="Arial" w:hAnsi="Arial"/>
          <w:sz w:val="18"/>
          <w:szCs w:val="18"/>
          <w:color w:val="auto"/>
        </w:rPr>
      </w:pPr>
    </w:p>
    <w:p>
      <w:pPr>
        <w:ind w:firstLine="464"/>
        <w:spacing w:after="0" w:line="285"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 Loan in respect of which such Defaulting Lender has not fully funded its appropriate share, such payment shall be applied solely to pay the Loans of all Non-Defaulting Lenders on a pro rata basis prior to being applied to the payment of a Loan of such Defaulting Lender until such time as all Loans are held by the Lenders pro rata in accordance with their respective Credit Percentages.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w:t>
      </w:r>
    </w:p>
    <w:p>
      <w:pPr>
        <w:spacing w:after="0" w:line="126" w:lineRule="exact"/>
        <w:rPr>
          <w:rFonts w:ascii="Arial" w:cs="Arial" w:eastAsia="Arial" w:hAnsi="Arial"/>
          <w:sz w:val="16"/>
          <w:szCs w:val="16"/>
          <w:color w:val="auto"/>
        </w:rPr>
      </w:pPr>
    </w:p>
    <w:p>
      <w:pPr>
        <w:ind w:right="36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No Defaulting Lender shall be entitled to receive any Fees payable under Section 3.5. for any period during which that Lender is a Defaulting Lender (and the Borrower shall not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required to pay any such fee that otherwise would have been required to have been paid to that Defaulting Lender).</w:t>
      </w:r>
    </w:p>
    <w:p>
      <w:pPr>
        <w:spacing w:after="0" w:line="171" w:lineRule="exact"/>
        <w:rPr>
          <w:sz w:val="20"/>
          <w:szCs w:val="20"/>
          <w:color w:val="auto"/>
        </w:rPr>
      </w:pPr>
    </w:p>
    <w:p>
      <w:pPr>
        <w:ind w:right="60" w:firstLine="464"/>
        <w:spacing w:after="0" w:line="289"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Credit Percentages,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Taxes; Foreign Lenders.</w:t>
      </w:r>
    </w:p>
    <w:p>
      <w:pPr>
        <w:spacing w:after="0" w:line="96" w:lineRule="exact"/>
        <w:rPr>
          <w:sz w:val="20"/>
          <w:szCs w:val="20"/>
          <w:color w:val="auto"/>
        </w:rPr>
      </w:pPr>
    </w:p>
    <w:p>
      <w:pPr>
        <w:ind w:right="80" w:firstLine="464"/>
        <w:spacing w:after="0" w:line="283" w:lineRule="auto"/>
        <w:tabs>
          <w:tab w:leader="none" w:pos="69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Taxes Generally</w:t>
      </w:r>
      <w:r>
        <w:rPr>
          <w:rFonts w:ascii="Arial" w:cs="Arial" w:eastAsia="Arial" w:hAnsi="Arial"/>
          <w:sz w:val="16"/>
          <w:szCs w:val="16"/>
          <w:color w:val="auto"/>
        </w:rPr>
        <w:t>. All payments by the Borrower of principal of, and 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 (i) franchise taxes, (ii) any taxes (other than withholding taxes) with respect to the Administrative Agent or a Lender that would not be imposed but for a connection between the Administrative Agent or a Lender and the jurisdiction imposing such taxes (other than a connection arising solely by virtue of the activities of the Administrative Agent or such Lender pursuant to or in respect of this Agreement or any other Loan Document), (iii) any taxes imposed on or measured by any Lender’s assets, net income, receipts or branch profits, (iv) any withholding taxes or backup withholding taxes due by reason of the inaccuracy of, or failure to deliver, any of the forms as required under Section 3.10.(c),</w:t>
      </w:r>
    </w:p>
    <w:p>
      <w:pPr>
        <w:ind w:right="120" w:firstLine="8"/>
        <w:spacing w:after="0" w:line="253"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taxes arising after the Agreement Date solely as a result of or attributable to a Lender changing its designated Lending Office after the date such Lender becomes a party hereto, and (vi) any taxes imposed by Sections 1471 through Section 1474 of the Internal Revenue Code (including any official interpretations thereof, collectively “</w:t>
      </w:r>
      <w:r>
        <w:rPr>
          <w:rFonts w:ascii="Arial" w:cs="Arial" w:eastAsia="Arial" w:hAnsi="Arial"/>
          <w:sz w:val="18"/>
          <w:szCs w:val="18"/>
          <w:b w:val="1"/>
          <w:bCs w:val="1"/>
          <w:color w:val="auto"/>
        </w:rPr>
        <w:t>FATCA</w:t>
      </w:r>
      <w:r>
        <w:rPr>
          <w:rFonts w:ascii="Arial" w:cs="Arial" w:eastAsia="Arial" w:hAnsi="Arial"/>
          <w:sz w:val="18"/>
          <w:szCs w:val="18"/>
          <w:color w:val="auto"/>
        </w:rPr>
        <w:t>”) on any “withholdable payment” payable to such recipient after December 31, 2012 (such non-excluded items being collectively called “</w:t>
      </w:r>
      <w:r>
        <w:rPr>
          <w:rFonts w:ascii="Arial" w:cs="Arial" w:eastAsia="Arial" w:hAnsi="Arial"/>
          <w:sz w:val="18"/>
          <w:szCs w:val="18"/>
          <w:b w:val="1"/>
          <w:bCs w:val="1"/>
          <w:color w:val="auto"/>
        </w:rPr>
        <w:t>Taxes</w:t>
      </w:r>
      <w:r>
        <w:rPr>
          <w:rFonts w:ascii="Arial" w:cs="Arial" w:eastAsia="Arial" w:hAnsi="Arial"/>
          <w:sz w:val="18"/>
          <w:szCs w:val="18"/>
          <w:color w:val="auto"/>
        </w:rPr>
        <w:t>”). If any withholding or deduction from any payment to be made by the Borrower hereunder is required in respect of any Taxes pursuant to any Applicable Law, then the Borrower will:</w:t>
      </w:r>
    </w:p>
    <w:p>
      <w:pPr>
        <w:spacing w:after="0" w:line="64" w:lineRule="exact"/>
        <w:rPr>
          <w:rFonts w:ascii="Arial" w:cs="Arial" w:eastAsia="Arial" w:hAnsi="Arial"/>
          <w:sz w:val="18"/>
          <w:szCs w:val="18"/>
          <w:color w:val="auto"/>
        </w:rPr>
      </w:pPr>
    </w:p>
    <w:p>
      <w:pPr>
        <w:ind w:left="460" w:right="60" w:firstLine="443"/>
        <w:spacing w:after="0" w:line="259" w:lineRule="auto"/>
        <w:tabs>
          <w:tab w:leader="none" w:pos="1108" w:val="left"/>
        </w:tabs>
        <w:numPr>
          <w:ilvl w:val="2"/>
          <w:numId w:val="27"/>
        </w:numPr>
        <w:rPr>
          <w:rFonts w:ascii="Arial" w:cs="Arial" w:eastAsia="Arial" w:hAnsi="Arial"/>
          <w:sz w:val="18"/>
          <w:szCs w:val="18"/>
          <w:color w:val="auto"/>
        </w:rPr>
      </w:pPr>
      <w:r>
        <w:rPr>
          <w:rFonts w:ascii="Arial" w:cs="Arial" w:eastAsia="Arial" w:hAnsi="Arial"/>
          <w:sz w:val="18"/>
          <w:szCs w:val="18"/>
          <w:color w:val="auto"/>
        </w:rPr>
        <w:t>calculate an increased amount due to the Administrative Agent or any Lender, as applicable, such that, after payment of the amount of Tax imposed thereon, the net amount actually received by the Administrative Agent or such Lender will equal the full amount that the Administrative Agent or such Lender would have received had no such withholding or deduction been required;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pay directly to the relevant Governmental Authority the full amount required to be so withheld or deducted out of the amount calculated in clause</w:t>
      </w:r>
    </w:p>
    <w:p>
      <w:pPr>
        <w:spacing w:after="0" w:line="38" w:lineRule="exact"/>
        <w:rPr>
          <w:rFonts w:ascii="Arial" w:cs="Arial" w:eastAsia="Arial" w:hAnsi="Arial"/>
          <w:sz w:val="16"/>
          <w:szCs w:val="16"/>
          <w:color w:val="auto"/>
        </w:rPr>
      </w:pPr>
    </w:p>
    <w:p>
      <w:pPr>
        <w:ind w:left="680" w:hanging="216"/>
        <w:spacing w:after="0"/>
        <w:tabs>
          <w:tab w:leader="none" w:pos="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2"/>
          <w:numId w:val="28"/>
        </w:numPr>
        <w:rPr>
          <w:rFonts w:ascii="Arial" w:cs="Arial" w:eastAsia="Arial" w:hAnsi="Arial"/>
          <w:sz w:val="18"/>
          <w:szCs w:val="18"/>
          <w:color w:val="auto"/>
        </w:rPr>
      </w:pPr>
      <w:r>
        <w:rPr>
          <w:rFonts w:ascii="Arial" w:cs="Arial" w:eastAsia="Arial" w:hAnsi="Arial"/>
          <w:sz w:val="18"/>
          <w:szCs w:val="18"/>
          <w:color w:val="auto"/>
        </w:rPr>
        <w:t>promptly forward to the Administrative Agent an official receipt or other documentation satisfactory to the Administrative Agent evidencing such payment to such Governmental Authority;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380"/>
          </w:cols>
          <w:pgMar w:left="240" w:top="280" w:right="279" w:bottom="1440" w:gutter="0" w:footer="0" w:header="0"/>
        </w:sectPr>
      </w:pPr>
    </w:p>
    <w:bookmarkStart w:id="41" w:name="page42"/>
    <w:bookmarkEnd w:id="41"/>
    <w:p>
      <w:pPr>
        <w:ind w:left="-4" w:firstLine="443"/>
        <w:spacing w:after="0" w:line="268" w:lineRule="auto"/>
        <w:tabs>
          <w:tab w:leader="none" w:pos="731"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the remaining amount (the amount calculated in clause (i) above less the amount paid in clause (ii) above) to the Administrative Agent for its account or the account of the applicable Lender.</w:t>
      </w:r>
    </w:p>
    <w:p>
      <w:pPr>
        <w:spacing w:after="0" w:line="131" w:lineRule="exact"/>
        <w:rPr>
          <w:rFonts w:ascii="Arial" w:cs="Arial" w:eastAsia="Arial" w:hAnsi="Arial"/>
          <w:sz w:val="18"/>
          <w:szCs w:val="18"/>
          <w:color w:val="auto"/>
        </w:rPr>
      </w:pPr>
    </w:p>
    <w:p>
      <w:pPr>
        <w:ind w:left="-464" w:right="80" w:firstLine="464"/>
        <w:spacing w:after="0" w:line="255" w:lineRule="auto"/>
        <w:tabs>
          <w:tab w:leader="none" w:pos="24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Tax Indemnification</w:t>
      </w:r>
      <w:r>
        <w:rPr>
          <w:rFonts w:ascii="Arial" w:cs="Arial" w:eastAsia="Arial" w:hAnsi="Arial"/>
          <w:sz w:val="18"/>
          <w:szCs w:val="18"/>
          <w:color w:val="auto"/>
        </w:rPr>
        <w:t>. If the Borrower fails to pay any Taxes when due to the appropriate Governmental Authority or fails to remit to the Administrative Agent, for its account or the account of the respective Lender, as the case may be, the required receipts or other required documentary evidence, the Borrower shall indemnify the Administrative Agent and the Lenders for any incremental Taxes, interest or penalties that may become payable by the Administrative Agent or any Lender as a result of any such failure. For purposes of this Section, a distribution hereunder by the Administrative Agent or any Lender to or for the account of any Lender shall be deemed a payment by the Borrower.</w:t>
      </w:r>
    </w:p>
    <w:p>
      <w:pPr>
        <w:spacing w:after="0" w:line="142" w:lineRule="exact"/>
        <w:rPr>
          <w:rFonts w:ascii="Arial" w:cs="Arial" w:eastAsia="Arial" w:hAnsi="Arial"/>
          <w:sz w:val="18"/>
          <w:szCs w:val="18"/>
          <w:color w:val="auto"/>
        </w:rPr>
      </w:pPr>
    </w:p>
    <w:p>
      <w:pPr>
        <w:ind w:left="-464" w:firstLine="464"/>
        <w:spacing w:after="0" w:line="283" w:lineRule="auto"/>
        <w:tabs>
          <w:tab w:leader="none" w:pos="23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Administrative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under the Internal Revenue Code. On or prior to the date any Lender or Participant that is a United States person (as such term is defined in Section 7701(a)(30) of the Internal Revenue Code) (any of the foregoing, a “US Lender”) becomes a party to this Agreement (or, in the case of any Participant, on or before the date such Participant purchases the related participation), each such US Lender shall deliver to the Borrower and the Administrative Agent two accurate and complete copies of Internal Revenue Service Form W-9, or any subsequent versions or successors to such form, currently effective and duly executed by such US Lender, establishing that payments to it hereunder and under the Notes are not subject to United States Federal backup withholding tax. Each Lender or Participant shall, to the extent it may lawfully do so, (x) deliver further copies of such forms or other appropriate certifications required by this subsection on or before the date that any such forms expire or become obsolete and after the occurrence of any event requiring a change in the most recent form delivered to the Borrower or the Administrative Agent and (y) obtain such extensions of the time for filing, and renew such forms and certifications thereof, as may be reasonably requested by the Borrower or the Administrative Agent. The Borrower shall not be required to pay any amount pursuant to the last sentence of subsection (a) above (or in respect thereof, under subsection (b) above) to any Lender Participant, if such Lender, Participant or the Administrative Agent, as applicable, fails to comply with the requirements of this subsection. If any such Lender or Participant, to the extent it may lawfully do so, fails to deliver the above forms or other documentation, then the Administrative Agent may withhold from such payment to such Lender or Participant such amounts as are required by the Internal Revenue Code. If any Governmental Authority asserts that the Administrative Agent did not properly withhold or backup withhold, as the case may be, any tax or other amount from payments made to or for the account of any Lender or Participant, such Lender or Participant shall indemnify the Administrative Agent therefor, including all penalties and interest, any taxes imposed by any jurisdiction on the amounts payable to the Administrative Agent under this Section, and costs and expenses (including all reasonable fees and disbursements of any law firm or other external counsel and the allocated cost of internal legal services and all disbursements of internal counsel) of the Administrative Agent. The obligation of the Lenders and Participants under this Section shall survive the termination of the Commitments, repayment of all Obligations and the resignation or replacement of the Administrative Agent. If a successor Administrative Agent is organized under the laws of a jurisdiction outside the United States of America, or is a United States person (as such term is defined in Section 7701(a)(30) of the Internal Revenue Code) that is not an “exempt recipient” as such term is defined in Treasury Regulations section 31.3406(g)-1,</w:t>
      </w:r>
    </w:p>
    <w:p>
      <w:pPr>
        <w:spacing w:after="0" w:line="126" w:lineRule="exact"/>
        <w:rPr>
          <w:rFonts w:ascii="Arial" w:cs="Arial" w:eastAsia="Arial" w:hAnsi="Arial"/>
          <w:sz w:val="16"/>
          <w:szCs w:val="16"/>
          <w:color w:val="auto"/>
        </w:rPr>
      </w:pPr>
    </w:p>
    <w:p>
      <w:pPr>
        <w:ind w:left="5156" w:hanging="96"/>
        <w:spacing w:after="0"/>
        <w:tabs>
          <w:tab w:leader="none" w:pos="5156" w:val="left"/>
        </w:tabs>
        <w:numPr>
          <w:ilvl w:val="2"/>
          <w:numId w:val="30"/>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956"/>
          </w:cols>
          <w:pgMar w:left="704"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such successor Administrative Agent shall be subject to the same obligations as an applicable Lender under this Section 3.10.(c).</w:t>
      </w:r>
    </w:p>
    <w:p>
      <w:pPr>
        <w:spacing w:after="0" w:line="171" w:lineRule="exact"/>
        <w:rPr>
          <w:sz w:val="20"/>
          <w:szCs w:val="20"/>
          <w:color w:val="auto"/>
        </w:rPr>
      </w:pPr>
    </w:p>
    <w:p>
      <w:pPr>
        <w:ind w:right="140" w:firstLine="464"/>
        <w:spacing w:after="0" w:line="28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Certification from Lenders and Participants Regarding USA Patriot Act</w:t>
      </w:r>
      <w:r>
        <w:rPr>
          <w:rFonts w:ascii="Arial" w:cs="Arial" w:eastAsia="Arial" w:hAnsi="Arial"/>
          <w:sz w:val="16"/>
          <w:szCs w:val="16"/>
          <w:color w:val="auto"/>
        </w:rPr>
        <w:t>. In order for the Administrative Agent to comply with the USA Patriot Act,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 In addition, each Foreign Lender that is not exempted from the certification requirement contained in Section 313 of the USA Patriot Act and the applicable regulations because it is both (i) an affiliate of a depository institution or foreign bank that maintains a physical presence in the United states or foreign county, and (ii) subject to supervision by a banking authority regulating such affiliated depository institution or foreign bank shall deliver to the Administrative Agent the certification, or, if applicable, recertification, certifying that such Lender is not a “shell” and certifying to other matters as required by Section 313 of the USA Patriot Act and the applicable regulations: (1) within 10 days after the Effective Date, and (2) as such other times as are required under the USA Patriot Act.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firstLine="464"/>
        <w:spacing w:after="0" w:line="283" w:lineRule="auto"/>
        <w:tabs>
          <w:tab w:leader="none" w:pos="695"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Capital Adequacy</w:t>
      </w:r>
      <w:r>
        <w:rPr>
          <w:rFonts w:ascii="Arial" w:cs="Arial" w:eastAsia="Arial" w:hAnsi="Arial"/>
          <w:sz w:val="16"/>
          <w:szCs w:val="16"/>
          <w:color w:val="auto"/>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required or expected to be maintained by such Lender or such Participant, or any corporation controlling such Lender or such Participant, as a consequence of, or with reference to,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w:t>
      </w:r>
    </w:p>
    <w:p>
      <w:pPr>
        <w:spacing w:after="0" w:line="1" w:lineRule="exact"/>
        <w:rPr>
          <w:rFonts w:ascii="Arial" w:cs="Arial" w:eastAsia="Arial" w:hAnsi="Arial"/>
          <w:sz w:val="16"/>
          <w:szCs w:val="16"/>
          <w:color w:val="auto"/>
        </w:rPr>
      </w:pPr>
    </w:p>
    <w:p>
      <w:pPr>
        <w:ind w:right="400" w:firstLine="8"/>
        <w:spacing w:after="0" w:line="255" w:lineRule="auto"/>
        <w:tabs>
          <w:tab w:leader="none" w:pos="3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144" w:lineRule="exact"/>
        <w:rPr>
          <w:rFonts w:ascii="Arial" w:cs="Arial" w:eastAsia="Arial" w:hAnsi="Arial"/>
          <w:sz w:val="18"/>
          <w:szCs w:val="18"/>
          <w:color w:val="auto"/>
        </w:rPr>
      </w:pPr>
    </w:p>
    <w:p>
      <w:pPr>
        <w:ind w:right="100" w:firstLine="464"/>
        <w:spacing w:after="0" w:line="288"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LIBOR Loans or its obligation to make any LIBOR Loans hereunder, any reduction in any amount receivable by such Lender under this Agreement or any of the other Loan Documents in respect of any of such LIBOR Loans or such obligation or the maintenance by such Lender of capital in respect of its LIBOR Loans (such increases in costs and reductions in amounts receivable being herein called “</w:t>
      </w:r>
      <w:r>
        <w:rPr>
          <w:rFonts w:ascii="Arial" w:cs="Arial" w:eastAsia="Arial" w:hAnsi="Arial"/>
          <w:sz w:val="16"/>
          <w:szCs w:val="16"/>
          <w:b w:val="1"/>
          <w:bCs w:val="1"/>
          <w:color w:val="auto"/>
        </w:rPr>
        <w:t>Additional Costs</w:t>
      </w:r>
      <w:r>
        <w:rPr>
          <w:rFonts w:ascii="Arial" w:cs="Arial" w:eastAsia="Arial" w:hAnsi="Arial"/>
          <w:sz w:val="16"/>
          <w:szCs w:val="16"/>
          <w:color w:val="auto"/>
        </w:rPr>
        <w:t>”), to the extent resulting from any Regulatory Change that: (i) changes the basis of taxation of any amounts payable to such Lender under this Agreement or any of the other Loan Documents in respect of any of such LIBOR Loans (other than taxes, fees, duties, levies, imposts, charges, deductions, withholdings or other charges which are excluded from the definition of Taxes pursuant to the first sentence of Section 3.10.(a) or payable as a result of failing to</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43" w:name="page44"/>
    <w:bookmarkEnd w:id="4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forms required by Section 3.10.(c)), or (ii) imposes or modifies any reserve, special deposit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LIBOR Loans is determined to the extent utilized to determine LIBOR for such Loans) relating to any extensions of credit or other assets of, or any deposits with or other liabilities of, or other credit extended by, or any other acquisition of funds by such Lender (or its parent corporation), or any commitment of such Lender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118" w:lineRule="exact"/>
        <w:rPr>
          <w:sz w:val="20"/>
          <w:szCs w:val="20"/>
          <w:color w:val="auto"/>
        </w:rPr>
      </w:pPr>
    </w:p>
    <w:p>
      <w:pPr>
        <w:ind w:right="20" w:firstLine="464"/>
        <w:spacing w:after="0" w:line="290" w:lineRule="auto"/>
        <w:tabs>
          <w:tab w:leader="none" w:pos="695"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w:t>
      </w:r>
      <w:r>
        <w:rPr>
          <w:rFonts w:ascii="Arial" w:cs="Arial" w:eastAsia="Arial" w:hAnsi="Arial"/>
          <w:sz w:val="16"/>
          <w:szCs w:val="16"/>
          <w:color w:val="auto"/>
        </w:rPr>
        <w:t xml:space="preserve">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LIBOR Loans hereunder shall be suspended until such Regulatory Change ceases to be in effect (in which case the provisions of Section 4.5. shall apply).</w:t>
      </w:r>
    </w:p>
    <w:p>
      <w:pPr>
        <w:spacing w:after="0" w:line="118" w:lineRule="exact"/>
        <w:rPr>
          <w:rFonts w:ascii="Arial" w:cs="Arial" w:eastAsia="Arial" w:hAnsi="Arial"/>
          <w:sz w:val="16"/>
          <w:szCs w:val="16"/>
          <w:color w:val="auto"/>
        </w:rPr>
      </w:pPr>
    </w:p>
    <w:p>
      <w:pPr>
        <w:ind w:firstLine="464"/>
        <w:spacing w:after="0" w:line="301" w:lineRule="auto"/>
        <w:tabs>
          <w:tab w:leader="none" w:pos="705"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Notification and Determination of Additional Costs</w:t>
      </w:r>
      <w:r>
        <w:rPr>
          <w:rFonts w:ascii="Arial" w:cs="Arial" w:eastAsia="Arial" w:hAnsi="Arial"/>
          <w:sz w:val="15"/>
          <w:szCs w:val="15"/>
          <w:color w:val="auto"/>
        </w:rPr>
        <w:t>.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w:t>
      </w:r>
    </w:p>
    <w:p>
      <w:pPr>
        <w:spacing w:after="0" w:line="4" w:lineRule="exact"/>
        <w:rPr>
          <w:rFonts w:ascii="Arial" w:cs="Arial" w:eastAsia="Arial" w:hAnsi="Arial"/>
          <w:sz w:val="15"/>
          <w:szCs w:val="15"/>
          <w:color w:val="auto"/>
        </w:rPr>
      </w:pPr>
    </w:p>
    <w:p>
      <w:pPr>
        <w:ind w:right="20" w:firstLine="8"/>
        <w:spacing w:after="0" w:line="302" w:lineRule="auto"/>
        <w:tabs>
          <w:tab w:leader="none" w:pos="4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Anything herein to the contrary notwithstanding, if, on or prior to the determination of LIBOR for any Interest Period:</w:t>
      </w:r>
    </w:p>
    <w:p>
      <w:pPr>
        <w:spacing w:after="0" w:line="90" w:lineRule="exact"/>
        <w:rPr>
          <w:sz w:val="20"/>
          <w:szCs w:val="20"/>
          <w:color w:val="auto"/>
        </w:rPr>
      </w:pPr>
    </w:p>
    <w:p>
      <w:pPr>
        <w:ind w:left="460" w:right="540" w:firstLine="443"/>
        <w:spacing w:after="0" w:line="332" w:lineRule="auto"/>
        <w:tabs>
          <w:tab w:leader="none" w:pos="11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Administrative Agent reasonably determines (which determination shall be conclusive) that quotations of interest rates for the relevant deposits referred to in the definition of LIBOR are not being provided in the relevant amounts or for the relevant maturities for purposes</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80"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determining rates of interest for LIBOR Loans as provided herein or is otherwise unable to determine LIBOR; or</w:t>
      </w:r>
    </w:p>
    <w:p>
      <w:pPr>
        <w:spacing w:after="0" w:line="90" w:lineRule="exact"/>
        <w:rPr>
          <w:sz w:val="20"/>
          <w:szCs w:val="20"/>
          <w:color w:val="auto"/>
        </w:rPr>
      </w:pPr>
    </w:p>
    <w:p>
      <w:pPr>
        <w:ind w:left="460" w:firstLine="443"/>
        <w:spacing w:after="0" w:line="306"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Administrative Agent reasonably determines (which determination shall be conclusive) that the relevant rates of interest referred to in the definition of LIBOR upon the basis of which the rate of interest for LIBOR Loans for such Interest Period is to be determined will not adequately and fairly reflect the cost to any Lender of making, Converting to, Continuing of or maintaining LIBOR Loans for such Interest Period;</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then the Administrative Agent shall give the Borrower and each Lender prompt notice thereof and, so long as such condition remains in effect, (i) the Lenders shall be under no obligation to, and shall not, Continue LIBOR Loans or Convert Loans into LIBOR Loans and the Borrower shall, on the last day of each current Interest Period for each outstanding LIBOR Loan, either prepay such Loan or Convert such Loan into a Base Rate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 other provision of this Agreement, if any Lender shall reasonably determine (which determination shall be conclusive and binding) that it is unlawful for such Lender to honor its obligation to Convert to, Continue or maintain LIBOR Loans hereunder, then such Lender shall promptly notify the Borrower thereof (with a copy of such notice to the Administrative Agent) and such Lender’s obligation to maintain or Continue, or to Convert Loans of any other Type into, LIBOR Loans shall be suspended until such time as such Lender may again maintain LIBOR Loans (in which case the provisions of Section 4.5. shall be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to any amounts payable pursuant to Section 2.5.(b), 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59" w:lineRule="exact"/>
        <w:rPr>
          <w:sz w:val="20"/>
          <w:szCs w:val="20"/>
          <w:color w:val="auto"/>
        </w:rPr>
      </w:pPr>
    </w:p>
    <w:p>
      <w:pPr>
        <w:ind w:left="460" w:right="180" w:firstLine="443"/>
        <w:spacing w:after="0" w:line="332" w:lineRule="auto"/>
        <w:tabs>
          <w:tab w:leader="none" w:pos="11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failure by the Borrower for any reason (including, without limitation, the failure of any of the applicable conditions precedent specified in Section 5.2. to be satisfied) to borrow a LIBOR Loan from such Lender on the date for such borrowing, or to Convert a Base Rate Loan into a LIBOR Loan or Continue a LIBOR Loan on the requested date of such Conversion or Continuation.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4.5. Treatment of Affected Loans.</w:t>
      </w:r>
    </w:p>
    <w:p>
      <w:pPr>
        <w:spacing w:after="0" w:line="96" w:lineRule="exact"/>
        <w:rPr>
          <w:sz w:val="20"/>
          <w:szCs w:val="20"/>
          <w:color w:val="auto"/>
        </w:rPr>
      </w:pPr>
    </w:p>
    <w:p>
      <w:pPr>
        <w:ind w:right="720" w:firstLine="464"/>
        <w:spacing w:after="0" w:line="268"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obligation of any Lender to Continue, or to Convert Base Rate Loans into, LIBOR Loans shall be suspended pursuant to Section 4.1.(c), Section 4.2. or Section 4.3. then such Lender’s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80" w:right="239" w:bottom="1440" w:gutter="0" w:footer="0" w:header="0"/>
        </w:sectPr>
      </w:pPr>
    </w:p>
    <w:bookmarkStart w:id="45" w:name="page46"/>
    <w:bookmarkEnd w:id="4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LIBOR Loans shall be automatically Converted into Base Rate Loans on the last day(s) of the then current Interest Period(s) for LIBOR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62" w:lineRule="exact"/>
        <w:rPr>
          <w:sz w:val="20"/>
          <w:szCs w:val="20"/>
          <w:color w:val="auto"/>
        </w:rPr>
      </w:pPr>
    </w:p>
    <w:p>
      <w:pPr>
        <w:ind w:left="460" w:right="440" w:firstLine="443"/>
        <w:spacing w:after="0" w:line="268" w:lineRule="auto"/>
        <w:tabs>
          <w:tab w:leader="none" w:pos="11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portion of such Lender’s Loan that would otherwise be Continued by such Lender as a LIBOR Loan shall be Continued instead as a Base Rate Loan, and any Base Rate Loan of such Lender that would otherwise be Converted into a LIBOR Loan shall remain as a Base Rate Loan.</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such Lender gives notice to the Borrower (with a copy to the Administrative Agent) that the circumstances specified in Section 4.1.(c) or 4.3. that gave rise to the Conversion of such Lender’s LIBOR Loans pursuant to this Section 4.5.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 respective unpaid principal amount of the Loan held by such Lender.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Affected Lenders.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 a Lender requests compensation pursuant to Section 3.10. or 4.1., and the Requisite Lenders are not also doing the same, or (b) the obligation of any Lender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then, so long as there does not then exist any Event of Default, the Borrower may demand that such Lender (the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and upon such demand the Affected Lender shall promptly, assign its Loan to an Eligible Assignee subject to and in accordance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12.6.(b) for a purchase price equal to (x) the principal balance of the Loan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40"/>
          </w:cols>
          <w:pgMar w:left="240" w:top="280"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4.7. Change of Lending Office.</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Assumptions Concerning Funding of LIBOR Loans.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 of the Lenders to make the Loans is subject to the satisfaction or waiver of the following conditions precedent:</w:t>
      </w:r>
    </w:p>
    <w:p>
      <w:pPr>
        <w:spacing w:after="0" w:line="171"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in form and substance satisfactory to the Administrative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Notes executed by the Borrower, payable to each applicable Lender and complying with the terms of Section 2.8.(a);</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Guaranty executed by each of the Guarantors initially to be a party thereto;</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opinion of Pillsbury Winthrop Shaw Pittman LLP, counsel to the Borrower and the other Loan Parties, addressed to the Administrative Agent and the Lenders and covering the matters set forth in Exhibit 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or in the case of any Loan Party (other than the Borrower) that is a party to the Existing Credit Agreement and has not altered its organizational instrument since the date such Loan Party became a party to the Existing Credit Agreement, a certificate from the Secretary or Assistant Secretary (or other individual performing similar functions) of such Loan Party certifying that there have been no changes to the organizational instrument delivered by such Loan Party in connection with the Existing Credit Agreement;</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the Borrower issued as of a recent date by the Secretary of State of its state of formation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274" w:right="279" w:bottom="1440" w:gutter="0" w:footer="0" w:header="0"/>
        </w:sectPr>
      </w:pPr>
    </w:p>
    <w:bookmarkStart w:id="47" w:name="page48"/>
    <w:bookmarkEnd w:id="47"/>
    <w:p>
      <w:pPr>
        <w:jc w:val="both"/>
        <w:ind w:right="6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of qualification to transact business or other comparable certificates issued as of a recent date by each Secretary of State (and any state department of taxation, as applicable) of each state in which the Borrower is required to be so qualified and where failure to be so qualified could reasonably be expected to have a Material Adverse Effect;</w:t>
      </w:r>
    </w:p>
    <w:p>
      <w:pPr>
        <w:spacing w:after="0" w:line="59" w:lineRule="exact"/>
        <w:rPr>
          <w:sz w:val="20"/>
          <w:szCs w:val="20"/>
          <w:color w:val="auto"/>
        </w:rPr>
      </w:pPr>
    </w:p>
    <w:p>
      <w:pPr>
        <w:jc w:val="both"/>
        <w:ind w:right="220" w:firstLine="443"/>
        <w:spacing w:after="0" w:line="306" w:lineRule="auto"/>
        <w:tabs>
          <w:tab w:leader="none" w:pos="78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certification from the Secretary or Assistant Secretary (or other individual performing similar functions) of each Loan Party that each Loan Party is in good standing under the laws of its respective state of formation and is qualified to transact business in each state in which such Loan Party is required to be so qualified and where failure to be so qualified could reasonably be expected to have a Material Adverse Effect;</w:t>
      </w:r>
    </w:p>
    <w:p>
      <w:pPr>
        <w:spacing w:after="0" w:line="25" w:lineRule="exact"/>
        <w:rPr>
          <w:rFonts w:ascii="Arial" w:cs="Arial" w:eastAsia="Arial" w:hAnsi="Arial"/>
          <w:sz w:val="16"/>
          <w:szCs w:val="16"/>
          <w:color w:val="auto"/>
        </w:rPr>
      </w:pPr>
    </w:p>
    <w:p>
      <w:pPr>
        <w:ind w:firstLine="443"/>
        <w:spacing w:after="0" w:line="306" w:lineRule="auto"/>
        <w:tabs>
          <w:tab w:leader="none" w:pos="83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Notice of Borrowing and Notices of Conversion and Notices of Continuation;</w:t>
      </w:r>
    </w:p>
    <w:p>
      <w:pPr>
        <w:spacing w:after="0" w:line="25" w:lineRule="exact"/>
        <w:rPr>
          <w:rFonts w:ascii="Arial" w:cs="Arial" w:eastAsia="Arial" w:hAnsi="Arial"/>
          <w:sz w:val="16"/>
          <w:szCs w:val="16"/>
          <w:color w:val="auto"/>
        </w:rPr>
      </w:pPr>
    </w:p>
    <w:p>
      <w:pPr>
        <w:ind w:right="20" w:firstLine="443"/>
        <w:spacing w:after="0" w:line="289" w:lineRule="auto"/>
        <w:tabs>
          <w:tab w:leader="none" w:pos="736"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or in the case of any Loan Party that is a party to the Existing Credit Agreement and has not altered its by-laws, operating agreement, partnership agreement or other comparable document since the date such Loan Party became a party to the Existing Credit Agreement, a certificate from the Secretary or Assistant Secretary (or other individual performing similar functions) of such Loan Party certifying that there have been no changes to the by-laws, operating agreement, partnership agreement or other comparable document delivered by such Loan Party in connection with the Existing Credit Agreement; and (B) all corporate, partnership, member or other necessary action taken by such Loan Party to authorize the execution, delivery and performance of the Loan Documents to which it is a party;</w:t>
      </w:r>
    </w:p>
    <w:p>
      <w:pPr>
        <w:spacing w:after="0" w:line="37" w:lineRule="exact"/>
        <w:rPr>
          <w:rFonts w:ascii="Arial" w:cs="Arial" w:eastAsia="Arial" w:hAnsi="Arial"/>
          <w:sz w:val="16"/>
          <w:szCs w:val="16"/>
          <w:color w:val="auto"/>
        </w:rPr>
      </w:pPr>
    </w:p>
    <w:p>
      <w:pPr>
        <w:ind w:right="520" w:firstLine="443"/>
        <w:spacing w:after="0" w:line="268"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copy of the compliance certificate for the Borrower’s fiscal quarter ending September 30, 2011, delivered pursuant to the Existing Credit Agreement;</w:t>
      </w:r>
    </w:p>
    <w:p>
      <w:pPr>
        <w:spacing w:after="0" w:line="50" w:lineRule="exact"/>
        <w:rPr>
          <w:rFonts w:ascii="Arial" w:cs="Arial" w:eastAsia="Arial" w:hAnsi="Arial"/>
          <w:sz w:val="18"/>
          <w:szCs w:val="18"/>
          <w:color w:val="auto"/>
        </w:rPr>
      </w:pPr>
    </w:p>
    <w:p>
      <w:pPr>
        <w:ind w:right="180" w:firstLine="443"/>
        <w:spacing w:after="0" w:line="268" w:lineRule="auto"/>
        <w:tabs>
          <w:tab w:leader="none" w:pos="73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Notice of Borrowing from the Borrower for the Loans indicating how the proceeds thereof are to be made available to the Borrower, and if any of the Loans initially are to be LIBOR Loans, the Interest Period therefor;</w:t>
      </w:r>
    </w:p>
    <w:p>
      <w:pPr>
        <w:spacing w:after="0" w:line="50" w:lineRule="exact"/>
        <w:rPr>
          <w:rFonts w:ascii="Arial" w:cs="Arial" w:eastAsia="Arial" w:hAnsi="Arial"/>
          <w:sz w:val="18"/>
          <w:szCs w:val="18"/>
          <w:color w:val="auto"/>
        </w:rPr>
      </w:pPr>
    </w:p>
    <w:p>
      <w:pPr>
        <w:ind w:right="20" w:firstLine="443"/>
        <w:spacing w:after="0" w:line="259" w:lineRule="auto"/>
        <w:tabs>
          <w:tab w:leader="none" w:pos="784"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 and</w:t>
      </w:r>
    </w:p>
    <w:p>
      <w:pPr>
        <w:spacing w:after="0" w:line="59" w:lineRule="exact"/>
        <w:rPr>
          <w:rFonts w:ascii="Arial" w:cs="Arial" w:eastAsia="Arial" w:hAnsi="Arial"/>
          <w:sz w:val="18"/>
          <w:szCs w:val="18"/>
          <w:color w:val="auto"/>
        </w:rPr>
      </w:pPr>
    </w:p>
    <w:p>
      <w:pPr>
        <w:ind w:right="620" w:firstLine="443"/>
        <w:spacing w:after="0" w:line="268" w:lineRule="auto"/>
        <w:tabs>
          <w:tab w:leader="none" w:pos="8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 and</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90" w:lineRule="exact"/>
        <w:rPr>
          <w:rFonts w:ascii="Arial" w:cs="Arial" w:eastAsia="Arial" w:hAnsi="Arial"/>
          <w:sz w:val="18"/>
          <w:szCs w:val="18"/>
          <w:color w:val="auto"/>
        </w:rPr>
      </w:pPr>
    </w:p>
    <w:p>
      <w:pPr>
        <w:ind w:right="200" w:firstLine="443"/>
        <w:spacing w:after="0" w:line="332" w:lineRule="auto"/>
        <w:tabs>
          <w:tab w:leader="none" w:pos="6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w:t>
      </w:r>
    </w:p>
    <w:p>
      <w:pPr>
        <w:spacing w:after="0" w:line="71" w:lineRule="exact"/>
        <w:rPr>
          <w:rFonts w:ascii="Arial" w:cs="Arial" w:eastAsia="Arial" w:hAnsi="Arial"/>
          <w:sz w:val="16"/>
          <w:szCs w:val="16"/>
          <w:color w:val="auto"/>
        </w:rPr>
      </w:pPr>
    </w:p>
    <w:p>
      <w:pPr>
        <w:ind w:left="5160" w:hanging="96"/>
        <w:spacing w:after="0"/>
        <w:tabs>
          <w:tab w:leader="none" w:pos="51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940"/>
          </w:cols>
          <w:pgMar w:left="700" w:top="280" w:right="259" w:bottom="1440" w:gutter="0" w:footer="0" w:header="0"/>
        </w:sectPr>
      </w:pPr>
    </w:p>
    <w:bookmarkStart w:id="48" w:name="page49"/>
    <w:bookmarkEnd w:id="48"/>
    <w:p>
      <w:pPr>
        <w:ind w:left="46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concerning the Borrower and its Subsidiaries delivered to the Administrative Agent and the Lenders prior to the Agreement Date that has had or could reasonably be expected to result in a Material Adverse Effect;</w:t>
      </w:r>
    </w:p>
    <w:p>
      <w:pPr>
        <w:spacing w:after="0" w:line="51" w:lineRule="exact"/>
        <w:rPr>
          <w:sz w:val="20"/>
          <w:szCs w:val="20"/>
          <w:color w:val="auto"/>
        </w:rPr>
      </w:pPr>
    </w:p>
    <w:p>
      <w:pPr>
        <w:ind w:left="460" w:right="420" w:firstLine="443"/>
        <w:spacing w:after="0" w:line="256" w:lineRule="auto"/>
        <w:tabs>
          <w:tab w:leader="none" w:pos="11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62" w:lineRule="exact"/>
        <w:rPr>
          <w:rFonts w:ascii="Arial" w:cs="Arial" w:eastAsia="Arial" w:hAnsi="Arial"/>
          <w:sz w:val="18"/>
          <w:szCs w:val="18"/>
          <w:color w:val="auto"/>
        </w:rPr>
      </w:pPr>
    </w:p>
    <w:p>
      <w:pPr>
        <w:ind w:left="460" w:right="60" w:firstLine="443"/>
        <w:spacing w:after="0" w:line="305" w:lineRule="auto"/>
        <w:tabs>
          <w:tab w:leader="none" w:pos="1205" w:val="left"/>
        </w:tabs>
        <w:numPr>
          <w:ilvl w:val="1"/>
          <w:numId w:val="44"/>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ind w:left="760" w:hanging="296"/>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Applicable Law or (B) any agreement, document or instrument to which any Loan Party is a party or by which any of them or their respective</w:t>
      </w:r>
    </w:p>
    <w:p>
      <w:pPr>
        <w:spacing w:after="0" w:line="32" w:lineRule="exact"/>
        <w:rPr>
          <w:rFonts w:ascii="Arial" w:cs="Arial" w:eastAsia="Arial" w:hAnsi="Arial"/>
          <w:sz w:val="16"/>
          <w:szCs w:val="16"/>
          <w:color w:val="auto"/>
        </w:rPr>
      </w:pPr>
    </w:p>
    <w:p>
      <w:pPr>
        <w:jc w:val="both"/>
        <w:ind w:left="460" w:right="100"/>
        <w:spacing w:after="0" w:line="302" w:lineRule="auto"/>
        <w:rPr>
          <w:rFonts w:ascii="Arial" w:cs="Arial" w:eastAsia="Arial" w:hAnsi="Arial"/>
          <w:sz w:val="16"/>
          <w:szCs w:val="16"/>
          <w:color w:val="auto"/>
        </w:rPr>
      </w:pPr>
      <w:r>
        <w:rPr>
          <w:rFonts w:ascii="Arial" w:cs="Arial" w:eastAsia="Arial" w:hAnsi="Arial"/>
          <w:sz w:val="16"/>
          <w:szCs w:val="16"/>
          <w:color w:val="auto"/>
        </w:rPr>
        <w:t>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28" w:lineRule="exact"/>
        <w:rPr>
          <w:rFonts w:ascii="Arial" w:cs="Arial" w:eastAsia="Arial" w:hAnsi="Arial"/>
          <w:sz w:val="16"/>
          <w:szCs w:val="16"/>
          <w:color w:val="auto"/>
        </w:rPr>
      </w:pPr>
    </w:p>
    <w:p>
      <w:pPr>
        <w:ind w:left="460" w:right="120" w:firstLine="443"/>
        <w:spacing w:after="0" w:line="268" w:lineRule="auto"/>
        <w:tabs>
          <w:tab w:leader="none" w:pos="11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Borrower and each other Loan Party shall have provided all information requested by the Administrative Agent and each Lender in order to comply with the USA Patriot Act ; and</w:t>
      </w:r>
    </w:p>
    <w:p>
      <w:pPr>
        <w:spacing w:after="0" w:line="50" w:lineRule="exact"/>
        <w:rPr>
          <w:rFonts w:ascii="Arial" w:cs="Arial" w:eastAsia="Arial" w:hAnsi="Arial"/>
          <w:sz w:val="18"/>
          <w:szCs w:val="18"/>
          <w:color w:val="auto"/>
        </w:rPr>
      </w:pPr>
    </w:p>
    <w:p>
      <w:pPr>
        <w:ind w:left="460" w:right="260" w:firstLine="443"/>
        <w:spacing w:after="0" w:line="332" w:lineRule="auto"/>
        <w:tabs>
          <w:tab w:leader="none" w:pos="11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there shall not have occurred or exist any circumstance, change or condition in the loan syndication, financial or capital markets generally that could reasonably be expected to materially impair the arrangement of the credit facility contemplated by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obligations of the Lenders to make the Loans are subject to the further conditions precedent that: (a) no Default or Event of Default shall exist as of the date of the making of the Loans or would exist immediately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280" w:right="259" w:bottom="1440" w:gutter="0" w:footer="0" w:header="0"/>
        </w:sectPr>
      </w:pPr>
    </w:p>
    <w:bookmarkStart w:id="49" w:name="page50"/>
    <w:bookmarkEnd w:id="49"/>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conditions precedent for the Loans set forth in Section 5.1. that have not previously been waived by the Lenders in accordance with the terms of this Agreement have been satisfied.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order to induce the Administrative Agent and each Lender to enter into this Agreement and to make the Loans, the Borrower represents and warrants to the Administrative Agent and each Lender as follows:</w:t>
      </w:r>
    </w:p>
    <w:p>
      <w:pPr>
        <w:spacing w:after="0" w:line="132" w:lineRule="exact"/>
        <w:rPr>
          <w:sz w:val="20"/>
          <w:szCs w:val="20"/>
          <w:color w:val="auto"/>
        </w:rPr>
      </w:pPr>
    </w:p>
    <w:p>
      <w:pPr>
        <w:ind w:firstLine="464"/>
        <w:spacing w:after="0" w:line="291"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Organization; Power; Qualification</w:t>
      </w:r>
      <w:r>
        <w:rPr>
          <w:rFonts w:ascii="Arial" w:cs="Arial" w:eastAsia="Arial" w:hAnsi="Arial"/>
          <w:sz w:val="16"/>
          <w:szCs w:val="16"/>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Part I of Schedule 6.1.(b) is, as of the Agreement Date, a complete and correct list of all Subsidiaries of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As of the Agreement Date, except as disclosed in such Schedule (A), each of the Borrower and its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4" w:lineRule="exact"/>
        <w:rPr>
          <w:rFonts w:ascii="Arial" w:cs="Arial" w:eastAsia="Arial" w:hAnsi="Arial"/>
          <w:sz w:val="16"/>
          <w:szCs w:val="16"/>
          <w:color w:val="auto"/>
        </w:rPr>
      </w:pPr>
    </w:p>
    <w:p>
      <w:pPr>
        <w:ind w:right="40" w:firstLine="464"/>
        <w:spacing w:after="0" w:line="290"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Authorization of Loan Documents and Borrowings</w:t>
      </w:r>
      <w:r>
        <w:rPr>
          <w:rFonts w:ascii="Arial" w:cs="Arial" w:eastAsia="Arial" w:hAnsi="Arial"/>
          <w:sz w:val="16"/>
          <w:szCs w:val="16"/>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00"/>
          </w:cols>
          <w:pgMar w:left="240" w:top="280" w:right="2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enforcement of certain obligations (other than the payment of principal) contained herein or therein and as may be limited by equitable principles generally.</w:t>
      </w:r>
    </w:p>
    <w:p>
      <w:pPr>
        <w:spacing w:after="0" w:line="194" w:lineRule="exact"/>
        <w:rPr>
          <w:sz w:val="20"/>
          <w:szCs w:val="20"/>
          <w:color w:val="auto"/>
        </w:rPr>
      </w:pPr>
    </w:p>
    <w:p>
      <w:pPr>
        <w:ind w:firstLine="464"/>
        <w:spacing w:after="0" w:line="253"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Compliance of Loan Documents with Laws</w:t>
      </w:r>
      <w:r>
        <w:rPr>
          <w:rFonts w:ascii="Arial" w:cs="Arial" w:eastAsia="Arial" w:hAnsi="Arial"/>
          <w:sz w:val="18"/>
          <w:szCs w:val="18"/>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w:t>
      </w:r>
    </w:p>
    <w:p>
      <w:pPr>
        <w:spacing w:after="0" w:line="147" w:lineRule="exact"/>
        <w:rPr>
          <w:rFonts w:ascii="Arial" w:cs="Arial" w:eastAsia="Arial" w:hAnsi="Arial"/>
          <w:sz w:val="18"/>
          <w:szCs w:val="18"/>
          <w:color w:val="auto"/>
        </w:rPr>
      </w:pPr>
    </w:p>
    <w:p>
      <w:pPr>
        <w:ind w:right="100" w:firstLine="464"/>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of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right="100" w:firstLine="464"/>
        <w:spacing w:after="0" w:line="256" w:lineRule="auto"/>
        <w:tabs>
          <w:tab w:leader="none" w:pos="67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Title to Properties; Liens</w:t>
      </w:r>
      <w:r>
        <w:rPr>
          <w:rFonts w:ascii="Arial" w:cs="Arial" w:eastAsia="Arial" w:hAnsi="Arial"/>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143" w:lineRule="exact"/>
        <w:rPr>
          <w:rFonts w:ascii="Arial" w:cs="Arial" w:eastAsia="Arial" w:hAnsi="Arial"/>
          <w:sz w:val="18"/>
          <w:szCs w:val="18"/>
          <w:color w:val="auto"/>
        </w:rPr>
      </w:pPr>
    </w:p>
    <w:p>
      <w:pPr>
        <w:ind w:right="20" w:firstLine="464"/>
        <w:spacing w:after="0" w:line="255"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Schedule 6.1.(g) is, as of September 30, 2011,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September 30, 2011, through the Agreement Date, neither the Borrower nor any of its Subsidiaries has incurred any Indebtedness having an outstanding principal balance in excess of $1,000,000 in the aggregate.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91"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6.1.(i), there are no actions, suits or proceedings pending (nor, to the knowledge of any Loan Party, are there any actions, suits or proceedings threatened) against or in any other way relating adversely to or affecting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20" w:lineRule="exact"/>
        <w:rPr>
          <w:rFonts w:ascii="Arial" w:cs="Arial" w:eastAsia="Arial" w:hAnsi="Arial"/>
          <w:sz w:val="16"/>
          <w:szCs w:val="16"/>
          <w:color w:val="auto"/>
        </w:rPr>
      </w:pPr>
    </w:p>
    <w:p>
      <w:pPr>
        <w:ind w:right="120" w:firstLine="464"/>
        <w:spacing w:after="0" w:line="332"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each other Loan Party and each other Subsidiary required by Applicable Law to be filed have been duly filed, and all federal, state and other taxes, assessments and other governmental charges or levies upon, each Loan Party, each other</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380"/>
          </w:cols>
          <w:pgMar w:left="240" w:top="280" w:right="279" w:bottom="1440" w:gutter="0" w:footer="0" w:header="0"/>
        </w:sectPr>
      </w:pPr>
    </w:p>
    <w:bookmarkStart w:id="51" w:name="page52"/>
    <w:bookmarkEnd w:id="51"/>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113" w:lineRule="exact"/>
        <w:rPr>
          <w:sz w:val="20"/>
          <w:szCs w:val="20"/>
          <w:color w:val="auto"/>
        </w:rPr>
      </w:pPr>
    </w:p>
    <w:p>
      <w:pPr>
        <w:ind w:firstLine="464"/>
        <w:spacing w:after="0" w:line="286"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furnished to each Lender copies of (i) the audited consolidated balance sheet of the Borrower and its consolidated Subsidiaries for the fiscal years ended December 31, 2009 and December 31, 2010, and the related audited consolidated statements of operations, shareholders’ equity and cash flow for the fiscal years ended on such dates, with the opinion thereon of Grant Thorton LLP, and (ii) the unaudited consolidated balance sheet of the Borrower and its consolidated Subsidiaries for the fiscal quarter ended September 30, 2011, and the related unaudited consolidated statements of operations, shareholders’ equity and cash flow of the Borrower and its consolidated Subsidiaries for the three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127" w:lineRule="exact"/>
        <w:rPr>
          <w:rFonts w:ascii="Arial" w:cs="Arial" w:eastAsia="Arial" w:hAnsi="Arial"/>
          <w:sz w:val="16"/>
          <w:szCs w:val="16"/>
          <w:color w:val="auto"/>
        </w:rPr>
      </w:pPr>
    </w:p>
    <w:p>
      <w:pPr>
        <w:ind w:right="20" w:firstLine="464"/>
        <w:spacing w:after="0" w:line="268" w:lineRule="auto"/>
        <w:tabs>
          <w:tab w:leader="none" w:pos="66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2010, there has been no event, change, circumstance or occurrence that could reasonably be expected to have a Material Adverse Effect. Each of the Borrower, the other Loan Parties and the other Subsidiaries is Solvent.</w:t>
      </w:r>
    </w:p>
    <w:p>
      <w:pPr>
        <w:spacing w:after="0" w:line="212" w:lineRule="exact"/>
        <w:rPr>
          <w:rFonts w:ascii="Arial" w:cs="Arial" w:eastAsia="Arial" w:hAnsi="Arial"/>
          <w:sz w:val="18"/>
          <w:szCs w:val="18"/>
          <w:color w:val="auto"/>
        </w:rPr>
      </w:pPr>
    </w:p>
    <w:p>
      <w:pPr>
        <w:ind w:left="760" w:hanging="296"/>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87" w:lineRule="auto"/>
        <w:tabs>
          <w:tab w:leader="none" w:pos="110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41" w:lineRule="exact"/>
        <w:rPr>
          <w:rFonts w:ascii="Arial" w:cs="Arial" w:eastAsia="Arial" w:hAnsi="Arial"/>
          <w:sz w:val="16"/>
          <w:szCs w:val="16"/>
          <w:color w:val="auto"/>
        </w:rPr>
      </w:pPr>
    </w:p>
    <w:p>
      <w:pPr>
        <w:ind w:left="460" w:right="80" w:firstLine="443"/>
        <w:spacing w:after="0" w:line="268" w:lineRule="auto"/>
        <w:tabs>
          <w:tab w:leader="none" w:pos="11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80" w:right="239" w:bottom="1440" w:gutter="0" w:footer="0" w:header="0"/>
        </w:sectPr>
      </w:pPr>
    </w:p>
    <w:bookmarkStart w:id="52" w:name="page53"/>
    <w:bookmarkEnd w:id="52"/>
    <w:p>
      <w:pPr>
        <w:ind w:left="-4" w:right="120" w:firstLine="443"/>
        <w:spacing w:after="0" w:line="291" w:lineRule="auto"/>
        <w:tabs>
          <w:tab w:leader="none" w:pos="741" w:val="left"/>
        </w:tabs>
        <w:numPr>
          <w:ilvl w:val="1"/>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120" w:lineRule="exact"/>
        <w:rPr>
          <w:rFonts w:ascii="Arial" w:cs="Arial" w:eastAsia="Arial" w:hAnsi="Arial"/>
          <w:sz w:val="16"/>
          <w:szCs w:val="16"/>
          <w:color w:val="auto"/>
        </w:rPr>
      </w:pPr>
    </w:p>
    <w:p>
      <w:pPr>
        <w:ind w:left="-464" w:right="40" w:firstLine="464"/>
        <w:spacing w:after="0" w:line="291" w:lineRule="auto"/>
        <w:tabs>
          <w:tab w:leader="none" w:pos="24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Absence of Default</w:t>
      </w:r>
      <w:r>
        <w:rPr>
          <w:rFonts w:ascii="Arial" w:cs="Arial" w:eastAsia="Arial" w:hAnsi="Arial"/>
          <w:sz w:val="16"/>
          <w:szCs w:val="16"/>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20" w:lineRule="exact"/>
        <w:rPr>
          <w:rFonts w:ascii="Arial" w:cs="Arial" w:eastAsia="Arial" w:hAnsi="Arial"/>
          <w:sz w:val="16"/>
          <w:szCs w:val="16"/>
          <w:color w:val="auto"/>
        </w:rPr>
      </w:pPr>
    </w:p>
    <w:p>
      <w:pPr>
        <w:ind w:left="-464" w:firstLine="464"/>
        <w:spacing w:after="0" w:line="284" w:lineRule="auto"/>
        <w:tabs>
          <w:tab w:leader="none" w:pos="24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17" w:lineRule="exact"/>
        <w:rPr>
          <w:rFonts w:ascii="Arial" w:cs="Arial" w:eastAsia="Arial" w:hAnsi="Arial"/>
          <w:sz w:val="16"/>
          <w:szCs w:val="16"/>
          <w:color w:val="auto"/>
        </w:rPr>
      </w:pPr>
    </w:p>
    <w:p>
      <w:pPr>
        <w:ind w:left="5156" w:hanging="96"/>
        <w:spacing w:after="0"/>
        <w:tabs>
          <w:tab w:leader="none" w:pos="5156" w:val="left"/>
        </w:tabs>
        <w:numPr>
          <w:ilvl w:val="2"/>
          <w:numId w:val="50"/>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956"/>
          </w:cols>
          <w:pgMar w:left="704" w:top="280" w:right="239" w:bottom="1440" w:gutter="0" w:footer="0" w:header="0"/>
        </w:sectPr>
      </w:pPr>
    </w:p>
    <w:bookmarkStart w:id="53" w:name="page54"/>
    <w:bookmarkEnd w:id="53"/>
    <w:p>
      <w:pPr>
        <w:ind w:left="-464" w:right="80" w:firstLine="464"/>
        <w:spacing w:after="0" w:line="256"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Company</w:t>
      </w:r>
      <w:r>
        <w:rPr>
          <w:rFonts w:ascii="Arial" w:cs="Arial" w:eastAsia="Arial" w:hAnsi="Arial"/>
          <w:sz w:val="18"/>
          <w:szCs w:val="18"/>
          <w:color w:val="auto"/>
        </w:rPr>
        <w:t>. None of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43" w:lineRule="exact"/>
        <w:rPr>
          <w:rFonts w:ascii="Arial" w:cs="Arial" w:eastAsia="Arial" w:hAnsi="Arial"/>
          <w:sz w:val="18"/>
          <w:szCs w:val="18"/>
          <w:color w:val="auto"/>
        </w:rPr>
      </w:pPr>
    </w:p>
    <w:p>
      <w:pPr>
        <w:ind w:left="-464" w:right="40" w:firstLine="464"/>
        <w:spacing w:after="0" w:line="259"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left="-464" w:right="40" w:firstLine="464"/>
        <w:spacing w:after="0" w:line="268" w:lineRule="auto"/>
        <w:tabs>
          <w:tab w:leader="none" w:pos="21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permitted by Section 9.9., none of the Borrower, any other Loan Party or any other Subsidiary is a party to or bound by any agreement or arrangement with any Affiliate.</w:t>
      </w:r>
    </w:p>
    <w:p>
      <w:pPr>
        <w:spacing w:after="0" w:line="131" w:lineRule="exact"/>
        <w:rPr>
          <w:rFonts w:ascii="Arial" w:cs="Arial" w:eastAsia="Arial" w:hAnsi="Arial"/>
          <w:sz w:val="18"/>
          <w:szCs w:val="18"/>
          <w:color w:val="auto"/>
        </w:rPr>
      </w:pPr>
    </w:p>
    <w:p>
      <w:pPr>
        <w:ind w:left="-464" w:firstLine="464"/>
        <w:spacing w:after="0" w:line="287" w:lineRule="auto"/>
        <w:tabs>
          <w:tab w:leader="none" w:pos="22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left="-464" w:right="40" w:firstLine="464"/>
        <w:spacing w:after="0" w:line="255" w:lineRule="auto"/>
        <w:tabs>
          <w:tab w:leader="none" w:pos="20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As of the Agreement Date,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and Multifamily Properties, together with other business activities reasonably related or incidental thereto.</w:t>
      </w:r>
    </w:p>
    <w:p>
      <w:pPr>
        <w:spacing w:after="0" w:line="142" w:lineRule="exact"/>
        <w:rPr>
          <w:rFonts w:ascii="Arial" w:cs="Arial" w:eastAsia="Arial" w:hAnsi="Arial"/>
          <w:sz w:val="18"/>
          <w:szCs w:val="18"/>
          <w:color w:val="auto"/>
        </w:rPr>
      </w:pPr>
    </w:p>
    <w:p>
      <w:pPr>
        <w:ind w:left="-464" w:right="220" w:firstLine="464"/>
        <w:spacing w:after="0" w:line="259"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140" w:lineRule="exact"/>
        <w:rPr>
          <w:rFonts w:ascii="Arial" w:cs="Arial" w:eastAsia="Arial" w:hAnsi="Arial"/>
          <w:sz w:val="18"/>
          <w:szCs w:val="18"/>
          <w:color w:val="auto"/>
        </w:rPr>
      </w:pPr>
    </w:p>
    <w:p>
      <w:pPr>
        <w:ind w:left="-464" w:right="120" w:firstLine="464"/>
        <w:spacing w:after="0" w:line="259" w:lineRule="auto"/>
        <w:tabs>
          <w:tab w:leader="none" w:pos="2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Accuracy and Completeness of Information</w:t>
      </w:r>
      <w:r>
        <w:rPr>
          <w:rFonts w:ascii="Arial" w:cs="Arial" w:eastAsia="Arial" w:hAnsi="Arial"/>
          <w:sz w:val="18"/>
          <w:szCs w:val="18"/>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w:t>
      </w:r>
    </w:p>
    <w:p>
      <w:pPr>
        <w:spacing w:after="0" w:line="126" w:lineRule="exact"/>
        <w:rPr>
          <w:rFonts w:ascii="Arial" w:cs="Arial" w:eastAsia="Arial" w:hAnsi="Arial"/>
          <w:sz w:val="18"/>
          <w:szCs w:val="18"/>
          <w:color w:val="auto"/>
        </w:rPr>
      </w:pPr>
    </w:p>
    <w:p>
      <w:pPr>
        <w:ind w:left="5156" w:hanging="96"/>
        <w:spacing w:after="0"/>
        <w:tabs>
          <w:tab w:leader="none" w:pos="51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956"/>
          </w:cols>
          <w:pgMar w:left="704" w:top="280" w:right="2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w:t>
      </w:r>
    </w:p>
    <w:p>
      <w:pPr>
        <w:spacing w:after="0" w:line="127" w:lineRule="exact"/>
        <w:rPr>
          <w:sz w:val="20"/>
          <w:szCs w:val="20"/>
          <w:color w:val="auto"/>
        </w:rPr>
      </w:pPr>
    </w:p>
    <w:p>
      <w:pPr>
        <w:ind w:right="180" w:firstLine="464"/>
        <w:spacing w:after="0" w:line="255" w:lineRule="auto"/>
        <w:tabs>
          <w:tab w:leader="none" w:pos="74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Transactions</w:t>
      </w:r>
      <w:r>
        <w:rPr>
          <w:rFonts w:ascii="Arial" w:cs="Arial" w:eastAsia="Arial" w:hAnsi="Arial"/>
          <w:sz w:val="18"/>
          <w:szCs w:val="18"/>
          <w:color w:val="auto"/>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142" w:lineRule="exact"/>
        <w:rPr>
          <w:rFonts w:ascii="Arial" w:cs="Arial" w:eastAsia="Arial" w:hAnsi="Arial"/>
          <w:sz w:val="18"/>
          <w:szCs w:val="18"/>
          <w:color w:val="auto"/>
        </w:rPr>
      </w:pPr>
    </w:p>
    <w:p>
      <w:pPr>
        <w:ind w:right="80" w:firstLine="464"/>
        <w:spacing w:after="0" w:line="287"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(i) None of the Borrower, any of the other Loan Parties, any of the other Subsidiaries, or any other Affiliate of the Borrower is a person named on the list of Specially Designated Nationals or Blocked Persons maintained by OFAC available at http://www.treas.gov/offices/enforcement/ofac/index.shtml or as otherwise published from time to time (each such person on the Blocked Persons list, a “</w:t>
      </w:r>
      <w:r>
        <w:rPr>
          <w:rFonts w:ascii="Arial" w:cs="Arial" w:eastAsia="Arial" w:hAnsi="Arial"/>
          <w:sz w:val="16"/>
          <w:szCs w:val="16"/>
          <w:b w:val="1"/>
          <w:bCs w:val="1"/>
          <w:color w:val="auto"/>
        </w:rPr>
        <w:t>Blocked Person</w:t>
      </w:r>
      <w:r>
        <w:rPr>
          <w:rFonts w:ascii="Arial" w:cs="Arial" w:eastAsia="Arial" w:hAnsi="Arial"/>
          <w:sz w:val="16"/>
          <w:szCs w:val="16"/>
          <w:color w:val="auto"/>
        </w:rPr>
        <w:t>”) (ii) none of the Borrower, any of the other Loan Parties, any of the other Subsidiaries, or any other Affiliate of the Borrower is (A) an agency of the government of a country, (B) an organization controlled by a country, or (C) a person resident in a country that is subject to a sanctions program identified on the list maintained by OFAC and available at http://www.treas.gov/offices/enforcement/ofac/index.shtml, or as otherwise published from time to time, as such program may be applicable to such agency, organization or person; and (iii) none of the Borrower, any of the other Loan Parties, any of the other Subsidiaries, or, to the knowledge of the Borrower, any Affiliate (other than Subsidiaries) of the Borrower, derives any of its assets or operating income from investments in or transactions with any such country, agency, organization or person; and none of the proceeds from any Loan will be used to finance any operations, investments or activities in, or make any payments to, any such country, agency, organization, or person.</w:t>
      </w:r>
    </w:p>
    <w:p>
      <w:pPr>
        <w:spacing w:after="0" w:line="122"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and has elected to be treated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jc w:val="both"/>
        <w:ind w:right="100" w:firstLine="464"/>
        <w:spacing w:after="0" w:line="306"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400"/>
          </w:cols>
          <w:pgMar w:left="240" w:top="28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6.2. Survival of Representations and Warranties, Etc.</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274" w:right="259" w:bottom="1440" w:gutter="0" w:footer="0" w:header="0"/>
        </w:sectPr>
      </w:pPr>
    </w:p>
    <w:bookmarkStart w:id="56" w:name="page57"/>
    <w:bookmarkEnd w:id="56"/>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repairs, renewals, replacements and additions to such properties, so that the business carried on in connection therewith may be properly and advantageously conducted at all times.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each other Loan Party and each other Subsidiary to, carry on its respective businesses as described in Section 6.1.(t).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Books and Records; Inspections.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7.8. Use of Proceeds.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Borrower will use the proceeds of Loans only to (i) refinance existing indebtedness, (ii) provide for the general working capital needs of the Borrower and its Subsidiaries and (iii) for other general corporate purposes of the Borrower and its Subsidiaries. The Borrower shall not, and shall not permit any other Loan Party or any other Subsidiary to, use any part of such proceeds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Further Assurances.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and election to be treated as, a REIT under the Internal Revenue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Exchange Listing.</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or the American Stock Exchange or other national exchange which is subject to price quotations on The NASDAQ Stock Market’s National Market System (or any successor exchanges or quotation systems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7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7.14. Guarantors.</w:t>
      </w:r>
    </w:p>
    <w:p>
      <w:pPr>
        <w:spacing w:after="0" w:line="96" w:lineRule="exact"/>
        <w:rPr>
          <w:sz w:val="20"/>
          <w:szCs w:val="20"/>
          <w:color w:val="auto"/>
        </w:rPr>
      </w:pPr>
    </w:p>
    <w:p>
      <w:pPr>
        <w:ind w:right="40" w:firstLine="464"/>
        <w:spacing w:after="0" w:line="290"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Within 10 Business Days of any Person becoming a Material Subsidiary (other than an Excluded Subsidiary or a Subsidiary owning a Non-Controlled Property) after the Agreement Date, the Borrower shall deliver to the Administrative Agent each of the following in form and substance satisfactory to the Administrative Agent: (i) an Accession Agreement executed by such Material Subsidiary and (ii) the items that would have been delivered under subsections (iv) through (viii) of Section 5.1.(a) if such Material Subsidiary had been a Material Subsidiary on the Agreement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w:t>
      </w:r>
    </w:p>
    <w:p>
      <w:pPr>
        <w:spacing w:after="0" w:line="118" w:lineRule="exact"/>
        <w:rPr>
          <w:rFonts w:ascii="Arial" w:cs="Arial" w:eastAsia="Arial" w:hAnsi="Arial"/>
          <w:sz w:val="16"/>
          <w:szCs w:val="16"/>
          <w:color w:val="auto"/>
        </w:rPr>
      </w:pPr>
    </w:p>
    <w:p>
      <w:pPr>
        <w:ind w:right="60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may, at its option, cause any Subsidiary that is not already a Guarantor to become a Guarantor by executing and delivering to the Administrative Agent the items required to be delivered under the immediately preceding subsection (a).</w:t>
      </w:r>
    </w:p>
    <w:p>
      <w:pPr>
        <w:spacing w:after="0" w:line="131" w:lineRule="exact"/>
        <w:rPr>
          <w:rFonts w:ascii="Arial" w:cs="Arial" w:eastAsia="Arial" w:hAnsi="Arial"/>
          <w:sz w:val="18"/>
          <w:szCs w:val="18"/>
          <w:color w:val="auto"/>
        </w:rPr>
      </w:pPr>
    </w:p>
    <w:p>
      <w:pPr>
        <w:ind w:firstLine="464"/>
        <w:spacing w:after="0" w:line="287" w:lineRule="auto"/>
        <w:tabs>
          <w:tab w:leader="none" w:pos="69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Borrower may request in writing that the Administrative Agent release, and upon receipt of such request the Administrative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9.6. or otherwise); (ii) such Guarantor is not otherwise required to be a party to the Guaranty under the immediately preceding subsection (a); (iii) no Default or Event of Default shall then be in existence or would occur as a result of such release, including without limitation, a Default or Event of Default resulting from a violation of any of the covenants contained in Section 9.1.; and (iv)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September 30, 2011),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80"/>
          </w:cols>
          <w:pgMar w:left="240" w:top="274" w:right="279" w:bottom="1440" w:gutter="0" w:footer="0" w:header="0"/>
        </w:sectPr>
      </w:pPr>
    </w:p>
    <w:bookmarkStart w:id="59" w:name="page60"/>
    <w:bookmarkEnd w:id="5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95 days after the end of each fiscal year of the Borrower commencing with the fiscal year of the Borrower ending December 31, 2011),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$25,000,000 as a result of such casualty or condemnation occurs, then within 5 Business Days of the Administrative Agent’s request with respect to any other fiscal period, a certificate substantially in the form of Exhibit H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2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8.4. Other Information.</w:t>
      </w:r>
    </w:p>
    <w:p>
      <w:pPr>
        <w:spacing w:after="0" w:line="96" w:lineRule="exact"/>
        <w:rPr>
          <w:sz w:val="20"/>
          <w:szCs w:val="20"/>
          <w:color w:val="auto"/>
        </w:rPr>
      </w:pPr>
    </w:p>
    <w:p>
      <w:pPr>
        <w:ind w:right="260" w:firstLine="464"/>
        <w:spacing w:after="0" w:line="268"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Board of Trustees by its independent public accountants;</w:t>
      </w:r>
    </w:p>
    <w:p>
      <w:pPr>
        <w:spacing w:after="0" w:line="131" w:lineRule="exact"/>
        <w:rPr>
          <w:rFonts w:ascii="Arial" w:cs="Arial" w:eastAsia="Arial" w:hAnsi="Arial"/>
          <w:sz w:val="18"/>
          <w:szCs w:val="18"/>
          <w:color w:val="auto"/>
        </w:rPr>
      </w:pPr>
    </w:p>
    <w:p>
      <w:pPr>
        <w:ind w:right="680" w:firstLine="464"/>
        <w:spacing w:after="0" w:line="254"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w:t>
      </w:r>
    </w:p>
    <w:p>
      <w:pPr>
        <w:ind w:right="320"/>
        <w:spacing w:after="0" w:line="261" w:lineRule="auto"/>
        <w:rPr>
          <w:rFonts w:ascii="Arial" w:cs="Arial" w:eastAsia="Arial" w:hAnsi="Arial"/>
          <w:sz w:val="18"/>
          <w:szCs w:val="18"/>
          <w:color w:val="auto"/>
        </w:rPr>
      </w:pPr>
      <w:r>
        <w:rPr>
          <w:rFonts w:ascii="Arial" w:cs="Arial" w:eastAsia="Arial" w:hAnsi="Arial"/>
          <w:sz w:val="18"/>
          <w:szCs w:val="18"/>
          <w:color w:val="auto"/>
        </w:rPr>
        <w:t>Forms 10-K, 10-Q and 8-K (or their equivalents) and all other periodic reports which any Loan Party or any other Subsidiary shall file with the Securities and Exchange Commission (or any Governmental Authority substituted therefor) or any national securities exchange;</w:t>
      </w:r>
    </w:p>
    <w:p>
      <w:pPr>
        <w:spacing w:after="0" w:line="137" w:lineRule="exact"/>
        <w:rPr>
          <w:rFonts w:ascii="Arial" w:cs="Arial" w:eastAsia="Arial" w:hAnsi="Arial"/>
          <w:sz w:val="18"/>
          <w:szCs w:val="18"/>
          <w:color w:val="auto"/>
        </w:rPr>
      </w:pPr>
    </w:p>
    <w:p>
      <w:pPr>
        <w:ind w:right="360" w:firstLine="464"/>
        <w:spacing w:after="0" w:line="332"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85" w:lineRule="exact"/>
        <w:rPr>
          <w:rFonts w:ascii="Arial" w:cs="Arial" w:eastAsia="Arial" w:hAnsi="Arial"/>
          <w:sz w:val="16"/>
          <w:szCs w:val="16"/>
          <w:color w:val="auto"/>
        </w:rPr>
      </w:pPr>
    </w:p>
    <w:p>
      <w:pPr>
        <w:ind w:right="40" w:firstLine="464"/>
        <w:spacing w:after="0" w:line="286"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later than (i) the last day of February of each year, projected consolidated financial statements of Borrower and its consolidated Subsidiaries, for the next fiscal year set forth on a quarterly basis, to include projected balance sheets, statements of income and loss and statements of cash flow, together with calculations required to establish whether or not the Borrower is projected to be in compliance with the financial covenants set forth in Section 9.1. and (ii) 15 Business Days of Administrative Agent’s request, the Borrower shall deliver such projected consolidated financial statements for the four fiscal-quarter period commencing with the fiscal quarter in which such request was made; provided, that the Borrower shall not be required to provide projections pursuant to this clause (ii) more than once during any fiscal quarter; further, in each case, such projected consolidated financial statements shall be prepared on a quarterly basis, all in reasonable detail, and in form and content acceptable to the Administrative Agent, and shall be accompanied by such supporting information as the Administrative Agent may reasonably request.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27" w:lineRule="exact"/>
        <w:rPr>
          <w:rFonts w:ascii="Arial" w:cs="Arial" w:eastAsia="Arial" w:hAnsi="Arial"/>
          <w:sz w:val="16"/>
          <w:szCs w:val="16"/>
          <w:color w:val="auto"/>
        </w:rPr>
      </w:pPr>
    </w:p>
    <w:p>
      <w:pPr>
        <w:jc w:val="both"/>
        <w:ind w:right="300" w:firstLine="464"/>
        <w:spacing w:after="0" w:line="306"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spacing w:after="0" w:line="106" w:lineRule="exact"/>
        <w:rPr>
          <w:rFonts w:ascii="Arial" w:cs="Arial" w:eastAsia="Arial" w:hAnsi="Arial"/>
          <w:sz w:val="16"/>
          <w:szCs w:val="16"/>
          <w:color w:val="auto"/>
        </w:rPr>
      </w:pPr>
    </w:p>
    <w:p>
      <w:pPr>
        <w:ind w:firstLine="464"/>
        <w:spacing w:after="0" w:line="255" w:lineRule="auto"/>
        <w:tabs>
          <w:tab w:leader="none" w:pos="6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extent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142" w:lineRule="exact"/>
        <w:rPr>
          <w:rFonts w:ascii="Arial" w:cs="Arial" w:eastAsia="Arial" w:hAnsi="Arial"/>
          <w:sz w:val="18"/>
          <w:szCs w:val="18"/>
          <w:color w:val="auto"/>
        </w:rPr>
      </w:pPr>
    </w:p>
    <w:p>
      <w:pPr>
        <w:ind w:right="40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copy of any amendment to the declaration of trust or other organizational documents of the Borrower within fifteen (15) Business Days after the effectiveness thereof;</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74" w:right="239" w:bottom="1440" w:gutter="0" w:footer="0" w:header="0"/>
        </w:sectPr>
      </w:pPr>
    </w:p>
    <w:bookmarkStart w:id="61" w:name="page62"/>
    <w:bookmarkEnd w:id="61"/>
    <w:p>
      <w:pPr>
        <w:ind w:left="-8" w:right="220" w:firstLine="464"/>
        <w:spacing w:after="0" w:line="259" w:lineRule="auto"/>
        <w:tabs>
          <w:tab w:leader="none" w:pos="697"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140" w:lineRule="exact"/>
        <w:rPr>
          <w:rFonts w:ascii="Arial" w:cs="Arial" w:eastAsia="Arial" w:hAnsi="Arial"/>
          <w:sz w:val="18"/>
          <w:szCs w:val="18"/>
          <w:color w:val="auto"/>
        </w:rPr>
      </w:pPr>
    </w:p>
    <w:p>
      <w:pPr>
        <w:jc w:val="both"/>
        <w:ind w:left="-8" w:right="140" w:firstLine="464"/>
        <w:spacing w:after="0" w:line="256" w:lineRule="auto"/>
        <w:tabs>
          <w:tab w:leader="none" w:pos="6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Promptly upon a Responsible Officer of the Borrower obtaining knowledge thereof,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left="-8" w:right="220" w:firstLine="464"/>
        <w:spacing w:after="0" w:line="268" w:lineRule="auto"/>
        <w:tabs>
          <w:tab w:leader="none" w:pos="6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 notice of any order, judgment or decree in excess of $5,000,000 having been entered against any Loan Party or any other Subsidiary or any of their respective properties or assets;</w:t>
      </w:r>
    </w:p>
    <w:p>
      <w:pPr>
        <w:spacing w:after="0" w:line="131" w:lineRule="exact"/>
        <w:rPr>
          <w:rFonts w:ascii="Arial" w:cs="Arial" w:eastAsia="Arial" w:hAnsi="Arial"/>
          <w:sz w:val="18"/>
          <w:szCs w:val="18"/>
          <w:color w:val="auto"/>
        </w:rPr>
      </w:pPr>
    </w:p>
    <w:p>
      <w:pPr>
        <w:ind w:left="-8" w:right="460" w:firstLine="464"/>
        <w:spacing w:after="0" w:line="332" w:lineRule="auto"/>
        <w:tabs>
          <w:tab w:leader="none" w:pos="6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85" w:lineRule="exact"/>
        <w:rPr>
          <w:rFonts w:ascii="Arial" w:cs="Arial" w:eastAsia="Arial" w:hAnsi="Arial"/>
          <w:sz w:val="16"/>
          <w:szCs w:val="16"/>
          <w:color w:val="auto"/>
        </w:rPr>
      </w:pPr>
    </w:p>
    <w:p>
      <w:pPr>
        <w:ind w:left="672" w:hanging="216"/>
        <w:spacing w:after="0"/>
        <w:tabs>
          <w:tab w:leader="none" w:pos="672"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 notice of any Subsidiary becoming a Material Subsidiary;</w:t>
      </w:r>
    </w:p>
    <w:p>
      <w:pPr>
        <w:spacing w:after="0" w:line="171" w:lineRule="exact"/>
        <w:rPr>
          <w:rFonts w:ascii="Arial" w:cs="Arial" w:eastAsia="Arial" w:hAnsi="Arial"/>
          <w:sz w:val="18"/>
          <w:szCs w:val="18"/>
          <w:color w:val="auto"/>
        </w:rPr>
      </w:pPr>
    </w:p>
    <w:p>
      <w:pPr>
        <w:ind w:left="-8" w:right="60" w:firstLine="464"/>
        <w:spacing w:after="0" w:line="268" w:lineRule="auto"/>
        <w:tabs>
          <w:tab w:leader="none" w:pos="746"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131" w:lineRule="exact"/>
        <w:rPr>
          <w:rFonts w:ascii="Arial" w:cs="Arial" w:eastAsia="Arial" w:hAnsi="Arial"/>
          <w:sz w:val="18"/>
          <w:szCs w:val="18"/>
          <w:color w:val="auto"/>
        </w:rPr>
      </w:pPr>
    </w:p>
    <w:p>
      <w:pPr>
        <w:ind w:left="-8" w:right="420" w:firstLine="464"/>
        <w:spacing w:after="0" w:line="268" w:lineRule="auto"/>
        <w:tabs>
          <w:tab w:leader="none" w:pos="697"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Promptly upon any change in the Borrower’s Credit Rating, a certificate stating that the Borrower’s Credit Rating has changed and the new Credit Rating that is in effect;</w:t>
      </w:r>
    </w:p>
    <w:p>
      <w:pPr>
        <w:spacing w:after="0" w:line="131" w:lineRule="exact"/>
        <w:rPr>
          <w:rFonts w:ascii="Arial" w:cs="Arial" w:eastAsia="Arial" w:hAnsi="Arial"/>
          <w:sz w:val="18"/>
          <w:szCs w:val="18"/>
          <w:color w:val="auto"/>
        </w:rPr>
      </w:pPr>
    </w:p>
    <w:p>
      <w:pPr>
        <w:ind w:left="712" w:hanging="256"/>
        <w:spacing w:after="0"/>
        <w:tabs>
          <w:tab w:leader="none" w:pos="712" w:val="left"/>
        </w:tabs>
        <w:numPr>
          <w:ilvl w:val="1"/>
          <w:numId w:val="55"/>
        </w:numPr>
        <w:rPr>
          <w:rFonts w:ascii="Arial" w:cs="Arial" w:eastAsia="Arial" w:hAnsi="Arial"/>
          <w:sz w:val="16"/>
          <w:szCs w:val="16"/>
          <w:color w:val="auto"/>
        </w:rPr>
      </w:pPr>
      <w:r>
        <w:rPr>
          <w:rFonts w:ascii="Arial" w:cs="Arial" w:eastAsia="Arial" w:hAnsi="Arial"/>
          <w:sz w:val="16"/>
          <w:szCs w:val="16"/>
          <w:color w:val="auto"/>
        </w:rPr>
        <w:t>Promptly upon each request, information identifying the Borrower as a Lender may request in order to comply with the USA Patriot Act;</w:t>
      </w:r>
    </w:p>
    <w:p>
      <w:pPr>
        <w:spacing w:after="0" w:line="194" w:lineRule="exact"/>
        <w:rPr>
          <w:rFonts w:ascii="Arial" w:cs="Arial" w:eastAsia="Arial" w:hAnsi="Arial"/>
          <w:sz w:val="16"/>
          <w:szCs w:val="16"/>
          <w:color w:val="auto"/>
        </w:rPr>
      </w:pPr>
    </w:p>
    <w:p>
      <w:pPr>
        <w:ind w:left="-8" w:right="340" w:firstLine="464"/>
        <w:spacing w:after="0" w:line="268" w:lineRule="auto"/>
        <w:tabs>
          <w:tab w:leader="none" w:pos="697"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left="712" w:hanging="256"/>
        <w:spacing w:after="0"/>
        <w:tabs>
          <w:tab w:leader="none" w:pos="712" w:val="left"/>
        </w:tabs>
        <w:numPr>
          <w:ilvl w:val="1"/>
          <w:numId w:val="55"/>
        </w:numPr>
        <w:rPr>
          <w:rFonts w:ascii="Arial" w:cs="Arial" w:eastAsia="Arial" w:hAnsi="Arial"/>
          <w:sz w:val="16"/>
          <w:szCs w:val="16"/>
          <w:color w:val="auto"/>
        </w:rPr>
      </w:pPr>
      <w:r>
        <w:rPr>
          <w:rFonts w:ascii="Arial" w:cs="Arial" w:eastAsia="Arial" w:hAnsi="Arial"/>
          <w:sz w:val="16"/>
          <w:szCs w:val="16"/>
          <w:color w:val="auto"/>
        </w:rPr>
        <w:t>Prompt written notice, meaning within ten (10) Business Days after the Borrower obtains knowledge thereof, of the occurrence of any of the following:</w:t>
      </w:r>
    </w:p>
    <w:p>
      <w:pPr>
        <w:spacing w:after="0" w:line="38" w:lineRule="exact"/>
        <w:rPr>
          <w:rFonts w:ascii="Arial" w:cs="Arial" w:eastAsia="Arial" w:hAnsi="Arial"/>
          <w:sz w:val="16"/>
          <w:szCs w:val="16"/>
          <w:color w:val="auto"/>
        </w:rPr>
      </w:pPr>
    </w:p>
    <w:p>
      <w:pPr>
        <w:ind w:left="-8" w:right="20" w:firstLine="8"/>
        <w:spacing w:after="0" w:line="287" w:lineRule="auto"/>
        <w:tabs>
          <w:tab w:leader="none" w:pos="2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124" w:lineRule="exact"/>
        <w:rPr>
          <w:rFonts w:ascii="Arial" w:cs="Arial" w:eastAsia="Arial" w:hAnsi="Arial"/>
          <w:sz w:val="16"/>
          <w:szCs w:val="16"/>
          <w:color w:val="auto"/>
        </w:rPr>
      </w:pPr>
    </w:p>
    <w:p>
      <w:pPr>
        <w:ind w:left="-8" w:firstLine="464"/>
        <w:spacing w:after="0" w:line="268" w:lineRule="auto"/>
        <w:tabs>
          <w:tab w:leader="none" w:pos="6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the Derivatives Termination Value in respect of any Specified Derivatives Contract from time to time outstanding; and</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56"/>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392"/>
          </w:cols>
          <w:pgMar w:left="248" w:top="280" w:right="259" w:bottom="1440" w:gutter="0" w:footer="0" w:header="0"/>
        </w:sectPr>
      </w:pPr>
    </w:p>
    <w:bookmarkStart w:id="62" w:name="page63"/>
    <w:bookmarkEnd w:id="62"/>
    <w:p>
      <w:pPr>
        <w:ind w:right="220" w:firstLine="464"/>
        <w:spacing w:after="0" w:line="259" w:lineRule="auto"/>
        <w:tabs>
          <w:tab w:leader="none" w:pos="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and promptly upon each request, such data, certificates, reports, statements, opinions of counsel, documents or further information regarding the business, assets, liabilities, financial condition or results of operations of the Borrower, any of its Subsidiaries, or any other Loan Party as the Administrative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6" w:lineRule="exact"/>
        <w:rPr>
          <w:sz w:val="20"/>
          <w:szCs w:val="20"/>
          <w:color w:val="auto"/>
        </w:rPr>
      </w:pPr>
    </w:p>
    <w:p>
      <w:pPr>
        <w:ind w:firstLine="464"/>
        <w:spacing w:after="0" w:line="285"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Eastern time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23" w:lineRule="exact"/>
        <w:rPr>
          <w:rFonts w:ascii="Arial" w:cs="Arial" w:eastAsia="Arial" w:hAnsi="Arial"/>
          <w:sz w:val="16"/>
          <w:szCs w:val="16"/>
          <w:color w:val="auto"/>
        </w:rPr>
      </w:pPr>
    </w:p>
    <w:p>
      <w:pPr>
        <w:ind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Documents required to be delivered pursuant to Article II. may be delivered electronically to a website provided for such purpose by the Administrative Agent pursuant to the procedures provided to the Borrower by the Administrative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Public/Private Information.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Arial" w:cs="Arial" w:eastAsia="Arial" w:hAnsi="Arial"/>
          <w:sz w:val="16"/>
          <w:szCs w:val="16"/>
          <w:b w:val="1"/>
          <w:bCs w:val="1"/>
          <w:color w:val="auto"/>
        </w:rPr>
        <w:t>Information Materials</w:t>
      </w:r>
      <w:r>
        <w:rPr>
          <w:rFonts w:ascii="Arial" w:cs="Arial" w:eastAsia="Arial" w:hAnsi="Arial"/>
          <w:sz w:val="16"/>
          <w:szCs w:val="16"/>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80"/>
          </w:cols>
          <w:pgMar w:left="240" w:top="280" w:right="27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Public Information are hereby designated as Public Information and all other Information Materials are hereby designated as Private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USA Patriot Act Notice; Compliance.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USA Patriot Act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Administrative Agent for all Lenders hereunder) may from time-to-time request, and the Borrower shall, and shall cause the other Loan Parties to, provide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ind w:right="40" w:firstLine="464"/>
        <w:spacing w:after="0" w:line="259"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Minimum Tangible Net Worth</w:t>
      </w:r>
      <w:r>
        <w:rPr>
          <w:rFonts w:ascii="Arial" w:cs="Arial" w:eastAsia="Arial" w:hAnsi="Arial"/>
          <w:sz w:val="18"/>
          <w:szCs w:val="18"/>
          <w:color w:val="auto"/>
        </w:rPr>
        <w:t xml:space="preserve">. The Borrower shall not at any time permit the Tangible Net Worth to be less than (i) $1,750,000,000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75% of the Net Proceeds of all Equity Issuances effected at any time after March 31, 2011 by the Borrower or any of its Subsidiaries to any Person other than the Borrower or any of its Subsidiaries.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The Borrower shall not permit the ratio of (i) Total Indebtedness to (ii) Total Asset Value to exceed 0.60 to 1.00 at any time.</w:t>
      </w:r>
    </w:p>
    <w:p>
      <w:pPr>
        <w:spacing w:after="0" w:line="194" w:lineRule="exact"/>
        <w:rPr>
          <w:rFonts w:ascii="Arial" w:cs="Arial" w:eastAsia="Arial" w:hAnsi="Arial"/>
          <w:sz w:val="16"/>
          <w:szCs w:val="16"/>
          <w:color w:val="auto"/>
        </w:rPr>
      </w:pPr>
    </w:p>
    <w:p>
      <w:pPr>
        <w:ind w:right="120" w:firstLine="464"/>
        <w:spacing w:after="0" w:line="332"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Borrower shall not permit the ratio of (i) Adjusted EBITDA for any fiscal quarter ending during the term of this Agreement to (ii) Fixed Charges for such fiscal quarter, to be less than 1.50 to 1.00 as of the last day of such fiscal quarter.</w:t>
      </w:r>
    </w:p>
    <w:p>
      <w:pPr>
        <w:spacing w:after="0" w:line="85" w:lineRule="exact"/>
        <w:rPr>
          <w:rFonts w:ascii="Arial" w:cs="Arial" w:eastAsia="Arial" w:hAnsi="Arial"/>
          <w:sz w:val="16"/>
          <w:szCs w:val="16"/>
          <w:color w:val="auto"/>
        </w:rPr>
      </w:pPr>
    </w:p>
    <w:p>
      <w:pPr>
        <w:ind w:right="580" w:firstLine="464"/>
        <w:spacing w:after="0" w:line="26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131"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Maximum Unencumbered Leverage Ratio</w:t>
      </w:r>
      <w:r>
        <w:rPr>
          <w:rFonts w:ascii="Arial" w:cs="Arial" w:eastAsia="Arial" w:hAnsi="Arial"/>
          <w:sz w:val="18"/>
          <w:szCs w:val="18"/>
          <w:color w:val="auto"/>
        </w:rPr>
        <w:t>. The Borrower shall not permit the ratio of (i) Unsecured Indebtedness of the Borrower and its Subsidiaries determined on a consolidated basis to (ii) Unencumbered Asset Value, to exceed 0.60 to 1.00 at any time.</w:t>
      </w:r>
    </w:p>
    <w:p>
      <w:pPr>
        <w:spacing w:after="0" w:line="131" w:lineRule="exact"/>
        <w:rPr>
          <w:rFonts w:ascii="Arial" w:cs="Arial" w:eastAsia="Arial" w:hAnsi="Arial"/>
          <w:sz w:val="18"/>
          <w:szCs w:val="18"/>
          <w:color w:val="auto"/>
        </w:rPr>
      </w:pPr>
    </w:p>
    <w:p>
      <w:pPr>
        <w:ind w:right="80" w:firstLine="464"/>
        <w:spacing w:after="0" w:line="332" w:lineRule="auto"/>
        <w:tabs>
          <w:tab w:leader="none" w:pos="67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Minimum Unencumbered Debt Yield</w:t>
      </w:r>
      <w:r>
        <w:rPr>
          <w:rFonts w:ascii="Arial" w:cs="Arial" w:eastAsia="Arial" w:hAnsi="Arial"/>
          <w:sz w:val="16"/>
          <w:szCs w:val="16"/>
          <w:color w:val="auto"/>
        </w:rPr>
        <w:t>. The Borrower shall not permit the ratio of (i) Unencumbered Adjusted NOI on a consolidated basis for any fiscal quarter to (ii) Unsecured Indebtedness of the Borrower and its Subsidiaries as of the last day of such fiscal quarter to be less than 0.11 to 1.00 at any time.</w:t>
      </w:r>
    </w:p>
    <w:p>
      <w:pPr>
        <w:spacing w:after="0" w:line="8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The Borrower shall not, and shall not permit any Loan Party or other Subsidiary to, make an Investment in or otherwise own the following items which would cause the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value of such holdings of such Persons to exceed the following percentages of Total Asset Value at any time:</w:t>
      </w:r>
    </w:p>
    <w:p>
      <w:pPr>
        <w:spacing w:after="0" w:line="90" w:lineRule="exact"/>
        <w:rPr>
          <w:sz w:val="20"/>
          <w:szCs w:val="20"/>
          <w:color w:val="auto"/>
        </w:rPr>
      </w:pPr>
    </w:p>
    <w:p>
      <w:pPr>
        <w:ind w:left="460" w:firstLine="443"/>
        <w:spacing w:after="0" w:line="259"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in Unconsolidated Affiliates and other Persons that are not Subsidiaries and Investments in Subsidiaries that own Non-Controlled Properties, such that the aggregate value of such Investments determined as the Borrower’s equity in the respective entity excluding any amounts related to non-controlling interests in accordance with GAAP, exceeds 15.00% of Total Asset Value;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Mortgage Receivables such that the aggregate book value exceeds 5.00% of Total Asset Value;</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2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Budgeted Costs for all real property under construction such that the aggregate amount of such Total Budgeted Costs exceeds 20.00% of Total Asset Value;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Unimproved Land such that the aggregate value of such Unimproved Land, calculated on the basis of cost, exceeds 5.00% of Total Asset Value;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460" w:right="2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in Persons (other than Investments in Subsidiaries and Unconsolidated Affiliates) such that the aggregate value of such Investments, calculated on the basis of cost, exceeds 5.00% of Total Asset Value.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foregoing limitations, the aggregate value of the Investments and other items subject to the limitations in the preceding clauses (i) through</w:t>
      </w:r>
    </w:p>
    <w:p>
      <w:pPr>
        <w:spacing w:after="0" w:line="38"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shall not exceed 35% of Total Asset Value.</w:t>
      </w:r>
    </w:p>
    <w:p>
      <w:pPr>
        <w:spacing w:after="0" w:line="164" w:lineRule="exact"/>
        <w:rPr>
          <w:rFonts w:ascii="Arial" w:cs="Arial" w:eastAsia="Arial" w:hAnsi="Arial"/>
          <w:sz w:val="18"/>
          <w:szCs w:val="18"/>
          <w:color w:val="auto"/>
        </w:rPr>
      </w:pPr>
    </w:p>
    <w:p>
      <w:pPr>
        <w:ind w:right="160" w:firstLine="464"/>
        <w:spacing w:after="0" w:line="268" w:lineRule="auto"/>
        <w:tabs>
          <w:tab w:leader="none" w:pos="70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Total Assets of the Borrower and the Guarantors</w:t>
      </w:r>
      <w:r>
        <w:rPr>
          <w:rFonts w:ascii="Arial" w:cs="Arial" w:eastAsia="Arial" w:hAnsi="Arial"/>
          <w:sz w:val="18"/>
          <w:szCs w:val="18"/>
          <w:color w:val="auto"/>
        </w:rPr>
        <w:t>. The Borrower shall not permit the aggregate Adjusted Total Asset Value determined with respect to the Borrower and the Guarantors to be less than 95.00% of the Adjusted Total Asset Value.</w:t>
      </w:r>
    </w:p>
    <w:p>
      <w:pPr>
        <w:spacing w:after="0" w:line="131" w:lineRule="exact"/>
        <w:rPr>
          <w:rFonts w:ascii="Arial" w:cs="Arial" w:eastAsia="Arial" w:hAnsi="Arial"/>
          <w:sz w:val="18"/>
          <w:szCs w:val="18"/>
          <w:color w:val="auto"/>
        </w:rPr>
      </w:pPr>
    </w:p>
    <w:p>
      <w:pPr>
        <w:ind w:right="120" w:firstLine="464"/>
        <w:spacing w:after="0" w:line="253" w:lineRule="auto"/>
        <w:tabs>
          <w:tab w:leader="none" w:pos="666"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Dividends and Other Restricted Payments</w:t>
      </w:r>
      <w:r>
        <w:rPr>
          <w:rFonts w:ascii="Arial" w:cs="Arial" w:eastAsia="Arial" w:hAnsi="Arial"/>
          <w:sz w:val="18"/>
          <w:szCs w:val="18"/>
          <w:color w:val="auto"/>
        </w:rPr>
        <w:t>. The Borrower shall not, and shall not permit any of its Subsidiaries to, declare or make any Restricted Payment if an Event of Default shall have occurred and is continuing; except that the Borrower may, subject to the immediately following sentence, declare and make cash distributions to its shareholders during any fiscal year in an aggregate amount not to exceed the minimum amount necessary for the Borrower to remain in compliance with Section 7.12. Notwithstanding the foregoing, if an Event of Default specified in Section 10.1.(a),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Investments Generally.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to acquire Equity Interests of a Subsidiary or any other Person who after giving effect to such acquisition would be a Subsidiary, so long as in each case (i) as a result of such</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360"/>
          </w:cols>
          <w:pgMar w:left="240" w:top="280" w:right="299" w:bottom="1440" w:gutter="0" w:footer="0" w:header="0"/>
        </w:sectPr>
      </w:pPr>
    </w:p>
    <w:bookmarkStart w:id="65" w:name="page66"/>
    <w:bookmarkEnd w:id="65"/>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and after giving effect thereto, no Default or Event of Default is or would be caused thereby, and no other Major Default or Event of Default has occurred and is continuing, and (ii) if such Subsidiary is (or after giving effect to such Investment would become) a Material Subsidiary, and is not an Excluded Subsidiary and does not own a Non-Controlled Property, the terms and conditions set forth in Section 7.14. are satisfied;</w:t>
      </w:r>
    </w:p>
    <w:p>
      <w:pPr>
        <w:spacing w:after="0" w:line="107" w:lineRule="exact"/>
        <w:rPr>
          <w:sz w:val="20"/>
          <w:szCs w:val="20"/>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Investments permitted under Section 9.1.(g);</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this Agreement;</w:t>
      </w:r>
    </w:p>
    <w:p>
      <w:pPr>
        <w:spacing w:after="0" w:line="131" w:lineRule="exact"/>
        <w:rPr>
          <w:rFonts w:ascii="Arial" w:cs="Arial" w:eastAsia="Arial" w:hAnsi="Arial"/>
          <w:sz w:val="18"/>
          <w:szCs w:val="18"/>
          <w:color w:val="auto"/>
        </w:rPr>
      </w:pPr>
    </w:p>
    <w:p>
      <w:pPr>
        <w:ind w:right="120" w:firstLine="464"/>
        <w:spacing w:after="0" w:line="259" w:lineRule="auto"/>
        <w:tabs>
          <w:tab w:leader="none" w:pos="6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Investments so long as a result of making such Investment, and immediately thereafter and after giving effect thereto, no Default or Event of Default is or would be caused thereby, and no other Major Default or Event of Default has occurred and is continuing.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Liens; Negative Pledges.</w:t>
      </w:r>
    </w:p>
    <w:p>
      <w:pPr>
        <w:spacing w:after="0" w:line="96" w:lineRule="exact"/>
        <w:rPr>
          <w:sz w:val="20"/>
          <w:szCs w:val="20"/>
          <w:color w:val="auto"/>
        </w:rPr>
      </w:pPr>
    </w:p>
    <w:p>
      <w:pPr>
        <w:ind w:firstLine="464"/>
        <w:spacing w:after="0" w:line="298"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right="40" w:firstLine="464"/>
        <w:spacing w:after="0" w:line="303" w:lineRule="auto"/>
        <w:tabs>
          <w:tab w:leader="none" w:pos="705"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Borrower shall not, and shall not permit any Subsidiary (other than an Excluded Subsidiary) or other Loan Party to, enter into, assume or otherwise be bound by any Negative Pledge except for a Negative Pledge contained in any agreement (i) evidencing Indebtedness which the Borrower or such Subsidiary may create, incur, assume, or permit or suffer to exist under this Agreement; (ii) which Indebtedness is secured by a Lien permitted to exist hereunder and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which prohibits the creation of any other Lien on only the property securing such Indebtedness as of the date such agreement was entered into.</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Restrictions on Intercompany Transfers.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(ii) with respect to clause (d), customary provisions restricting assignment of any agreement entered into by the Borrower, any other Loan Party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20"/>
          </w:cols>
          <w:pgMar w:left="240" w:top="280" w:right="239" w:bottom="1440" w:gutter="0" w:footer="0" w:header="0"/>
        </w:sectPr>
      </w:pPr>
    </w:p>
    <w:bookmarkStart w:id="66" w:name="page67"/>
    <w:bookmarkEnd w:id="6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Merger, Consolidation, Sales of Assets and Other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and shall not permit any other Loan Party or any other Subsidiary to, (a) enter into any transaction of merger or consolidation;</w:t>
      </w:r>
    </w:p>
    <w:p>
      <w:pPr>
        <w:spacing w:after="0" w:line="38" w:lineRule="exact"/>
        <w:rPr>
          <w:sz w:val="20"/>
          <w:szCs w:val="20"/>
          <w:color w:val="auto"/>
        </w:rPr>
      </w:pPr>
    </w:p>
    <w:p>
      <w:pPr>
        <w:ind w:right="500" w:firstLine="8"/>
        <w:spacing w:after="0" w:line="352" w:lineRule="auto"/>
        <w:tabs>
          <w:tab w:leader="none" w:pos="249" w:val="left"/>
        </w:tabs>
        <w:numPr>
          <w:ilvl w:val="0"/>
          <w:numId w:val="66"/>
        </w:numPr>
        <w:rPr>
          <w:rFonts w:ascii="Arial" w:cs="Arial" w:eastAsia="Arial" w:hAnsi="Arial"/>
          <w:sz w:val="15"/>
          <w:szCs w:val="15"/>
          <w:color w:val="auto"/>
        </w:rPr>
      </w:pPr>
      <w:r>
        <w:rPr>
          <w:rFonts w:ascii="Arial" w:cs="Arial" w:eastAsia="Arial" w:hAnsi="Arial"/>
          <w:sz w:val="15"/>
          <w:szCs w:val="15"/>
          <w:color w:val="auto"/>
        </w:rPr>
        <w:t>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ind w:left="460" w:firstLine="443"/>
        <w:spacing w:after="0" w:line="282" w:lineRule="auto"/>
        <w:tabs>
          <w:tab w:leader="none" w:pos="1108"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(i) the Borrower shall have given the Administrative Agent and the Lenders at least 10 Business Days’ prior written notice of such merger; (ii) if the survivor entity is a Material Subsidiary (and not an Excluded Subsidiary) within five (5) Business Days of consummation of such merger, the survivor entity (if not already a Guarantor) shall have executed and delivered an Accession Agreement; (iii) within 30 days of consummation of such merger, the survivor entity delivers to the Administrative Agent the following: (A) items of the type referred to in Sections 5.1.(a)(iv) through (viii) with respect to the survivor entity as in effect after consummation of such merger (if not previously delivered to the Administrative Agent and still in effect), (B) copies of all documents entered into by such Loan Party or the survivor entity to effectuate the consummation of such merger, including, but not limited to, articles of merger and the plan of merger,</w:t>
      </w:r>
    </w:p>
    <w:p>
      <w:pPr>
        <w:spacing w:after="0" w:line="5" w:lineRule="exact"/>
        <w:rPr>
          <w:rFonts w:ascii="Arial" w:cs="Arial" w:eastAsia="Arial" w:hAnsi="Arial"/>
          <w:sz w:val="16"/>
          <w:szCs w:val="16"/>
          <w:color w:val="auto"/>
        </w:rPr>
      </w:pPr>
    </w:p>
    <w:p>
      <w:pPr>
        <w:ind w:left="460" w:right="140" w:firstLine="4"/>
        <w:spacing w:after="0" w:line="254" w:lineRule="auto"/>
        <w:tabs>
          <w:tab w:leader="none" w:pos="7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Administrative Agent may reasonably request;</w:t>
      </w:r>
    </w:p>
    <w:p>
      <w:pPr>
        <w:spacing w:after="0" w:line="62"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Borrower, the other Loan Parties and the other Subsidiaries may lease and sublease their respective assets, as lessor or sublessor (as the case may be), in the ordinary course of their business;</w:t>
      </w:r>
    </w:p>
    <w:p>
      <w:pPr>
        <w:spacing w:after="0" w:line="50" w:lineRule="exact"/>
        <w:rPr>
          <w:rFonts w:ascii="Arial" w:cs="Arial" w:eastAsia="Arial" w:hAnsi="Arial"/>
          <w:sz w:val="18"/>
          <w:szCs w:val="18"/>
          <w:color w:val="auto"/>
        </w:rPr>
      </w:pPr>
    </w:p>
    <w:p>
      <w:pPr>
        <w:jc w:val="both"/>
        <w:ind w:left="460" w:right="100" w:firstLine="443"/>
        <w:spacing w:after="0" w:line="298" w:lineRule="auto"/>
        <w:tabs>
          <w:tab w:leader="none" w:pos="1205" w:val="left"/>
        </w:tabs>
        <w:numPr>
          <w:ilvl w:val="2"/>
          <w:numId w:val="67"/>
        </w:numPr>
        <w:rPr>
          <w:rFonts w:ascii="Arial" w:cs="Arial" w:eastAsia="Arial" w:hAnsi="Arial"/>
          <w:sz w:val="16"/>
          <w:szCs w:val="16"/>
          <w:color w:val="auto"/>
        </w:rPr>
      </w:pPr>
      <w:r>
        <w:rPr>
          <w:rFonts w:ascii="Arial" w:cs="Arial" w:eastAsia="Arial" w:hAnsi="Arial"/>
          <w:sz w:val="16"/>
          <w:szCs w:val="16"/>
          <w:color w:val="auto"/>
        </w:rPr>
        <w:t>a Person may merge with and into the Borrower so long as (A) the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31" w:lineRule="exact"/>
        <w:rPr>
          <w:rFonts w:ascii="Arial" w:cs="Arial" w:eastAsia="Arial" w:hAnsi="Arial"/>
          <w:sz w:val="16"/>
          <w:szCs w:val="16"/>
          <w:color w:val="auto"/>
        </w:rPr>
      </w:pPr>
    </w:p>
    <w:p>
      <w:pPr>
        <w:ind w:left="1200" w:hanging="297"/>
        <w:spacing w:after="0"/>
        <w:tabs>
          <w:tab w:leader="none" w:pos="1200"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left="5620" w:hanging="96"/>
        <w:spacing w:after="0"/>
        <w:tabs>
          <w:tab w:leader="none" w:pos="5620" w:val="left"/>
        </w:tabs>
        <w:numPr>
          <w:ilvl w:val="3"/>
          <w:numId w:val="67"/>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280" w:right="239" w:bottom="1440" w:gutter="0" w:footer="0" w:header="0"/>
        </w:sectPr>
      </w:pPr>
    </w:p>
    <w:bookmarkStart w:id="67" w:name="page68"/>
    <w:bookmarkEnd w:id="6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 the Borrower and each Subsidiary may transfer property as security for Indebtedness to the extent permitted under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Plans.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and shall not permit any other Loan Party or other Subsidiary to, change its fiscal year from that in effect as of the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Modifications of Organizational Documents.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Transactions with Affiliates.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or (c)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Environmental Matters.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9.11. Non-Controlled Properties.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Derivatives Contracts.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9.13. Anti-Terrorism Laws.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the Loan Parties shall (a) conduct any business or engage in any transaction or dealing with any Blocked Person, including the making or receiving of any contribution of funds, goods or services to or for the benefit of any Blocked Person; (b) engage in or conspire to engage in any transaction relating to any property or interests in property blocked pursuant to Executive Order No. 13224; or (c) engage in or conspire to engage in any transaction that violates, evades or avoids, or has the purpose of violating, evading or avoiding, or attempts or intends to violate, evade or avoid, any of the prohibitions set forth in Executive Order No. 13224, the USA Patriot Act or any other Anti-Terrorism Law. The Borrower shall deliver to Lenders any certification or other evidence requested from time to time by any Lender in its sole discretion, confirming Borrower’s compliance with this Section.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200" w:firstLine="464"/>
        <w:spacing w:after="0" w:line="298"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Default in Payment</w:t>
      </w:r>
      <w:r>
        <w:rPr>
          <w:rFonts w:ascii="Arial" w:cs="Arial" w:eastAsia="Arial" w:hAnsi="Arial"/>
          <w:sz w:val="16"/>
          <w:szCs w:val="16"/>
          <w:color w:val="auto"/>
        </w:rPr>
        <w:t>.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or any of the other payment Obligations owing by the Borrower under this Agreement, any other Loan Document or the Fee Letter and, solely with respect to this clause (ii) such failure shall continue for a period of five (5) Business Days.</w:t>
      </w:r>
    </w:p>
    <w:p>
      <w:pPr>
        <w:spacing w:after="0" w:line="193" w:lineRule="exact"/>
        <w:rPr>
          <w:rFonts w:ascii="Arial" w:cs="Arial" w:eastAsia="Arial" w:hAnsi="Arial"/>
          <w:sz w:val="16"/>
          <w:szCs w:val="16"/>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on its part to be performed or observed and contained in Section 8.4.(i) or Article IX.; or</w:t>
      </w:r>
    </w:p>
    <w:p>
      <w:pPr>
        <w:spacing w:after="0" w:line="50" w:lineRule="exact"/>
        <w:rPr>
          <w:rFonts w:ascii="Arial" w:cs="Arial" w:eastAsia="Arial" w:hAnsi="Arial"/>
          <w:sz w:val="18"/>
          <w:szCs w:val="18"/>
          <w:color w:val="auto"/>
        </w:rPr>
      </w:pPr>
    </w:p>
    <w:p>
      <w:pPr>
        <w:ind w:left="460" w:right="480" w:firstLine="443"/>
        <w:spacing w:after="0" w:line="332" w:lineRule="auto"/>
        <w:tabs>
          <w:tab w:leader="none" w:pos="1157"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Loan Party shall fail to perform or observe any term, covenant, condition or agreement contained in this Agreement or any other Loan Document to which it is a party and not otherwise mentioned in this Section, and in the case of this subsection (b)(ii) only, such failure</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4" w:right="239" w:bottom="1440" w:gutter="0" w:footer="0" w:header="0"/>
        </w:sectPr>
      </w:pPr>
    </w:p>
    <w:bookmarkStart w:id="69" w:name="page70"/>
    <w:bookmarkEnd w:id="69"/>
    <w:p>
      <w:pPr>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spacing w:after="0" w:line="85" w:lineRule="exact"/>
        <w:rPr>
          <w:sz w:val="20"/>
          <w:szCs w:val="20"/>
          <w:color w:val="auto"/>
        </w:rPr>
      </w:pPr>
    </w:p>
    <w:p>
      <w:pPr>
        <w:jc w:val="both"/>
        <w:ind w:right="100" w:firstLine="464"/>
        <w:spacing w:after="0" w:line="298"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when furnished or made or deemed made.</w:t>
      </w:r>
    </w:p>
    <w:p>
      <w:pPr>
        <w:spacing w:after="0" w:line="193" w:lineRule="exact"/>
        <w:rPr>
          <w:rFonts w:ascii="Arial" w:cs="Arial" w:eastAsia="Arial" w:hAnsi="Arial"/>
          <w:sz w:val="16"/>
          <w:szCs w:val="16"/>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39"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(ii)(x)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59" w:lineRule="exact"/>
        <w:rPr>
          <w:sz w:val="20"/>
          <w:szCs w:val="20"/>
          <w:color w:val="auto"/>
        </w:rPr>
      </w:pPr>
    </w:p>
    <w:p>
      <w:pPr>
        <w:ind w:left="460" w:right="80" w:firstLine="443"/>
        <w:spacing w:after="0" w:line="306" w:lineRule="auto"/>
        <w:tabs>
          <w:tab w:leader="none" w:pos="12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460" w:right="160" w:firstLine="443"/>
        <w:spacing w:after="0" w:line="268" w:lineRule="auto"/>
        <w:tabs>
          <w:tab w:leader="none" w:pos="11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Loan Party shall fail to pay when due and payable amounts in excess of $25,000,000 in the aggregate owing in respect of any Derivatives Contracts; or</w:t>
      </w:r>
    </w:p>
    <w:p>
      <w:pPr>
        <w:spacing w:after="0" w:line="50" w:lineRule="exact"/>
        <w:rPr>
          <w:rFonts w:ascii="Arial" w:cs="Arial" w:eastAsia="Arial" w:hAnsi="Arial"/>
          <w:sz w:val="18"/>
          <w:szCs w:val="18"/>
          <w:color w:val="auto"/>
        </w:rPr>
      </w:pPr>
    </w:p>
    <w:p>
      <w:pPr>
        <w:ind w:left="460" w:right="240" w:firstLine="443"/>
        <w:spacing w:after="0" w:line="335" w:lineRule="auto"/>
        <w:tabs>
          <w:tab w:leader="none" w:pos="114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 “Event of Default” under and as defined in the Existing Credit Agreement shall have occurred and be continuing; provided, however, if a lender under the Existing Credit Agreement has agreed to waive such “Event of Default” under the Existing Credit Agreement and such lender is also a Lender under this Agreement, then such Lender shall also be deemed to have waived the corresponding Event of Default under this Section 10.1.(d)(v).</w:t>
      </w:r>
    </w:p>
    <w:p>
      <w:pPr>
        <w:spacing w:after="0" w:line="8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60"/>
          </w:cols>
          <w:pgMar w:left="240" w:top="280" w:right="299" w:bottom="1440" w:gutter="0" w:footer="0" w:header="0"/>
        </w:sectPr>
      </w:pPr>
    </w:p>
    <w:bookmarkStart w:id="70" w:name="page71"/>
    <w:bookmarkEnd w:id="70"/>
    <w:p>
      <w:pPr>
        <w:ind w:right="140" w:firstLine="464"/>
        <w:spacing w:after="0" w:line="283" w:lineRule="auto"/>
        <w:tabs>
          <w:tab w:leader="none" w:pos="695"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Bankruptcy Proceeding</w:t>
      </w:r>
      <w:r>
        <w:rPr>
          <w:rFonts w:ascii="Arial" w:cs="Arial" w:eastAsia="Arial" w:hAnsi="Arial"/>
          <w:sz w:val="16"/>
          <w:szCs w:val="16"/>
          <w:color w:val="auto"/>
        </w:rPr>
        <w:t>. The Borrower, any other Loan Party,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w:t>
      </w:r>
    </w:p>
    <w:p>
      <w:pPr>
        <w:spacing w:after="0" w:line="1" w:lineRule="exact"/>
        <w:rPr>
          <w:rFonts w:ascii="Arial" w:cs="Arial" w:eastAsia="Arial" w:hAnsi="Arial"/>
          <w:sz w:val="16"/>
          <w:szCs w:val="16"/>
          <w:color w:val="auto"/>
        </w:rPr>
      </w:pPr>
    </w:p>
    <w:p>
      <w:pPr>
        <w:ind w:right="680" w:firstLine="8"/>
        <w:spacing w:after="0" w:line="323" w:lineRule="auto"/>
        <w:tabs>
          <w:tab w:leader="none" w:pos="2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92" w:lineRule="exact"/>
        <w:rPr>
          <w:rFonts w:ascii="Arial" w:cs="Arial" w:eastAsia="Arial" w:hAnsi="Arial"/>
          <w:sz w:val="16"/>
          <w:szCs w:val="16"/>
          <w:color w:val="auto"/>
        </w:rPr>
      </w:pPr>
    </w:p>
    <w:p>
      <w:pPr>
        <w:ind w:left="680" w:hanging="216"/>
        <w:spacing w:after="0"/>
        <w:tabs>
          <w:tab w:leader="none" w:pos="680"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other</w:t>
      </w:r>
    </w:p>
    <w:p>
      <w:pPr>
        <w:spacing w:after="0" w:line="38"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18" w:lineRule="exact"/>
        <w:rPr>
          <w:rFonts w:ascii="Arial" w:cs="Arial" w:eastAsia="Arial" w:hAnsi="Arial"/>
          <w:sz w:val="16"/>
          <w:szCs w:val="16"/>
          <w:color w:val="auto"/>
        </w:rPr>
      </w:pPr>
    </w:p>
    <w:p>
      <w:pPr>
        <w:jc w:val="both"/>
        <w:ind w:right="120" w:firstLine="464"/>
        <w:spacing w:after="0" w:line="256" w:lineRule="auto"/>
        <w:tabs>
          <w:tab w:leader="none" w:pos="70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Revocation of Loan Documents</w:t>
      </w:r>
      <w:r>
        <w:rPr>
          <w:rFonts w:ascii="Arial" w:cs="Arial" w:eastAsia="Arial" w:hAnsi="Arial"/>
          <w:sz w:val="18"/>
          <w:szCs w:val="18"/>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$25,000,000 or (B) in the case of an injunction or other non-monetary relief, such injunction or judgment or order could reasonably be expected to have a Material Adverse Effect.</w:t>
      </w:r>
    </w:p>
    <w:p>
      <w:pPr>
        <w:spacing w:after="0" w:line="120" w:lineRule="exact"/>
        <w:rPr>
          <w:rFonts w:ascii="Arial" w:cs="Arial" w:eastAsia="Arial" w:hAnsi="Arial"/>
          <w:sz w:val="16"/>
          <w:szCs w:val="16"/>
          <w:color w:val="auto"/>
        </w:rPr>
      </w:pPr>
    </w:p>
    <w:p>
      <w:pPr>
        <w:ind w:right="140" w:firstLine="464"/>
        <w:spacing w:after="0" w:line="294" w:lineRule="auto"/>
        <w:tabs>
          <w:tab w:leader="none" w:pos="66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20"/>
          </w:cols>
          <w:pgMar w:left="240" w:top="280" w:right="239" w:bottom="1440" w:gutter="0" w:footer="0" w:header="0"/>
        </w:sectPr>
      </w:pPr>
    </w:p>
    <w:bookmarkStart w:id="71" w:name="page72"/>
    <w:bookmarkEnd w:id="71"/>
    <w:p>
      <w:pPr>
        <w:ind w:right="8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213" w:lineRule="exact"/>
        <w:rPr>
          <w:sz w:val="20"/>
          <w:szCs w:val="20"/>
          <w:color w:val="auto"/>
        </w:rPr>
      </w:pPr>
    </w:p>
    <w:p>
      <w:pPr>
        <w:ind w:left="680" w:hanging="21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ERISA Event shall have occurred that results or could reasonably be expected to result in liability to any member of the ERISA Group aggregating in excess of $25,000,000;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exceeds the “fair market value of plan assets” for such Plans by more than $25,000,000, all as determined, and with such terms defined, in accordance with FASB ASC 715.</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252" w:lineRule="exact"/>
        <w:rPr>
          <w:rFonts w:ascii="Arial" w:cs="Arial" w:eastAsia="Arial" w:hAnsi="Arial"/>
          <w:sz w:val="18"/>
          <w:szCs w:val="18"/>
          <w:color w:val="auto"/>
        </w:rPr>
      </w:pPr>
    </w:p>
    <w:p>
      <w:pPr>
        <w:ind w:left="680" w:hanging="21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108"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stock of the Borrower; or</w:t>
      </w:r>
    </w:p>
    <w:p>
      <w:pPr>
        <w:spacing w:after="0" w:line="31" w:lineRule="exact"/>
        <w:rPr>
          <w:rFonts w:ascii="Arial" w:cs="Arial" w:eastAsia="Arial" w:hAnsi="Arial"/>
          <w:sz w:val="16"/>
          <w:szCs w:val="16"/>
          <w:color w:val="auto"/>
        </w:rPr>
      </w:pPr>
    </w:p>
    <w:p>
      <w:pPr>
        <w:ind w:left="460" w:firstLine="443"/>
        <w:spacing w:after="0" w:line="255" w:lineRule="auto"/>
        <w:tabs>
          <w:tab w:leader="none" w:pos="11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252" w:lineRule="exact"/>
        <w:rPr>
          <w:sz w:val="20"/>
          <w:szCs w:val="20"/>
          <w:color w:val="auto"/>
        </w:rPr>
      </w:pPr>
    </w:p>
    <w:p>
      <w:pPr>
        <w:ind w:left="700" w:hanging="23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20" w:firstLine="443"/>
        <w:spacing w:after="0" w:line="255" w:lineRule="auto"/>
        <w:tabs>
          <w:tab w:leader="none" w:pos="110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Automatic</w:t>
      </w:r>
      <w:r>
        <w:rPr>
          <w:rFonts w:ascii="Arial" w:cs="Arial" w:eastAsia="Arial" w:hAnsi="Arial"/>
          <w:sz w:val="18"/>
          <w:szCs w:val="18"/>
          <w:color w:val="auto"/>
        </w:rPr>
        <w:t>. Upon the occurrence of an Event of Default specified in Sections 10.1.(e) or 10.1.(f), (A)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If any other Event of Default shall exist, the Administrative Agent may, and at the direction of the Requisite Lenders shall, declare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 the principal of, and accrued interest on, the Loans and the Notes at the time outstanding and (B) all of the other Obligations,</w:t>
      </w:r>
    </w:p>
    <w:p>
      <w:pPr>
        <w:spacing w:after="0" w:line="151" w:lineRule="exact"/>
        <w:rPr>
          <w:rFonts w:ascii="Arial" w:cs="Arial" w:eastAsia="Arial" w:hAnsi="Arial"/>
          <w:sz w:val="16"/>
          <w:szCs w:val="16"/>
          <w:color w:val="auto"/>
        </w:rPr>
      </w:pPr>
    </w:p>
    <w:p>
      <w:pPr>
        <w:ind w:left="5620" w:hanging="96"/>
        <w:spacing w:after="0"/>
        <w:tabs>
          <w:tab w:leader="none" w:pos="5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00"/>
          </w:cols>
          <w:pgMar w:left="240" w:top="280" w:right="259" w:bottom="1440" w:gutter="0" w:footer="0" w:header="0"/>
        </w:sectPr>
      </w:pPr>
    </w:p>
    <w:bookmarkStart w:id="72" w:name="page73"/>
    <w:bookmarkEnd w:id="72"/>
    <w:p>
      <w:pPr>
        <w:ind w:left="460"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w:t>
      </w:r>
    </w:p>
    <w:p>
      <w:pPr>
        <w:spacing w:after="0" w:line="107" w:lineRule="exact"/>
        <w:rPr>
          <w:sz w:val="20"/>
          <w:szCs w:val="20"/>
          <w:color w:val="auto"/>
        </w:rPr>
      </w:pPr>
    </w:p>
    <w:p>
      <w:pPr>
        <w:ind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28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Administrative Agent to, and the Administrative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112" w:lineRule="exact"/>
        <w:rPr>
          <w:rFonts w:ascii="Arial" w:cs="Arial" w:eastAsia="Arial" w:hAnsi="Arial"/>
          <w:sz w:val="16"/>
          <w:szCs w:val="16"/>
          <w:color w:val="auto"/>
        </w:rPr>
      </w:pPr>
    </w:p>
    <w:p>
      <w:pPr>
        <w:ind w:right="60" w:firstLine="464"/>
        <w:spacing w:after="0" w:line="286"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Specified Derivatives Contract Remedies</w:t>
      </w:r>
      <w:r>
        <w:rPr>
          <w:rFonts w:ascii="Arial" w:cs="Arial" w:eastAsia="Arial" w:hAnsi="Arial"/>
          <w:sz w:val="16"/>
          <w:szCs w:val="16"/>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Marshaling; Payments Set Aside.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enforces its respective security interests or exercises its respective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280" w:right="279" w:bottom="1440" w:gutter="0" w:footer="0" w:header="0"/>
        </w:sectPr>
      </w:pPr>
    </w:p>
    <w:bookmarkStart w:id="73" w:name="page74"/>
    <w:bookmarkEnd w:id="7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intended to be satisfied, and all Liens, rights and remedies therefor, shall be revived and continued in full force and effect as if such payment had not been made or such enforcement or setoff had not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Allocation of Proceeds.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an Event of Default exists and maturity of any of the Obligations has been accelerated,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26" w:lineRule="exact"/>
        <w:rPr>
          <w:sz w:val="20"/>
          <w:szCs w:val="20"/>
          <w:color w:val="auto"/>
        </w:rPr>
      </w:pPr>
    </w:p>
    <w:p>
      <w:pPr>
        <w:ind w:left="1140" w:hanging="237"/>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amounts due to the Administrative Agent and the Lenders in respect of expenses due under Section 12.2. until paid in full, and then Fees;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payments of interest on the Loans to be applied for the ratable benefit of the Lenders;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payments of principal of the Loans to be applied for the ratable benefit of the Lenders;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due to the Administrative Agent and the Lenders pursuant to Sections 11.6. and 12.10.;</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payments of all other Obligations and other amounts due under any of the Loan Documents to be applied for the ratable benefit of the Lenders;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 any amount remaining after application as provided above, shall be paid to the Borrower or whomever else may be legally entitled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Rescission of Acceleration by Requisite Lenders.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Performance by Administrative Agent.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280" w:right="239" w:bottom="1440" w:gutter="0" w:footer="0" w:header="0"/>
        </w:sectPr>
      </w:pPr>
    </w:p>
    <w:bookmarkStart w:id="74" w:name="page75"/>
    <w:bookmarkEnd w:id="74"/>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Rights Cumulative.</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Appointment and Authorization.</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280" w:right="239" w:bottom="1440" w:gutter="0" w:footer="0" w:header="0"/>
        </w:sectPr>
      </w:pPr>
    </w:p>
    <w:bookmarkStart w:id="75" w:name="page76"/>
    <w:bookmarkEnd w:id="7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PNC Bank as Lender.</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PNC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PNC Bank in each case in its individual capacity. PNC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PNC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Approvals of Lenders.</w:t>
      </w:r>
    </w:p>
    <w:p>
      <w:pPr>
        <w:spacing w:after="0" w:line="9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the Borrower in respect of the matter or issue to be resolved, and (d) shall include the Administrative Agent’s recommended course of action or determination in respect thereof. Unless a Lender shall give written notice to the Administrative Agent that it specifically objects to the recommendation or determination of the Administrative Agent (together with a reasonable written explanation of the reasons behind such objection)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280"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11.4. Notice of Events of Default.</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Administrative Agent’s Reliance.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Indemnification of Administrative Agent.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Lender agrees to indemnify the Administrative Agent (to the extent not reimbursed by the Borrower and without limiting the obligation of the Borrower to do so) pro rata in accordance with such Lender’s respective Credit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00"/>
          </w:cols>
          <w:pgMar w:left="240" w:top="274" w:right="259" w:bottom="1440" w:gutter="0" w:footer="0" w:header="0"/>
        </w:sectPr>
      </w:pPr>
    </w:p>
    <w:bookmarkStart w:id="77" w:name="page78"/>
    <w:bookmarkEnd w:id="7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Lender) in any way relating to or arising out of the Loan Documents, any transaction contemplated hereby or thereby or any action taken or omitted by the Administrative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Lender Credit Decision,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380"/>
          </w:cols>
          <w:pgMar w:left="240" w:top="280" w:right="279" w:bottom="1440" w:gutter="0" w:footer="0" w:header="0"/>
        </w:sectPr>
      </w:pPr>
    </w:p>
    <w:bookmarkStart w:id="78" w:name="page79"/>
    <w:bookmarkEnd w:id="7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Administrative Agent.</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If no such successor Administrative Agent has been appointed at the effective time of the resignation or removal of the prior Administrative Agent, the Requisite Lenders shall collectively act as Administrative Agent hereunder until such time as a successor Administrative Agent has been appointed.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The Arrangers, the Documentation Agents and the Syndication Agent (the “</w:t>
      </w:r>
      <w:r>
        <w:rPr>
          <w:rFonts w:ascii="Arial" w:cs="Arial" w:eastAsia="Arial" w:hAnsi="Arial"/>
          <w:sz w:val="18"/>
          <w:szCs w:val="18"/>
          <w:b w:val="1"/>
          <w:bCs w:val="1"/>
          <w:color w:val="auto"/>
        </w:rPr>
        <w:t>Titled Agents</w:t>
      </w:r>
      <w:r>
        <w:rPr>
          <w:rFonts w:ascii="Arial" w:cs="Arial" w:eastAsia="Arial" w:hAnsi="Arial"/>
          <w:sz w:val="18"/>
          <w:szCs w:val="18"/>
          <w:color w:val="auto"/>
        </w:rPr>
        <w:t>”) in such respective capacities, assume no responsibility or obligation hereunder, including, without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280" w:right="259" w:bottom="1440" w:gutter="0" w:footer="0" w:header="0"/>
        </w:sectPr>
      </w:pPr>
    </w:p>
    <w:bookmarkStart w:id="79" w:name="page80"/>
    <w:bookmarkEnd w:id="7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11.10. No Reliance on Administrative Agent’s Customer Identification Program.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6"/>
          <w:szCs w:val="16"/>
          <w:b w:val="1"/>
          <w:bCs w:val="1"/>
          <w:color w:val="auto"/>
        </w:rPr>
        <w:t>CIP</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or any other Anti-Terrorism Law, including any programs involving any of the following items relating to or in connection with any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their Affiliates or their agents, the Loan Documents or the transactions hereunder or contemplated hereby: (1) any identity verification procedures, (2) any recordkeeping, (3) comparisons with government lists, (4) customer notices or (5) other procedures required under the CIP Regulations or such other Laws.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herein (including without limitation as provided in Section 8.5.), communications provided for hereunder shall be in writing and shall be mailed, telecopied, or delivered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Borrower: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(301) 998-8143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(301) 998-3701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(301) 998-8100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(301) 998-3715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280" w:right="25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Wendelin A. White P.C.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(202) 663-8360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(202) 663-8007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Administrative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800 17</w:t>
      </w:r>
      <w:r>
        <w:rPr>
          <w:rFonts w:ascii="Arial" w:cs="Arial" w:eastAsia="Arial" w:hAnsi="Arial"/>
          <w:sz w:val="11"/>
          <w:szCs w:val="11"/>
          <w:color w:val="auto"/>
        </w:rPr>
        <w:t>th</w:t>
      </w:r>
      <w:r>
        <w:rPr>
          <w:rFonts w:ascii="Arial" w:cs="Arial" w:eastAsia="Arial" w:hAnsi="Arial"/>
          <w:sz w:val="18"/>
          <w:szCs w:val="18"/>
          <w:color w:val="auto"/>
        </w:rPr>
        <w:t xml:space="preserve"> Street NW,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C6-CPNC-03-04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William R. Lynch, III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Telecopier: (202) 835-5982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(202) 835-4513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Administrative Agent under Article II.: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500 1</w:t>
      </w:r>
      <w:r>
        <w:rPr>
          <w:rFonts w:ascii="Arial" w:cs="Arial" w:eastAsia="Arial" w:hAnsi="Arial"/>
          <w:sz w:val="11"/>
          <w:szCs w:val="11"/>
          <w:color w:val="auto"/>
        </w:rPr>
        <w:t>st</w:t>
      </w:r>
      <w:r>
        <w:rPr>
          <w:rFonts w:ascii="Arial" w:cs="Arial" w:eastAsia="Arial" w:hAnsi="Arial"/>
          <w:sz w:val="18"/>
          <w:szCs w:val="18"/>
          <w:color w:val="auto"/>
        </w:rPr>
        <w:t xml:space="preserve">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P7-PFSC-04-I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Pittsburgh, PA 15222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Martin Hannak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Telecopier: (412) 762-8672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(412) 768-9182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any other Lender: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such Lender’s address or telecopy number as set forth in the applicable Administrative Questionnaire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telecopied, when transmitted if on a Business Day, and if not on a Business Day, on the following Business Day after the date transmitted;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Neither the Administrative Agent nor any Lender shall incur any liability to any Loan Party (nor shall the Administrative Agent incur any liability to the Lenders) for acting upon any telephonic notice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380"/>
          </w:cols>
          <w:pgMar w:left="240" w:top="280"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12.2. Expenses.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Borrower agrees (a) to pay or reimburse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Stamp, Intangible and Recording Taxes.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or any of the other Loan Documents or the perfection of any rights or Liens under this Agreement, the Notes or any of the other Loan Documents.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Setoff.</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Litigation; Jurisdiction; Other Matters; Waivers.</w:t>
      </w:r>
    </w:p>
    <w:p>
      <w:pPr>
        <w:spacing w:after="0" w:line="96" w:lineRule="exact"/>
        <w:rPr>
          <w:sz w:val="20"/>
          <w:szCs w:val="20"/>
          <w:color w:val="auto"/>
        </w:rPr>
      </w:pPr>
    </w:p>
    <w:p>
      <w:pPr>
        <w:ind w:right="20" w:firstLine="464"/>
        <w:spacing w:after="0" w:line="289"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THE 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OR ANY OF THE LENDERS OF ANY KIND OR NATURE RELATING TO ANY OF THE LOAN DOCUMENTS.</w:t>
      </w:r>
    </w:p>
    <w:p>
      <w:pPr>
        <w:spacing w:after="0" w:line="118" w:lineRule="exact"/>
        <w:rPr>
          <w:rFonts w:ascii="Arial" w:cs="Arial" w:eastAsia="Arial" w:hAnsi="Arial"/>
          <w:sz w:val="16"/>
          <w:szCs w:val="16"/>
          <w:color w:val="auto"/>
        </w:rPr>
      </w:pPr>
    </w:p>
    <w:p>
      <w:pPr>
        <w:ind w:right="40" w:firstLine="464"/>
        <w:spacing w:after="0" w:line="287"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OF THE BORROWER, THE ADMINISTRATIVE AGENT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ADMINISTRATIVE AGENT OR ANY OF THE LENDERS, ARISING OUT OF THIS AGREEMENT, ANY OTHER LOAN DOCUMENT OR THE FEE LETTER OR BY REASON OF ANY OTHER SUIT, CAUSE OF ACTION OR DISPUTE WHATSOEVER BETWEEN OR AMONG THE BORROWER, THE ADMINISTRATIVE AGENT OR ANY OF THE LENDERS OF ANY KIND OR NATURE RELATING TO ANY OF THE LOAN DOCUMENTS. THE BORROWER AND EACH OF THE LENDERS EXPRESSLY SUBMIT AND CONSENT IN ADVANCE TO SUCH JURISDICTION IN ANY ACTION OR PROCEEDING COMMENCED IN SUCH COURTS.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w:t>
      </w:r>
    </w:p>
    <w:p>
      <w:pPr>
        <w:spacing w:after="0" w:line="325" w:lineRule="exact"/>
        <w:rPr>
          <w:rFonts w:ascii="Arial" w:cs="Arial" w:eastAsia="Arial" w:hAnsi="Arial"/>
          <w:sz w:val="16"/>
          <w:szCs w:val="16"/>
          <w:color w:val="auto"/>
        </w:rPr>
      </w:pPr>
    </w:p>
    <w:p>
      <w:pPr>
        <w:ind w:left="5620" w:hanging="96"/>
        <w:spacing w:after="0"/>
        <w:tabs>
          <w:tab w:leader="none" w:pos="5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20"/>
          </w:cols>
          <w:pgMar w:left="240" w:top="280" w:right="239" w:bottom="1440" w:gutter="0" w:footer="0" w:header="0"/>
        </w:sectPr>
      </w:pPr>
    </w:p>
    <w:bookmarkStart w:id="83" w:name="page84"/>
    <w:bookmarkEnd w:id="83"/>
    <w:p>
      <w:pPr>
        <w:jc w:val="both"/>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DEEMED TO PRECLUDE THE BRINGING OF ANY ACTION BY THE ADMINISTRATIVE AGENT OR ANY LENDER OR THE ENFORCEMENT BY THE ADMINISTRATIVE AGENT OR ANY LENDER OF ANY JUDGMENT OBTAINED IN SUCH FORUM IN ANY OTHER APPROPRIATE JURISDICTION.</w:t>
      </w:r>
    </w:p>
    <w:p>
      <w:pPr>
        <w:spacing w:after="0" w:line="140" w:lineRule="exact"/>
        <w:rPr>
          <w:sz w:val="20"/>
          <w:szCs w:val="20"/>
          <w:color w:val="auto"/>
        </w:rPr>
      </w:pPr>
    </w:p>
    <w:p>
      <w:pPr>
        <w:ind w:right="80" w:firstLine="464"/>
        <w:spacing w:after="0" w:line="306"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Successors and Assigns.</w:t>
      </w:r>
    </w:p>
    <w:p>
      <w:pPr>
        <w:spacing w:after="0" w:line="96" w:lineRule="exact"/>
        <w:rPr>
          <w:sz w:val="20"/>
          <w:szCs w:val="20"/>
          <w:color w:val="auto"/>
        </w:rPr>
      </w:pPr>
    </w:p>
    <w:p>
      <w:pPr>
        <w:ind w:right="20" w:firstLine="464"/>
        <w:spacing w:after="0" w:line="287"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22" w:lineRule="exact"/>
        <w:rPr>
          <w:rFonts w:ascii="Arial" w:cs="Arial" w:eastAsia="Arial" w:hAnsi="Arial"/>
          <w:sz w:val="16"/>
          <w:szCs w:val="16"/>
          <w:color w:val="auto"/>
        </w:rPr>
      </w:pPr>
    </w:p>
    <w:p>
      <w:pPr>
        <w:ind w:right="180"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21" w:lineRule="exact"/>
        <w:rPr>
          <w:rFonts w:ascii="Arial" w:cs="Arial" w:eastAsia="Arial" w:hAnsi="Arial"/>
          <w:sz w:val="18"/>
          <w:szCs w:val="18"/>
          <w:color w:val="auto"/>
        </w:rPr>
      </w:pPr>
    </w:p>
    <w:p>
      <w:pPr>
        <w:ind w:left="1120" w:hanging="217"/>
        <w:spacing w:after="0"/>
        <w:tabs>
          <w:tab w:leader="none" w:pos="112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420" w:firstLine="421"/>
        <w:spacing w:after="0" w:line="332" w:lineRule="auto"/>
        <w:tabs>
          <w:tab w:leader="none" w:pos="1627" w:val="left"/>
        </w:tabs>
        <w:numPr>
          <w:ilvl w:val="2"/>
          <w:numId w:val="79"/>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an assigning Lender’s Loan at the time owing to it or, in the case of an assignment to a Lender, an Affiliate of a Lender or an Approved Fund, no minimum amount need be assigned; and</w:t>
      </w:r>
    </w:p>
    <w:p>
      <w:pPr>
        <w:spacing w:after="0" w:line="4" w:lineRule="exact"/>
        <w:rPr>
          <w:rFonts w:ascii="Arial" w:cs="Arial" w:eastAsia="Arial" w:hAnsi="Arial"/>
          <w:sz w:val="16"/>
          <w:szCs w:val="16"/>
          <w:color w:val="auto"/>
        </w:rPr>
      </w:pPr>
    </w:p>
    <w:p>
      <w:pPr>
        <w:ind w:left="920" w:firstLine="421"/>
        <w:spacing w:after="0" w:line="291" w:lineRule="auto"/>
        <w:tabs>
          <w:tab w:leader="none" w:pos="1618" w:val="left"/>
        </w:tabs>
        <w:numPr>
          <w:ilvl w:val="2"/>
          <w:numId w:val="79"/>
        </w:numPr>
        <w:rPr>
          <w:rFonts w:ascii="Arial" w:cs="Arial" w:eastAsia="Arial" w:hAnsi="Arial"/>
          <w:sz w:val="16"/>
          <w:szCs w:val="16"/>
          <w:color w:val="auto"/>
        </w:rPr>
      </w:pPr>
      <w:r>
        <w:rPr>
          <w:rFonts w:ascii="Arial" w:cs="Arial" w:eastAsia="Arial" w:hAnsi="Arial"/>
          <w:sz w:val="16"/>
          <w:szCs w:val="16"/>
          <w:color w:val="auto"/>
        </w:rPr>
        <w:t>in any case not described in the immediately preceding subsection (A), the aggregate amount of the principal outstanding balance of the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3"/>
          <w:numId w:val="79"/>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20"/>
          </w:cols>
          <w:pgMar w:left="240" w:top="280" w:right="239" w:bottom="1440" w:gutter="0" w:footer="0" w:header="0"/>
        </w:sectPr>
      </w:pPr>
    </w:p>
    <w:bookmarkStart w:id="84" w:name="page85"/>
    <w:bookmarkEnd w:id="84"/>
    <w:p>
      <w:pPr>
        <w:ind w:left="920"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significant amount shall be deemed reasonable); provided, however, that if, after giving effect to such assignment, the outstanding principal balance of the Loan held by such assigning Lender would be less than $5,000,000, then such assigning Lender shall assign the entire amount of its Loan at the time owing to it unless the Administrative Agent and Borrower agree otherwise.</w:t>
      </w:r>
    </w:p>
    <w:p>
      <w:pPr>
        <w:spacing w:after="0" w:line="26" w:lineRule="exact"/>
        <w:rPr>
          <w:sz w:val="20"/>
          <w:szCs w:val="20"/>
          <w:color w:val="auto"/>
        </w:rPr>
      </w:pPr>
    </w:p>
    <w:p>
      <w:pPr>
        <w:ind w:left="460" w:right="200" w:firstLine="443"/>
        <w:spacing w:after="0" w:line="268" w:lineRule="auto"/>
        <w:tabs>
          <w:tab w:leader="none" w:pos="115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clause (i)(B) of this subsection (b)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firstLine="421"/>
        <w:spacing w:after="0" w:line="254" w:lineRule="auto"/>
        <w:tabs>
          <w:tab w:leader="none" w:pos="162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w:t>
      </w:r>
    </w:p>
    <w:p>
      <w:pPr>
        <w:spacing w:after="0" w:line="63" w:lineRule="exact"/>
        <w:rPr>
          <w:rFonts w:ascii="Arial" w:cs="Arial" w:eastAsia="Arial" w:hAnsi="Arial"/>
          <w:sz w:val="18"/>
          <w:szCs w:val="18"/>
          <w:color w:val="auto"/>
        </w:rPr>
      </w:pPr>
    </w:p>
    <w:p>
      <w:pPr>
        <w:ind w:left="920" w:right="220" w:firstLine="421"/>
        <w:spacing w:after="0" w:line="259" w:lineRule="auto"/>
        <w:tabs>
          <w:tab w:leader="none" w:pos="16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 Loan if such assignment is to a Person that is not already a Lender holding a Loan, an Affiliate of such a Lender or an Approved Fund with respect to such a Lender.</w:t>
      </w:r>
    </w:p>
    <w:p>
      <w:pPr>
        <w:spacing w:after="0" w:line="59" w:lineRule="exact"/>
        <w:rPr>
          <w:rFonts w:ascii="Arial" w:cs="Arial" w:eastAsia="Arial" w:hAnsi="Arial"/>
          <w:sz w:val="18"/>
          <w:szCs w:val="18"/>
          <w:color w:val="auto"/>
        </w:rPr>
      </w:pPr>
    </w:p>
    <w:p>
      <w:pPr>
        <w:ind w:left="460" w:right="140" w:firstLine="443"/>
        <w:spacing w:after="0" w:line="291" w:lineRule="auto"/>
        <w:tabs>
          <w:tab w:leader="none" w:pos="119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Notes</w:t>
      </w:r>
      <w:r>
        <w:rPr>
          <w:rFonts w:ascii="Arial" w:cs="Arial" w:eastAsia="Arial" w:hAnsi="Arial"/>
          <w:sz w:val="16"/>
          <w:szCs w:val="16"/>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 Assignment to Borrower</w:t>
      </w:r>
      <w:r>
        <w:rPr>
          <w:rFonts w:ascii="Arial" w:cs="Arial" w:eastAsia="Arial" w:hAnsi="Arial"/>
          <w:sz w:val="16"/>
          <w:szCs w:val="16"/>
          <w:color w:val="auto"/>
        </w:rPr>
        <w:t>. No such assignment shall be made to the Borrower or any of the Borrower’s Affiliates or Subsidiaries.</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280" w:right="239" w:bottom="1440" w:gutter="0" w:footer="0" w:header="0"/>
        </w:sectPr>
      </w:pPr>
    </w:p>
    <w:bookmarkStart w:id="85" w:name="page86"/>
    <w:bookmarkEnd w:id="85"/>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16" w:lineRule="exact"/>
        <w:rPr>
          <w:sz w:val="20"/>
          <w:szCs w:val="20"/>
          <w:color w:val="auto"/>
        </w:rPr>
      </w:pPr>
    </w:p>
    <w:p>
      <w:pPr>
        <w:ind w:firstLine="464"/>
        <w:spacing w:after="0" w:line="286"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the Principal Office a copy of each Assignment and Assumption delivered to it and a register for the recordation of the names and addresses of the Lenders, and the principal amounts of the Loan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20" w:lineRule="exact"/>
        <w:rPr>
          <w:rFonts w:ascii="Arial" w:cs="Arial" w:eastAsia="Arial" w:hAnsi="Arial"/>
          <w:sz w:val="16"/>
          <w:szCs w:val="16"/>
          <w:color w:val="auto"/>
        </w:rPr>
      </w:pPr>
    </w:p>
    <w:p>
      <w:pPr>
        <w:ind w:right="60" w:firstLine="464"/>
        <w:spacing w:after="0" w:line="283" w:lineRule="auto"/>
        <w:tabs>
          <w:tab w:leader="none" w:pos="70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rights and/or obligations under this Agreement (including all or a portion of the Loan owing to it); provided that (i) such Lender’s obligations under this Agreement shall remain unchanged, (ii) such Lender shall remain solely responsible to the other parties hereto for the performance of such obligations and</w:t>
      </w:r>
    </w:p>
    <w:p>
      <w:pPr>
        <w:spacing w:after="0" w:line="2" w:lineRule="exact"/>
        <w:rPr>
          <w:rFonts w:ascii="Arial" w:cs="Arial" w:eastAsia="Arial" w:hAnsi="Arial"/>
          <w:sz w:val="16"/>
          <w:szCs w:val="16"/>
          <w:color w:val="auto"/>
        </w:rPr>
      </w:pPr>
    </w:p>
    <w:p>
      <w:pPr>
        <w:ind w:right="60" w:firstLine="8"/>
        <w:spacing w:after="0" w:line="287" w:lineRule="auto"/>
        <w:tabs>
          <w:tab w:leader="none" w:pos="30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decrease the amount of such Lender’s Loan to the extent subject to the participation, (x) extend the date fixed for the payment of principal on the Loans or portions thereof owing to such Lender to the extent subject to such participation,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00"/>
          </w:cols>
          <w:pgMar w:left="240" w:top="280" w:right="259" w:bottom="1440" w:gutter="0" w:footer="0" w:header="0"/>
        </w:sectPr>
      </w:pPr>
    </w:p>
    <w:bookmarkStart w:id="86" w:name="page87"/>
    <w:bookmarkEnd w:id="86"/>
    <w:p>
      <w:pPr>
        <w:ind w:firstLine="464"/>
        <w:spacing w:after="0" w:line="255"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upon Participant Rights</w:t>
      </w:r>
      <w:r>
        <w:rPr>
          <w:rFonts w:ascii="Arial" w:cs="Arial" w:eastAsia="Arial" w:hAnsi="Arial"/>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142" w:lineRule="exact"/>
        <w:rPr>
          <w:rFonts w:ascii="Arial" w:cs="Arial" w:eastAsia="Arial" w:hAnsi="Arial"/>
          <w:sz w:val="18"/>
          <w:szCs w:val="18"/>
          <w:color w:val="auto"/>
        </w:rPr>
      </w:pPr>
    </w:p>
    <w:p>
      <w:pPr>
        <w:ind w:right="40" w:firstLine="464"/>
        <w:spacing w:after="0" w:line="306" w:lineRule="auto"/>
        <w:tabs>
          <w:tab w:leader="none" w:pos="67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06" w:lineRule="exact"/>
        <w:rPr>
          <w:rFonts w:ascii="Arial" w:cs="Arial" w:eastAsia="Arial" w:hAnsi="Arial"/>
          <w:sz w:val="16"/>
          <w:szCs w:val="16"/>
          <w:color w:val="auto"/>
        </w:rPr>
      </w:pPr>
    </w:p>
    <w:p>
      <w:pPr>
        <w:ind w:right="420" w:firstLine="464"/>
        <w:spacing w:after="0" w:line="306"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 Registration</w:t>
      </w:r>
      <w:r>
        <w:rPr>
          <w:rFonts w:ascii="Arial" w:cs="Arial" w:eastAsia="Arial" w:hAnsi="Arial"/>
          <w:sz w:val="16"/>
          <w:szCs w:val="16"/>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Amendments and Waivers.</w:t>
      </w:r>
    </w:p>
    <w:p>
      <w:pPr>
        <w:spacing w:after="0" w:line="96" w:lineRule="exact"/>
        <w:rPr>
          <w:sz w:val="20"/>
          <w:szCs w:val="20"/>
          <w:color w:val="auto"/>
        </w:rPr>
      </w:pPr>
    </w:p>
    <w:p>
      <w:pPr>
        <w:jc w:val="both"/>
        <w:ind w:right="60" w:firstLine="464"/>
        <w:spacing w:after="0" w:line="284" w:lineRule="auto"/>
        <w:tabs>
          <w:tab w:leader="none" w:pos="69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w:t>
      </w:r>
    </w:p>
    <w:p>
      <w:pPr>
        <w:spacing w:after="0" w:line="1" w:lineRule="exact"/>
        <w:rPr>
          <w:rFonts w:ascii="Arial" w:cs="Arial" w:eastAsia="Arial" w:hAnsi="Arial"/>
          <w:sz w:val="16"/>
          <w:szCs w:val="16"/>
          <w:color w:val="auto"/>
        </w:rPr>
      </w:pPr>
    </w:p>
    <w:p>
      <w:pPr>
        <w:ind w:right="100" w:firstLine="8"/>
        <w:spacing w:after="0" w:line="255" w:lineRule="auto"/>
        <w:tabs>
          <w:tab w:leader="none" w:pos="2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464"/>
        <w:spacing w:after="0" w:line="332" w:lineRule="auto"/>
        <w:tabs>
          <w:tab w:leader="none" w:pos="695"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Consent of Lenders Directly Affected</w:t>
      </w:r>
      <w:r>
        <w:rPr>
          <w:rFonts w:ascii="Arial" w:cs="Arial" w:eastAsia="Arial" w:hAnsi="Arial"/>
          <w:sz w:val="16"/>
          <w:szCs w:val="16"/>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subject the Lenders to any additional obligations;</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2"/>
          <w:numId w:val="85"/>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 owing to such Lenders;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reduce the amount of any Fees payable to the Lenders;</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96" w:val="left"/>
        </w:tabs>
        <w:numPr>
          <w:ilvl w:val="2"/>
          <w:numId w:val="85"/>
        </w:numPr>
        <w:rPr>
          <w:rFonts w:ascii="Arial" w:cs="Arial" w:eastAsia="Arial" w:hAnsi="Arial"/>
          <w:sz w:val="18"/>
          <w:szCs w:val="18"/>
          <w:color w:val="auto"/>
        </w:rPr>
      </w:pPr>
      <w:r>
        <w:rPr>
          <w:rFonts w:ascii="Arial" w:cs="Arial" w:eastAsia="Arial" w:hAnsi="Arial"/>
          <w:sz w:val="18"/>
          <w:szCs w:val="18"/>
          <w:color w:val="auto"/>
        </w:rPr>
        <w:t>modify the definition of “Maturity Date”, otherwise postpone any date fixed for any payment of principal of, or interest on, any Loans or for the payment of Fees or any other Obligations;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85"/>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1420"/>
          </w:cols>
          <w:pgMar w:left="240" w:top="280" w:right="239" w:bottom="1440" w:gutter="0" w:footer="0" w:header="0"/>
        </w:sectPr>
      </w:pPr>
    </w:p>
    <w:bookmarkStart w:id="87" w:name="page88"/>
    <w:bookmarkEnd w:id="87"/>
    <w:p>
      <w:pPr>
        <w:ind w:left="1160" w:hanging="257"/>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modify the definition of “Credit Percentage” or amend or otherwise modify the provisions of Section 3.2. or Section 10.4.;</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amend this Section or amend the definitions of the terms used in this Agreement or the other Loan Documents insofar as such definitions affect the substance of this Section;</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2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modify in any other manner the number or percentage of the Lenders required to make any determinations or waive any rights hereunder or to modify any provision hereof;</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contemplated by Section 7.14.(c);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waive a Default or Event of Default under Section 10.1.(a), except as provided in Section 10.5.</w:t>
      </w:r>
    </w:p>
    <w:p>
      <w:pPr>
        <w:spacing w:after="0" w:line="171" w:lineRule="exact"/>
        <w:rPr>
          <w:rFonts w:ascii="Arial" w:cs="Arial" w:eastAsia="Arial" w:hAnsi="Arial"/>
          <w:sz w:val="18"/>
          <w:szCs w:val="18"/>
          <w:color w:val="auto"/>
        </w:rPr>
      </w:pPr>
    </w:p>
    <w:p>
      <w:pPr>
        <w:ind w:right="160" w:firstLine="464"/>
        <w:spacing w:after="0" w:line="288"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Amendment of Administrative Agent’s Duties, Etc</w:t>
      </w:r>
      <w:r>
        <w:rPr>
          <w:rFonts w:ascii="Arial" w:cs="Arial" w:eastAsia="Arial" w:hAnsi="Arial"/>
          <w:sz w:val="16"/>
          <w:szCs w:val="16"/>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Nonliability of Administrative Agent and Lenders.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Confidentiality.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20"/>
          </w:cols>
          <w:pgMar w:left="240" w:top="280" w:right="239" w:bottom="1440" w:gutter="0" w:footer="0" w:header="0"/>
        </w:sectPr>
      </w:pPr>
    </w:p>
    <w:bookmarkStart w:id="88" w:name="page89"/>
    <w:bookmarkEnd w:id="88"/>
    <w:p>
      <w:pPr>
        <w:ind w:firstLine="8"/>
        <w:spacing w:after="0" w:line="284" w:lineRule="auto"/>
        <w:tabs>
          <w:tab w:leader="none" w:pos="239"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of their respective Affiliates and its and its Affiliates’ respective partners, directors, officers, employees, agents, advisors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Loan or participation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Indemnification.</w:t>
      </w:r>
    </w:p>
    <w:p>
      <w:pPr>
        <w:spacing w:after="0" w:line="96" w:lineRule="exact"/>
        <w:rPr>
          <w:sz w:val="20"/>
          <w:szCs w:val="20"/>
          <w:color w:val="auto"/>
        </w:rPr>
      </w:pPr>
    </w:p>
    <w:p>
      <w:pPr>
        <w:ind w:right="40" w:firstLine="464"/>
        <w:spacing w:after="0" w:line="287"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280" w:right="239" w:bottom="1440" w:gutter="0" w:footer="0" w:header="0"/>
        </w:sectPr>
      </w:pPr>
    </w:p>
    <w:bookmarkStart w:id="89" w:name="page90"/>
    <w:bookmarkEnd w:id="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w:t>
      </w:r>
    </w:p>
    <w:p>
      <w:pPr>
        <w:spacing w:after="0" w:line="124" w:lineRule="exact"/>
        <w:rPr>
          <w:sz w:val="20"/>
          <w:szCs w:val="20"/>
          <w:color w:val="auto"/>
        </w:rPr>
      </w:pPr>
    </w:p>
    <w:p>
      <w:pPr>
        <w:ind w:right="80" w:firstLine="464"/>
        <w:spacing w:after="0" w:line="288"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119" w:lineRule="exact"/>
        <w:rPr>
          <w:rFonts w:ascii="Arial" w:cs="Arial" w:eastAsia="Arial" w:hAnsi="Arial"/>
          <w:sz w:val="16"/>
          <w:szCs w:val="16"/>
          <w:color w:val="auto"/>
        </w:rPr>
      </w:pPr>
    </w:p>
    <w:p>
      <w:pPr>
        <w:ind w:right="600" w:firstLine="464"/>
        <w:spacing w:after="0" w:line="268" w:lineRule="auto"/>
        <w:tabs>
          <w:tab w:leader="none" w:pos="6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380"/>
          </w:cols>
          <w:pgMar w:left="240" w:top="280" w:right="279" w:bottom="1440" w:gutter="0" w:footer="0" w:header="0"/>
        </w:sectPr>
      </w:pPr>
    </w:p>
    <w:bookmarkStart w:id="90" w:name="page91"/>
    <w:bookmarkEnd w:id="90"/>
    <w:p>
      <w:pPr>
        <w:ind w:right="20" w:firstLine="464"/>
        <w:spacing w:after="0" w:line="286"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7"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4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References in this Section 12.10. to “Lender” or “Lenders” shall be deemed to include such Persons (and their Affiliates) in their capacity as Specified Derivatives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Termination; Survival.</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Agreement shall terminate at such time as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Severability of Provisions.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360"/>
          </w:cols>
          <w:pgMar w:left="240" w:top="280" w:right="2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12.13. GOVERNING LAW.</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Counterparts.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Independence of Covenants.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Limitation of Liability.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360"/>
          </w:cols>
          <w:pgMar w:left="240" w:top="274"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12.18. Entire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Construction.</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12.20. Headings.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paragraph and section headings in this Agreement are provided for convenience of reference only and shall not affect its construction or interpretation.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NOR SHAREHOLDERS OF THE BORROWER SHALL HAVE ANY PERSONAL LIABILITY FOR OBLIGATIONS ENTERED INTO BY OR ON BEHALF OF THE BORROWER OR ANY OTHER LOAN PARTY.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274" w:right="259" w:bottom="1440" w:gutter="0" w:footer="0" w:header="0"/>
        </w:sectPr>
      </w:pPr>
    </w:p>
    <w:bookmarkStart w:id="93" w:name="page94"/>
    <w:bookmarkEnd w:id="9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Term Loan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Andrew P. Blocher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President-Chief Financial Officer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1260"/>
          </w:cols>
          <w:pgMar w:left="240" w:top="280" w:right="399" w:bottom="1440" w:gutter="0" w:footer="0" w:header="0"/>
        </w:sectPr>
      </w:pPr>
    </w:p>
    <w:bookmarkStart w:id="94" w:name="page95"/>
    <w:bookmarkEnd w:id="94"/>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Signature Page to Term Loan Agreement with Federal Realty Investment Trust]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PNC BANK, NATIONAL ASSOCIATION, as Administrative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Agent and as a Lender</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William R. Lynch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R. Lynch III</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020"/>
          </w:cols>
          <w:pgMar w:left="1440" w:top="274" w:right="439" w:bottom="1440" w:gutter="0" w:footer="0" w:header="0"/>
        </w:sectPr>
      </w:pPr>
    </w:p>
    <w:bookmarkStart w:id="95" w:name="page96"/>
    <w:bookmarkEnd w:id="95"/>
    <w:p>
      <w:pP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Term Loan Agreement with Federal Realty Investment Trust]</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CAPITAL ONE, N.A., as Syndication Agent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Frederick H. Denecke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940"/>
          </w:cols>
          <w:pgMar w:left="1440" w:top="274" w:right="519" w:bottom="1440" w:gutter="0" w:footer="0" w:header="0"/>
        </w:sectPr>
      </w:pPr>
    </w:p>
    <w:bookmarkStart w:id="96" w:name="page97"/>
    <w:bookmarkEnd w:id="96"/>
    <w:p>
      <w:pP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Term Loan Agreement with Federal Realty Investment Trust]</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REGIONS BANK, as a Documentation Agent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E. Burgan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E. Burgan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060"/>
          </w:cols>
          <w:pgMar w:left="1440" w:top="274" w:right="399" w:bottom="1440" w:gutter="0" w:footer="0" w:header="0"/>
        </w:sectPr>
      </w:pPr>
    </w:p>
    <w:bookmarkStart w:id="97" w:name="page98"/>
    <w:bookmarkEnd w:id="97"/>
    <w:p>
      <w:pPr>
        <w:ind w:left="1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Term Loan Agreement with Federal Realty Investment Trust]</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SUNTRUST BANK, as a Documentation Agent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 Szeman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 Szeman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200"/>
          </w:cols>
          <w:pgMar w:left="1440" w:top="274"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Term Loan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TD BANK, N.A., as a Lender</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Brian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Brian Gormley</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9019"/>
          </w:cols>
          <w:pgMar w:left="1440" w:top="274" w:right="1440" w:bottom="1440" w:gutter="0" w:footer="0" w:header="0"/>
        </w:sectPr>
      </w:pPr>
    </w:p>
    <w:bookmarkStart w:id="99" w:name="page100"/>
    <w:bookmarkEnd w:id="99"/>
    <w:tbl>
      <w:tblPr>
        <w:tblLayout w:type="fixed"/>
        <w:tblInd w:w="64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920" w:type="dxa"/>
            <w:vAlign w:val="bottom"/>
            <w:gridSpan w:val="5"/>
          </w:tcPr>
          <w:p>
            <w:pPr>
              <w:ind w:left="520"/>
              <w:spacing w:after="0"/>
              <w:rPr>
                <w:sz w:val="20"/>
                <w:szCs w:val="20"/>
                <w:color w:val="auto"/>
              </w:rPr>
            </w:pPr>
            <w:r>
              <w:rPr>
                <w:rFonts w:ascii="Arial" w:cs="Arial" w:eastAsia="Arial" w:hAnsi="Arial"/>
                <w:sz w:val="18"/>
                <w:szCs w:val="18"/>
                <w:color w:val="auto"/>
              </w:rPr>
              <w:t>SCHEDULE I</w:t>
            </w:r>
          </w:p>
        </w:tc>
      </w:tr>
      <w:tr>
        <w:trPr>
          <w:trHeight w:val="340"/>
        </w:trPr>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920" w:type="dxa"/>
            <w:vAlign w:val="bottom"/>
            <w:gridSpan w:val="5"/>
          </w:tcPr>
          <w:p>
            <w:pPr>
              <w:ind w:left="540"/>
              <w:spacing w:after="0"/>
              <w:rPr>
                <w:sz w:val="20"/>
                <w:szCs w:val="20"/>
                <w:color w:val="auto"/>
              </w:rPr>
            </w:pPr>
            <w:r>
              <w:rPr>
                <w:rFonts w:ascii="Arial" w:cs="Arial" w:eastAsia="Arial" w:hAnsi="Arial"/>
                <w:sz w:val="18"/>
                <w:szCs w:val="18"/>
                <w:color w:val="auto"/>
              </w:rPr>
              <w:t>Commitments</w:t>
            </w:r>
          </w:p>
        </w:tc>
      </w:tr>
      <w:tr>
        <w:trPr>
          <w:trHeight w:val="392"/>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Lender</w:t>
            </w:r>
          </w:p>
        </w:tc>
        <w:tc>
          <w:tcPr>
            <w:tcW w:w="2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Commitment Amount</w:t>
            </w:r>
          </w:p>
        </w:tc>
      </w:tr>
      <w:tr>
        <w:trPr>
          <w:trHeight w:val="203"/>
        </w:trPr>
        <w:tc>
          <w:tcPr>
            <w:tcW w:w="2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PNC Bank, National Association</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gridSpan w:val="2"/>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$100,000,000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Capital One, N.A.</w:t>
            </w:r>
          </w:p>
        </w:tc>
        <w:tc>
          <w:tcPr>
            <w:tcW w:w="4920" w:type="dxa"/>
            <w:vAlign w:val="bottom"/>
            <w:gridSpan w:val="5"/>
          </w:tcPr>
          <w:p>
            <w:pPr>
              <w:ind w:left="3640"/>
              <w:spacing w:after="0"/>
              <w:rPr>
                <w:sz w:val="20"/>
                <w:szCs w:val="20"/>
                <w:color w:val="auto"/>
              </w:rPr>
            </w:pPr>
            <w:r>
              <w:rPr>
                <w:rFonts w:ascii="Arial" w:cs="Arial" w:eastAsia="Arial" w:hAnsi="Arial"/>
                <w:sz w:val="18"/>
                <w:szCs w:val="18"/>
                <w:color w:val="auto"/>
              </w:rPr>
              <w:t>$50,000,000</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4920" w:type="dxa"/>
            <w:vAlign w:val="bottom"/>
            <w:gridSpan w:val="5"/>
            <w:shd w:val="clear" w:color="auto" w:fill="CCEEFF"/>
          </w:tcPr>
          <w:p>
            <w:pPr>
              <w:ind w:left="3640"/>
              <w:spacing w:after="0"/>
              <w:rPr>
                <w:sz w:val="20"/>
                <w:szCs w:val="20"/>
                <w:color w:val="auto"/>
              </w:rPr>
            </w:pPr>
            <w:r>
              <w:rPr>
                <w:rFonts w:ascii="Arial" w:cs="Arial" w:eastAsia="Arial" w:hAnsi="Arial"/>
                <w:sz w:val="18"/>
                <w:szCs w:val="18"/>
                <w:color w:val="auto"/>
              </w:rPr>
              <w:t>$50,000,000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4920" w:type="dxa"/>
            <w:vAlign w:val="bottom"/>
            <w:gridSpan w:val="5"/>
          </w:tcPr>
          <w:p>
            <w:pPr>
              <w:ind w:left="3640"/>
              <w:spacing w:after="0"/>
              <w:rPr>
                <w:sz w:val="20"/>
                <w:szCs w:val="20"/>
                <w:color w:val="auto"/>
              </w:rPr>
            </w:pPr>
            <w:r>
              <w:rPr>
                <w:rFonts w:ascii="Arial" w:cs="Arial" w:eastAsia="Arial" w:hAnsi="Arial"/>
                <w:sz w:val="18"/>
                <w:szCs w:val="18"/>
                <w:color w:val="auto"/>
              </w:rPr>
              <w:t>$50,000,000</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Bank, N.A.</w:t>
            </w:r>
          </w:p>
        </w:tc>
        <w:tc>
          <w:tcPr>
            <w:tcW w:w="4920" w:type="dxa"/>
            <w:vAlign w:val="bottom"/>
            <w:gridSpan w:val="5"/>
            <w:shd w:val="clear" w:color="auto" w:fill="CCEEFF"/>
          </w:tcPr>
          <w:p>
            <w:pPr>
              <w:ind w:left="3640"/>
              <w:spacing w:after="0"/>
              <w:rPr>
                <w:sz w:val="20"/>
                <w:szCs w:val="20"/>
                <w:color w:val="auto"/>
              </w:rPr>
            </w:pPr>
            <w:r>
              <w:rPr>
                <w:rFonts w:ascii="Arial" w:cs="Arial" w:eastAsia="Arial" w:hAnsi="Arial"/>
                <w:sz w:val="18"/>
                <w:szCs w:val="18"/>
                <w:color w:val="auto"/>
              </w:rPr>
              <w:t>$25,000,000</w:t>
            </w: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$275,000,000</w:t>
            </w:r>
          </w:p>
        </w:tc>
      </w:tr>
    </w:tbl>
    <w:p>
      <w:pPr>
        <w:spacing w:after="0"/>
        <w:rPr>
          <w:sz w:val="20"/>
          <w:szCs w:val="20"/>
          <w:color w:val="auto"/>
        </w:rPr>
        <w:sectPr>
          <w:pgSz w:w="11900" w:h="16838" w:orient="portrait"/>
          <w:cols w:equalWidth="0" w:num="1">
            <w:col w:w="9019"/>
          </w:cols>
          <w:pgMar w:left="14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0" w:name="page101"/>
    <w:bookmarkEnd w:id="100"/>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u w:val="single" w:color="auto"/>
          <w:color w:val="auto"/>
        </w:rPr>
        <w:t>LIST OF LOAN PARTIES</w:t>
      </w:r>
    </w:p>
    <w:p>
      <w:pPr>
        <w:spacing w:after="0" w:line="241" w:lineRule="exact"/>
        <w:rPr>
          <w:sz w:val="20"/>
          <w:szCs w:val="20"/>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BERMAN ENTERPRISES II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GOVERNOR PLAZA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ANDORRA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SHOPPING CENTER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 PIKE 7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FRIT SAN JOSE TOWN AND COUNTRY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FOREST HILLS 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SRI OLD TOWN,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FEDERAL REALTY PARTNERS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II,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3,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4,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6,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WEST 10,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 ASSEMBLY SQUARE,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 STURTEVANT STREET,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 WESTGATE MALL,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STREET RETAIL SAN ANTONIO,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 LINDEN SQUARE, INC.</w:t>
      </w:r>
    </w:p>
    <w:p>
      <w:pPr>
        <w:sectPr>
          <w:pgSz w:w="11900" w:h="16838" w:orient="portrait"/>
          <w:cols w:equalWidth="0" w:num="1">
            <w:col w:w="10211"/>
          </w:cols>
          <w:pgMar w:left="248" w:top="274" w:right="1440" w:bottom="1440" w:gutter="0" w:footer="0" w:header="0"/>
        </w:sectPr>
      </w:pPr>
    </w:p>
    <w:bookmarkStart w:id="101" w:name="page102"/>
    <w:bookmarkEnd w:id="101"/>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 CHELSEA COMMONS 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NORTH DARTMOUTH,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WHITE MARSH,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CORDON FAIRFIELD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CAMPBELL-PHILADELPHIA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SHOPPES AT NOTTINGHAM SQUARE BUSINESS TRUST</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RETAIL PROPERTIES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NOTTINGHAM SQUARE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BYRON STATION LIMITED PARTNERSHIP, LLLP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MERCER MALL,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DEL MAR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DEL MAR VILLAGE 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CHELSEA COMMONS III,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FEDERAL PLAZA,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B2,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B3,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B5,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B6,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B7,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B8,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SRI ASSEMBLY ROW B9,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HUNTINGTON SQUARE,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FR TOWER SHOPS, LLC</w:t>
      </w:r>
    </w:p>
    <w:p>
      <w:pPr>
        <w:sectPr>
          <w:pgSz w:w="11900" w:h="16838" w:orient="portrait"/>
          <w:cols w:equalWidth="0" w:num="1">
            <w:col w:w="10211"/>
          </w:cols>
          <w:pgMar w:left="248" w:top="280"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SCHEDULE 6.1(b)</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60" w:type="dxa"/>
            <w:vAlign w:val="bottom"/>
            <w:gridSpan w:val="5"/>
          </w:tcPr>
          <w:p>
            <w:pPr>
              <w:jc w:val="center"/>
              <w:ind w:left="252"/>
              <w:spacing w:after="0"/>
              <w:rPr>
                <w:sz w:val="20"/>
                <w:szCs w:val="20"/>
                <w:color w:val="auto"/>
              </w:rPr>
            </w:pPr>
            <w:r>
              <w:rPr>
                <w:rFonts w:ascii="Arial" w:cs="Arial" w:eastAsia="Arial" w:hAnsi="Arial"/>
                <w:sz w:val="18"/>
                <w:szCs w:val="18"/>
                <w:b w:val="1"/>
                <w:bCs w:val="1"/>
                <w:color w:val="auto"/>
                <w:w w:val="97"/>
              </w:rPr>
              <w:t>OWNERSHIP STRUCTURE</w:t>
            </w:r>
          </w:p>
        </w:tc>
        <w:tc>
          <w:tcPr>
            <w:tcW w:w="0" w:type="dxa"/>
            <w:vAlign w:val="bottom"/>
          </w:tcPr>
          <w:p>
            <w:pPr>
              <w:spacing w:after="0"/>
              <w:rPr>
                <w:sz w:val="1"/>
                <w:szCs w:val="1"/>
                <w:color w:val="auto"/>
              </w:rPr>
            </w:pPr>
          </w:p>
        </w:tc>
      </w:tr>
      <w:tr>
        <w:trPr>
          <w:trHeight w:val="358"/>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PART I</w:t>
            </w: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ENTITY NAME/Jurisdiction of</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1"/>
              </w:rPr>
              <w:t>Nature of</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60" w:type="dxa"/>
            <w:vAlign w:val="bottom"/>
            <w:gridSpan w:val="2"/>
            <w:vMerge w:val="continue"/>
          </w:tcPr>
          <w:p>
            <w:pPr>
              <w:spacing w:after="0"/>
              <w:rPr>
                <w:sz w:val="11"/>
                <w:szCs w:val="11"/>
                <w:color w:val="auto"/>
              </w:rPr>
            </w:pPr>
          </w:p>
        </w:tc>
        <w:tc>
          <w:tcPr>
            <w:tcW w:w="2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32"/>
              <w:spacing w:after="0" w:line="135" w:lineRule="exact"/>
              <w:rPr>
                <w:sz w:val="20"/>
                <w:szCs w:val="20"/>
                <w:color w:val="auto"/>
              </w:rPr>
            </w:pPr>
            <w:r>
              <w:rPr>
                <w:rFonts w:ascii="Arial" w:cs="Arial" w:eastAsia="Arial" w:hAnsi="Arial"/>
                <w:sz w:val="14"/>
                <w:szCs w:val="14"/>
                <w:b w:val="1"/>
                <w:bCs w:val="1"/>
                <w:color w:val="auto"/>
                <w:w w:val="93"/>
              </w:rPr>
              <w:t>Equity</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6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2300" w:type="dxa"/>
            <w:vAlign w:val="bottom"/>
          </w:tcPr>
          <w:p>
            <w:pPr>
              <w:ind w:left="1100"/>
              <w:spacing w:after="0" w:line="141" w:lineRule="exact"/>
              <w:rPr>
                <w:sz w:val="20"/>
                <w:szCs w:val="20"/>
                <w:color w:val="auto"/>
              </w:rPr>
            </w:pPr>
            <w:r>
              <w:rPr>
                <w:rFonts w:ascii="Arial" w:cs="Arial" w:eastAsia="Arial" w:hAnsi="Arial"/>
                <w:sz w:val="14"/>
                <w:szCs w:val="14"/>
                <w:b w:val="1"/>
                <w:bCs w:val="1"/>
                <w:color w:val="auto"/>
              </w:rPr>
              <w:t>Equity Holders</w:t>
            </w:r>
          </w:p>
        </w:tc>
        <w:tc>
          <w:tcPr>
            <w:tcW w:w="340" w:type="dxa"/>
            <w:vAlign w:val="bottom"/>
          </w:tcPr>
          <w:p>
            <w:pPr>
              <w:spacing w:after="0"/>
              <w:rPr>
                <w:sz w:val="14"/>
                <w:szCs w:val="14"/>
                <w:color w:val="auto"/>
              </w:rPr>
            </w:pPr>
          </w:p>
        </w:tc>
        <w:tc>
          <w:tcPr>
            <w:tcW w:w="1000" w:type="dxa"/>
            <w:vAlign w:val="bottom"/>
            <w:gridSpan w:val="2"/>
          </w:tcPr>
          <w:p>
            <w:pPr>
              <w:jc w:val="center"/>
              <w:ind w:right="32"/>
              <w:spacing w:after="0" w:line="141" w:lineRule="exact"/>
              <w:rPr>
                <w:sz w:val="20"/>
                <w:szCs w:val="20"/>
                <w:color w:val="auto"/>
              </w:rPr>
            </w:pPr>
            <w:r>
              <w:rPr>
                <w:rFonts w:ascii="Arial" w:cs="Arial" w:eastAsia="Arial" w:hAnsi="Arial"/>
                <w:sz w:val="14"/>
                <w:szCs w:val="14"/>
                <w:b w:val="1"/>
                <w:bCs w:val="1"/>
                <w:color w:val="auto"/>
                <w:w w:val="86"/>
              </w:rPr>
              <w:t>Interest</w:t>
            </w:r>
          </w:p>
        </w:tc>
        <w:tc>
          <w:tcPr>
            <w:tcW w:w="1220" w:type="dxa"/>
            <w:vAlign w:val="bottom"/>
            <w:gridSpan w:val="2"/>
          </w:tcPr>
          <w:p>
            <w:pPr>
              <w:ind w:left="280"/>
              <w:spacing w:after="0" w:line="141" w:lineRule="exact"/>
              <w:rPr>
                <w:sz w:val="20"/>
                <w:szCs w:val="20"/>
                <w:color w:val="auto"/>
              </w:rPr>
            </w:pPr>
            <w:r>
              <w:rPr>
                <w:rFonts w:ascii="Arial" w:cs="Arial" w:eastAsia="Arial" w:hAnsi="Arial"/>
                <w:sz w:val="14"/>
                <w:szCs w:val="14"/>
                <w:b w:val="1"/>
                <w:bCs w:val="1"/>
                <w:u w:val="single" w:color="auto"/>
                <w:color w:val="auto"/>
              </w:rPr>
              <w:t>% Ownership</w:t>
            </w:r>
          </w:p>
        </w:tc>
        <w:tc>
          <w:tcPr>
            <w:tcW w:w="0" w:type="dxa"/>
            <w:vAlign w:val="bottom"/>
          </w:tcPr>
          <w:p>
            <w:pPr>
              <w:spacing w:after="0"/>
              <w:rPr>
                <w:sz w:val="1"/>
                <w:szCs w:val="1"/>
                <w:color w:val="auto"/>
              </w:rPr>
            </w:pPr>
          </w:p>
        </w:tc>
      </w:tr>
    </w:tbl>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4260"/>
        <w:spacing w:after="0"/>
        <w:rPr>
          <w:sz w:val="20"/>
          <w:szCs w:val="20"/>
          <w:color w:val="auto"/>
        </w:rPr>
      </w:pPr>
      <w:r>
        <w:rPr>
          <w:rFonts w:ascii="Arial" w:cs="Arial" w:eastAsia="Arial" w:hAnsi="Arial"/>
          <w:sz w:val="12"/>
          <w:szCs w:val="12"/>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212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212340"/>
                    </a:xfrm>
                    <a:prstGeom prst="rect">
                      <a:avLst/>
                    </a:prstGeom>
                    <a:noFill/>
                  </pic:spPr>
                </pic:pic>
              </a:graphicData>
            </a:graphic>
          </wp:anchor>
        </w:drawing>
      </w:r>
    </w:p>
    <w:p>
      <w:pPr>
        <w:spacing w:after="0" w:line="2" w:lineRule="exact"/>
        <w:rPr>
          <w:sz w:val="20"/>
          <w:szCs w:val="20"/>
          <w:color w:val="auto"/>
        </w:rPr>
      </w:pPr>
    </w:p>
    <w:p>
      <w:pPr>
        <w:jc w:val="center"/>
        <w:ind w:right="4280"/>
        <w:spacing w:after="0"/>
        <w:rPr>
          <w:sz w:val="20"/>
          <w:szCs w:val="20"/>
          <w:color w:val="auto"/>
        </w:rPr>
      </w:pPr>
      <w:r>
        <w:rPr>
          <w:rFonts w:ascii="Arial" w:cs="Arial" w:eastAsia="Arial" w:hAnsi="Arial"/>
          <w:sz w:val="14"/>
          <w:szCs w:val="14"/>
          <w:color w:val="auto"/>
        </w:rPr>
        <w:t>a Maryland real estate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Arial" w:cs="Arial" w:eastAsia="Arial" w:hAnsi="Arial"/>
                <w:sz w:val="14"/>
                <w:szCs w:val="14"/>
                <w:color w:val="auto"/>
                <w:w w:val="94"/>
              </w:rPr>
              <w:t>FR ASSOCIATES LIMITED PARTNERSHIP,</w:t>
            </w:r>
          </w:p>
        </w:tc>
        <w:tc>
          <w:tcPr>
            <w:tcW w:w="1400" w:type="dxa"/>
            <w:vAlign w:val="bottom"/>
          </w:tcPr>
          <w:p>
            <w:pPr>
              <w:ind w:left="140"/>
              <w:spacing w:after="0"/>
              <w:rPr>
                <w:sz w:val="20"/>
                <w:szCs w:val="20"/>
                <w:color w:val="auto"/>
              </w:rPr>
            </w:pPr>
            <w:r>
              <w:rPr>
                <w:rFonts w:ascii="Arial" w:cs="Arial" w:eastAsia="Arial" w:hAnsi="Arial"/>
                <w:sz w:val="14"/>
                <w:szCs w:val="14"/>
                <w:color w:val="auto"/>
              </w:rPr>
              <w:t>Federal Realty</w:t>
            </w:r>
          </w:p>
        </w:tc>
        <w:tc>
          <w:tcPr>
            <w:tcW w:w="1760" w:type="dxa"/>
            <w:vAlign w:val="bottom"/>
          </w:tcPr>
          <w:p>
            <w:pPr>
              <w:ind w:left="340"/>
              <w:spacing w:after="0"/>
              <w:rPr>
                <w:sz w:val="20"/>
                <w:szCs w:val="20"/>
                <w:color w:val="auto"/>
              </w:rPr>
            </w:pPr>
            <w:r>
              <w:rPr>
                <w:rFonts w:ascii="Arial" w:cs="Arial" w:eastAsia="Arial" w:hAnsi="Arial"/>
                <w:sz w:val="14"/>
                <w:szCs w:val="14"/>
                <w:color w:val="auto"/>
              </w:rPr>
              <w:t>General partner</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49"/>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a Maryland limited partnership</w:t>
            </w:r>
          </w:p>
        </w:tc>
        <w:tc>
          <w:tcPr>
            <w:tcW w:w="1400" w:type="dxa"/>
            <w:vAlign w:val="bottom"/>
          </w:tcPr>
          <w:p>
            <w:pPr>
              <w:ind w:left="140"/>
              <w:spacing w:after="0" w:line="149" w:lineRule="exact"/>
              <w:rPr>
                <w:sz w:val="20"/>
                <w:szCs w:val="20"/>
                <w:color w:val="auto"/>
              </w:rPr>
            </w:pPr>
            <w:r>
              <w:rPr>
                <w:rFonts w:ascii="Arial" w:cs="Arial" w:eastAsia="Arial" w:hAnsi="Arial"/>
                <w:sz w:val="14"/>
                <w:szCs w:val="14"/>
                <w:color w:val="auto"/>
              </w:rPr>
              <w:t>Investment Trust</w:t>
            </w: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400" w:type="dxa"/>
            <w:vAlign w:val="bottom"/>
          </w:tcPr>
          <w:p>
            <w:pPr>
              <w:ind w:left="140"/>
              <w:spacing w:after="0" w:line="149" w:lineRule="exact"/>
              <w:rPr>
                <w:sz w:val="20"/>
                <w:szCs w:val="20"/>
                <w:color w:val="auto"/>
              </w:rPr>
            </w:pPr>
            <w:r>
              <w:rPr>
                <w:rFonts w:ascii="Arial" w:cs="Arial" w:eastAsia="Arial" w:hAnsi="Arial"/>
                <w:sz w:val="14"/>
                <w:szCs w:val="14"/>
                <w:color w:val="auto"/>
              </w:rPr>
              <w:t>Federal Realty</w:t>
            </w:r>
          </w:p>
        </w:tc>
        <w:tc>
          <w:tcPr>
            <w:tcW w:w="1760" w:type="dxa"/>
            <w:vAlign w:val="bottom"/>
          </w:tcPr>
          <w:p>
            <w:pPr>
              <w:ind w:left="340"/>
              <w:spacing w:after="0" w:line="149" w:lineRule="exact"/>
              <w:rPr>
                <w:sz w:val="20"/>
                <w:szCs w:val="20"/>
                <w:color w:val="auto"/>
              </w:rPr>
            </w:pPr>
            <w:r>
              <w:rPr>
                <w:rFonts w:ascii="Arial" w:cs="Arial" w:eastAsia="Arial" w:hAnsi="Arial"/>
                <w:sz w:val="14"/>
                <w:szCs w:val="14"/>
                <w:color w:val="auto"/>
              </w:rPr>
              <w:t>Limited partner</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97.97%</w:t>
            </w:r>
          </w:p>
        </w:tc>
      </w:tr>
      <w:tr>
        <w:trPr>
          <w:trHeight w:val="149"/>
        </w:trPr>
        <w:tc>
          <w:tcPr>
            <w:tcW w:w="2660" w:type="dxa"/>
            <w:vAlign w:val="bottom"/>
          </w:tcPr>
          <w:p>
            <w:pPr>
              <w:spacing w:after="0"/>
              <w:rPr>
                <w:sz w:val="12"/>
                <w:szCs w:val="12"/>
                <w:color w:val="auto"/>
              </w:rPr>
            </w:pPr>
          </w:p>
        </w:tc>
        <w:tc>
          <w:tcPr>
            <w:tcW w:w="1400" w:type="dxa"/>
            <w:vAlign w:val="bottom"/>
          </w:tcPr>
          <w:p>
            <w:pPr>
              <w:ind w:left="140"/>
              <w:spacing w:after="0" w:line="149" w:lineRule="exact"/>
              <w:rPr>
                <w:sz w:val="20"/>
                <w:szCs w:val="20"/>
                <w:color w:val="auto"/>
              </w:rPr>
            </w:pPr>
            <w:r>
              <w:rPr>
                <w:rFonts w:ascii="Arial" w:cs="Arial" w:eastAsia="Arial" w:hAnsi="Arial"/>
                <w:sz w:val="14"/>
                <w:szCs w:val="14"/>
                <w:color w:val="auto"/>
              </w:rPr>
              <w:t>Investment Trust</w:t>
            </w: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2"/>
        </w:trPr>
        <w:tc>
          <w:tcPr>
            <w:tcW w:w="266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Arial" w:cs="Arial" w:eastAsia="Arial" w:hAnsi="Arial"/>
                <w:sz w:val="14"/>
                <w:szCs w:val="14"/>
                <w:color w:val="auto"/>
              </w:rPr>
              <w:t>Street Retail, Inc.</w:t>
            </w:r>
          </w:p>
        </w:tc>
        <w:tc>
          <w:tcPr>
            <w:tcW w:w="1760" w:type="dxa"/>
            <w:vAlign w:val="bottom"/>
          </w:tcPr>
          <w:p>
            <w:pPr>
              <w:ind w:left="340"/>
              <w:spacing w:after="0"/>
              <w:rPr>
                <w:sz w:val="20"/>
                <w:szCs w:val="20"/>
                <w:color w:val="auto"/>
              </w:rPr>
            </w:pPr>
            <w:r>
              <w:rPr>
                <w:rFonts w:ascii="Arial" w:cs="Arial" w:eastAsia="Arial" w:hAnsi="Arial"/>
                <w:sz w:val="14"/>
                <w:szCs w:val="14"/>
                <w:color w:val="auto"/>
              </w:rPr>
              <w:t>Limited partner</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Material and/or</w:t>
            </w: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49"/>
        </w:trPr>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9"/>
        </w:trPr>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20" w:type="dxa"/>
            <w:vAlign w:val="bottom"/>
          </w:tcPr>
          <w:p>
            <w:pPr>
              <w:spacing w:after="0"/>
              <w:rPr>
                <w:sz w:val="12"/>
                <w:szCs w:val="12"/>
                <w:color w:val="auto"/>
              </w:rPr>
            </w:pPr>
          </w:p>
        </w:tc>
        <w:tc>
          <w:tcPr>
            <w:tcW w:w="204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Liens, Options,</w:t>
            </w:r>
          </w:p>
        </w:tc>
      </w:tr>
      <w:tr>
        <w:trPr>
          <w:trHeight w:val="175"/>
        </w:trPr>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Property</w:t>
            </w:r>
          </w:p>
        </w:tc>
        <w:tc>
          <w:tcPr>
            <w:tcW w:w="220" w:type="dxa"/>
            <w:vAlign w:val="bottom"/>
          </w:tcPr>
          <w:p>
            <w:pPr>
              <w:spacing w:after="0"/>
              <w:rPr>
                <w:sz w:val="15"/>
                <w:szCs w:val="15"/>
                <w:color w:val="auto"/>
              </w:rPr>
            </w:pPr>
          </w:p>
        </w:tc>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Registration Rights, etc.</w:t>
            </w:r>
          </w:p>
        </w:tc>
      </w:tr>
      <w:tr>
        <w:trPr>
          <w:trHeight w:val="132"/>
        </w:trPr>
        <w:tc>
          <w:tcPr>
            <w:tcW w:w="1920" w:type="dxa"/>
            <w:vAlign w:val="bottom"/>
            <w:tcBorders>
              <w:top w:val="single" w:sz="8" w:color="auto"/>
            </w:tcBorders>
          </w:tcPr>
          <w:p>
            <w:pPr>
              <w:spacing w:after="0" w:line="132" w:lineRule="exact"/>
              <w:rPr>
                <w:sz w:val="20"/>
                <w:szCs w:val="20"/>
                <w:color w:val="auto"/>
              </w:rPr>
            </w:pPr>
            <w:r>
              <w:rPr>
                <w:rFonts w:ascii="Arial" w:cs="Arial" w:eastAsia="Arial" w:hAnsi="Arial"/>
                <w:sz w:val="14"/>
                <w:szCs w:val="14"/>
                <w:color w:val="auto"/>
              </w:rPr>
              <w:t>Borrower</w:t>
            </w:r>
          </w:p>
        </w:tc>
        <w:tc>
          <w:tcPr>
            <w:tcW w:w="200" w:type="dxa"/>
            <w:vAlign w:val="bottom"/>
          </w:tcPr>
          <w:p>
            <w:pPr>
              <w:spacing w:after="0"/>
              <w:rPr>
                <w:sz w:val="11"/>
                <w:szCs w:val="11"/>
                <w:color w:val="auto"/>
              </w:rPr>
            </w:pPr>
          </w:p>
        </w:tc>
        <w:tc>
          <w:tcPr>
            <w:tcW w:w="220" w:type="dxa"/>
            <w:vAlign w:val="bottom"/>
            <w:tcBorders>
              <w:top w:val="single" w:sz="8" w:color="auto"/>
            </w:tcBorders>
          </w:tcPr>
          <w:p>
            <w:pPr>
              <w:ind w:left="120"/>
              <w:spacing w:after="0" w:line="132" w:lineRule="exact"/>
              <w:rPr>
                <w:sz w:val="20"/>
                <w:szCs w:val="20"/>
                <w:color w:val="auto"/>
              </w:rPr>
            </w:pPr>
            <w:r>
              <w:rPr>
                <w:rFonts w:ascii="Arial" w:cs="Arial" w:eastAsia="Arial" w:hAnsi="Arial"/>
                <w:sz w:val="14"/>
                <w:szCs w:val="14"/>
                <w:color w:val="auto"/>
              </w:rPr>
              <w:t>•</w:t>
            </w:r>
          </w:p>
        </w:tc>
        <w:tc>
          <w:tcPr>
            <w:tcW w:w="2040" w:type="dxa"/>
            <w:vAlign w:val="bottom"/>
            <w:tcBorders>
              <w:top w:val="single" w:sz="8" w:color="auto"/>
            </w:tcBorders>
          </w:tcPr>
          <w:p>
            <w:pPr>
              <w:ind w:left="80"/>
              <w:spacing w:after="0" w:line="132" w:lineRule="exact"/>
              <w:rPr>
                <w:sz w:val="20"/>
                <w:szCs w:val="20"/>
                <w:color w:val="auto"/>
              </w:rPr>
            </w:pPr>
            <w:r>
              <w:rPr>
                <w:rFonts w:ascii="Arial" w:cs="Arial" w:eastAsia="Arial" w:hAnsi="Arial"/>
                <w:sz w:val="14"/>
                <w:szCs w:val="14"/>
                <w:color w:val="auto"/>
              </w:rPr>
              <w:t>Permitted Liens on properties</w:t>
            </w:r>
          </w:p>
        </w:tc>
      </w:tr>
      <w:tr>
        <w:trPr>
          <w:trHeight w:val="17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ind w:left="220"/>
              <w:spacing w:after="0"/>
              <w:rPr>
                <w:sz w:val="20"/>
                <w:szCs w:val="20"/>
                <w:color w:val="auto"/>
              </w:rPr>
            </w:pPr>
            <w:r>
              <w:rPr>
                <w:rFonts w:ascii="Arial" w:cs="Arial" w:eastAsia="Arial" w:hAnsi="Arial"/>
                <w:sz w:val="14"/>
                <w:szCs w:val="14"/>
                <w:color w:val="auto"/>
              </w:rPr>
              <w:t>identified in Schedule 6.1(f);</w:t>
            </w:r>
          </w:p>
        </w:tc>
      </w:tr>
      <w:tr>
        <w:trPr>
          <w:trHeight w:val="20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Arial" w:cs="Arial" w:eastAsia="Arial" w:hAnsi="Arial"/>
                <w:sz w:val="14"/>
                <w:szCs w:val="14"/>
                <w:color w:val="auto"/>
                <w:w w:val="94"/>
              </w:rPr>
              <w:t>•  Stock options in favor of Trustees,</w:t>
            </w:r>
          </w:p>
        </w:tc>
      </w:tr>
      <w:tr>
        <w:trPr>
          <w:trHeight w:val="172"/>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ind w:left="220"/>
              <w:spacing w:after="0"/>
              <w:rPr>
                <w:sz w:val="20"/>
                <w:szCs w:val="20"/>
                <w:color w:val="auto"/>
              </w:rPr>
            </w:pPr>
            <w:r>
              <w:rPr>
                <w:rFonts w:ascii="Arial" w:cs="Arial" w:eastAsia="Arial" w:hAnsi="Arial"/>
                <w:sz w:val="14"/>
                <w:szCs w:val="14"/>
                <w:color w:val="auto"/>
                <w:w w:val="90"/>
              </w:rPr>
              <w:t>employees and certain vendors;</w:t>
            </w:r>
          </w:p>
        </w:tc>
      </w:tr>
      <w:tr>
        <w:trPr>
          <w:trHeight w:val="230"/>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2040" w:type="dxa"/>
            <w:vAlign w:val="bottom"/>
          </w:tcPr>
          <w:p>
            <w:pPr>
              <w:ind w:left="80"/>
              <w:spacing w:after="0"/>
              <w:rPr>
                <w:sz w:val="20"/>
                <w:szCs w:val="20"/>
                <w:color w:val="auto"/>
              </w:rPr>
            </w:pPr>
            <w:r>
              <w:rPr>
                <w:rFonts w:ascii="Arial" w:cs="Arial" w:eastAsia="Arial" w:hAnsi="Arial"/>
                <w:sz w:val="14"/>
                <w:szCs w:val="14"/>
                <w:color w:val="auto"/>
              </w:rPr>
              <w:t>Dividend reinvestment plan;</w:t>
            </w:r>
          </w:p>
        </w:tc>
      </w:tr>
    </w:tbl>
    <w:p>
      <w:pPr>
        <w:spacing w:after="0" w:line="57" w:lineRule="exact"/>
        <w:rPr>
          <w:sz w:val="20"/>
          <w:szCs w:val="20"/>
          <w:color w:val="auto"/>
        </w:rPr>
      </w:pPr>
    </w:p>
    <w:p>
      <w:pPr>
        <w:ind w:left="2240"/>
        <w:spacing w:after="0"/>
        <w:tabs>
          <w:tab w:leader="none" w:pos="2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Active shelf registration statement;</w:t>
      </w:r>
    </w:p>
    <w:p>
      <w:pPr>
        <w:spacing w:after="0" w:line="68" w:lineRule="exact"/>
        <w:rPr>
          <w:sz w:val="20"/>
          <w:szCs w:val="20"/>
          <w:color w:val="auto"/>
        </w:rPr>
      </w:pPr>
    </w:p>
    <w:p>
      <w:pPr>
        <w:ind w:left="2240"/>
        <w:spacing w:after="0"/>
        <w:tabs>
          <w:tab w:leader="none" w:pos="2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Active registration statements for</w:t>
      </w:r>
    </w:p>
    <w:p>
      <w:pPr>
        <w:ind w:left="2560"/>
        <w:spacing w:after="0" w:line="221" w:lineRule="auto"/>
        <w:rPr>
          <w:sz w:val="20"/>
          <w:szCs w:val="20"/>
          <w:color w:val="auto"/>
        </w:rPr>
      </w:pPr>
      <w:r>
        <w:rPr>
          <w:rFonts w:ascii="Arial" w:cs="Arial" w:eastAsia="Arial" w:hAnsi="Arial"/>
          <w:sz w:val="14"/>
          <w:szCs w:val="14"/>
          <w:color w:val="auto"/>
        </w:rPr>
        <w:t>certain shares issued as</w:t>
      </w:r>
    </w:p>
    <w:p>
      <w:pPr>
        <w:ind w:left="2560"/>
        <w:spacing w:after="0" w:line="221" w:lineRule="auto"/>
        <w:rPr>
          <w:sz w:val="20"/>
          <w:szCs w:val="20"/>
          <w:color w:val="auto"/>
        </w:rPr>
      </w:pPr>
      <w:r>
        <w:rPr>
          <w:rFonts w:ascii="Arial" w:cs="Arial" w:eastAsia="Arial" w:hAnsi="Arial"/>
          <w:sz w:val="14"/>
          <w:szCs w:val="14"/>
          <w:color w:val="auto"/>
        </w:rPr>
        <w:t>unregistered shares and for</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shares that may be issued on</w:t>
      </w:r>
    </w:p>
    <w:p>
      <w:pPr>
        <w:spacing w:after="0" w:line="11"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conversion of Series 1 Preferred</w:t>
      </w:r>
    </w:p>
    <w:p>
      <w:pPr>
        <w:ind w:left="2560"/>
        <w:spacing w:after="0" w:line="237" w:lineRule="auto"/>
        <w:rPr>
          <w:sz w:val="20"/>
          <w:szCs w:val="20"/>
          <w:color w:val="auto"/>
        </w:rPr>
      </w:pPr>
      <w:r>
        <w:rPr>
          <w:rFonts w:ascii="Arial" w:cs="Arial" w:eastAsia="Arial" w:hAnsi="Arial"/>
          <w:sz w:val="14"/>
          <w:szCs w:val="14"/>
          <w:color w:val="auto"/>
        </w:rPr>
        <w:t>Shares and downreit units in</w:t>
      </w:r>
    </w:p>
    <w:p>
      <w:pPr>
        <w:ind w:left="2560"/>
        <w:spacing w:after="0"/>
        <w:rPr>
          <w:sz w:val="20"/>
          <w:szCs w:val="20"/>
          <w:color w:val="auto"/>
        </w:rPr>
      </w:pPr>
      <w:r>
        <w:rPr>
          <w:rFonts w:ascii="Arial" w:cs="Arial" w:eastAsia="Arial" w:hAnsi="Arial"/>
          <w:sz w:val="14"/>
          <w:szCs w:val="14"/>
          <w:color w:val="auto"/>
        </w:rPr>
        <w:t>NVI-Avenue, LLC;</w:t>
      </w:r>
    </w:p>
    <w:p>
      <w:pPr>
        <w:spacing w:after="0" w:line="56" w:lineRule="exact"/>
        <w:rPr>
          <w:sz w:val="20"/>
          <w:szCs w:val="20"/>
          <w:color w:val="auto"/>
        </w:rPr>
      </w:pPr>
    </w:p>
    <w:p>
      <w:pPr>
        <w:ind w:left="2240"/>
        <w:spacing w:after="0"/>
        <w:tabs>
          <w:tab w:leader="none" w:pos="24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See Federal Realty Partners L.P.,</w:t>
      </w:r>
    </w:p>
    <w:p>
      <w:pPr>
        <w:ind w:left="2560"/>
        <w:spacing w:after="0"/>
        <w:rPr>
          <w:sz w:val="20"/>
          <w:szCs w:val="20"/>
          <w:color w:val="auto"/>
        </w:rPr>
      </w:pPr>
      <w:r>
        <w:rPr>
          <w:rFonts w:ascii="Arial" w:cs="Arial" w:eastAsia="Arial" w:hAnsi="Arial"/>
          <w:sz w:val="12"/>
          <w:szCs w:val="12"/>
          <w:color w:val="auto"/>
        </w:rPr>
        <w:t>FR Leesburg Plaza, LP, FR Pike</w:t>
      </w:r>
    </w:p>
    <w:p>
      <w:pPr>
        <w:spacing w:after="0" w:line="11" w:lineRule="exact"/>
        <w:rPr>
          <w:sz w:val="20"/>
          <w:szCs w:val="20"/>
          <w:color w:val="auto"/>
        </w:rPr>
      </w:pPr>
    </w:p>
    <w:p>
      <w:pPr>
        <w:ind w:left="2560"/>
        <w:spacing w:after="0"/>
        <w:rPr>
          <w:sz w:val="20"/>
          <w:szCs w:val="20"/>
          <w:color w:val="auto"/>
        </w:rPr>
      </w:pPr>
      <w:r>
        <w:rPr>
          <w:rFonts w:ascii="Arial" w:cs="Arial" w:eastAsia="Arial" w:hAnsi="Arial"/>
          <w:sz w:val="12"/>
          <w:szCs w:val="12"/>
          <w:color w:val="auto"/>
        </w:rPr>
        <w:t>7 Limited Partnership and Street</w:t>
      </w:r>
    </w:p>
    <w:p>
      <w:pPr>
        <w:ind w:left="2560"/>
        <w:spacing w:after="0" w:line="237" w:lineRule="auto"/>
        <w:rPr>
          <w:sz w:val="20"/>
          <w:szCs w:val="20"/>
          <w:color w:val="auto"/>
        </w:rPr>
      </w:pPr>
      <w:r>
        <w:rPr>
          <w:rFonts w:ascii="Arial" w:cs="Arial" w:eastAsia="Arial" w:hAnsi="Arial"/>
          <w:sz w:val="14"/>
          <w:szCs w:val="14"/>
          <w:color w:val="auto"/>
        </w:rPr>
        <w:t>Retail West 7, L.P. for</w:t>
      </w:r>
    </w:p>
    <w:p>
      <w:pPr>
        <w:ind w:left="2560"/>
        <w:spacing w:after="0"/>
        <w:rPr>
          <w:sz w:val="20"/>
          <w:szCs w:val="20"/>
          <w:color w:val="auto"/>
        </w:rPr>
      </w:pPr>
      <w:r>
        <w:rPr>
          <w:rFonts w:ascii="Arial" w:cs="Arial" w:eastAsia="Arial" w:hAnsi="Arial"/>
          <w:sz w:val="12"/>
          <w:szCs w:val="12"/>
          <w:color w:val="auto"/>
        </w:rPr>
        <w:t>registration rights agreements</w:t>
      </w:r>
    </w:p>
    <w:p>
      <w:pPr>
        <w:spacing w:after="0" w:line="79" w:lineRule="exact"/>
        <w:rPr>
          <w:sz w:val="20"/>
          <w:szCs w:val="20"/>
          <w:color w:val="auto"/>
        </w:rPr>
      </w:pPr>
    </w:p>
    <w:p>
      <w:pPr>
        <w:ind w:left="2240"/>
        <w:spacing w:after="0"/>
        <w:tabs>
          <w:tab w:leader="none" w:pos="24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2007 Employee Share Purchase</w:t>
      </w:r>
    </w:p>
    <w:p>
      <w:pPr>
        <w:ind w:left="2560"/>
        <w:spacing w:after="0"/>
        <w:rPr>
          <w:sz w:val="20"/>
          <w:szCs w:val="20"/>
          <w:color w:val="auto"/>
        </w:rPr>
      </w:pPr>
      <w:r>
        <w:rPr>
          <w:rFonts w:ascii="Arial" w:cs="Arial" w:eastAsia="Arial" w:hAnsi="Arial"/>
          <w:sz w:val="14"/>
          <w:szCs w:val="14"/>
          <w:color w:val="auto"/>
        </w:rPr>
        <w:t>Plan</w:t>
      </w:r>
    </w:p>
    <w:p>
      <w:pPr>
        <w:spacing w:after="0" w:line="9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None</w:t>
      </w:r>
    </w:p>
    <w:p>
      <w:pPr>
        <w:spacing w:after="0" w:line="677" w:lineRule="exact"/>
        <w:rPr>
          <w:sz w:val="20"/>
          <w:szCs w:val="20"/>
          <w:color w:val="auto"/>
        </w:rPr>
      </w:pPr>
    </w:p>
    <w:p>
      <w:pPr>
        <w:sectPr>
          <w:pgSz w:w="11900" w:h="16838" w:orient="portrait"/>
          <w:cols w:equalWidth="0" w:num="2">
            <w:col w:w="6820" w:space="220"/>
            <w:col w:w="4380"/>
          </w:cols>
          <w:pgMar w:left="240" w:top="257"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690" w:type="dxa"/>
            <w:vAlign w:val="bottom"/>
            <w:shd w:val="clear" w:color="auto" w:fill="CCEEFF"/>
          </w:tcPr>
          <w:p>
            <w:pPr>
              <w:spacing w:after="0"/>
              <w:rPr>
                <w:sz w:val="20"/>
                <w:szCs w:val="20"/>
                <w:color w:val="auto"/>
              </w:rPr>
            </w:pPr>
            <w:r>
              <w:rPr>
                <w:rFonts w:ascii="Arial" w:cs="Arial" w:eastAsia="Arial" w:hAnsi="Arial"/>
                <w:sz w:val="14"/>
                <w:szCs w:val="14"/>
                <w:color w:val="auto"/>
              </w:rPr>
              <w:t>BERMAN ENTERPRISES II LIMITED</w:t>
            </w:r>
          </w:p>
        </w:tc>
        <w:tc>
          <w:tcPr>
            <w:tcW w:w="1510" w:type="dxa"/>
            <w:vAlign w:val="bottom"/>
            <w:shd w:val="clear" w:color="auto" w:fill="CCEEFF"/>
          </w:tcPr>
          <w:p>
            <w:pPr>
              <w:ind w:left="110"/>
              <w:spacing w:after="0"/>
              <w:rPr>
                <w:sz w:val="20"/>
                <w:szCs w:val="20"/>
                <w:color w:val="auto"/>
              </w:rPr>
            </w:pPr>
            <w:r>
              <w:rPr>
                <w:rFonts w:ascii="Arial" w:cs="Arial" w:eastAsia="Arial" w:hAnsi="Arial"/>
                <w:sz w:val="14"/>
                <w:szCs w:val="14"/>
                <w:color w:val="auto"/>
              </w:rPr>
              <w:t>Federal Realty</w:t>
            </w:r>
          </w:p>
        </w:tc>
        <w:tc>
          <w:tcPr>
            <w:tcW w:w="1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partner</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w:t>
            </w: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Guarantor</w:t>
            </w:r>
          </w:p>
        </w:tc>
        <w:tc>
          <w:tcPr>
            <w:tcW w:w="2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None</w:t>
            </w:r>
          </w:p>
        </w:tc>
      </w:tr>
      <w:tr>
        <w:trPr>
          <w:trHeight w:val="159"/>
        </w:trPr>
        <w:tc>
          <w:tcPr>
            <w:tcW w:w="269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PARTNERSHIP, a Maryland limited</w:t>
            </w:r>
          </w:p>
        </w:tc>
        <w:tc>
          <w:tcPr>
            <w:tcW w:w="1510" w:type="dxa"/>
            <w:vAlign w:val="bottom"/>
            <w:shd w:val="clear" w:color="auto" w:fill="CCEEFF"/>
          </w:tcPr>
          <w:p>
            <w:pPr>
              <w:ind w:left="110"/>
              <w:spacing w:after="0" w:line="159" w:lineRule="exact"/>
              <w:rPr>
                <w:sz w:val="20"/>
                <w:szCs w:val="20"/>
                <w:color w:val="auto"/>
              </w:rPr>
            </w:pPr>
            <w:r>
              <w:rPr>
                <w:rFonts w:ascii="Arial" w:cs="Arial" w:eastAsia="Arial" w:hAnsi="Arial"/>
                <w:sz w:val="14"/>
                <w:szCs w:val="14"/>
                <w:color w:val="auto"/>
              </w:rPr>
              <w:t>Investment Trust</w:t>
            </w:r>
          </w:p>
        </w:tc>
        <w:tc>
          <w:tcPr>
            <w:tcW w:w="17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3"/>
              </w:rPr>
              <w:t>Material Subsidiary (in conjunction</w:t>
            </w:r>
          </w:p>
        </w:tc>
        <w:tc>
          <w:tcPr>
            <w:tcW w:w="2360" w:type="dxa"/>
            <w:vAlign w:val="bottom"/>
            <w:shd w:val="clear" w:color="auto" w:fill="CCEEFF"/>
          </w:tcPr>
          <w:p>
            <w:pPr>
              <w:spacing w:after="0"/>
              <w:rPr>
                <w:sz w:val="13"/>
                <w:szCs w:val="13"/>
                <w:color w:val="auto"/>
              </w:rPr>
            </w:pPr>
          </w:p>
        </w:tc>
      </w:tr>
      <w:tr>
        <w:trPr>
          <w:trHeight w:val="138"/>
        </w:trPr>
        <w:tc>
          <w:tcPr>
            <w:tcW w:w="269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partnership</w:t>
            </w:r>
          </w:p>
        </w:tc>
        <w:tc>
          <w:tcPr>
            <w:tcW w:w="1510" w:type="dxa"/>
            <w:vAlign w:val="bottom"/>
            <w:shd w:val="clear" w:color="auto" w:fill="CCEEFF"/>
          </w:tcPr>
          <w:p>
            <w:pPr>
              <w:ind w:left="110"/>
              <w:spacing w:after="0" w:line="138" w:lineRule="exact"/>
              <w:rPr>
                <w:sz w:val="20"/>
                <w:szCs w:val="20"/>
                <w:color w:val="auto"/>
              </w:rPr>
            </w:pPr>
            <w:r>
              <w:rPr>
                <w:rFonts w:ascii="Arial" w:cs="Arial" w:eastAsia="Arial" w:hAnsi="Arial"/>
                <w:sz w:val="14"/>
                <w:szCs w:val="14"/>
                <w:color w:val="auto"/>
              </w:rPr>
              <w:t>Federal Realty</w:t>
            </w:r>
          </w:p>
        </w:tc>
        <w:tc>
          <w:tcPr>
            <w:tcW w:w="17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Limited partner</w:t>
            </w:r>
          </w:p>
        </w:tc>
        <w:tc>
          <w:tcPr>
            <w:tcW w:w="1140" w:type="dxa"/>
            <w:vAlign w:val="bottom"/>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97%</w:t>
            </w:r>
          </w:p>
        </w:tc>
        <w:tc>
          <w:tcPr>
            <w:tcW w:w="2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with Federal Realty Investment</w:t>
            </w:r>
          </w:p>
        </w:tc>
        <w:tc>
          <w:tcPr>
            <w:tcW w:w="2360" w:type="dxa"/>
            <w:vAlign w:val="bottom"/>
            <w:shd w:val="clear" w:color="auto" w:fill="CCEEFF"/>
          </w:tcPr>
          <w:p>
            <w:pPr>
              <w:spacing w:after="0"/>
              <w:rPr>
                <w:sz w:val="11"/>
                <w:szCs w:val="11"/>
                <w:color w:val="auto"/>
              </w:rPr>
            </w:pPr>
          </w:p>
        </w:tc>
      </w:tr>
      <w:tr>
        <w:trPr>
          <w:trHeight w:val="159"/>
        </w:trPr>
        <w:tc>
          <w:tcPr>
            <w:tcW w:w="2690" w:type="dxa"/>
            <w:vAlign w:val="bottom"/>
            <w:shd w:val="clear" w:color="auto" w:fill="CCEEFF"/>
          </w:tcPr>
          <w:p>
            <w:pPr>
              <w:spacing w:after="0"/>
              <w:rPr>
                <w:sz w:val="13"/>
                <w:szCs w:val="13"/>
                <w:color w:val="auto"/>
              </w:rPr>
            </w:pPr>
          </w:p>
        </w:tc>
        <w:tc>
          <w:tcPr>
            <w:tcW w:w="1510" w:type="dxa"/>
            <w:vAlign w:val="bottom"/>
            <w:shd w:val="clear" w:color="auto" w:fill="CCEEFF"/>
          </w:tcPr>
          <w:p>
            <w:pPr>
              <w:ind w:left="110"/>
              <w:spacing w:after="0" w:line="159" w:lineRule="exact"/>
              <w:rPr>
                <w:sz w:val="20"/>
                <w:szCs w:val="20"/>
                <w:color w:val="auto"/>
              </w:rPr>
            </w:pPr>
            <w:r>
              <w:rPr>
                <w:rFonts w:ascii="Arial" w:cs="Arial" w:eastAsia="Arial" w:hAnsi="Arial"/>
                <w:sz w:val="14"/>
                <w:szCs w:val="14"/>
                <w:color w:val="auto"/>
              </w:rPr>
              <w:t>Investment Trust</w:t>
            </w:r>
          </w:p>
        </w:tc>
        <w:tc>
          <w:tcPr>
            <w:tcW w:w="17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Trust)</w:t>
            </w:r>
          </w:p>
        </w:tc>
        <w:tc>
          <w:tcPr>
            <w:tcW w:w="2360" w:type="dxa"/>
            <w:vAlign w:val="bottom"/>
            <w:shd w:val="clear" w:color="auto" w:fill="CCEEFF"/>
          </w:tcPr>
          <w:p>
            <w:pPr>
              <w:spacing w:after="0"/>
              <w:rPr>
                <w:sz w:val="13"/>
                <w:szCs w:val="13"/>
                <w:color w:val="auto"/>
              </w:rPr>
            </w:pPr>
          </w:p>
        </w:tc>
      </w:tr>
      <w:tr>
        <w:trPr>
          <w:trHeight w:val="138"/>
        </w:trPr>
        <w:tc>
          <w:tcPr>
            <w:tcW w:w="2690" w:type="dxa"/>
            <w:vAlign w:val="bottom"/>
            <w:shd w:val="clear" w:color="auto" w:fill="CCEEFF"/>
          </w:tcPr>
          <w:p>
            <w:pPr>
              <w:spacing w:after="0"/>
              <w:rPr>
                <w:sz w:val="11"/>
                <w:szCs w:val="11"/>
                <w:color w:val="auto"/>
              </w:rPr>
            </w:pPr>
          </w:p>
        </w:tc>
        <w:tc>
          <w:tcPr>
            <w:tcW w:w="1510" w:type="dxa"/>
            <w:vAlign w:val="bottom"/>
            <w:shd w:val="clear" w:color="auto" w:fill="CCEEFF"/>
          </w:tcPr>
          <w:p>
            <w:pPr>
              <w:ind w:left="110"/>
              <w:spacing w:after="0" w:line="138" w:lineRule="exact"/>
              <w:rPr>
                <w:sz w:val="20"/>
                <w:szCs w:val="20"/>
                <w:color w:val="auto"/>
              </w:rPr>
            </w:pPr>
            <w:r>
              <w:rPr>
                <w:rFonts w:ascii="Arial" w:cs="Arial" w:eastAsia="Arial" w:hAnsi="Arial"/>
                <w:sz w:val="14"/>
                <w:szCs w:val="14"/>
                <w:color w:val="auto"/>
              </w:rPr>
              <w:t>FR Associates</w:t>
            </w:r>
          </w:p>
        </w:tc>
        <w:tc>
          <w:tcPr>
            <w:tcW w:w="17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Limited partner</w:t>
            </w:r>
          </w:p>
        </w:tc>
        <w:tc>
          <w:tcPr>
            <w:tcW w:w="1140" w:type="dxa"/>
            <w:vAlign w:val="bottom"/>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1%</w:t>
            </w:r>
          </w:p>
        </w:tc>
        <w:tc>
          <w:tcPr>
            <w:tcW w:w="20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59"/>
        </w:trPr>
        <w:tc>
          <w:tcPr>
            <w:tcW w:w="2690" w:type="dxa"/>
            <w:vAlign w:val="bottom"/>
            <w:shd w:val="clear" w:color="auto" w:fill="CCEEFF"/>
          </w:tcPr>
          <w:p>
            <w:pPr>
              <w:spacing w:after="0"/>
              <w:rPr>
                <w:sz w:val="13"/>
                <w:szCs w:val="13"/>
                <w:color w:val="auto"/>
              </w:rPr>
            </w:pPr>
          </w:p>
        </w:tc>
        <w:tc>
          <w:tcPr>
            <w:tcW w:w="1510" w:type="dxa"/>
            <w:vAlign w:val="bottom"/>
            <w:shd w:val="clear" w:color="auto" w:fill="CCEEFF"/>
          </w:tcPr>
          <w:p>
            <w:pPr>
              <w:ind w:left="110"/>
              <w:spacing w:after="0" w:line="159" w:lineRule="exact"/>
              <w:rPr>
                <w:sz w:val="20"/>
                <w:szCs w:val="20"/>
                <w:color w:val="auto"/>
              </w:rPr>
            </w:pPr>
            <w:r>
              <w:rPr>
                <w:rFonts w:ascii="Arial" w:cs="Arial" w:eastAsia="Arial" w:hAnsi="Arial"/>
                <w:sz w:val="14"/>
                <w:szCs w:val="14"/>
                <w:color w:val="auto"/>
              </w:rPr>
              <w:t>Limited Partnership</w:t>
            </w:r>
          </w:p>
        </w:tc>
        <w:tc>
          <w:tcPr>
            <w:tcW w:w="17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57"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Material and/or</w:t>
            </w: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right"/>
              <w:ind w:right="660"/>
              <w:spacing w:after="0" w:line="135" w:lineRule="exact"/>
              <w:rPr>
                <w:sz w:val="20"/>
                <w:szCs w:val="20"/>
                <w:color w:val="auto"/>
              </w:rPr>
            </w:pPr>
            <w:r>
              <w:rPr>
                <w:rFonts w:ascii="Arial" w:cs="Arial" w:eastAsia="Arial" w:hAnsi="Arial"/>
                <w:sz w:val="14"/>
                <w:szCs w:val="14"/>
                <w:b w:val="1"/>
                <w:bCs w:val="1"/>
                <w:color w:val="auto"/>
              </w:rPr>
              <w:t>Equity</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1"/>
                <w:szCs w:val="11"/>
                <w:color w:val="auto"/>
              </w:rPr>
            </w:pP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Liens, Options,</w:t>
            </w:r>
          </w:p>
        </w:tc>
        <w:tc>
          <w:tcPr>
            <w:tcW w:w="0" w:type="dxa"/>
            <w:vAlign w:val="bottom"/>
          </w:tcPr>
          <w:p>
            <w:pPr>
              <w:spacing w:after="0"/>
              <w:rPr>
                <w:sz w:val="1"/>
                <w:szCs w:val="1"/>
                <w:color w:val="auto"/>
              </w:rPr>
            </w:pPr>
          </w:p>
        </w:tc>
      </w:tr>
      <w:tr>
        <w:trPr>
          <w:trHeight w:val="161"/>
        </w:trPr>
        <w:tc>
          <w:tcPr>
            <w:tcW w:w="25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4"/>
                <w:szCs w:val="14"/>
                <w:color w:val="auto"/>
              </w:rPr>
            </w:pPr>
          </w:p>
        </w:tc>
        <w:tc>
          <w:tcPr>
            <w:tcW w:w="1420" w:type="dxa"/>
            <w:vAlign w:val="bottom"/>
          </w:tcPr>
          <w:p>
            <w:pPr>
              <w:ind w:left="280"/>
              <w:spacing w:after="0" w:line="141" w:lineRule="exact"/>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4"/>
                <w:szCs w:val="14"/>
                <w:color w:val="auto"/>
              </w:rPr>
            </w:pPr>
          </w:p>
        </w:tc>
        <w:tc>
          <w:tcPr>
            <w:tcW w:w="15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Interest</w:t>
            </w:r>
          </w:p>
        </w:tc>
        <w:tc>
          <w:tcPr>
            <w:tcW w:w="1040" w:type="dxa"/>
            <w:vAlign w:val="bottom"/>
            <w:gridSpan w:val="2"/>
          </w:tcPr>
          <w:p>
            <w:pPr>
              <w:jc w:val="right"/>
              <w:ind w:right="158"/>
              <w:spacing w:after="0" w:line="141" w:lineRule="exact"/>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4"/>
                <w:szCs w:val="14"/>
                <w:color w:val="auto"/>
              </w:rPr>
            </w:pPr>
          </w:p>
        </w:tc>
        <w:tc>
          <w:tcPr>
            <w:tcW w:w="1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Property</w:t>
            </w:r>
          </w:p>
        </w:tc>
        <w:tc>
          <w:tcPr>
            <w:tcW w:w="200" w:type="dxa"/>
            <w:vAlign w:val="bottom"/>
          </w:tcPr>
          <w:p>
            <w:pPr>
              <w:spacing w:after="0"/>
              <w:rPr>
                <w:sz w:val="14"/>
                <w:szCs w:val="14"/>
                <w:color w:val="auto"/>
              </w:rPr>
            </w:pPr>
          </w:p>
        </w:tc>
        <w:tc>
          <w:tcPr>
            <w:tcW w:w="22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Registration Rights, etc.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GOVERNOR PLAZA ASSOCIATES, a</w:t>
            </w:r>
          </w:p>
        </w:tc>
        <w:tc>
          <w:tcPr>
            <w:tcW w:w="2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Federal Realty</w:t>
            </w:r>
          </w:p>
        </w:tc>
        <w:tc>
          <w:tcPr>
            <w:tcW w:w="220" w:type="dxa"/>
            <w:vAlign w:val="bottom"/>
            <w:shd w:val="clear" w:color="auto" w:fill="CCEEFF"/>
          </w:tcPr>
          <w:p>
            <w:pPr>
              <w:spacing w:after="0"/>
              <w:rPr>
                <w:sz w:val="9"/>
                <w:szCs w:val="9"/>
                <w:color w:val="auto"/>
              </w:rPr>
            </w:pPr>
          </w:p>
        </w:tc>
        <w:tc>
          <w:tcPr>
            <w:tcW w:w="1300" w:type="dxa"/>
            <w:vAlign w:val="bottom"/>
            <w:shd w:val="clear" w:color="auto" w:fill="CCEEFF"/>
          </w:tcPr>
          <w:p>
            <w:pPr>
              <w:jc w:val="right"/>
              <w:ind w:right="394"/>
              <w:spacing w:after="0" w:line="105" w:lineRule="exact"/>
              <w:rPr>
                <w:sz w:val="20"/>
                <w:szCs w:val="20"/>
                <w:color w:val="auto"/>
              </w:rPr>
            </w:pPr>
            <w:r>
              <w:rPr>
                <w:rFonts w:ascii="Arial" w:cs="Arial" w:eastAsia="Arial" w:hAnsi="Arial"/>
                <w:sz w:val="12"/>
                <w:szCs w:val="12"/>
                <w:color w:val="auto"/>
                <w:w w:val="97"/>
              </w:rPr>
              <w:t>General partner</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99</w:t>
            </w:r>
          </w:p>
        </w:tc>
        <w:tc>
          <w:tcPr>
            <w:tcW w:w="220" w:type="dxa"/>
            <w:vAlign w:val="bottom"/>
            <w:shd w:val="clear" w:color="auto" w:fill="CCEEFF"/>
          </w:tcPr>
          <w:p>
            <w:pPr>
              <w:jc w:val="right"/>
              <w:ind w:right="58"/>
              <w:spacing w:after="0" w:line="105" w:lineRule="exact"/>
              <w:rPr>
                <w:sz w:val="20"/>
                <w:szCs w:val="20"/>
                <w:color w:val="auto"/>
              </w:rPr>
            </w:pPr>
            <w:r>
              <w:rPr>
                <w:rFonts w:ascii="Arial" w:cs="Arial" w:eastAsia="Arial" w:hAnsi="Arial"/>
                <w:sz w:val="12"/>
                <w:szCs w:val="12"/>
                <w:color w:val="auto"/>
                <w:w w:val="74"/>
              </w:rPr>
              <w:t>%</w:t>
            </w:r>
          </w:p>
        </w:tc>
        <w:tc>
          <w:tcPr>
            <w:tcW w:w="1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Guarantor</w:t>
            </w:r>
          </w:p>
        </w:tc>
        <w:tc>
          <w:tcPr>
            <w:tcW w:w="200" w:type="dxa"/>
            <w:vAlign w:val="bottom"/>
            <w:shd w:val="clear" w:color="auto" w:fill="CCEEFF"/>
          </w:tcPr>
          <w:p>
            <w:pPr>
              <w:spacing w:after="0"/>
              <w:rPr>
                <w:sz w:val="9"/>
                <w:szCs w:val="9"/>
                <w:color w:val="auto"/>
              </w:rPr>
            </w:pPr>
          </w:p>
        </w:tc>
        <w:tc>
          <w:tcPr>
            <w:tcW w:w="220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Pennsylvania general partnership</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Investment Trust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 Associates</w:t>
            </w:r>
          </w:p>
        </w:tc>
        <w:tc>
          <w:tcPr>
            <w:tcW w:w="1720" w:type="dxa"/>
            <w:vAlign w:val="bottom"/>
            <w:gridSpan w:val="3"/>
            <w:shd w:val="clear" w:color="auto" w:fill="CCEEFF"/>
          </w:tcPr>
          <w:p>
            <w:pPr>
              <w:jc w:val="right"/>
              <w:ind w:right="660"/>
              <w:spacing w:after="0" w:line="138" w:lineRule="exact"/>
              <w:rPr>
                <w:sz w:val="20"/>
                <w:szCs w:val="20"/>
                <w:color w:val="auto"/>
              </w:rPr>
            </w:pPr>
            <w:r>
              <w:rPr>
                <w:rFonts w:ascii="Arial" w:cs="Arial" w:eastAsia="Arial" w:hAnsi="Arial"/>
                <w:sz w:val="14"/>
                <w:szCs w:val="14"/>
                <w:color w:val="auto"/>
              </w:rPr>
              <w:t>General partner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Limited Partnership</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540" w:type="dxa"/>
            <w:vAlign w:val="bottom"/>
            <w:gridSpan w:val="3"/>
          </w:tcPr>
          <w:p>
            <w:pPr>
              <w:spacing w:after="0"/>
              <w:rPr>
                <w:sz w:val="20"/>
                <w:szCs w:val="20"/>
                <w:color w:val="auto"/>
              </w:rPr>
            </w:pPr>
            <w:r>
              <w:rPr>
                <w:rFonts w:ascii="Arial" w:cs="Arial" w:eastAsia="Arial" w:hAnsi="Arial"/>
                <w:sz w:val="14"/>
                <w:szCs w:val="14"/>
                <w:color w:val="auto"/>
                <w:w w:val="94"/>
              </w:rPr>
              <w:t>ANDORRA ASSOCIATES, a Pennsylvania</w:t>
            </w:r>
          </w:p>
        </w:tc>
        <w:tc>
          <w:tcPr>
            <w:tcW w:w="1620" w:type="dxa"/>
            <w:vAlign w:val="bottom"/>
            <w:gridSpan w:val="2"/>
          </w:tcPr>
          <w:p>
            <w:pPr>
              <w:ind w:left="200"/>
              <w:spacing w:after="0"/>
              <w:rPr>
                <w:sz w:val="20"/>
                <w:szCs w:val="20"/>
                <w:color w:val="auto"/>
              </w:rPr>
            </w:pPr>
            <w:r>
              <w:rPr>
                <w:rFonts w:ascii="Arial" w:cs="Arial" w:eastAsia="Arial" w:hAnsi="Arial"/>
                <w:sz w:val="14"/>
                <w:szCs w:val="14"/>
                <w:color w:val="auto"/>
              </w:rPr>
              <w:t>Federal Realty</w:t>
            </w:r>
          </w:p>
        </w:tc>
        <w:tc>
          <w:tcPr>
            <w:tcW w:w="1720" w:type="dxa"/>
            <w:vAlign w:val="bottom"/>
            <w:gridSpan w:val="3"/>
          </w:tcPr>
          <w:p>
            <w:pPr>
              <w:jc w:val="right"/>
              <w:ind w:right="660"/>
              <w:spacing w:after="0"/>
              <w:rPr>
                <w:sz w:val="20"/>
                <w:szCs w:val="20"/>
                <w:color w:val="auto"/>
              </w:rPr>
            </w:pPr>
            <w:r>
              <w:rPr>
                <w:rFonts w:ascii="Arial" w:cs="Arial" w:eastAsia="Arial" w:hAnsi="Arial"/>
                <w:sz w:val="14"/>
                <w:szCs w:val="14"/>
                <w:color w:val="auto"/>
              </w:rPr>
              <w:t>General partner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2%</w:t>
            </w:r>
          </w:p>
        </w:tc>
        <w:tc>
          <w:tcPr>
            <w:tcW w:w="2100" w:type="dxa"/>
            <w:vAlign w:val="bottom"/>
            <w:gridSpan w:val="2"/>
          </w:tcPr>
          <w:p>
            <w:pPr>
              <w:ind w:left="120"/>
              <w:spacing w:after="0"/>
              <w:rPr>
                <w:sz w:val="20"/>
                <w:szCs w:val="20"/>
                <w:color w:val="auto"/>
              </w:rPr>
            </w:pPr>
            <w:r>
              <w:rPr>
                <w:rFonts w:ascii="Arial" w:cs="Arial" w:eastAsia="Arial" w:hAnsi="Arial"/>
                <w:sz w:val="14"/>
                <w:szCs w:val="14"/>
                <w:color w:val="auto"/>
              </w:rPr>
              <w:t>Guarantor</w:t>
            </w:r>
          </w:p>
        </w:tc>
        <w:tc>
          <w:tcPr>
            <w:tcW w:w="240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limited partnership</w:t>
            </w:r>
          </w:p>
        </w:tc>
        <w:tc>
          <w:tcPr>
            <w:tcW w:w="1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Trust</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Federal Realty</w:t>
            </w:r>
          </w:p>
        </w:tc>
        <w:tc>
          <w:tcPr>
            <w:tcW w:w="17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Limited partner</w:t>
            </w:r>
          </w:p>
        </w:tc>
        <w:tc>
          <w:tcPr>
            <w:tcW w:w="10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97%</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Trust</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FR Associates</w:t>
            </w:r>
          </w:p>
        </w:tc>
        <w:tc>
          <w:tcPr>
            <w:tcW w:w="17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Limited partner</w:t>
            </w:r>
          </w:p>
        </w:tc>
        <w:tc>
          <w:tcPr>
            <w:tcW w:w="10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color w:val="auto"/>
              </w:rPr>
              <w:t>Limited Partnership</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SHOPPING CENTER ASSOCIATES, a</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Realty</w:t>
            </w:r>
          </w:p>
        </w:tc>
        <w:tc>
          <w:tcPr>
            <w:tcW w:w="1720" w:type="dxa"/>
            <w:vAlign w:val="bottom"/>
            <w:gridSpan w:val="3"/>
            <w:shd w:val="clear" w:color="auto" w:fill="CCEEFF"/>
          </w:tcPr>
          <w:p>
            <w:pPr>
              <w:jc w:val="right"/>
              <w:ind w:right="660"/>
              <w:spacing w:after="0" w:line="138" w:lineRule="exact"/>
              <w:rPr>
                <w:sz w:val="20"/>
                <w:szCs w:val="20"/>
                <w:color w:val="auto"/>
              </w:rPr>
            </w:pPr>
            <w:r>
              <w:rPr>
                <w:rFonts w:ascii="Arial" w:cs="Arial" w:eastAsia="Arial" w:hAnsi="Arial"/>
                <w:sz w:val="14"/>
                <w:szCs w:val="14"/>
                <w:color w:val="auto"/>
              </w:rPr>
              <w:t>General partner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Guarantor</w:t>
            </w:r>
          </w:p>
        </w:tc>
        <w:tc>
          <w:tcPr>
            <w:tcW w:w="240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 limited partnership</w:t>
            </w: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Investment Trust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Realty</w:t>
            </w:r>
          </w:p>
        </w:tc>
        <w:tc>
          <w:tcPr>
            <w:tcW w:w="1720" w:type="dxa"/>
            <w:vAlign w:val="bottom"/>
            <w:gridSpan w:val="3"/>
            <w:shd w:val="clear" w:color="auto" w:fill="CCEEFF"/>
          </w:tcPr>
          <w:p>
            <w:pPr>
              <w:jc w:val="right"/>
              <w:ind w:right="660"/>
              <w:spacing w:after="0" w:line="138" w:lineRule="exact"/>
              <w:rPr>
                <w:sz w:val="20"/>
                <w:szCs w:val="20"/>
                <w:color w:val="auto"/>
              </w:rPr>
            </w:pPr>
            <w:r>
              <w:rPr>
                <w:rFonts w:ascii="Arial" w:cs="Arial" w:eastAsia="Arial" w:hAnsi="Arial"/>
                <w:sz w:val="14"/>
                <w:szCs w:val="14"/>
                <w:color w:val="auto"/>
              </w:rPr>
              <w:t>Limited partner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Investment Trust</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 Associates</w:t>
            </w:r>
          </w:p>
        </w:tc>
        <w:tc>
          <w:tcPr>
            <w:tcW w:w="1720" w:type="dxa"/>
            <w:vAlign w:val="bottom"/>
            <w:gridSpan w:val="3"/>
            <w:shd w:val="clear" w:color="auto" w:fill="CCEEFF"/>
          </w:tcPr>
          <w:p>
            <w:pPr>
              <w:jc w:val="right"/>
              <w:ind w:right="660"/>
              <w:spacing w:after="0" w:line="138" w:lineRule="exact"/>
              <w:rPr>
                <w:sz w:val="20"/>
                <w:szCs w:val="20"/>
                <w:color w:val="auto"/>
              </w:rPr>
            </w:pPr>
            <w:r>
              <w:rPr>
                <w:rFonts w:ascii="Arial" w:cs="Arial" w:eastAsia="Arial" w:hAnsi="Arial"/>
                <w:sz w:val="14"/>
                <w:szCs w:val="14"/>
                <w:color w:val="auto"/>
              </w:rPr>
              <w:t>Limited partner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Limited Partnership</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12" w:lineRule="exact"/>
        <w:rPr>
          <w:sz w:val="20"/>
          <w:szCs w:val="20"/>
          <w:color w:val="auto"/>
        </w:rPr>
      </w:pPr>
    </w:p>
    <w:p>
      <w:pPr>
        <w:ind w:left="220" w:hanging="215"/>
        <w:spacing w:after="0" w:line="233" w:lineRule="auto"/>
        <w:rPr>
          <w:sz w:val="20"/>
          <w:szCs w:val="20"/>
          <w:color w:val="auto"/>
        </w:rPr>
      </w:pPr>
      <w:r>
        <w:rPr>
          <w:rFonts w:ascii="Arial" w:cs="Arial" w:eastAsia="Arial" w:hAnsi="Arial"/>
          <w:sz w:val="14"/>
          <w:szCs w:val="14"/>
          <w:color w:val="auto"/>
        </w:rPr>
        <w:t>FR PIKE 7 LIMITED PARTNERSHIP, a Delaware limited partnership (DownREIT)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Federal Realty</w:t>
            </w:r>
          </w:p>
        </w:tc>
        <w:tc>
          <w:tcPr>
            <w:tcW w:w="1500" w:type="dxa"/>
            <w:vAlign w:val="bottom"/>
          </w:tcPr>
          <w:p>
            <w:pPr>
              <w:ind w:left="140"/>
              <w:spacing w:after="0"/>
              <w:rPr>
                <w:sz w:val="20"/>
                <w:szCs w:val="20"/>
                <w:color w:val="auto"/>
              </w:rPr>
            </w:pPr>
            <w:r>
              <w:rPr>
                <w:rFonts w:ascii="Arial" w:cs="Arial" w:eastAsia="Arial" w:hAnsi="Arial"/>
                <w:sz w:val="14"/>
                <w:szCs w:val="14"/>
                <w:color w:val="auto"/>
              </w:rPr>
              <w:t>General partner</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0" w:type="dxa"/>
            <w:vAlign w:val="bottom"/>
          </w:tcPr>
          <w:p>
            <w:pPr>
              <w:ind w:left="120"/>
              <w:spacing w:after="0"/>
              <w:rPr>
                <w:sz w:val="20"/>
                <w:szCs w:val="20"/>
                <w:color w:val="auto"/>
              </w:rPr>
            </w:pPr>
            <w:r>
              <w:rPr>
                <w:rFonts w:ascii="Arial" w:cs="Arial" w:eastAsia="Arial" w:hAnsi="Arial"/>
                <w:sz w:val="14"/>
                <w:szCs w:val="14"/>
                <w:color w:val="auto"/>
              </w:rPr>
              <w:t>Guarantor</w:t>
            </w:r>
          </w:p>
        </w:tc>
      </w:tr>
      <w:tr>
        <w:trPr>
          <w:trHeight w:val="172"/>
        </w:trPr>
        <w:tc>
          <w:tcPr>
            <w:tcW w:w="1500" w:type="dxa"/>
            <w:vAlign w:val="bottom"/>
          </w:tcPr>
          <w:p>
            <w:pPr>
              <w:spacing w:after="0"/>
              <w:rPr>
                <w:sz w:val="20"/>
                <w:szCs w:val="20"/>
                <w:color w:val="auto"/>
              </w:rPr>
            </w:pPr>
            <w:r>
              <w:rPr>
                <w:rFonts w:ascii="Arial" w:cs="Arial" w:eastAsia="Arial" w:hAnsi="Arial"/>
                <w:sz w:val="14"/>
                <w:szCs w:val="14"/>
                <w:color w:val="auto"/>
              </w:rPr>
              <w:t>Investment Trust</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w w:val="89"/>
              </w:rPr>
              <w:t>Material Subsidiary</w:t>
            </w:r>
          </w:p>
        </w:tc>
      </w:tr>
      <w:tr>
        <w:trPr>
          <w:trHeight w:val="152"/>
        </w:trPr>
        <w:tc>
          <w:tcPr>
            <w:tcW w:w="1500" w:type="dxa"/>
            <w:vAlign w:val="bottom"/>
          </w:tcPr>
          <w:p>
            <w:pPr>
              <w:spacing w:after="0" w:line="152" w:lineRule="exact"/>
              <w:rPr>
                <w:sz w:val="20"/>
                <w:szCs w:val="20"/>
                <w:color w:val="auto"/>
              </w:rPr>
            </w:pPr>
            <w:r>
              <w:rPr>
                <w:rFonts w:ascii="Arial" w:cs="Arial" w:eastAsia="Arial" w:hAnsi="Arial"/>
                <w:sz w:val="14"/>
                <w:szCs w:val="14"/>
                <w:color w:val="auto"/>
              </w:rPr>
              <w:t>Federal Realty</w:t>
            </w:r>
          </w:p>
        </w:tc>
        <w:tc>
          <w:tcPr>
            <w:tcW w:w="1500" w:type="dxa"/>
            <w:vAlign w:val="bottom"/>
          </w:tcPr>
          <w:p>
            <w:pPr>
              <w:ind w:left="140"/>
              <w:spacing w:after="0" w:line="152" w:lineRule="exact"/>
              <w:rPr>
                <w:sz w:val="20"/>
                <w:szCs w:val="20"/>
                <w:color w:val="auto"/>
              </w:rPr>
            </w:pPr>
            <w:r>
              <w:rPr>
                <w:rFonts w:ascii="Arial" w:cs="Arial" w:eastAsia="Arial" w:hAnsi="Arial"/>
                <w:sz w:val="14"/>
                <w:szCs w:val="14"/>
                <w:color w:val="auto"/>
              </w:rPr>
              <w:t>Limited partner</w:t>
            </w:r>
          </w:p>
        </w:tc>
        <w:tc>
          <w:tcPr>
            <w:tcW w:w="1180" w:type="dxa"/>
            <w:vAlign w:val="bottom"/>
          </w:tcPr>
          <w:p>
            <w:pPr>
              <w:jc w:val="right"/>
              <w:ind w:right="52"/>
              <w:spacing w:after="0" w:line="152" w:lineRule="exact"/>
              <w:rPr>
                <w:sz w:val="20"/>
                <w:szCs w:val="20"/>
                <w:color w:val="auto"/>
              </w:rPr>
            </w:pPr>
            <w:r>
              <w:rPr>
                <w:rFonts w:ascii="Arial" w:cs="Arial" w:eastAsia="Arial" w:hAnsi="Arial"/>
                <w:sz w:val="14"/>
                <w:szCs w:val="14"/>
                <w:color w:val="auto"/>
              </w:rPr>
              <w:t>98.3143%</w:t>
            </w:r>
          </w:p>
        </w:tc>
        <w:tc>
          <w:tcPr>
            <w:tcW w:w="1200" w:type="dxa"/>
            <w:vAlign w:val="bottom"/>
          </w:tcPr>
          <w:p>
            <w:pPr>
              <w:spacing w:after="0"/>
              <w:rPr>
                <w:sz w:val="13"/>
                <w:szCs w:val="13"/>
                <w:color w:val="auto"/>
              </w:rPr>
            </w:pPr>
          </w:p>
        </w:tc>
      </w:tr>
      <w:tr>
        <w:trPr>
          <w:trHeight w:val="172"/>
        </w:trPr>
        <w:tc>
          <w:tcPr>
            <w:tcW w:w="1500" w:type="dxa"/>
            <w:vAlign w:val="bottom"/>
          </w:tcPr>
          <w:p>
            <w:pPr>
              <w:spacing w:after="0"/>
              <w:rPr>
                <w:sz w:val="20"/>
                <w:szCs w:val="20"/>
                <w:color w:val="auto"/>
              </w:rPr>
            </w:pPr>
            <w:r>
              <w:rPr>
                <w:rFonts w:ascii="Arial" w:cs="Arial" w:eastAsia="Arial" w:hAnsi="Arial"/>
                <w:sz w:val="14"/>
                <w:szCs w:val="14"/>
                <w:color w:val="auto"/>
              </w:rPr>
              <w:t>Investment Trust</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2"/>
        </w:trPr>
        <w:tc>
          <w:tcPr>
            <w:tcW w:w="1500" w:type="dxa"/>
            <w:vAlign w:val="bottom"/>
          </w:tcPr>
          <w:p>
            <w:pPr>
              <w:spacing w:after="0" w:line="152" w:lineRule="exact"/>
              <w:rPr>
                <w:sz w:val="20"/>
                <w:szCs w:val="20"/>
                <w:color w:val="auto"/>
              </w:rPr>
            </w:pPr>
            <w:r>
              <w:rPr>
                <w:rFonts w:ascii="Arial" w:cs="Arial" w:eastAsia="Arial" w:hAnsi="Arial"/>
                <w:sz w:val="14"/>
                <w:szCs w:val="14"/>
                <w:color w:val="auto"/>
              </w:rPr>
              <w:t>M&amp;R Associates</w:t>
            </w:r>
          </w:p>
        </w:tc>
        <w:tc>
          <w:tcPr>
            <w:tcW w:w="1500" w:type="dxa"/>
            <w:vAlign w:val="bottom"/>
          </w:tcPr>
          <w:p>
            <w:pPr>
              <w:ind w:left="140"/>
              <w:spacing w:after="0" w:line="152" w:lineRule="exact"/>
              <w:rPr>
                <w:sz w:val="20"/>
                <w:szCs w:val="20"/>
                <w:color w:val="auto"/>
              </w:rPr>
            </w:pPr>
            <w:r>
              <w:rPr>
                <w:rFonts w:ascii="Arial" w:cs="Arial" w:eastAsia="Arial" w:hAnsi="Arial"/>
                <w:sz w:val="14"/>
                <w:szCs w:val="14"/>
                <w:color w:val="auto"/>
              </w:rPr>
              <w:t>Limited partner</w:t>
            </w:r>
          </w:p>
        </w:tc>
        <w:tc>
          <w:tcPr>
            <w:tcW w:w="1180" w:type="dxa"/>
            <w:vAlign w:val="bottom"/>
          </w:tcPr>
          <w:p>
            <w:pPr>
              <w:jc w:val="right"/>
              <w:ind w:right="52"/>
              <w:spacing w:after="0" w:line="152" w:lineRule="exact"/>
              <w:rPr>
                <w:sz w:val="20"/>
                <w:szCs w:val="20"/>
                <w:color w:val="auto"/>
              </w:rPr>
            </w:pPr>
            <w:r>
              <w:rPr>
                <w:rFonts w:ascii="Arial" w:cs="Arial" w:eastAsia="Arial" w:hAnsi="Arial"/>
                <w:sz w:val="14"/>
                <w:szCs w:val="14"/>
                <w:color w:val="auto"/>
              </w:rPr>
              <w:t>.6857%</w:t>
            </w:r>
          </w:p>
        </w:tc>
        <w:tc>
          <w:tcPr>
            <w:tcW w:w="1200" w:type="dxa"/>
            <w:vAlign w:val="bottom"/>
          </w:tcPr>
          <w:p>
            <w:pPr>
              <w:spacing w:after="0"/>
              <w:rPr>
                <w:sz w:val="13"/>
                <w:szCs w:val="13"/>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w w:val="95"/>
              </w:rPr>
              <w:t>Limited Partnership, Pike</w:t>
            </w: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2"/>
        </w:trPr>
        <w:tc>
          <w:tcPr>
            <w:tcW w:w="1500" w:type="dxa"/>
            <w:vAlign w:val="bottom"/>
          </w:tcPr>
          <w:p>
            <w:pPr>
              <w:spacing w:after="0"/>
              <w:rPr>
                <w:sz w:val="20"/>
                <w:szCs w:val="20"/>
                <w:color w:val="auto"/>
              </w:rPr>
            </w:pPr>
            <w:r>
              <w:rPr>
                <w:rFonts w:ascii="Arial" w:cs="Arial" w:eastAsia="Arial" w:hAnsi="Arial"/>
                <w:sz w:val="14"/>
                <w:szCs w:val="14"/>
                <w:color w:val="auto"/>
              </w:rPr>
              <w:t>7 Plaza</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ind w:left="333" w:right="20" w:hanging="333"/>
        <w:spacing w:after="0" w:line="278" w:lineRule="auto"/>
        <w:tabs>
          <w:tab w:leader="none" w:pos="192" w:val="left"/>
        </w:tabs>
        <w:numPr>
          <w:ilvl w:val="0"/>
          <w:numId w:val="94"/>
        </w:numPr>
        <w:rPr>
          <w:rFonts w:ascii="Arial" w:cs="Arial" w:eastAsia="Arial" w:hAnsi="Arial"/>
          <w:sz w:val="12"/>
          <w:szCs w:val="12"/>
          <w:color w:val="auto"/>
        </w:rPr>
      </w:pPr>
      <w:r>
        <w:rPr>
          <w:rFonts w:ascii="Arial" w:cs="Arial" w:eastAsia="Arial" w:hAnsi="Arial"/>
          <w:sz w:val="12"/>
          <w:szCs w:val="12"/>
          <w:color w:val="auto"/>
        </w:rPr>
        <w:t>Right to exchange 12,393.71 partnership units for Federal Realty shares or cash (at Federal Realty’s option); and</w:t>
      </w:r>
    </w:p>
    <w:p>
      <w:pPr>
        <w:spacing w:after="0" w:line="35" w:lineRule="exact"/>
        <w:rPr>
          <w:rFonts w:ascii="Arial" w:cs="Arial" w:eastAsia="Arial" w:hAnsi="Arial"/>
          <w:sz w:val="12"/>
          <w:szCs w:val="12"/>
          <w:color w:val="auto"/>
        </w:rPr>
      </w:pPr>
    </w:p>
    <w:p>
      <w:pPr>
        <w:ind w:left="333" w:right="340" w:hanging="333"/>
        <w:spacing w:after="0" w:line="288" w:lineRule="auto"/>
        <w:tabs>
          <w:tab w:leader="none" w:pos="192"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Registration rights for shares issued on redemption of partnership units.</w:t>
      </w:r>
    </w:p>
    <w:p>
      <w:pPr>
        <w:spacing w:after="0" w:line="58" w:lineRule="exact"/>
        <w:rPr>
          <w:sz w:val="20"/>
          <w:szCs w:val="20"/>
          <w:color w:val="auto"/>
        </w:rPr>
      </w:pPr>
    </w:p>
    <w:p>
      <w:pPr>
        <w:sectPr>
          <w:pgSz w:w="11900" w:h="16838" w:orient="portrait"/>
          <w:cols w:equalWidth="0" w:num="3">
            <w:col w:w="2240" w:space="500"/>
            <w:col w:w="5867" w:space="720"/>
            <w:col w:w="2093"/>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FRIT ESCONDIDO PROMENADE, LLC, a</w:t>
            </w: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Federal Realty</w:t>
            </w:r>
          </w:p>
        </w:tc>
        <w:tc>
          <w:tcPr>
            <w:tcW w:w="1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Manager</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w w:val="95"/>
              </w:rPr>
              <w:t>Owner of Non-Controlled Property</w:t>
            </w:r>
          </w:p>
        </w:tc>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California limited liability company</w:t>
            </w: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Investment Trust</w:t>
            </w:r>
          </w:p>
        </w:tc>
        <w:tc>
          <w:tcPr>
            <w:tcW w:w="1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Escondido Promenade</w:t>
            </w:r>
          </w:p>
        </w:tc>
        <w:tc>
          <w:tcPr>
            <w:tcW w:w="2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740" w:type="dxa"/>
            <w:vAlign w:val="bottom"/>
            <w:shd w:val="clear" w:color="auto" w:fill="CCEEFF"/>
          </w:tcPr>
          <w:p>
            <w:pPr>
              <w:spacing w:after="0"/>
              <w:rPr>
                <w:sz w:val="4"/>
                <w:szCs w:val="4"/>
                <w:color w:val="auto"/>
              </w:rPr>
            </w:pPr>
          </w:p>
        </w:tc>
        <w:tc>
          <w:tcPr>
            <w:tcW w:w="13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Spark Development</w:t>
            </w:r>
          </w:p>
        </w:tc>
        <w:tc>
          <w:tcPr>
            <w:tcW w:w="160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Member</w:t>
            </w:r>
          </w:p>
        </w:tc>
        <w:tc>
          <w:tcPr>
            <w:tcW w:w="12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4"/>
                <w:szCs w:val="4"/>
                <w:color w:val="auto"/>
              </w:rPr>
            </w:pPr>
          </w:p>
        </w:tc>
        <w:tc>
          <w:tcPr>
            <w:tcW w:w="2040" w:type="dxa"/>
            <w:vAlign w:val="bottom"/>
            <w:vMerge w:val="continue"/>
            <w:shd w:val="clear" w:color="auto" w:fill="CCEEFF"/>
          </w:tcPr>
          <w:p>
            <w:pPr>
              <w:spacing w:after="0"/>
              <w:rPr>
                <w:sz w:val="4"/>
                <w:szCs w:val="4"/>
                <w:color w:val="auto"/>
              </w:rPr>
            </w:pPr>
          </w:p>
        </w:tc>
        <w:tc>
          <w:tcPr>
            <w:tcW w:w="23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4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ind w:left="440"/>
              <w:spacing w:after="0" w:line="133" w:lineRule="exact"/>
              <w:rPr>
                <w:sz w:val="20"/>
                <w:szCs w:val="20"/>
                <w:color w:val="auto"/>
              </w:rPr>
            </w:pPr>
            <w:r>
              <w:rPr>
                <w:rFonts w:ascii="Arial" w:cs="Arial" w:eastAsia="Arial" w:hAnsi="Arial"/>
                <w:sz w:val="14"/>
                <w:szCs w:val="14"/>
                <w:color w:val="auto"/>
              </w:rPr>
              <w:t>Shopping Center,</w:t>
            </w: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Partners, LLC</w:t>
            </w: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Escondido, CA</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Material and/or</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28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61"/>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4"/>
                <w:szCs w:val="14"/>
                <w:color w:val="auto"/>
              </w:rPr>
            </w:pPr>
          </w:p>
        </w:tc>
        <w:tc>
          <w:tcPr>
            <w:tcW w:w="1480" w:type="dxa"/>
            <w:vAlign w:val="bottom"/>
          </w:tcPr>
          <w:p>
            <w:pPr>
              <w:ind w:left="30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1080" w:type="dxa"/>
            <w:vAlign w:val="bottom"/>
            <w:gridSpan w:val="2"/>
          </w:tcPr>
          <w:p>
            <w:pPr>
              <w:jc w:val="right"/>
              <w:ind w:right="218"/>
              <w:spacing w:after="0"/>
              <w:rPr>
                <w:sz w:val="20"/>
                <w:szCs w:val="20"/>
                <w:color w:val="auto"/>
              </w:rPr>
            </w:pPr>
            <w:r>
              <w:rPr>
                <w:rFonts w:ascii="Arial" w:cs="Arial" w:eastAsia="Arial" w:hAnsi="Arial"/>
                <w:sz w:val="14"/>
                <w:szCs w:val="14"/>
                <w:b w:val="1"/>
                <w:bCs w:val="1"/>
                <w:color w:val="auto"/>
                <w:w w:val="87"/>
              </w:rPr>
              <w:t>% Ownership</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72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FR FEDERAL PLAZA, INC., a Delaware</w:t>
            </w: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Federal Realty Investment</w:t>
            </w: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Sole stockholder</w:t>
            </w: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100</w:t>
            </w:r>
          </w:p>
        </w:tc>
        <w:tc>
          <w:tcPr>
            <w:tcW w:w="280" w:type="dxa"/>
            <w:vAlign w:val="bottom"/>
            <w:shd w:val="clear" w:color="auto" w:fill="CCEEFF"/>
          </w:tcPr>
          <w:p>
            <w:pPr>
              <w:jc w:val="right"/>
              <w:ind w:right="98"/>
              <w:spacing w:after="0" w:line="111" w:lineRule="exact"/>
              <w:rPr>
                <w:sz w:val="20"/>
                <w:szCs w:val="20"/>
                <w:color w:val="auto"/>
              </w:rPr>
            </w:pPr>
            <w:r>
              <w:rPr>
                <w:rFonts w:ascii="Arial" w:cs="Arial" w:eastAsia="Arial" w:hAnsi="Arial"/>
                <w:sz w:val="12"/>
                <w:szCs w:val="12"/>
                <w:color w:val="auto"/>
                <w:w w:val="93"/>
              </w:rPr>
              <w:t>%</w:t>
            </w:r>
          </w:p>
        </w:tc>
        <w:tc>
          <w:tcPr>
            <w:tcW w:w="20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Guarantor</w:t>
            </w:r>
          </w:p>
        </w:tc>
        <w:tc>
          <w:tcPr>
            <w:tcW w:w="120" w:type="dxa"/>
            <w:vAlign w:val="bottom"/>
            <w:shd w:val="clear" w:color="auto" w:fill="CCEEFF"/>
          </w:tcPr>
          <w:p>
            <w:pPr>
              <w:spacing w:after="0"/>
              <w:rPr>
                <w:sz w:val="9"/>
                <w:szCs w:val="9"/>
                <w:color w:val="auto"/>
              </w:rPr>
            </w:pPr>
          </w:p>
        </w:tc>
        <w:tc>
          <w:tcPr>
            <w:tcW w:w="22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Trust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Material subsidiary</w:t>
            </w:r>
          </w:p>
        </w:tc>
        <w:tc>
          <w:tcPr>
            <w:tcW w:w="2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740" w:type="dxa"/>
            <w:vAlign w:val="bottom"/>
            <w:gridSpan w:val="3"/>
          </w:tcPr>
          <w:p>
            <w:pPr>
              <w:spacing w:after="0"/>
              <w:rPr>
                <w:sz w:val="20"/>
                <w:szCs w:val="20"/>
                <w:color w:val="auto"/>
              </w:rPr>
            </w:pPr>
            <w:r>
              <w:rPr>
                <w:rFonts w:ascii="Arial" w:cs="Arial" w:eastAsia="Arial" w:hAnsi="Arial"/>
                <w:sz w:val="14"/>
                <w:szCs w:val="14"/>
                <w:color w:val="auto"/>
              </w:rPr>
              <w:t>FR LEESBURG PLAZA, LLC, a Delaware</w:t>
            </w:r>
          </w:p>
        </w:tc>
        <w:tc>
          <w:tcPr>
            <w:tcW w:w="10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4"/>
                <w:szCs w:val="14"/>
                <w:color w:val="auto"/>
                <w:w w:val="89"/>
              </w:rPr>
              <w:t>Federal Realty Investment</w:t>
            </w:r>
          </w:p>
        </w:tc>
        <w:tc>
          <w:tcPr>
            <w:tcW w:w="1580" w:type="dxa"/>
            <w:vAlign w:val="bottom"/>
            <w:gridSpan w:val="3"/>
          </w:tcPr>
          <w:p>
            <w:pPr>
              <w:ind w:left="100"/>
              <w:spacing w:after="0"/>
              <w:rPr>
                <w:sz w:val="20"/>
                <w:szCs w:val="20"/>
                <w:color w:val="auto"/>
              </w:rPr>
            </w:pPr>
            <w:r>
              <w:rPr>
                <w:rFonts w:ascii="Arial" w:cs="Arial" w:eastAsia="Arial" w:hAnsi="Arial"/>
                <w:sz w:val="14"/>
                <w:szCs w:val="14"/>
                <w:color w:val="auto"/>
              </w:rPr>
              <w:t>Sole member</w:t>
            </w:r>
          </w:p>
        </w:tc>
        <w:tc>
          <w:tcPr>
            <w:tcW w:w="1080" w:type="dxa"/>
            <w:vAlign w:val="bottom"/>
            <w:gridSpan w:val="2"/>
          </w:tcPr>
          <w:p>
            <w:pPr>
              <w:jc w:val="right"/>
              <w:ind w:right="98"/>
              <w:spacing w:after="0"/>
              <w:rPr>
                <w:sz w:val="20"/>
                <w:szCs w:val="20"/>
                <w:color w:val="auto"/>
              </w:rPr>
            </w:pPr>
            <w:r>
              <w:rPr>
                <w:rFonts w:ascii="Arial" w:cs="Arial" w:eastAsia="Arial" w:hAnsi="Arial"/>
                <w:sz w:val="14"/>
                <w:szCs w:val="14"/>
                <w:color w:val="auto"/>
              </w:rPr>
              <w:t>100%</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gridSpan w:val="2"/>
          </w:tcPr>
          <w:p>
            <w:pPr>
              <w:ind w:left="200"/>
              <w:spacing w:after="0"/>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color w:val="auto"/>
              </w:rPr>
              <w:t>Trust</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FR LEESBURG PLAZA, LP, a Delaware limited</w:t>
            </w: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FR Leesburg Plaza, LLC</w:t>
            </w:r>
          </w:p>
        </w:tc>
        <w:tc>
          <w:tcPr>
            <w:tcW w:w="1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General partner</w:t>
            </w:r>
          </w:p>
        </w:tc>
        <w:tc>
          <w:tcPr>
            <w:tcW w:w="1080" w:type="dxa"/>
            <w:vAlign w:val="bottom"/>
            <w:gridSpan w:val="2"/>
            <w:shd w:val="clear" w:color="auto" w:fill="CCEEFF"/>
          </w:tcPr>
          <w:p>
            <w:pPr>
              <w:jc w:val="right"/>
              <w:ind w:right="218"/>
              <w:spacing w:after="0" w:line="138" w:lineRule="exact"/>
              <w:rPr>
                <w:sz w:val="20"/>
                <w:szCs w:val="20"/>
                <w:color w:val="auto"/>
              </w:rPr>
            </w:pPr>
            <w:r>
              <w:rPr>
                <w:rFonts w:ascii="Arial" w:cs="Arial" w:eastAsia="Arial" w:hAnsi="Arial"/>
                <w:sz w:val="14"/>
                <w:szCs w:val="14"/>
                <w:color w:val="auto"/>
                <w:w w:val="92"/>
              </w:rPr>
              <w:t>319,233 units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Excluded subsidiary</w:t>
            </w:r>
          </w:p>
        </w:tc>
        <w:tc>
          <w:tcPr>
            <w:tcW w:w="22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2"/>
              </w:rPr>
              <w:t>•  Right to exchange partnership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partnership (DownREIT)</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for Federal Realty shares or cash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2"/>
              </w:rPr>
              <w:t>(at Federal Realty’s option);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w w:val="95"/>
              </w:rPr>
              <w:t>Paulson Brothers, L.L.C.</w:t>
            </w: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partner</w:t>
            </w:r>
          </w:p>
        </w:tc>
        <w:tc>
          <w:tcPr>
            <w:tcW w:w="108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33,267 units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  Registration rights for shares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on redemption of partnership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CONGRESSIONAL PLAZA ASSOCIATES,</w:t>
            </w:r>
          </w:p>
        </w:tc>
        <w:tc>
          <w:tcPr>
            <w:tcW w:w="1640" w:type="dxa"/>
            <w:vAlign w:val="bottom"/>
          </w:tcPr>
          <w:p>
            <w:pPr>
              <w:ind w:left="140"/>
              <w:spacing w:after="0"/>
              <w:rPr>
                <w:sz w:val="20"/>
                <w:szCs w:val="20"/>
                <w:color w:val="auto"/>
              </w:rPr>
            </w:pPr>
            <w:r>
              <w:rPr>
                <w:rFonts w:ascii="Arial" w:cs="Arial" w:eastAsia="Arial" w:hAnsi="Arial"/>
                <w:sz w:val="14"/>
                <w:szCs w:val="14"/>
                <w:color w:val="auto"/>
                <w:w w:val="90"/>
              </w:rPr>
              <w:t>Federal Realty Investment</w:t>
            </w:r>
          </w:p>
        </w:tc>
        <w:tc>
          <w:tcPr>
            <w:tcW w:w="1520" w:type="dxa"/>
            <w:vAlign w:val="bottom"/>
          </w:tcPr>
          <w:p>
            <w:pPr>
              <w:ind w:left="80"/>
              <w:spacing w:after="0"/>
              <w:rPr>
                <w:sz w:val="20"/>
                <w:szCs w:val="20"/>
                <w:color w:val="auto"/>
              </w:rPr>
            </w:pPr>
            <w:r>
              <w:rPr>
                <w:rFonts w:ascii="Arial" w:cs="Arial" w:eastAsia="Arial" w:hAnsi="Arial"/>
                <w:sz w:val="14"/>
                <w:szCs w:val="14"/>
                <w:color w:val="auto"/>
              </w:rPr>
              <w:t>Managing member</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65.4376%</w:t>
            </w:r>
          </w:p>
        </w:tc>
        <w:tc>
          <w:tcPr>
            <w:tcW w:w="2020" w:type="dxa"/>
            <w:vAlign w:val="bottom"/>
          </w:tcPr>
          <w:p>
            <w:pPr>
              <w:ind w:left="80"/>
              <w:spacing w:after="0"/>
              <w:rPr>
                <w:sz w:val="20"/>
                <w:szCs w:val="20"/>
                <w:color w:val="auto"/>
              </w:rPr>
            </w:pPr>
            <w:r>
              <w:rPr>
                <w:rFonts w:ascii="Arial" w:cs="Arial" w:eastAsia="Arial" w:hAnsi="Arial"/>
                <w:sz w:val="14"/>
                <w:szCs w:val="14"/>
                <w:color w:val="auto"/>
                <w:w w:val="90"/>
              </w:rPr>
              <w:t>Owner of Non-Controlled Property</w:t>
            </w:r>
          </w:p>
        </w:tc>
        <w:tc>
          <w:tcPr>
            <w:tcW w:w="0" w:type="dxa"/>
            <w:vAlign w:val="bottom"/>
          </w:tcPr>
          <w:p>
            <w:pPr>
              <w:spacing w:after="0"/>
              <w:rPr>
                <w:sz w:val="1"/>
                <w:szCs w:val="1"/>
                <w:color w:val="auto"/>
              </w:rPr>
            </w:pPr>
          </w:p>
        </w:tc>
      </w:tr>
      <w:tr>
        <w:trPr>
          <w:trHeight w:val="172"/>
        </w:trPr>
        <w:tc>
          <w:tcPr>
            <w:tcW w:w="2700" w:type="dxa"/>
            <w:vAlign w:val="bottom"/>
          </w:tcPr>
          <w:p>
            <w:pPr>
              <w:ind w:left="220"/>
              <w:spacing w:after="0"/>
              <w:rPr>
                <w:sz w:val="20"/>
                <w:szCs w:val="20"/>
                <w:color w:val="auto"/>
              </w:rPr>
            </w:pPr>
            <w:r>
              <w:rPr>
                <w:rFonts w:ascii="Arial" w:cs="Arial" w:eastAsia="Arial" w:hAnsi="Arial"/>
                <w:sz w:val="14"/>
                <w:szCs w:val="14"/>
                <w:color w:val="auto"/>
                <w:w w:val="96"/>
              </w:rPr>
              <w:t>LLC, a Maryland limited liability company</w:t>
            </w:r>
          </w:p>
        </w:tc>
        <w:tc>
          <w:tcPr>
            <w:tcW w:w="1640" w:type="dxa"/>
            <w:vAlign w:val="bottom"/>
          </w:tcPr>
          <w:p>
            <w:pPr>
              <w:ind w:left="140"/>
              <w:spacing w:after="0"/>
              <w:rPr>
                <w:sz w:val="20"/>
                <w:szCs w:val="20"/>
                <w:color w:val="auto"/>
              </w:rPr>
            </w:pPr>
            <w:r>
              <w:rPr>
                <w:rFonts w:ascii="Arial" w:cs="Arial" w:eastAsia="Arial" w:hAnsi="Arial"/>
                <w:sz w:val="14"/>
                <w:szCs w:val="14"/>
                <w:color w:val="auto"/>
              </w:rPr>
              <w:t>Trust</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vMerge w:val="restart"/>
          </w:tcPr>
          <w:p>
            <w:pPr>
              <w:ind w:left="180"/>
              <w:spacing w:after="0"/>
              <w:rPr>
                <w:sz w:val="20"/>
                <w:szCs w:val="20"/>
                <w:color w:val="auto"/>
              </w:rPr>
            </w:pPr>
            <w:r>
              <w:rPr>
                <w:rFonts w:ascii="Arial" w:cs="Arial" w:eastAsia="Arial" w:hAnsi="Arial"/>
                <w:sz w:val="14"/>
                <w:szCs w:val="14"/>
                <w:color w:val="auto"/>
                <w:w w:val="89"/>
              </w:rPr>
              <w:t>•  Congressional Plaza Shopping</w:t>
            </w:r>
          </w:p>
        </w:tc>
        <w:tc>
          <w:tcPr>
            <w:tcW w:w="0" w:type="dxa"/>
            <w:vAlign w:val="bottom"/>
          </w:tcPr>
          <w:p>
            <w:pPr>
              <w:spacing w:after="0"/>
              <w:rPr>
                <w:sz w:val="1"/>
                <w:szCs w:val="1"/>
                <w:color w:val="auto"/>
              </w:rPr>
            </w:pPr>
          </w:p>
        </w:tc>
      </w:tr>
      <w:tr>
        <w:trPr>
          <w:trHeight w:val="57"/>
        </w:trPr>
        <w:tc>
          <w:tcPr>
            <w:tcW w:w="2700" w:type="dxa"/>
            <w:vAlign w:val="bottom"/>
          </w:tcPr>
          <w:p>
            <w:pPr>
              <w:spacing w:after="0"/>
              <w:rPr>
                <w:sz w:val="4"/>
                <w:szCs w:val="4"/>
                <w:color w:val="auto"/>
              </w:rPr>
            </w:pPr>
          </w:p>
        </w:tc>
        <w:tc>
          <w:tcPr>
            <w:tcW w:w="1640" w:type="dxa"/>
            <w:vAlign w:val="bottom"/>
            <w:vMerge w:val="restart"/>
          </w:tcPr>
          <w:p>
            <w:pPr>
              <w:ind w:left="140"/>
              <w:spacing w:after="0"/>
              <w:rPr>
                <w:sz w:val="20"/>
                <w:szCs w:val="20"/>
                <w:color w:val="auto"/>
              </w:rPr>
            </w:pPr>
            <w:r>
              <w:rPr>
                <w:rFonts w:ascii="Arial" w:cs="Arial" w:eastAsia="Arial" w:hAnsi="Arial"/>
                <w:sz w:val="14"/>
                <w:szCs w:val="14"/>
                <w:color w:val="auto"/>
              </w:rPr>
              <w:t>Patrick M. O’Donnell</w:t>
            </w:r>
          </w:p>
        </w:tc>
        <w:tc>
          <w:tcPr>
            <w:tcW w:w="1520" w:type="dxa"/>
            <w:vAlign w:val="bottom"/>
            <w:vMerge w:val="restart"/>
          </w:tcPr>
          <w:p>
            <w:pPr>
              <w:ind w:left="80"/>
              <w:spacing w:after="0"/>
              <w:rPr>
                <w:sz w:val="20"/>
                <w:szCs w:val="20"/>
                <w:color w:val="auto"/>
              </w:rPr>
            </w:pPr>
            <w:r>
              <w:rPr>
                <w:rFonts w:ascii="Arial" w:cs="Arial" w:eastAsia="Arial" w:hAnsi="Arial"/>
                <w:sz w:val="14"/>
                <w:szCs w:val="14"/>
                <w:color w:val="auto"/>
              </w:rPr>
              <w:t>Member</w:t>
            </w:r>
          </w:p>
        </w:tc>
        <w:tc>
          <w:tcPr>
            <w:tcW w:w="1040" w:type="dxa"/>
            <w:vAlign w:val="bottom"/>
            <w:vMerge w:val="restart"/>
          </w:tcPr>
          <w:p>
            <w:pPr>
              <w:jc w:val="right"/>
              <w:ind w:right="12"/>
              <w:spacing w:after="0"/>
              <w:rPr>
                <w:sz w:val="20"/>
                <w:szCs w:val="20"/>
                <w:color w:val="auto"/>
              </w:rPr>
            </w:pPr>
            <w:r>
              <w:rPr>
                <w:rFonts w:ascii="Arial" w:cs="Arial" w:eastAsia="Arial" w:hAnsi="Arial"/>
                <w:sz w:val="14"/>
                <w:szCs w:val="14"/>
                <w:color w:val="auto"/>
              </w:rPr>
              <w:t>5.7668%</w:t>
            </w: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020" w:type="dxa"/>
            <w:vAlign w:val="bottom"/>
            <w:vMerge w:val="restart"/>
          </w:tcPr>
          <w:p>
            <w:pPr>
              <w:ind w:left="500"/>
              <w:spacing w:after="0"/>
              <w:rPr>
                <w:sz w:val="20"/>
                <w:szCs w:val="20"/>
                <w:color w:val="auto"/>
              </w:rPr>
            </w:pPr>
            <w:r>
              <w:rPr>
                <w:rFonts w:ascii="Arial" w:cs="Arial" w:eastAsia="Arial" w:hAnsi="Arial"/>
                <w:sz w:val="14"/>
                <w:szCs w:val="14"/>
                <w:color w:val="auto"/>
              </w:rPr>
              <w:t>Center, Rockville, MD</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640" w:type="dxa"/>
            <w:vAlign w:val="bottom"/>
            <w:vMerge w:val="restart"/>
          </w:tcPr>
          <w:p>
            <w:pPr>
              <w:ind w:left="140"/>
              <w:spacing w:after="0" w:line="152" w:lineRule="exact"/>
              <w:rPr>
                <w:sz w:val="20"/>
                <w:szCs w:val="20"/>
                <w:color w:val="auto"/>
              </w:rPr>
            </w:pPr>
            <w:r>
              <w:rPr>
                <w:rFonts w:ascii="Arial" w:cs="Arial" w:eastAsia="Arial" w:hAnsi="Arial"/>
                <w:sz w:val="14"/>
                <w:szCs w:val="14"/>
                <w:color w:val="auto"/>
              </w:rPr>
              <w:t>Silberberg Family</w:t>
            </w:r>
          </w:p>
        </w:tc>
        <w:tc>
          <w:tcPr>
            <w:tcW w:w="1520" w:type="dxa"/>
            <w:vAlign w:val="bottom"/>
            <w:vMerge w:val="restart"/>
          </w:tcPr>
          <w:p>
            <w:pPr>
              <w:ind w:left="80"/>
              <w:spacing w:after="0" w:line="152" w:lineRule="exact"/>
              <w:rPr>
                <w:sz w:val="20"/>
                <w:szCs w:val="20"/>
                <w:color w:val="auto"/>
              </w:rPr>
            </w:pPr>
            <w:r>
              <w:rPr>
                <w:rFonts w:ascii="Arial" w:cs="Arial" w:eastAsia="Arial" w:hAnsi="Arial"/>
                <w:sz w:val="14"/>
                <w:szCs w:val="14"/>
                <w:color w:val="auto"/>
              </w:rPr>
              <w:t>Member</w:t>
            </w:r>
          </w:p>
        </w:tc>
        <w:tc>
          <w:tcPr>
            <w:tcW w:w="1040" w:type="dxa"/>
            <w:vAlign w:val="bottom"/>
            <w:vMerge w:val="restart"/>
          </w:tcPr>
          <w:p>
            <w:pPr>
              <w:jc w:val="right"/>
              <w:ind w:right="12"/>
              <w:spacing w:after="0" w:line="152" w:lineRule="exact"/>
              <w:rPr>
                <w:sz w:val="20"/>
                <w:szCs w:val="20"/>
                <w:color w:val="auto"/>
              </w:rPr>
            </w:pPr>
            <w:r>
              <w:rPr>
                <w:rFonts w:ascii="Arial" w:cs="Arial" w:eastAsia="Arial" w:hAnsi="Arial"/>
                <w:sz w:val="14"/>
                <w:szCs w:val="14"/>
                <w:color w:val="auto"/>
              </w:rPr>
              <w:t>19.8847%</w:t>
            </w: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7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020" w:type="dxa"/>
            <w:vAlign w:val="bottom"/>
            <w:vMerge w:val="restart"/>
          </w:tcPr>
          <w:p>
            <w:pPr>
              <w:ind w:left="180"/>
              <w:spacing w:after="0"/>
              <w:rPr>
                <w:sz w:val="20"/>
                <w:szCs w:val="20"/>
                <w:color w:val="auto"/>
              </w:rPr>
            </w:pPr>
            <w:r>
              <w:rPr>
                <w:rFonts w:ascii="Arial" w:cs="Arial" w:eastAsia="Arial" w:hAnsi="Arial"/>
                <w:sz w:val="14"/>
                <w:szCs w:val="14"/>
                <w:color w:val="auto"/>
                <w:w w:val="99"/>
              </w:rPr>
              <w:t>•  The Crest at Congressional</w:t>
            </w:r>
          </w:p>
        </w:tc>
        <w:tc>
          <w:tcPr>
            <w:tcW w:w="0" w:type="dxa"/>
            <w:vAlign w:val="bottom"/>
          </w:tcPr>
          <w:p>
            <w:pPr>
              <w:spacing w:after="0"/>
              <w:rPr>
                <w:sz w:val="1"/>
                <w:szCs w:val="1"/>
                <w:color w:val="auto"/>
              </w:rPr>
            </w:pPr>
          </w:p>
        </w:tc>
      </w:tr>
      <w:tr>
        <w:trPr>
          <w:trHeight w:val="132"/>
        </w:trPr>
        <w:tc>
          <w:tcPr>
            <w:tcW w:w="2700" w:type="dxa"/>
            <w:vAlign w:val="bottom"/>
          </w:tcPr>
          <w:p>
            <w:pPr>
              <w:spacing w:after="0"/>
              <w:rPr>
                <w:sz w:val="11"/>
                <w:szCs w:val="11"/>
                <w:color w:val="auto"/>
              </w:rPr>
            </w:pPr>
          </w:p>
        </w:tc>
        <w:tc>
          <w:tcPr>
            <w:tcW w:w="1640" w:type="dxa"/>
            <w:vAlign w:val="bottom"/>
          </w:tcPr>
          <w:p>
            <w:pPr>
              <w:ind w:left="140"/>
              <w:spacing w:after="0" w:line="133" w:lineRule="exact"/>
              <w:rPr>
                <w:sz w:val="20"/>
                <w:szCs w:val="20"/>
                <w:color w:val="auto"/>
              </w:rPr>
            </w:pPr>
            <w:r>
              <w:rPr>
                <w:rFonts w:ascii="Arial" w:cs="Arial" w:eastAsia="Arial" w:hAnsi="Arial"/>
                <w:sz w:val="14"/>
                <w:szCs w:val="14"/>
                <w:color w:val="auto"/>
              </w:rPr>
              <w:t>Partnership</w:t>
            </w:r>
          </w:p>
        </w:tc>
        <w:tc>
          <w:tcPr>
            <w:tcW w:w="1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640" w:type="dxa"/>
            <w:vAlign w:val="bottom"/>
            <w:vMerge w:val="restart"/>
          </w:tcPr>
          <w:p>
            <w:pPr>
              <w:ind w:left="140"/>
              <w:spacing w:after="0"/>
              <w:rPr>
                <w:sz w:val="20"/>
                <w:szCs w:val="20"/>
                <w:color w:val="auto"/>
              </w:rPr>
            </w:pPr>
            <w:r>
              <w:rPr>
                <w:rFonts w:ascii="Arial" w:cs="Arial" w:eastAsia="Arial" w:hAnsi="Arial"/>
                <w:sz w:val="14"/>
                <w:szCs w:val="14"/>
                <w:color w:val="auto"/>
              </w:rPr>
              <w:t>JSR Family LLC</w:t>
            </w:r>
          </w:p>
        </w:tc>
        <w:tc>
          <w:tcPr>
            <w:tcW w:w="1520" w:type="dxa"/>
            <w:vAlign w:val="bottom"/>
            <w:vMerge w:val="restart"/>
          </w:tcPr>
          <w:p>
            <w:pPr>
              <w:ind w:left="80"/>
              <w:spacing w:after="0"/>
              <w:rPr>
                <w:sz w:val="20"/>
                <w:szCs w:val="20"/>
                <w:color w:val="auto"/>
              </w:rPr>
            </w:pPr>
            <w:r>
              <w:rPr>
                <w:rFonts w:ascii="Arial" w:cs="Arial" w:eastAsia="Arial" w:hAnsi="Arial"/>
                <w:sz w:val="14"/>
                <w:szCs w:val="14"/>
                <w:color w:val="auto"/>
              </w:rPr>
              <w:t>Member</w:t>
            </w:r>
          </w:p>
        </w:tc>
        <w:tc>
          <w:tcPr>
            <w:tcW w:w="1040" w:type="dxa"/>
            <w:vAlign w:val="bottom"/>
            <w:vMerge w:val="restart"/>
          </w:tcPr>
          <w:p>
            <w:pPr>
              <w:jc w:val="right"/>
              <w:ind w:right="12"/>
              <w:spacing w:after="0"/>
              <w:rPr>
                <w:sz w:val="20"/>
                <w:szCs w:val="20"/>
                <w:color w:val="auto"/>
              </w:rPr>
            </w:pPr>
            <w:r>
              <w:rPr>
                <w:rFonts w:ascii="Arial" w:cs="Arial" w:eastAsia="Arial" w:hAnsi="Arial"/>
                <w:sz w:val="14"/>
                <w:szCs w:val="14"/>
                <w:color w:val="auto"/>
              </w:rPr>
              <w:t>3.8158%</w:t>
            </w:r>
          </w:p>
        </w:tc>
        <w:tc>
          <w:tcPr>
            <w:tcW w:w="2020" w:type="dxa"/>
            <w:vAlign w:val="bottom"/>
          </w:tcPr>
          <w:p>
            <w:pPr>
              <w:ind w:left="500"/>
              <w:spacing w:after="0"/>
              <w:rPr>
                <w:sz w:val="20"/>
                <w:szCs w:val="20"/>
                <w:color w:val="auto"/>
              </w:rPr>
            </w:pPr>
            <w:r>
              <w:rPr>
                <w:rFonts w:ascii="Arial" w:cs="Arial" w:eastAsia="Arial" w:hAnsi="Arial"/>
                <w:sz w:val="14"/>
                <w:szCs w:val="14"/>
                <w:color w:val="auto"/>
              </w:rPr>
              <w:t>Plaza, Rockville, MD</w:t>
            </w:r>
          </w:p>
        </w:tc>
        <w:tc>
          <w:tcPr>
            <w:tcW w:w="0" w:type="dxa"/>
            <w:vAlign w:val="bottom"/>
          </w:tcPr>
          <w:p>
            <w:pPr>
              <w:spacing w:after="0"/>
              <w:rPr>
                <w:sz w:val="1"/>
                <w:szCs w:val="1"/>
                <w:color w:val="auto"/>
              </w:rPr>
            </w:pPr>
          </w:p>
        </w:tc>
      </w:tr>
      <w:tr>
        <w:trPr>
          <w:trHeight w:val="43"/>
        </w:trPr>
        <w:tc>
          <w:tcPr>
            <w:tcW w:w="270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640" w:type="dxa"/>
            <w:vAlign w:val="bottom"/>
          </w:tcPr>
          <w:p>
            <w:pPr>
              <w:ind w:left="140"/>
              <w:spacing w:after="0" w:line="152" w:lineRule="exact"/>
              <w:rPr>
                <w:sz w:val="20"/>
                <w:szCs w:val="20"/>
                <w:color w:val="auto"/>
              </w:rPr>
            </w:pPr>
            <w:r>
              <w:rPr>
                <w:rFonts w:ascii="Arial" w:cs="Arial" w:eastAsia="Arial" w:hAnsi="Arial"/>
                <w:sz w:val="14"/>
                <w:szCs w:val="14"/>
                <w:color w:val="auto"/>
                <w:w w:val="90"/>
              </w:rPr>
              <w:t>Congressional Plaza One,</w:t>
            </w:r>
          </w:p>
        </w:tc>
        <w:tc>
          <w:tcPr>
            <w:tcW w:w="1520" w:type="dxa"/>
            <w:vAlign w:val="bottom"/>
          </w:tcPr>
          <w:p>
            <w:pPr>
              <w:ind w:left="80"/>
              <w:spacing w:after="0" w:line="152" w:lineRule="exact"/>
              <w:rPr>
                <w:sz w:val="20"/>
                <w:szCs w:val="20"/>
                <w:color w:val="auto"/>
              </w:rPr>
            </w:pPr>
            <w:r>
              <w:rPr>
                <w:rFonts w:ascii="Arial" w:cs="Arial" w:eastAsia="Arial" w:hAnsi="Arial"/>
                <w:sz w:val="14"/>
                <w:szCs w:val="14"/>
                <w:color w:val="auto"/>
              </w:rPr>
              <w:t>Member</w:t>
            </w:r>
          </w:p>
        </w:tc>
        <w:tc>
          <w:tcPr>
            <w:tcW w:w="1040" w:type="dxa"/>
            <w:vAlign w:val="bottom"/>
          </w:tcPr>
          <w:p>
            <w:pPr>
              <w:jc w:val="right"/>
              <w:ind w:right="12"/>
              <w:spacing w:after="0" w:line="152" w:lineRule="exact"/>
              <w:rPr>
                <w:sz w:val="20"/>
                <w:szCs w:val="20"/>
                <w:color w:val="auto"/>
              </w:rPr>
            </w:pPr>
            <w:r>
              <w:rPr>
                <w:rFonts w:ascii="Arial" w:cs="Arial" w:eastAsia="Arial" w:hAnsi="Arial"/>
                <w:sz w:val="14"/>
                <w:szCs w:val="14"/>
                <w:color w:val="auto"/>
              </w:rPr>
              <w:t>5.0951%</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LLC</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700" w:type="dxa"/>
            <w:vAlign w:val="bottom"/>
          </w:tcPr>
          <w:p>
            <w:pPr>
              <w:spacing w:after="0"/>
              <w:rPr>
                <w:sz w:val="20"/>
                <w:szCs w:val="20"/>
                <w:color w:val="auto"/>
              </w:rPr>
            </w:pPr>
            <w:r>
              <w:rPr>
                <w:rFonts w:ascii="Arial" w:cs="Arial" w:eastAsia="Arial" w:hAnsi="Arial"/>
                <w:sz w:val="14"/>
                <w:szCs w:val="14"/>
                <w:color w:val="auto"/>
              </w:rPr>
              <w:t>FEDERAL REALTY MANAGEMENT</w:t>
            </w:r>
          </w:p>
        </w:tc>
        <w:tc>
          <w:tcPr>
            <w:tcW w:w="1640" w:type="dxa"/>
            <w:vAlign w:val="bottom"/>
          </w:tcPr>
          <w:p>
            <w:pPr>
              <w:ind w:left="140"/>
              <w:spacing w:after="0"/>
              <w:rPr>
                <w:sz w:val="20"/>
                <w:szCs w:val="20"/>
                <w:color w:val="auto"/>
              </w:rPr>
            </w:pPr>
            <w:r>
              <w:rPr>
                <w:rFonts w:ascii="Arial" w:cs="Arial" w:eastAsia="Arial" w:hAnsi="Arial"/>
                <w:sz w:val="14"/>
                <w:szCs w:val="14"/>
                <w:color w:val="auto"/>
                <w:w w:val="90"/>
              </w:rPr>
              <w:t>Federal Realty Investment</w:t>
            </w:r>
          </w:p>
        </w:tc>
        <w:tc>
          <w:tcPr>
            <w:tcW w:w="1520" w:type="dxa"/>
            <w:vAlign w:val="bottom"/>
          </w:tcPr>
          <w:p>
            <w:pPr>
              <w:ind w:left="80"/>
              <w:spacing w:after="0"/>
              <w:rPr>
                <w:sz w:val="20"/>
                <w:szCs w:val="20"/>
                <w:color w:val="auto"/>
              </w:rPr>
            </w:pPr>
            <w:r>
              <w:rPr>
                <w:rFonts w:ascii="Arial" w:cs="Arial" w:eastAsia="Arial" w:hAnsi="Arial"/>
                <w:sz w:val="14"/>
                <w:szCs w:val="14"/>
                <w:color w:val="auto"/>
              </w:rPr>
              <w:t>Sole stockholder</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20"/>
              <w:spacing w:after="0"/>
              <w:rPr>
                <w:sz w:val="20"/>
                <w:szCs w:val="20"/>
                <w:color w:val="auto"/>
              </w:rPr>
            </w:pPr>
            <w:r>
              <w:rPr>
                <w:rFonts w:ascii="Arial" w:cs="Arial" w:eastAsia="Arial" w:hAnsi="Arial"/>
                <w:sz w:val="14"/>
                <w:szCs w:val="14"/>
                <w:color w:val="auto"/>
                <w:w w:val="94"/>
              </w:rPr>
              <w:t>SERVICES, INC., a Delaware corporation</w:t>
            </w:r>
          </w:p>
        </w:tc>
        <w:tc>
          <w:tcPr>
            <w:tcW w:w="1640" w:type="dxa"/>
            <w:vAlign w:val="bottom"/>
          </w:tcPr>
          <w:p>
            <w:pPr>
              <w:ind w:left="140"/>
              <w:spacing w:after="0"/>
              <w:rPr>
                <w:sz w:val="20"/>
                <w:szCs w:val="20"/>
                <w:color w:val="auto"/>
              </w:rPr>
            </w:pPr>
            <w:r>
              <w:rPr>
                <w:rFonts w:ascii="Arial" w:cs="Arial" w:eastAsia="Arial" w:hAnsi="Arial"/>
                <w:sz w:val="14"/>
                <w:szCs w:val="14"/>
                <w:color w:val="auto"/>
              </w:rPr>
              <w:t>Trust</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hanging="314"/>
        <w:spacing w:after="0" w:line="265" w:lineRule="auto"/>
        <w:tabs>
          <w:tab w:leader="none" w:pos="278" w:val="left"/>
        </w:tabs>
        <w:numPr>
          <w:ilvl w:val="0"/>
          <w:numId w:val="95"/>
        </w:numPr>
        <w:rPr>
          <w:rFonts w:ascii="Arial" w:cs="Arial" w:eastAsia="Arial" w:hAnsi="Arial"/>
          <w:sz w:val="12"/>
          <w:szCs w:val="12"/>
          <w:color w:val="auto"/>
        </w:rPr>
      </w:pPr>
      <w:r>
        <w:rPr>
          <w:rFonts w:ascii="Arial" w:cs="Arial" w:eastAsia="Arial" w:hAnsi="Arial"/>
          <w:sz w:val="12"/>
          <w:szCs w:val="12"/>
          <w:color w:val="auto"/>
        </w:rPr>
        <w:t>Patrick M. O’Donnell, Silberberg Family Partnership and JSR Family LLC permitted transferees of Rockville Plaza Company (“Permitted Transferees”) have right to require other partners to buy 18.75% or greater of all of the Permitted Transferees’ ownership interests.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31" w:lineRule="exact"/>
        <w:rPr>
          <w:sz w:val="20"/>
          <w:szCs w:val="20"/>
          <w:color w:val="auto"/>
        </w:rPr>
      </w:pPr>
    </w:p>
    <w:p>
      <w:pPr>
        <w:sectPr>
          <w:pgSz w:w="11900" w:h="16838" w:orient="portrait"/>
          <w:cols w:equalWidth="0" w:num="2">
            <w:col w:w="8920" w:space="220"/>
            <w:col w:w="22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color w:val="auto"/>
                <w:w w:val="96"/>
              </w:rPr>
              <w:t>FRIT SOLAR, INC., a Delaware corporation</w:t>
            </w:r>
          </w:p>
        </w:tc>
        <w:tc>
          <w:tcPr>
            <w:tcW w:w="1720" w:type="dxa"/>
            <w:vAlign w:val="bottom"/>
          </w:tcPr>
          <w:p>
            <w:pPr>
              <w:ind w:left="200"/>
              <w:spacing w:after="0"/>
              <w:rPr>
                <w:sz w:val="20"/>
                <w:szCs w:val="20"/>
                <w:color w:val="auto"/>
              </w:rPr>
            </w:pPr>
            <w:r>
              <w:rPr>
                <w:rFonts w:ascii="Arial" w:cs="Arial" w:eastAsia="Arial" w:hAnsi="Arial"/>
                <w:sz w:val="14"/>
                <w:szCs w:val="14"/>
                <w:color w:val="auto"/>
              </w:rPr>
              <w:t>Federal Realty</w:t>
            </w:r>
          </w:p>
        </w:tc>
        <w:tc>
          <w:tcPr>
            <w:tcW w:w="1560" w:type="dxa"/>
            <w:vAlign w:val="bottom"/>
          </w:tcPr>
          <w:p>
            <w:pPr>
              <w:ind w:left="60"/>
              <w:spacing w:after="0"/>
              <w:rPr>
                <w:sz w:val="20"/>
                <w:szCs w:val="20"/>
                <w:color w:val="auto"/>
              </w:rPr>
            </w:pPr>
            <w:r>
              <w:rPr>
                <w:rFonts w:ascii="Arial" w:cs="Arial" w:eastAsia="Arial" w:hAnsi="Arial"/>
                <w:sz w:val="14"/>
                <w:szCs w:val="14"/>
                <w:color w:val="auto"/>
              </w:rPr>
              <w:t>Sole stockholder</w:t>
            </w:r>
          </w:p>
        </w:tc>
        <w:tc>
          <w:tcPr>
            <w:tcW w:w="2060" w:type="dxa"/>
            <w:vAlign w:val="bottom"/>
          </w:tcPr>
          <w:p>
            <w:pPr>
              <w:jc w:val="right"/>
              <w:ind w:right="1092"/>
              <w:spacing w:after="0"/>
              <w:rPr>
                <w:sz w:val="20"/>
                <w:szCs w:val="20"/>
                <w:color w:val="auto"/>
              </w:rPr>
            </w:pPr>
            <w:r>
              <w:rPr>
                <w:rFonts w:ascii="Arial" w:cs="Arial" w:eastAsia="Arial" w:hAnsi="Arial"/>
                <w:sz w:val="14"/>
                <w:szCs w:val="14"/>
                <w:color w:val="auto"/>
              </w:rPr>
              <w:t>100%</w:t>
            </w:r>
          </w:p>
        </w:tc>
        <w:tc>
          <w:tcPr>
            <w:tcW w:w="3440" w:type="dxa"/>
            <w:vAlign w:val="bottom"/>
          </w:tcPr>
          <w:p>
            <w:pPr>
              <w:ind w:left="11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auto"/>
                <w:w w:val="88"/>
              </w:rPr>
              <w:t>Management Services, Inc.</w:t>
            </w:r>
          </w:p>
        </w:tc>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SANTANA ROW ROF, INC., a Delaware</w:t>
            </w:r>
          </w:p>
        </w:tc>
        <w:tc>
          <w:tcPr>
            <w:tcW w:w="17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Federal Realty</w:t>
            </w:r>
          </w:p>
        </w:tc>
        <w:tc>
          <w:tcPr>
            <w:tcW w:w="1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Sole stockholder</w:t>
            </w:r>
          </w:p>
        </w:tc>
        <w:tc>
          <w:tcPr>
            <w:tcW w:w="2060" w:type="dxa"/>
            <w:vAlign w:val="bottom"/>
            <w:shd w:val="clear" w:color="auto" w:fill="CCEEFF"/>
          </w:tcPr>
          <w:p>
            <w:pPr>
              <w:jc w:val="right"/>
              <w:ind w:right="1092"/>
              <w:spacing w:after="0" w:line="138" w:lineRule="exact"/>
              <w:rPr>
                <w:sz w:val="20"/>
                <w:szCs w:val="20"/>
                <w:color w:val="auto"/>
              </w:rPr>
            </w:pPr>
            <w:r>
              <w:rPr>
                <w:rFonts w:ascii="Arial" w:cs="Arial" w:eastAsia="Arial" w:hAnsi="Arial"/>
                <w:sz w:val="14"/>
                <w:szCs w:val="14"/>
                <w:color w:val="auto"/>
              </w:rPr>
              <w:t>100%</w:t>
            </w:r>
          </w:p>
        </w:tc>
        <w:tc>
          <w:tcPr>
            <w:tcW w:w="3440" w:type="dxa"/>
            <w:vAlign w:val="bottom"/>
            <w:shd w:val="clear" w:color="auto" w:fill="CCEEFF"/>
          </w:tcPr>
          <w:p>
            <w:pPr>
              <w:ind w:left="116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corporation</w:t>
            </w:r>
          </w:p>
        </w:tc>
        <w:tc>
          <w:tcPr>
            <w:tcW w:w="1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88"/>
              </w:rPr>
              <w:t>Management Services, Inc.</w:t>
            </w:r>
          </w:p>
        </w:tc>
        <w:tc>
          <w:tcPr>
            <w:tcW w:w="15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right="780"/>
        <w:spacing w:after="0" w:line="241" w:lineRule="auto"/>
        <w:rPr>
          <w:sz w:val="20"/>
          <w:szCs w:val="20"/>
          <w:color w:val="auto"/>
        </w:rPr>
      </w:pPr>
      <w:r>
        <w:rPr>
          <w:rFonts w:ascii="Arial" w:cs="Arial" w:eastAsia="Arial" w:hAnsi="Arial"/>
          <w:sz w:val="14"/>
          <w:szCs w:val="14"/>
          <w:b w:val="1"/>
          <w:bCs w:val="1"/>
          <w:color w:val="auto"/>
        </w:rPr>
        <w:t>ENTITY NAME/Jurisdiction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5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20" w:right="100" w:hanging="215"/>
        <w:spacing w:after="0" w:line="318" w:lineRule="auto"/>
        <w:rPr>
          <w:sz w:val="20"/>
          <w:szCs w:val="20"/>
          <w:color w:val="auto"/>
        </w:rPr>
      </w:pPr>
      <w:r>
        <w:rPr>
          <w:rFonts w:ascii="Arial" w:cs="Arial" w:eastAsia="Arial" w:hAnsi="Arial"/>
          <w:sz w:val="12"/>
          <w:szCs w:val="12"/>
          <w:color w:val="auto"/>
        </w:rPr>
        <w:t>FRIT LEASING &amp; DEVELOPMENT SERVICES, INC., a Delaware corporation</w:t>
      </w:r>
    </w:p>
    <w:p>
      <w:pPr>
        <w:spacing w:after="0" w:line="53"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FRIT SANTANA ROW TRS, INC., a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Material and/or</w:t>
            </w:r>
          </w:p>
        </w:tc>
        <w:tc>
          <w:tcPr>
            <w:tcW w:w="228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280" w:type="dxa"/>
            <w:vAlign w:val="bottom"/>
          </w:tcPr>
          <w:p>
            <w:pPr>
              <w:spacing w:after="0"/>
              <w:rPr>
                <w:sz w:val="12"/>
                <w:szCs w:val="12"/>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Liens, Options,</w:t>
            </w:r>
          </w:p>
        </w:tc>
      </w:tr>
      <w:tr>
        <w:trPr>
          <w:trHeight w:val="175"/>
        </w:trPr>
        <w:tc>
          <w:tcPr>
            <w:tcW w:w="1480" w:type="dxa"/>
            <w:vAlign w:val="bottom"/>
          </w:tcPr>
          <w:p>
            <w:pPr>
              <w:ind w:left="30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7"/>
              </w:rPr>
              <w:t>% Ownership</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Rights, etc.</w:t>
            </w:r>
          </w:p>
        </w:tc>
      </w:tr>
      <w:tr>
        <w:trPr>
          <w:trHeight w:val="131"/>
        </w:trPr>
        <w:tc>
          <w:tcPr>
            <w:tcW w:w="14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89"/>
              </w:rPr>
              <w:t>Federal Realty Investment</w:t>
            </w:r>
          </w:p>
        </w:tc>
        <w:tc>
          <w:tcPr>
            <w:tcW w:w="100" w:type="dxa"/>
            <w:vAlign w:val="bottom"/>
          </w:tcPr>
          <w:p>
            <w:pPr>
              <w:spacing w:after="0"/>
              <w:rPr>
                <w:sz w:val="11"/>
                <w:szCs w:val="11"/>
                <w:color w:val="auto"/>
              </w:rPr>
            </w:pPr>
          </w:p>
        </w:tc>
        <w:tc>
          <w:tcPr>
            <w:tcW w:w="1360" w:type="dxa"/>
            <w:vAlign w:val="bottom"/>
            <w:tcBorders>
              <w:top w:val="single" w:sz="8" w:color="auto"/>
            </w:tcBorders>
          </w:tcPr>
          <w:p>
            <w:pPr>
              <w:jc w:val="right"/>
              <w:ind w:right="392"/>
              <w:spacing w:after="0" w:line="131" w:lineRule="exact"/>
              <w:rPr>
                <w:sz w:val="20"/>
                <w:szCs w:val="20"/>
                <w:color w:val="auto"/>
              </w:rPr>
            </w:pPr>
            <w:r>
              <w:rPr>
                <w:rFonts w:ascii="Arial" w:cs="Arial" w:eastAsia="Arial" w:hAnsi="Arial"/>
                <w:sz w:val="14"/>
                <w:szCs w:val="14"/>
                <w:color w:val="auto"/>
                <w:w w:val="84"/>
              </w:rPr>
              <w:t>Sole stockholder</w:t>
            </w:r>
          </w:p>
        </w:tc>
        <w:tc>
          <w:tcPr>
            <w:tcW w:w="120" w:type="dxa"/>
            <w:vAlign w:val="bottom"/>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100</w:t>
            </w:r>
          </w:p>
        </w:tc>
        <w:tc>
          <w:tcPr>
            <w:tcW w:w="280" w:type="dxa"/>
            <w:vAlign w:val="bottom"/>
          </w:tcPr>
          <w:p>
            <w:pPr>
              <w:jc w:val="right"/>
              <w:ind w:right="92"/>
              <w:spacing w:after="0" w:line="131" w:lineRule="exact"/>
              <w:rPr>
                <w:sz w:val="20"/>
                <w:szCs w:val="20"/>
                <w:color w:val="auto"/>
              </w:rPr>
            </w:pPr>
            <w:r>
              <w:rPr>
                <w:rFonts w:ascii="Arial" w:cs="Arial" w:eastAsia="Arial" w:hAnsi="Arial"/>
                <w:sz w:val="14"/>
                <w:szCs w:val="14"/>
                <w:color w:val="auto"/>
                <w:w w:val="79"/>
              </w:rPr>
              <w:t>%</w:t>
            </w:r>
          </w:p>
        </w:tc>
        <w:tc>
          <w:tcPr>
            <w:tcW w:w="2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None</w:t>
            </w:r>
          </w:p>
        </w:tc>
      </w:tr>
      <w:tr>
        <w:trPr>
          <w:trHeight w:val="172"/>
        </w:trPr>
        <w:tc>
          <w:tcPr>
            <w:tcW w:w="1480" w:type="dxa"/>
            <w:vAlign w:val="bottom"/>
          </w:tcPr>
          <w:p>
            <w:pPr>
              <w:spacing w:after="0"/>
              <w:rPr>
                <w:sz w:val="20"/>
                <w:szCs w:val="20"/>
                <w:color w:val="auto"/>
              </w:rPr>
            </w:pPr>
            <w:r>
              <w:rPr>
                <w:rFonts w:ascii="Arial" w:cs="Arial" w:eastAsia="Arial" w:hAnsi="Arial"/>
                <w:sz w:val="14"/>
                <w:szCs w:val="14"/>
                <w:color w:val="auto"/>
              </w:rPr>
              <w:t>Trust</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33"/>
        </w:trPr>
        <w:tc>
          <w:tcPr>
            <w:tcW w:w="1480" w:type="dxa"/>
            <w:vAlign w:val="bottom"/>
          </w:tcPr>
          <w:p>
            <w:pPr>
              <w:spacing w:after="0"/>
              <w:rPr>
                <w:sz w:val="20"/>
                <w:szCs w:val="20"/>
                <w:color w:val="auto"/>
              </w:rPr>
            </w:pPr>
            <w:r>
              <w:rPr>
                <w:rFonts w:ascii="Arial" w:cs="Arial" w:eastAsia="Arial" w:hAnsi="Arial"/>
                <w:sz w:val="14"/>
                <w:szCs w:val="14"/>
                <w:color w:val="auto"/>
              </w:rPr>
              <w:t>FRIT Leasing &amp;</w:t>
            </w:r>
          </w:p>
        </w:tc>
        <w:tc>
          <w:tcPr>
            <w:tcW w:w="1580" w:type="dxa"/>
            <w:vAlign w:val="bottom"/>
            <w:gridSpan w:val="3"/>
          </w:tcPr>
          <w:p>
            <w:pPr>
              <w:jc w:val="right"/>
              <w:ind w:right="580"/>
              <w:spacing w:after="0"/>
              <w:rPr>
                <w:sz w:val="20"/>
                <w:szCs w:val="20"/>
                <w:color w:val="auto"/>
              </w:rPr>
            </w:pPr>
            <w:r>
              <w:rPr>
                <w:rFonts w:ascii="Arial" w:cs="Arial" w:eastAsia="Arial" w:hAnsi="Arial"/>
                <w:sz w:val="14"/>
                <w:szCs w:val="14"/>
                <w:color w:val="auto"/>
                <w:w w:val="94"/>
              </w:rPr>
              <w:t>Sole stockholder</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100%</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None</w:t>
            </w: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Development Services,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72"/>
        </w:trPr>
        <w:tc>
          <w:tcPr>
            <w:tcW w:w="1480" w:type="dxa"/>
            <w:vAlign w:val="bottom"/>
          </w:tcPr>
          <w:p>
            <w:pPr>
              <w:spacing w:after="0"/>
              <w:rPr>
                <w:sz w:val="20"/>
                <w:szCs w:val="20"/>
                <w:color w:val="auto"/>
              </w:rPr>
            </w:pPr>
            <w:r>
              <w:rPr>
                <w:rFonts w:ascii="Arial" w:cs="Arial" w:eastAsia="Arial" w:hAnsi="Arial"/>
                <w:sz w:val="14"/>
                <w:szCs w:val="14"/>
                <w:color w:val="auto"/>
              </w:rPr>
              <w:t>Inc.</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-556260</wp:posOffset>
            </wp:positionV>
            <wp:extent cx="7246620"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620" w:space="220"/>
            <w:col w:w="85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FEDERAL REALTY PARTNERS, INC., a</w:t>
            </w:r>
          </w:p>
        </w:tc>
        <w:tc>
          <w:tcPr>
            <w:tcW w:w="1760" w:type="dxa"/>
            <w:vAlign w:val="bottom"/>
          </w:tcPr>
          <w:p>
            <w:pPr>
              <w:ind w:left="260"/>
              <w:spacing w:after="0"/>
              <w:rPr>
                <w:sz w:val="20"/>
                <w:szCs w:val="20"/>
                <w:color w:val="auto"/>
              </w:rPr>
            </w:pPr>
            <w:r>
              <w:rPr>
                <w:rFonts w:ascii="Arial" w:cs="Arial" w:eastAsia="Arial" w:hAnsi="Arial"/>
                <w:sz w:val="14"/>
                <w:szCs w:val="14"/>
                <w:color w:val="auto"/>
                <w:w w:val="90"/>
              </w:rPr>
              <w:t>Federal Realty Investment</w:t>
            </w:r>
          </w:p>
        </w:tc>
        <w:tc>
          <w:tcPr>
            <w:tcW w:w="1300" w:type="dxa"/>
            <w:vAlign w:val="bottom"/>
          </w:tcPr>
          <w:p>
            <w:pPr>
              <w:ind w:left="80"/>
              <w:spacing w:after="0"/>
              <w:rPr>
                <w:sz w:val="20"/>
                <w:szCs w:val="20"/>
                <w:color w:val="auto"/>
              </w:rPr>
            </w:pPr>
            <w:r>
              <w:rPr>
                <w:rFonts w:ascii="Arial" w:cs="Arial" w:eastAsia="Arial" w:hAnsi="Arial"/>
                <w:sz w:val="14"/>
                <w:szCs w:val="14"/>
                <w:color w:val="auto"/>
              </w:rPr>
              <w:t>Sole stockholder</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1140" w:type="dxa"/>
            <w:vAlign w:val="bottom"/>
          </w:tcPr>
          <w:p>
            <w:pPr>
              <w:spacing w:after="0"/>
              <w:rPr>
                <w:sz w:val="14"/>
                <w:szCs w:val="14"/>
                <w:color w:val="auto"/>
              </w:rPr>
            </w:pPr>
          </w:p>
        </w:tc>
      </w:tr>
      <w:tr>
        <w:trPr>
          <w:trHeight w:val="172"/>
        </w:trPr>
        <w:tc>
          <w:tcPr>
            <w:tcW w:w="2580" w:type="dxa"/>
            <w:vAlign w:val="bottom"/>
          </w:tcPr>
          <w:p>
            <w:pPr>
              <w:ind w:left="220"/>
              <w:spacing w:after="0"/>
              <w:rPr>
                <w:sz w:val="20"/>
                <w:szCs w:val="20"/>
                <w:color w:val="auto"/>
              </w:rPr>
            </w:pPr>
            <w:r>
              <w:rPr>
                <w:rFonts w:ascii="Arial" w:cs="Arial" w:eastAsia="Arial" w:hAnsi="Arial"/>
                <w:sz w:val="14"/>
                <w:szCs w:val="14"/>
                <w:color w:val="auto"/>
              </w:rPr>
              <w:t>Delaware corporation</w:t>
            </w:r>
          </w:p>
        </w:tc>
        <w:tc>
          <w:tcPr>
            <w:tcW w:w="1760" w:type="dxa"/>
            <w:vAlign w:val="bottom"/>
          </w:tcPr>
          <w:p>
            <w:pPr>
              <w:ind w:left="260"/>
              <w:spacing w:after="0"/>
              <w:rPr>
                <w:sz w:val="20"/>
                <w:szCs w:val="20"/>
                <w:color w:val="auto"/>
              </w:rPr>
            </w:pPr>
            <w:r>
              <w:rPr>
                <w:rFonts w:ascii="Arial" w:cs="Arial" w:eastAsia="Arial" w:hAnsi="Arial"/>
                <w:sz w:val="14"/>
                <w:szCs w:val="14"/>
                <w:color w:val="auto"/>
              </w:rPr>
              <w:t>Trust</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3"/>
        </w:trPr>
        <w:tc>
          <w:tcPr>
            <w:tcW w:w="2580" w:type="dxa"/>
            <w:vAlign w:val="bottom"/>
          </w:tcPr>
          <w:p>
            <w:pPr>
              <w:spacing w:after="0"/>
              <w:rPr>
                <w:sz w:val="20"/>
                <w:szCs w:val="20"/>
                <w:color w:val="auto"/>
              </w:rPr>
            </w:pPr>
            <w:r>
              <w:rPr>
                <w:rFonts w:ascii="Arial" w:cs="Arial" w:eastAsia="Arial" w:hAnsi="Arial"/>
                <w:sz w:val="14"/>
                <w:szCs w:val="14"/>
                <w:color w:val="auto"/>
              </w:rPr>
              <w:t>FEDERAL REALTY PARTNERS L.P., a</w:t>
            </w:r>
          </w:p>
        </w:tc>
        <w:tc>
          <w:tcPr>
            <w:tcW w:w="1760" w:type="dxa"/>
            <w:vAlign w:val="bottom"/>
          </w:tcPr>
          <w:p>
            <w:pPr>
              <w:ind w:left="260"/>
              <w:spacing w:after="0"/>
              <w:rPr>
                <w:sz w:val="20"/>
                <w:szCs w:val="20"/>
                <w:color w:val="auto"/>
              </w:rPr>
            </w:pPr>
            <w:r>
              <w:rPr>
                <w:rFonts w:ascii="Arial" w:cs="Arial" w:eastAsia="Arial" w:hAnsi="Arial"/>
                <w:sz w:val="14"/>
                <w:szCs w:val="14"/>
                <w:color w:val="auto"/>
                <w:w w:val="97"/>
              </w:rPr>
              <w:t>Federal Realty Partners,</w:t>
            </w:r>
          </w:p>
        </w:tc>
        <w:tc>
          <w:tcPr>
            <w:tcW w:w="1300" w:type="dxa"/>
            <w:vAlign w:val="bottom"/>
          </w:tcPr>
          <w:p>
            <w:pPr>
              <w:ind w:left="80"/>
              <w:spacing w:after="0"/>
              <w:rPr>
                <w:sz w:val="20"/>
                <w:szCs w:val="20"/>
                <w:color w:val="auto"/>
              </w:rPr>
            </w:pPr>
            <w:r>
              <w:rPr>
                <w:rFonts w:ascii="Arial" w:cs="Arial" w:eastAsia="Arial" w:hAnsi="Arial"/>
                <w:sz w:val="14"/>
                <w:szCs w:val="14"/>
                <w:color w:val="auto"/>
              </w:rPr>
              <w:t>General partner</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722,795 units</w:t>
            </w:r>
          </w:p>
        </w:tc>
        <w:tc>
          <w:tcPr>
            <w:tcW w:w="1140" w:type="dxa"/>
            <w:vAlign w:val="bottom"/>
          </w:tcPr>
          <w:p>
            <w:pPr>
              <w:ind w:left="80"/>
              <w:spacing w:after="0"/>
              <w:rPr>
                <w:sz w:val="20"/>
                <w:szCs w:val="20"/>
                <w:color w:val="auto"/>
              </w:rPr>
            </w:pPr>
            <w:r>
              <w:rPr>
                <w:rFonts w:ascii="Arial" w:cs="Arial" w:eastAsia="Arial" w:hAnsi="Arial"/>
                <w:sz w:val="14"/>
                <w:szCs w:val="14"/>
                <w:color w:val="auto"/>
              </w:rPr>
              <w:t>Guarantor</w:t>
            </w: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Delaware limited partnership (Master</w:t>
            </w:r>
          </w:p>
        </w:tc>
        <w:tc>
          <w:tcPr>
            <w:tcW w:w="1760" w:type="dxa"/>
            <w:vAlign w:val="bottom"/>
          </w:tcPr>
          <w:p>
            <w:pPr>
              <w:ind w:left="260"/>
              <w:spacing w:after="0" w:line="149" w:lineRule="exact"/>
              <w:rPr>
                <w:sz w:val="20"/>
                <w:szCs w:val="20"/>
                <w:color w:val="auto"/>
              </w:rPr>
            </w:pPr>
            <w:r>
              <w:rPr>
                <w:rFonts w:ascii="Arial" w:cs="Arial" w:eastAsia="Arial" w:hAnsi="Arial"/>
                <w:sz w:val="14"/>
                <w:szCs w:val="14"/>
                <w:color w:val="auto"/>
              </w:rPr>
              <w:t>Inc.</w:t>
            </w: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w w:val="87"/>
              </w:rPr>
              <w:t>Material Subsidiary</w:t>
            </w:r>
          </w:p>
        </w:tc>
      </w:tr>
      <w:tr>
        <w:trPr>
          <w:trHeight w:val="172"/>
        </w:trPr>
        <w:tc>
          <w:tcPr>
            <w:tcW w:w="2580" w:type="dxa"/>
            <w:vAlign w:val="bottom"/>
          </w:tcPr>
          <w:p>
            <w:pPr>
              <w:ind w:left="220"/>
              <w:spacing w:after="0"/>
              <w:rPr>
                <w:sz w:val="20"/>
                <w:szCs w:val="20"/>
                <w:color w:val="auto"/>
              </w:rPr>
            </w:pPr>
            <w:r>
              <w:rPr>
                <w:rFonts w:ascii="Arial" w:cs="Arial" w:eastAsia="Arial" w:hAnsi="Arial"/>
                <w:sz w:val="14"/>
                <w:szCs w:val="14"/>
                <w:color w:val="auto"/>
              </w:rPr>
              <w:t>DownREIT)</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0"/>
        </w:trPr>
        <w:tc>
          <w:tcPr>
            <w:tcW w:w="2580" w:type="dxa"/>
            <w:vAlign w:val="bottom"/>
          </w:tcPr>
          <w:p>
            <w:pPr>
              <w:spacing w:after="0"/>
              <w:rPr>
                <w:sz w:val="23"/>
                <w:szCs w:val="23"/>
                <w:color w:val="auto"/>
              </w:rPr>
            </w:pPr>
          </w:p>
        </w:tc>
        <w:tc>
          <w:tcPr>
            <w:tcW w:w="1760" w:type="dxa"/>
            <w:vAlign w:val="bottom"/>
          </w:tcPr>
          <w:p>
            <w:pPr>
              <w:ind w:left="260"/>
              <w:spacing w:after="0"/>
              <w:rPr>
                <w:sz w:val="20"/>
                <w:szCs w:val="20"/>
                <w:color w:val="auto"/>
              </w:rPr>
            </w:pPr>
            <w:r>
              <w:rPr>
                <w:rFonts w:ascii="Arial" w:cs="Arial" w:eastAsia="Arial" w:hAnsi="Arial"/>
                <w:sz w:val="14"/>
                <w:szCs w:val="14"/>
                <w:color w:val="auto"/>
              </w:rPr>
              <w:t>FRLP, Inc.</w:t>
            </w:r>
          </w:p>
        </w:tc>
        <w:tc>
          <w:tcPr>
            <w:tcW w:w="1300" w:type="dxa"/>
            <w:vAlign w:val="bottom"/>
          </w:tcPr>
          <w:p>
            <w:pPr>
              <w:ind w:left="80"/>
              <w:spacing w:after="0"/>
              <w:rPr>
                <w:sz w:val="20"/>
                <w:szCs w:val="20"/>
                <w:color w:val="auto"/>
              </w:rPr>
            </w:pPr>
            <w:r>
              <w:rPr>
                <w:rFonts w:ascii="Arial" w:cs="Arial" w:eastAsia="Arial" w:hAnsi="Arial"/>
                <w:sz w:val="14"/>
                <w:szCs w:val="14"/>
                <w:color w:val="auto"/>
              </w:rPr>
              <w:t>Limited partner</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40 units</w:t>
            </w:r>
          </w:p>
        </w:tc>
        <w:tc>
          <w:tcPr>
            <w:tcW w:w="1140" w:type="dxa"/>
            <w:vAlign w:val="bottom"/>
          </w:tcPr>
          <w:p>
            <w:pPr>
              <w:spacing w:after="0"/>
              <w:rPr>
                <w:sz w:val="23"/>
                <w:szCs w:val="23"/>
                <w:color w:val="auto"/>
              </w:rPr>
            </w:pPr>
          </w:p>
        </w:tc>
      </w:tr>
      <w:tr>
        <w:trPr>
          <w:trHeight w:val="284"/>
        </w:trPr>
        <w:tc>
          <w:tcPr>
            <w:tcW w:w="2580" w:type="dxa"/>
            <w:vAlign w:val="bottom"/>
          </w:tcPr>
          <w:p>
            <w:pPr>
              <w:spacing w:after="0"/>
              <w:rPr>
                <w:sz w:val="24"/>
                <w:szCs w:val="24"/>
                <w:color w:val="auto"/>
              </w:rPr>
            </w:pPr>
          </w:p>
        </w:tc>
        <w:tc>
          <w:tcPr>
            <w:tcW w:w="1760" w:type="dxa"/>
            <w:vAlign w:val="bottom"/>
          </w:tcPr>
          <w:p>
            <w:pPr>
              <w:ind w:left="260"/>
              <w:spacing w:after="0"/>
              <w:rPr>
                <w:sz w:val="20"/>
                <w:szCs w:val="20"/>
                <w:color w:val="auto"/>
              </w:rPr>
            </w:pPr>
            <w:r>
              <w:rPr>
                <w:rFonts w:ascii="Arial" w:cs="Arial" w:eastAsia="Arial" w:hAnsi="Arial"/>
                <w:sz w:val="14"/>
                <w:szCs w:val="14"/>
                <w:color w:val="auto"/>
                <w:w w:val="89"/>
              </w:rPr>
              <w:t>8 separate limited partners</w:t>
            </w:r>
          </w:p>
        </w:tc>
        <w:tc>
          <w:tcPr>
            <w:tcW w:w="1300" w:type="dxa"/>
            <w:vAlign w:val="bottom"/>
          </w:tcPr>
          <w:p>
            <w:pPr>
              <w:ind w:left="80"/>
              <w:spacing w:after="0"/>
              <w:rPr>
                <w:sz w:val="20"/>
                <w:szCs w:val="20"/>
                <w:color w:val="auto"/>
              </w:rPr>
            </w:pPr>
            <w:r>
              <w:rPr>
                <w:rFonts w:ascii="Arial" w:cs="Arial" w:eastAsia="Arial" w:hAnsi="Arial"/>
                <w:sz w:val="14"/>
                <w:szCs w:val="14"/>
                <w:color w:val="auto"/>
              </w:rPr>
              <w:t>Limited partner</w:t>
            </w:r>
          </w:p>
        </w:tc>
        <w:tc>
          <w:tcPr>
            <w:tcW w:w="1260" w:type="dxa"/>
            <w:vAlign w:val="bottom"/>
          </w:tcPr>
          <w:p>
            <w:pPr>
              <w:jc w:val="right"/>
              <w:ind w:right="132"/>
              <w:spacing w:after="0"/>
              <w:rPr>
                <w:sz w:val="20"/>
                <w:szCs w:val="20"/>
                <w:color w:val="auto"/>
              </w:rPr>
            </w:pPr>
            <w:r>
              <w:rPr>
                <w:rFonts w:ascii="Arial" w:cs="Arial" w:eastAsia="Arial" w:hAnsi="Arial"/>
                <w:sz w:val="14"/>
                <w:szCs w:val="14"/>
                <w:color w:val="auto"/>
              </w:rPr>
              <w:t>138,793 units</w:t>
            </w:r>
          </w:p>
        </w:tc>
        <w:tc>
          <w:tcPr>
            <w:tcW w:w="1140" w:type="dxa"/>
            <w:vAlign w:val="bottom"/>
          </w:tcPr>
          <w:p>
            <w:pPr>
              <w:spacing w:after="0"/>
              <w:rPr>
                <w:sz w:val="24"/>
                <w:szCs w:val="24"/>
                <w:color w:val="auto"/>
              </w:rPr>
            </w:pPr>
          </w:p>
        </w:tc>
      </w:tr>
      <w:tr>
        <w:trPr>
          <w:trHeight w:val="368"/>
        </w:trPr>
        <w:tc>
          <w:tcPr>
            <w:tcW w:w="2580" w:type="dxa"/>
            <w:vAlign w:val="bottom"/>
          </w:tcPr>
          <w:p>
            <w:pPr>
              <w:spacing w:after="0"/>
              <w:rPr>
                <w:sz w:val="20"/>
                <w:szCs w:val="20"/>
                <w:color w:val="auto"/>
              </w:rPr>
            </w:pPr>
            <w:r>
              <w:rPr>
                <w:rFonts w:ascii="Arial" w:cs="Arial" w:eastAsia="Arial" w:hAnsi="Arial"/>
                <w:sz w:val="14"/>
                <w:szCs w:val="14"/>
                <w:color w:val="auto"/>
              </w:rPr>
              <w:t>FRLP, INC., a Delaware corporation</w:t>
            </w:r>
          </w:p>
        </w:tc>
        <w:tc>
          <w:tcPr>
            <w:tcW w:w="1760" w:type="dxa"/>
            <w:vAlign w:val="bottom"/>
          </w:tcPr>
          <w:p>
            <w:pPr>
              <w:ind w:left="260"/>
              <w:spacing w:after="0"/>
              <w:rPr>
                <w:sz w:val="20"/>
                <w:szCs w:val="20"/>
                <w:color w:val="auto"/>
              </w:rPr>
            </w:pPr>
            <w:r>
              <w:rPr>
                <w:rFonts w:ascii="Arial" w:cs="Arial" w:eastAsia="Arial" w:hAnsi="Arial"/>
                <w:sz w:val="14"/>
                <w:szCs w:val="14"/>
                <w:color w:val="auto"/>
                <w:w w:val="90"/>
              </w:rPr>
              <w:t>Federal Realty Investment</w:t>
            </w:r>
          </w:p>
        </w:tc>
        <w:tc>
          <w:tcPr>
            <w:tcW w:w="1300" w:type="dxa"/>
            <w:vAlign w:val="bottom"/>
          </w:tcPr>
          <w:p>
            <w:pPr>
              <w:ind w:left="80"/>
              <w:spacing w:after="0"/>
              <w:rPr>
                <w:sz w:val="20"/>
                <w:szCs w:val="20"/>
                <w:color w:val="auto"/>
              </w:rPr>
            </w:pPr>
            <w:r>
              <w:rPr>
                <w:rFonts w:ascii="Arial" w:cs="Arial" w:eastAsia="Arial" w:hAnsi="Arial"/>
                <w:sz w:val="14"/>
                <w:szCs w:val="14"/>
                <w:color w:val="auto"/>
              </w:rPr>
              <w:t>Sole stockholder</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1140" w:type="dxa"/>
            <w:vAlign w:val="bottom"/>
          </w:tcPr>
          <w:p>
            <w:pPr>
              <w:spacing w:after="0"/>
              <w:rPr>
                <w:sz w:val="24"/>
                <w:szCs w:val="24"/>
                <w:color w:val="auto"/>
              </w:rPr>
            </w:pPr>
          </w:p>
        </w:tc>
      </w:tr>
      <w:tr>
        <w:trPr>
          <w:trHeight w:val="172"/>
        </w:trPr>
        <w:tc>
          <w:tcPr>
            <w:tcW w:w="2580" w:type="dxa"/>
            <w:vAlign w:val="bottom"/>
          </w:tcPr>
          <w:p>
            <w:pPr>
              <w:spacing w:after="0"/>
              <w:rPr>
                <w:sz w:val="14"/>
                <w:szCs w:val="14"/>
                <w:color w:val="auto"/>
              </w:rPr>
            </w:pPr>
          </w:p>
        </w:tc>
        <w:tc>
          <w:tcPr>
            <w:tcW w:w="1760" w:type="dxa"/>
            <w:vAlign w:val="bottom"/>
          </w:tcPr>
          <w:p>
            <w:pPr>
              <w:ind w:left="260"/>
              <w:spacing w:after="0"/>
              <w:rPr>
                <w:sz w:val="20"/>
                <w:szCs w:val="20"/>
                <w:color w:val="auto"/>
              </w:rPr>
            </w:pPr>
            <w:r>
              <w:rPr>
                <w:rFonts w:ascii="Arial" w:cs="Arial" w:eastAsia="Arial" w:hAnsi="Arial"/>
                <w:sz w:val="14"/>
                <w:szCs w:val="14"/>
                <w:color w:val="auto"/>
              </w:rPr>
              <w:t>Trust</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None</w:t>
      </w:r>
    </w:p>
    <w:p>
      <w:pPr>
        <w:spacing w:after="0" w:line="244" w:lineRule="exact"/>
        <w:rPr>
          <w:sz w:val="20"/>
          <w:szCs w:val="20"/>
          <w:color w:val="auto"/>
        </w:rPr>
      </w:pPr>
    </w:p>
    <w:p>
      <w:pPr>
        <w:jc w:val="right"/>
        <w:ind w:left="420" w:right="80" w:hanging="314"/>
        <w:spacing w:after="0" w:line="288" w:lineRule="auto"/>
        <w:tabs>
          <w:tab w:leader="none" w:pos="278" w:val="left"/>
        </w:tabs>
        <w:numPr>
          <w:ilvl w:val="0"/>
          <w:numId w:val="96"/>
        </w:numPr>
        <w:rPr>
          <w:rFonts w:ascii="Arial" w:cs="Arial" w:eastAsia="Arial" w:hAnsi="Arial"/>
          <w:sz w:val="12"/>
          <w:szCs w:val="12"/>
          <w:color w:val="auto"/>
        </w:rPr>
      </w:pPr>
      <w:r>
        <w:rPr>
          <w:rFonts w:ascii="Arial" w:cs="Arial" w:eastAsia="Arial" w:hAnsi="Arial"/>
          <w:sz w:val="12"/>
          <w:szCs w:val="12"/>
          <w:color w:val="auto"/>
        </w:rPr>
        <w:t>Right to exchange partnership units for Federal Realty shares or cash (at Federal Realty’s option); and</w:t>
      </w:r>
    </w:p>
    <w:p>
      <w:pPr>
        <w:spacing w:after="0" w:line="29" w:lineRule="exact"/>
        <w:rPr>
          <w:rFonts w:ascii="Arial" w:cs="Arial" w:eastAsia="Arial" w:hAnsi="Arial"/>
          <w:sz w:val="12"/>
          <w:szCs w:val="12"/>
          <w:color w:val="auto"/>
        </w:rPr>
      </w:pPr>
    </w:p>
    <w:p>
      <w:pPr>
        <w:ind w:left="420" w:right="340" w:hanging="314"/>
        <w:spacing w:after="0" w:line="278" w:lineRule="auto"/>
        <w:tabs>
          <w:tab w:leader="none" w:pos="278" w:val="left"/>
        </w:tabs>
        <w:numPr>
          <w:ilvl w:val="0"/>
          <w:numId w:val="96"/>
        </w:numPr>
        <w:rPr>
          <w:rFonts w:ascii="Arial" w:cs="Arial" w:eastAsia="Arial" w:hAnsi="Arial"/>
          <w:sz w:val="12"/>
          <w:szCs w:val="12"/>
          <w:color w:val="auto"/>
        </w:rPr>
      </w:pPr>
      <w:r>
        <w:rPr>
          <w:rFonts w:ascii="Arial" w:cs="Arial" w:eastAsia="Arial" w:hAnsi="Arial"/>
          <w:sz w:val="12"/>
          <w:szCs w:val="12"/>
          <w:color w:val="auto"/>
        </w:rPr>
        <w:t>Holders of 100,259 units have registration rights for shares issued on redemption of partnership units.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31" w:lineRule="exact"/>
        <w:rPr>
          <w:sz w:val="20"/>
          <w:szCs w:val="20"/>
          <w:color w:val="auto"/>
        </w:rPr>
      </w:pPr>
    </w:p>
    <w:p>
      <w:pPr>
        <w:sectPr>
          <w:pgSz w:w="11900" w:h="16838" w:orient="portrait"/>
          <w:cols w:equalWidth="0" w:num="2">
            <w:col w:w="8420" w:space="720"/>
            <w:col w:w="22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sz w:val="20"/>
                <w:szCs w:val="20"/>
                <w:color w:val="auto"/>
              </w:rPr>
            </w:pPr>
            <w:r>
              <w:rPr>
                <w:rFonts w:ascii="Arial" w:cs="Arial" w:eastAsia="Arial" w:hAnsi="Arial"/>
                <w:sz w:val="14"/>
                <w:szCs w:val="14"/>
                <w:color w:val="auto"/>
              </w:rPr>
              <w:t>FR CROW CANYON, INC. F/K/A JS&amp;DB,</w:t>
            </w:r>
          </w:p>
        </w:tc>
        <w:tc>
          <w:tcPr>
            <w:tcW w:w="1600" w:type="dxa"/>
            <w:vAlign w:val="bottom"/>
          </w:tcPr>
          <w:p>
            <w:pPr>
              <w:ind w:left="100"/>
              <w:spacing w:after="0"/>
              <w:rPr>
                <w:sz w:val="20"/>
                <w:szCs w:val="20"/>
                <w:color w:val="auto"/>
              </w:rPr>
            </w:pPr>
            <w:r>
              <w:rPr>
                <w:rFonts w:ascii="Arial" w:cs="Arial" w:eastAsia="Arial" w:hAnsi="Arial"/>
                <w:sz w:val="14"/>
                <w:szCs w:val="14"/>
                <w:color w:val="auto"/>
                <w:w w:val="90"/>
              </w:rPr>
              <w:t>Federal Realty Investment</w:t>
            </w:r>
          </w:p>
        </w:tc>
        <w:tc>
          <w:tcPr>
            <w:tcW w:w="1580" w:type="dxa"/>
            <w:vAlign w:val="bottom"/>
          </w:tcPr>
          <w:p>
            <w:pPr>
              <w:ind w:left="80"/>
              <w:spacing w:after="0"/>
              <w:rPr>
                <w:sz w:val="20"/>
                <w:szCs w:val="20"/>
                <w:color w:val="auto"/>
              </w:rPr>
            </w:pPr>
            <w:r>
              <w:rPr>
                <w:rFonts w:ascii="Arial" w:cs="Arial" w:eastAsia="Arial" w:hAnsi="Arial"/>
                <w:sz w:val="14"/>
                <w:szCs w:val="14"/>
                <w:color w:val="auto"/>
              </w:rPr>
              <w:t>Sole stockholder</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212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INC., a Delaware corporation</w:t>
            </w:r>
          </w:p>
        </w:tc>
        <w:tc>
          <w:tcPr>
            <w:tcW w:w="1600" w:type="dxa"/>
            <w:vAlign w:val="bottom"/>
          </w:tcPr>
          <w:p>
            <w:pPr>
              <w:ind w:left="100"/>
              <w:spacing w:after="0"/>
              <w:rPr>
                <w:sz w:val="20"/>
                <w:szCs w:val="20"/>
                <w:color w:val="auto"/>
              </w:rPr>
            </w:pPr>
            <w:r>
              <w:rPr>
                <w:rFonts w:ascii="Arial" w:cs="Arial" w:eastAsia="Arial" w:hAnsi="Arial"/>
                <w:sz w:val="14"/>
                <w:szCs w:val="14"/>
                <w:color w:val="auto"/>
              </w:rPr>
              <w:t>Trust</w:t>
            </w: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FR CROW CANYON, LLC, a Delaware limited</w:t>
            </w:r>
          </w:p>
        </w:tc>
        <w:tc>
          <w:tcPr>
            <w:tcW w:w="16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FR Crow Canyon, Inc.</w:t>
            </w:r>
          </w:p>
        </w:tc>
        <w:tc>
          <w:tcPr>
            <w:tcW w:w="15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Sole member</w:t>
            </w:r>
          </w:p>
        </w:tc>
        <w:tc>
          <w:tcPr>
            <w:tcW w:w="9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Excluded subsidiary</w:t>
            </w:r>
          </w:p>
        </w:tc>
        <w:tc>
          <w:tcPr>
            <w:tcW w:w="24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40" w:type="dxa"/>
            <w:vAlign w:val="bottom"/>
            <w:gridSpan w:val="2"/>
          </w:tcPr>
          <w:p>
            <w:pPr>
              <w:spacing w:after="0"/>
              <w:rPr>
                <w:sz w:val="20"/>
                <w:szCs w:val="20"/>
                <w:color w:val="auto"/>
              </w:rPr>
            </w:pPr>
            <w:r>
              <w:rPr>
                <w:rFonts w:ascii="Arial" w:cs="Arial" w:eastAsia="Arial" w:hAnsi="Arial"/>
                <w:sz w:val="14"/>
                <w:szCs w:val="14"/>
                <w:color w:val="auto"/>
              </w:rPr>
              <w:t>FR MERCER MALL, INC., a Delaware</w:t>
            </w:r>
          </w:p>
        </w:tc>
        <w:tc>
          <w:tcPr>
            <w:tcW w:w="1600" w:type="dxa"/>
            <w:vAlign w:val="bottom"/>
          </w:tcPr>
          <w:p>
            <w:pPr>
              <w:ind w:left="100"/>
              <w:spacing w:after="0"/>
              <w:rPr>
                <w:sz w:val="20"/>
                <w:szCs w:val="20"/>
                <w:color w:val="auto"/>
              </w:rPr>
            </w:pPr>
            <w:r>
              <w:rPr>
                <w:rFonts w:ascii="Arial" w:cs="Arial" w:eastAsia="Arial" w:hAnsi="Arial"/>
                <w:sz w:val="14"/>
                <w:szCs w:val="14"/>
                <w:color w:val="auto"/>
                <w:w w:val="90"/>
              </w:rPr>
              <w:t>Federal Realty Investment</w:t>
            </w:r>
          </w:p>
        </w:tc>
        <w:tc>
          <w:tcPr>
            <w:tcW w:w="1580" w:type="dxa"/>
            <w:vAlign w:val="bottom"/>
          </w:tcPr>
          <w:p>
            <w:pPr>
              <w:ind w:left="80"/>
              <w:spacing w:after="0"/>
              <w:rPr>
                <w:sz w:val="20"/>
                <w:szCs w:val="20"/>
                <w:color w:val="auto"/>
              </w:rPr>
            </w:pPr>
            <w:r>
              <w:rPr>
                <w:rFonts w:ascii="Arial" w:cs="Arial" w:eastAsia="Arial" w:hAnsi="Arial"/>
                <w:sz w:val="14"/>
                <w:szCs w:val="14"/>
                <w:color w:val="auto"/>
              </w:rPr>
              <w:t>Sole stockholder</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2120" w:type="dxa"/>
            <w:vAlign w:val="bottom"/>
          </w:tcPr>
          <w:p>
            <w:pPr>
              <w:spacing w:after="0"/>
              <w:rPr>
                <w:sz w:val="21"/>
                <w:szCs w:val="21"/>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corporation</w:t>
            </w:r>
          </w:p>
        </w:tc>
        <w:tc>
          <w:tcPr>
            <w:tcW w:w="1600" w:type="dxa"/>
            <w:vAlign w:val="bottom"/>
          </w:tcPr>
          <w:p>
            <w:pPr>
              <w:ind w:left="100"/>
              <w:spacing w:after="0"/>
              <w:rPr>
                <w:sz w:val="20"/>
                <w:szCs w:val="20"/>
                <w:color w:val="auto"/>
              </w:rPr>
            </w:pPr>
            <w:r>
              <w:rPr>
                <w:rFonts w:ascii="Arial" w:cs="Arial" w:eastAsia="Arial" w:hAnsi="Arial"/>
                <w:sz w:val="14"/>
                <w:szCs w:val="14"/>
                <w:color w:val="auto"/>
              </w:rPr>
              <w:t>Trust</w:t>
            </w: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FR MERCER MALL, LLC, a Delaware limited</w:t>
            </w:r>
          </w:p>
        </w:tc>
        <w:tc>
          <w:tcPr>
            <w:tcW w:w="16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FR Mercer Mall, Inc.</w:t>
            </w:r>
          </w:p>
        </w:tc>
        <w:tc>
          <w:tcPr>
            <w:tcW w:w="158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Sole member</w:t>
            </w:r>
          </w:p>
        </w:tc>
        <w:tc>
          <w:tcPr>
            <w:tcW w:w="9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100%</w:t>
            </w:r>
          </w:p>
        </w:tc>
        <w:tc>
          <w:tcPr>
            <w:tcW w:w="21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Guarantor</w:t>
            </w:r>
          </w:p>
        </w:tc>
        <w:tc>
          <w:tcPr>
            <w:tcW w:w="24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liability company</w:t>
            </w:r>
          </w:p>
        </w:tc>
        <w:tc>
          <w:tcPr>
            <w:tcW w:w="16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Material Subsidiary (in conjunction</w:t>
            </w:r>
          </w:p>
        </w:tc>
        <w:tc>
          <w:tcPr>
            <w:tcW w:w="2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with Federal Realty Investment</w:t>
            </w:r>
          </w:p>
        </w:tc>
        <w:tc>
          <w:tcPr>
            <w:tcW w:w="2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Trust)</w:t>
            </w: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right="640"/>
        <w:spacing w:after="0" w:line="241" w:lineRule="auto"/>
        <w:rPr>
          <w:sz w:val="20"/>
          <w:szCs w:val="20"/>
          <w:color w:val="auto"/>
        </w:rPr>
      </w:pPr>
      <w:r>
        <w:rPr>
          <w:rFonts w:ascii="Arial" w:cs="Arial" w:eastAsia="Arial" w:hAnsi="Arial"/>
          <w:sz w:val="14"/>
          <w:szCs w:val="14"/>
          <w:b w:val="1"/>
          <w:bCs w:val="1"/>
          <w:color w:val="auto"/>
        </w:rPr>
        <w:t>ENTITY NAME/Jurisdiction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50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20" w:hanging="215"/>
        <w:spacing w:after="0" w:line="239" w:lineRule="auto"/>
        <w:rPr>
          <w:sz w:val="20"/>
          <w:szCs w:val="20"/>
          <w:color w:val="auto"/>
        </w:rPr>
      </w:pPr>
      <w:r>
        <w:rPr>
          <w:rFonts w:ascii="Arial" w:cs="Arial" w:eastAsia="Arial" w:hAnsi="Arial"/>
          <w:sz w:val="14"/>
          <w:szCs w:val="14"/>
          <w:color w:val="auto"/>
        </w:rPr>
        <w:t>FR ASSEMBLY SQUARE, LLC, a Delaware limited liability company</w:t>
      </w:r>
    </w:p>
    <w:p>
      <w:pPr>
        <w:spacing w:after="0" w:line="98" w:lineRule="exact"/>
        <w:rPr>
          <w:sz w:val="20"/>
          <w:szCs w:val="20"/>
          <w:color w:val="auto"/>
        </w:rPr>
      </w:pPr>
    </w:p>
    <w:p>
      <w:pPr>
        <w:ind w:left="220" w:right="140" w:hanging="215"/>
        <w:spacing w:after="0" w:line="239" w:lineRule="auto"/>
        <w:rPr>
          <w:sz w:val="20"/>
          <w:szCs w:val="20"/>
          <w:color w:val="auto"/>
        </w:rPr>
      </w:pPr>
      <w:r>
        <w:rPr>
          <w:rFonts w:ascii="Arial" w:cs="Arial" w:eastAsia="Arial" w:hAnsi="Arial"/>
          <w:sz w:val="14"/>
          <w:szCs w:val="14"/>
          <w:color w:val="auto"/>
        </w:rPr>
        <w:t>FR WESTGATE MALL, INC., a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Material and/or</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Liens, Options,</w:t>
            </w:r>
          </w:p>
        </w:tc>
      </w:tr>
      <w:tr>
        <w:trPr>
          <w:trHeight w:val="175"/>
        </w:trPr>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1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7"/>
              </w:rPr>
              <w:t>% Ownership</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Property</w:t>
            </w:r>
          </w:p>
        </w:tc>
        <w:tc>
          <w:tcPr>
            <w:tcW w:w="2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Rights, etc.</w:t>
            </w:r>
          </w:p>
        </w:tc>
      </w:tr>
      <w:tr>
        <w:trPr>
          <w:trHeight w:val="131"/>
        </w:trPr>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Federal Realty</w:t>
            </w:r>
          </w:p>
        </w:tc>
        <w:tc>
          <w:tcPr>
            <w:tcW w:w="220" w:type="dxa"/>
            <w:vAlign w:val="bottom"/>
          </w:tcPr>
          <w:p>
            <w:pPr>
              <w:spacing w:after="0"/>
              <w:rPr>
                <w:sz w:val="11"/>
                <w:szCs w:val="11"/>
                <w:color w:val="auto"/>
              </w:rPr>
            </w:pPr>
          </w:p>
        </w:tc>
        <w:tc>
          <w:tcPr>
            <w:tcW w:w="12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Sole member</w:t>
            </w:r>
          </w:p>
        </w:tc>
        <w:tc>
          <w:tcPr>
            <w:tcW w:w="200" w:type="dxa"/>
            <w:vAlign w:val="bottom"/>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100</w:t>
            </w:r>
          </w:p>
        </w:tc>
        <w:tc>
          <w:tcPr>
            <w:tcW w:w="340" w:type="dxa"/>
            <w:vAlign w:val="bottom"/>
          </w:tcPr>
          <w:p>
            <w:pPr>
              <w:jc w:val="right"/>
              <w:ind w:right="152"/>
              <w:spacing w:after="0" w:line="131" w:lineRule="exact"/>
              <w:rPr>
                <w:sz w:val="20"/>
                <w:szCs w:val="20"/>
                <w:color w:val="auto"/>
              </w:rPr>
            </w:pPr>
            <w:r>
              <w:rPr>
                <w:rFonts w:ascii="Arial" w:cs="Arial" w:eastAsia="Arial" w:hAnsi="Arial"/>
                <w:sz w:val="14"/>
                <w:szCs w:val="14"/>
                <w:color w:val="auto"/>
                <w:w w:val="79"/>
              </w:rPr>
              <w:t>%</w:t>
            </w:r>
          </w:p>
        </w:tc>
        <w:tc>
          <w:tcPr>
            <w:tcW w:w="19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Guarantor</w:t>
            </w:r>
          </w:p>
        </w:tc>
        <w:tc>
          <w:tcPr>
            <w:tcW w:w="200" w:type="dxa"/>
            <w:vAlign w:val="bottom"/>
          </w:tcPr>
          <w:p>
            <w:pPr>
              <w:spacing w:after="0"/>
              <w:rPr>
                <w:sz w:val="11"/>
                <w:szCs w:val="11"/>
                <w:color w:val="auto"/>
              </w:rPr>
            </w:pPr>
          </w:p>
        </w:tc>
        <w:tc>
          <w:tcPr>
            <w:tcW w:w="22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None</w:t>
            </w:r>
          </w:p>
        </w:tc>
      </w:tr>
      <w:tr>
        <w:trPr>
          <w:trHeight w:val="172"/>
        </w:trPr>
        <w:tc>
          <w:tcPr>
            <w:tcW w:w="1360" w:type="dxa"/>
            <w:vAlign w:val="bottom"/>
          </w:tcPr>
          <w:p>
            <w:pPr>
              <w:spacing w:after="0"/>
              <w:rPr>
                <w:sz w:val="20"/>
                <w:szCs w:val="20"/>
                <w:color w:val="auto"/>
              </w:rPr>
            </w:pPr>
            <w:r>
              <w:rPr>
                <w:rFonts w:ascii="Arial" w:cs="Arial" w:eastAsia="Arial" w:hAnsi="Arial"/>
                <w:sz w:val="14"/>
                <w:szCs w:val="14"/>
                <w:color w:val="auto"/>
              </w:rPr>
              <w:t>Investment Trust.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33"/>
        </w:trPr>
        <w:tc>
          <w:tcPr>
            <w:tcW w:w="1360" w:type="dxa"/>
            <w:vAlign w:val="bottom"/>
          </w:tcPr>
          <w:p>
            <w:pPr>
              <w:spacing w:after="0"/>
              <w:rPr>
                <w:sz w:val="20"/>
                <w:szCs w:val="20"/>
                <w:color w:val="auto"/>
              </w:rPr>
            </w:pPr>
            <w:r>
              <w:rPr>
                <w:rFonts w:ascii="Arial" w:cs="Arial" w:eastAsia="Arial" w:hAnsi="Arial"/>
                <w:sz w:val="14"/>
                <w:szCs w:val="14"/>
                <w:color w:val="auto"/>
              </w:rPr>
              <w:t>Federal Realty</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1140" w:type="dxa"/>
            <w:vAlign w:val="bottom"/>
            <w:gridSpan w:val="2"/>
          </w:tcPr>
          <w:p>
            <w:pPr>
              <w:jc w:val="right"/>
              <w:ind w:right="152"/>
              <w:spacing w:after="0"/>
              <w:rPr>
                <w:sz w:val="20"/>
                <w:szCs w:val="20"/>
                <w:color w:val="auto"/>
              </w:rPr>
            </w:pPr>
            <w:r>
              <w:rPr>
                <w:rFonts w:ascii="Arial" w:cs="Arial" w:eastAsia="Arial" w:hAnsi="Arial"/>
                <w:sz w:val="14"/>
                <w:szCs w:val="14"/>
                <w:color w:val="auto"/>
              </w:rPr>
              <w:t>100%</w:t>
            </w:r>
          </w:p>
        </w:tc>
        <w:tc>
          <w:tcPr>
            <w:tcW w:w="1940" w:type="dxa"/>
            <w:vAlign w:val="bottom"/>
          </w:tcPr>
          <w:p>
            <w:pPr>
              <w:spacing w:after="0"/>
              <w:rPr>
                <w:sz w:val="20"/>
                <w:szCs w:val="20"/>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r>
        <w:trPr>
          <w:trHeight w:val="172"/>
        </w:trPr>
        <w:tc>
          <w:tcPr>
            <w:tcW w:w="1360" w:type="dxa"/>
            <w:vAlign w:val="bottom"/>
          </w:tcPr>
          <w:p>
            <w:pPr>
              <w:spacing w:after="0"/>
              <w:rPr>
                <w:sz w:val="20"/>
                <w:szCs w:val="20"/>
                <w:color w:val="auto"/>
              </w:rPr>
            </w:pPr>
            <w:r>
              <w:rPr>
                <w:rFonts w:ascii="Arial" w:cs="Arial" w:eastAsia="Arial" w:hAnsi="Arial"/>
                <w:sz w:val="14"/>
                <w:szCs w:val="14"/>
                <w:color w:val="auto"/>
              </w:rPr>
              <w:t>Investment Trust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-462280</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480" w:space="400"/>
            <w:col w:w="85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FR WESTGATE MALL, LLC, a Delaware</w:t>
            </w:r>
          </w:p>
        </w:tc>
        <w:tc>
          <w:tcPr>
            <w:tcW w:w="1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FR Westgate Mall, Inc.</w:t>
            </w:r>
          </w:p>
        </w:tc>
        <w:tc>
          <w:tcPr>
            <w:tcW w:w="1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Sole member</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Guarantor</w:t>
            </w:r>
          </w:p>
        </w:tc>
        <w:tc>
          <w:tcPr>
            <w:tcW w:w="2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liability company</w:t>
            </w:r>
          </w:p>
        </w:tc>
        <w:tc>
          <w:tcPr>
            <w:tcW w:w="1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Material Subsidiary</w:t>
            </w: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rPr>
              <w:t>FEDERAL/LPF GP, INC., a Delaware</w:t>
            </w:r>
          </w:p>
        </w:tc>
        <w:tc>
          <w:tcPr>
            <w:tcW w:w="1560" w:type="dxa"/>
            <w:vAlign w:val="bottom"/>
          </w:tcPr>
          <w:p>
            <w:pPr>
              <w:ind w:left="100"/>
              <w:spacing w:after="0"/>
              <w:rPr>
                <w:sz w:val="20"/>
                <w:szCs w:val="20"/>
                <w:color w:val="auto"/>
              </w:rPr>
            </w:pPr>
            <w:r>
              <w:rPr>
                <w:rFonts w:ascii="Arial" w:cs="Arial" w:eastAsia="Arial" w:hAnsi="Arial"/>
                <w:sz w:val="14"/>
                <w:szCs w:val="14"/>
                <w:color w:val="auto"/>
              </w:rPr>
              <w:t>Federal Realty</w:t>
            </w:r>
          </w:p>
        </w:tc>
        <w:tc>
          <w:tcPr>
            <w:tcW w:w="1580" w:type="dxa"/>
            <w:vAlign w:val="bottom"/>
          </w:tcPr>
          <w:p>
            <w:pPr>
              <w:ind w:left="120"/>
              <w:spacing w:after="0"/>
              <w:rPr>
                <w:sz w:val="20"/>
                <w:szCs w:val="20"/>
                <w:color w:val="auto"/>
              </w:rPr>
            </w:pPr>
            <w:r>
              <w:rPr>
                <w:rFonts w:ascii="Arial" w:cs="Arial" w:eastAsia="Arial" w:hAnsi="Arial"/>
                <w:sz w:val="14"/>
                <w:szCs w:val="14"/>
                <w:color w:val="auto"/>
              </w:rPr>
              <w:t>Sole stockholder</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40" w:type="dxa"/>
            <w:vAlign w:val="bottom"/>
          </w:tcPr>
          <w:p>
            <w:pPr>
              <w:ind w:left="100"/>
              <w:spacing w:after="0"/>
              <w:rPr>
                <w:sz w:val="20"/>
                <w:szCs w:val="20"/>
                <w:color w:val="auto"/>
              </w:rPr>
            </w:pPr>
            <w:r>
              <w:rPr>
                <w:rFonts w:ascii="Arial" w:cs="Arial" w:eastAsia="Arial" w:hAnsi="Arial"/>
                <w:sz w:val="14"/>
                <w:szCs w:val="14"/>
                <w:color w:val="auto"/>
              </w:rPr>
              <w:t>Excluded Subsidiary</w:t>
            </w:r>
          </w:p>
        </w:tc>
        <w:tc>
          <w:tcPr>
            <w:tcW w:w="274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corporation</w:t>
            </w:r>
          </w:p>
        </w:tc>
        <w:tc>
          <w:tcPr>
            <w:tcW w:w="1560" w:type="dxa"/>
            <w:vAlign w:val="bottom"/>
          </w:tcPr>
          <w:p>
            <w:pPr>
              <w:ind w:left="100"/>
              <w:spacing w:after="0"/>
              <w:rPr>
                <w:sz w:val="20"/>
                <w:szCs w:val="20"/>
                <w:color w:val="auto"/>
              </w:rPr>
            </w:pPr>
            <w:r>
              <w:rPr>
                <w:rFonts w:ascii="Arial" w:cs="Arial" w:eastAsia="Arial" w:hAnsi="Arial"/>
                <w:sz w:val="14"/>
                <w:szCs w:val="14"/>
                <w:color w:val="auto"/>
              </w:rPr>
              <w:t>Investment Trust</w:t>
            </w: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FR CHELSEA COMMONS I, INC., a Delaware</w:t>
            </w:r>
          </w:p>
        </w:tc>
        <w:tc>
          <w:tcPr>
            <w:tcW w:w="15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Federal Realty</w:t>
            </w:r>
          </w:p>
        </w:tc>
        <w:tc>
          <w:tcPr>
            <w:tcW w:w="15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Sole stockholder</w:t>
            </w:r>
          </w:p>
        </w:tc>
        <w:tc>
          <w:tcPr>
            <w:tcW w:w="102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40" w:type="dxa"/>
            <w:vAlign w:val="bottom"/>
            <w:shd w:val="clear" w:color="auto" w:fill="CCEEFF"/>
          </w:tcPr>
          <w:p>
            <w:pPr>
              <w:spacing w:after="0"/>
              <w:rPr>
                <w:sz w:val="11"/>
                <w:szCs w:val="11"/>
                <w:color w:val="auto"/>
              </w:rPr>
            </w:pPr>
          </w:p>
        </w:tc>
        <w:tc>
          <w:tcPr>
            <w:tcW w:w="274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corporation</w:t>
            </w:r>
          </w:p>
        </w:tc>
        <w:tc>
          <w:tcPr>
            <w:tcW w:w="15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 Trust</w:t>
            </w:r>
          </w:p>
        </w:tc>
        <w:tc>
          <w:tcPr>
            <w:tcW w:w="1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w w:val="96"/>
              </w:rPr>
              <w:t>FR CHELSEA COMMONS I, LLC, a Delaware</w:t>
            </w:r>
          </w:p>
        </w:tc>
        <w:tc>
          <w:tcPr>
            <w:tcW w:w="1560" w:type="dxa"/>
            <w:vAlign w:val="bottom"/>
          </w:tcPr>
          <w:p>
            <w:pPr>
              <w:ind w:left="100"/>
              <w:spacing w:after="0"/>
              <w:rPr>
                <w:sz w:val="20"/>
                <w:szCs w:val="20"/>
                <w:color w:val="auto"/>
              </w:rPr>
            </w:pPr>
            <w:r>
              <w:rPr>
                <w:rFonts w:ascii="Arial" w:cs="Arial" w:eastAsia="Arial" w:hAnsi="Arial"/>
                <w:sz w:val="14"/>
                <w:szCs w:val="14"/>
                <w:color w:val="auto"/>
                <w:w w:val="93"/>
              </w:rPr>
              <w:t>FR Chelsea Commons I,</w:t>
            </w:r>
          </w:p>
        </w:tc>
        <w:tc>
          <w:tcPr>
            <w:tcW w:w="1580" w:type="dxa"/>
            <w:vAlign w:val="bottom"/>
          </w:tcPr>
          <w:p>
            <w:pPr>
              <w:ind w:left="120"/>
              <w:spacing w:after="0"/>
              <w:rPr>
                <w:sz w:val="20"/>
                <w:szCs w:val="20"/>
                <w:color w:val="auto"/>
              </w:rPr>
            </w:pPr>
            <w:r>
              <w:rPr>
                <w:rFonts w:ascii="Arial" w:cs="Arial" w:eastAsia="Arial" w:hAnsi="Arial"/>
                <w:sz w:val="14"/>
                <w:szCs w:val="14"/>
                <w:color w:val="auto"/>
              </w:rPr>
              <w:t>Sole member</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40" w:type="dxa"/>
            <w:vAlign w:val="bottom"/>
          </w:tcPr>
          <w:p>
            <w:pPr>
              <w:ind w:left="100"/>
              <w:spacing w:after="0"/>
              <w:rPr>
                <w:sz w:val="20"/>
                <w:szCs w:val="20"/>
                <w:color w:val="auto"/>
              </w:rPr>
            </w:pPr>
            <w:r>
              <w:rPr>
                <w:rFonts w:ascii="Arial" w:cs="Arial" w:eastAsia="Arial" w:hAnsi="Arial"/>
                <w:sz w:val="14"/>
                <w:szCs w:val="14"/>
                <w:color w:val="auto"/>
              </w:rPr>
              <w:t>Excluded subsidiary</w:t>
            </w:r>
          </w:p>
        </w:tc>
        <w:tc>
          <w:tcPr>
            <w:tcW w:w="274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560" w:type="dxa"/>
            <w:vAlign w:val="bottom"/>
          </w:tcPr>
          <w:p>
            <w:pPr>
              <w:ind w:left="100"/>
              <w:spacing w:after="0"/>
              <w:rPr>
                <w:sz w:val="20"/>
                <w:szCs w:val="20"/>
                <w:color w:val="auto"/>
              </w:rPr>
            </w:pPr>
            <w:r>
              <w:rPr>
                <w:rFonts w:ascii="Arial" w:cs="Arial" w:eastAsia="Arial" w:hAnsi="Arial"/>
                <w:sz w:val="14"/>
                <w:szCs w:val="14"/>
                <w:color w:val="auto"/>
              </w:rPr>
              <w:t>Inc.</w:t>
            </w: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 CHELSEA COMMONS II, INC., a</w:t>
            </w:r>
          </w:p>
        </w:tc>
        <w:tc>
          <w:tcPr>
            <w:tcW w:w="15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Federal Realty</w:t>
            </w:r>
          </w:p>
        </w:tc>
        <w:tc>
          <w:tcPr>
            <w:tcW w:w="15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Sole stockholder</w:t>
            </w:r>
          </w:p>
        </w:tc>
        <w:tc>
          <w:tcPr>
            <w:tcW w:w="102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40" w:type="dxa"/>
            <w:vAlign w:val="bottom"/>
            <w:shd w:val="clear" w:color="auto" w:fill="CCEEFF"/>
          </w:tcPr>
          <w:p>
            <w:pPr>
              <w:spacing w:after="0"/>
              <w:rPr>
                <w:sz w:val="11"/>
                <w:szCs w:val="11"/>
                <w:color w:val="auto"/>
              </w:rPr>
            </w:pPr>
          </w:p>
        </w:tc>
        <w:tc>
          <w:tcPr>
            <w:tcW w:w="274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Delaware corporation</w:t>
            </w:r>
          </w:p>
        </w:tc>
        <w:tc>
          <w:tcPr>
            <w:tcW w:w="15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 Trust</w:t>
            </w:r>
          </w:p>
        </w:tc>
        <w:tc>
          <w:tcPr>
            <w:tcW w:w="1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w w:val="95"/>
              </w:rPr>
              <w:t>FR CHELSEA COMMONS II, LLC, a Delaware</w:t>
            </w:r>
          </w:p>
        </w:tc>
        <w:tc>
          <w:tcPr>
            <w:tcW w:w="1560" w:type="dxa"/>
            <w:vAlign w:val="bottom"/>
          </w:tcPr>
          <w:p>
            <w:pPr>
              <w:ind w:left="100"/>
              <w:spacing w:after="0"/>
              <w:rPr>
                <w:sz w:val="20"/>
                <w:szCs w:val="20"/>
                <w:color w:val="auto"/>
              </w:rPr>
            </w:pPr>
            <w:r>
              <w:rPr>
                <w:rFonts w:ascii="Arial" w:cs="Arial" w:eastAsia="Arial" w:hAnsi="Arial"/>
                <w:sz w:val="14"/>
                <w:szCs w:val="14"/>
                <w:color w:val="auto"/>
                <w:w w:val="91"/>
              </w:rPr>
              <w:t>FR Chelsea Commons II,</w:t>
            </w:r>
          </w:p>
        </w:tc>
        <w:tc>
          <w:tcPr>
            <w:tcW w:w="1580" w:type="dxa"/>
            <w:vAlign w:val="bottom"/>
          </w:tcPr>
          <w:p>
            <w:pPr>
              <w:ind w:left="120"/>
              <w:spacing w:after="0"/>
              <w:rPr>
                <w:sz w:val="20"/>
                <w:szCs w:val="20"/>
                <w:color w:val="auto"/>
              </w:rPr>
            </w:pPr>
            <w:r>
              <w:rPr>
                <w:rFonts w:ascii="Arial" w:cs="Arial" w:eastAsia="Arial" w:hAnsi="Arial"/>
                <w:sz w:val="14"/>
                <w:szCs w:val="14"/>
                <w:color w:val="auto"/>
              </w:rPr>
              <w:t>Sole member</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4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74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560" w:type="dxa"/>
            <w:vAlign w:val="bottom"/>
          </w:tcPr>
          <w:p>
            <w:pPr>
              <w:ind w:left="100"/>
              <w:spacing w:after="0"/>
              <w:rPr>
                <w:sz w:val="20"/>
                <w:szCs w:val="20"/>
                <w:color w:val="auto"/>
              </w:rPr>
            </w:pPr>
            <w:r>
              <w:rPr>
                <w:rFonts w:ascii="Arial" w:cs="Arial" w:eastAsia="Arial" w:hAnsi="Arial"/>
                <w:sz w:val="14"/>
                <w:szCs w:val="14"/>
                <w:color w:val="auto"/>
              </w:rPr>
              <w:t>Inc.</w:t>
            </w: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FR NORTH DARTMOUTH, INC., a Delaware</w:t>
            </w:r>
          </w:p>
        </w:tc>
        <w:tc>
          <w:tcPr>
            <w:tcW w:w="15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Federal Realty</w:t>
            </w:r>
          </w:p>
        </w:tc>
        <w:tc>
          <w:tcPr>
            <w:tcW w:w="15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Sole stockholder</w:t>
            </w:r>
          </w:p>
        </w:tc>
        <w:tc>
          <w:tcPr>
            <w:tcW w:w="102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40" w:type="dxa"/>
            <w:vAlign w:val="bottom"/>
            <w:shd w:val="clear" w:color="auto" w:fill="CCEEFF"/>
          </w:tcPr>
          <w:p>
            <w:pPr>
              <w:spacing w:after="0"/>
              <w:rPr>
                <w:sz w:val="11"/>
                <w:szCs w:val="11"/>
                <w:color w:val="auto"/>
              </w:rPr>
            </w:pPr>
          </w:p>
        </w:tc>
        <w:tc>
          <w:tcPr>
            <w:tcW w:w="274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corporation</w:t>
            </w:r>
          </w:p>
        </w:tc>
        <w:tc>
          <w:tcPr>
            <w:tcW w:w="15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 Trust</w:t>
            </w:r>
          </w:p>
        </w:tc>
        <w:tc>
          <w:tcPr>
            <w:tcW w:w="1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w w:val="99"/>
              </w:rPr>
              <w:t>FR NORTH DARTMOUTH, LLC, a Delaware</w:t>
            </w:r>
          </w:p>
        </w:tc>
        <w:tc>
          <w:tcPr>
            <w:tcW w:w="1560" w:type="dxa"/>
            <w:vAlign w:val="bottom"/>
          </w:tcPr>
          <w:p>
            <w:pPr>
              <w:ind w:left="100"/>
              <w:spacing w:after="0"/>
              <w:rPr>
                <w:sz w:val="20"/>
                <w:szCs w:val="20"/>
                <w:color w:val="auto"/>
              </w:rPr>
            </w:pPr>
            <w:r>
              <w:rPr>
                <w:rFonts w:ascii="Arial" w:cs="Arial" w:eastAsia="Arial" w:hAnsi="Arial"/>
                <w:sz w:val="14"/>
                <w:szCs w:val="14"/>
                <w:color w:val="auto"/>
              </w:rPr>
              <w:t>FR North Dartmouth,</w:t>
            </w:r>
          </w:p>
        </w:tc>
        <w:tc>
          <w:tcPr>
            <w:tcW w:w="1580" w:type="dxa"/>
            <w:vAlign w:val="bottom"/>
          </w:tcPr>
          <w:p>
            <w:pPr>
              <w:ind w:left="120"/>
              <w:spacing w:after="0"/>
              <w:rPr>
                <w:sz w:val="20"/>
                <w:szCs w:val="20"/>
                <w:color w:val="auto"/>
              </w:rPr>
            </w:pPr>
            <w:r>
              <w:rPr>
                <w:rFonts w:ascii="Arial" w:cs="Arial" w:eastAsia="Arial" w:hAnsi="Arial"/>
                <w:sz w:val="14"/>
                <w:szCs w:val="14"/>
                <w:color w:val="auto"/>
              </w:rPr>
              <w:t>Sole member</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4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74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560" w:type="dxa"/>
            <w:vAlign w:val="bottom"/>
          </w:tcPr>
          <w:p>
            <w:pPr>
              <w:ind w:left="100"/>
              <w:spacing w:after="0"/>
              <w:rPr>
                <w:sz w:val="20"/>
                <w:szCs w:val="20"/>
                <w:color w:val="auto"/>
              </w:rPr>
            </w:pPr>
            <w:r>
              <w:rPr>
                <w:rFonts w:ascii="Arial" w:cs="Arial" w:eastAsia="Arial" w:hAnsi="Arial"/>
                <w:sz w:val="14"/>
                <w:szCs w:val="14"/>
                <w:color w:val="auto"/>
              </w:rPr>
              <w:t>Inc.</w:t>
            </w:r>
          </w:p>
        </w:tc>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Material and/or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 NAME/Jurisdiction of</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Non-Controlled</w:t>
            </w:r>
          </w:p>
        </w:tc>
        <w:tc>
          <w:tcPr>
            <w:tcW w:w="2340" w:type="dxa"/>
            <w:vAlign w:val="bottom"/>
          </w:tcPr>
          <w:p>
            <w:pPr>
              <w:ind w:left="740"/>
              <w:spacing w:after="0" w:line="135" w:lineRule="exact"/>
              <w:rPr>
                <w:sz w:val="20"/>
                <w:szCs w:val="20"/>
                <w:color w:val="auto"/>
              </w:rPr>
            </w:pPr>
            <w:r>
              <w:rPr>
                <w:rFonts w:ascii="Arial" w:cs="Arial" w:eastAsia="Arial" w:hAnsi="Arial"/>
                <w:sz w:val="14"/>
                <w:szCs w:val="14"/>
                <w:b w:val="1"/>
                <w:bCs w:val="1"/>
                <w:color w:val="auto"/>
              </w:rPr>
              <w:t>Liens, Options,</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1480" w:type="dxa"/>
            <w:vAlign w:val="bottom"/>
            <w:gridSpan w:val="2"/>
          </w:tcPr>
          <w:p>
            <w:pPr>
              <w:ind w:left="200"/>
              <w:spacing w:after="0" w:line="141" w:lineRule="exact"/>
              <w:rPr>
                <w:sz w:val="20"/>
                <w:szCs w:val="20"/>
                <w:color w:val="auto"/>
              </w:rPr>
            </w:pPr>
            <w:r>
              <w:rPr>
                <w:rFonts w:ascii="Arial" w:cs="Arial" w:eastAsia="Arial" w:hAnsi="Arial"/>
                <w:sz w:val="14"/>
                <w:szCs w:val="14"/>
                <w:b w:val="1"/>
                <w:bCs w:val="1"/>
                <w:color w:val="auto"/>
              </w:rPr>
              <w:t>Equity Holders</w:t>
            </w:r>
          </w:p>
        </w:tc>
        <w:tc>
          <w:tcPr>
            <w:tcW w:w="14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Interest</w:t>
            </w:r>
          </w:p>
        </w:tc>
        <w:tc>
          <w:tcPr>
            <w:tcW w:w="1040" w:type="dxa"/>
            <w:vAlign w:val="bottom"/>
            <w:gridSpan w:val="2"/>
          </w:tcPr>
          <w:p>
            <w:pPr>
              <w:jc w:val="right"/>
              <w:ind w:right="178"/>
              <w:spacing w:after="0" w:line="141" w:lineRule="exact"/>
              <w:rPr>
                <w:sz w:val="20"/>
                <w:szCs w:val="20"/>
                <w:color w:val="auto"/>
              </w:rPr>
            </w:pPr>
            <w:r>
              <w:rPr>
                <w:rFonts w:ascii="Arial" w:cs="Arial" w:eastAsia="Arial" w:hAnsi="Arial"/>
                <w:sz w:val="14"/>
                <w:szCs w:val="14"/>
                <w:b w:val="1"/>
                <w:bCs w:val="1"/>
                <w:color w:val="auto"/>
                <w:w w:val="87"/>
              </w:rPr>
              <w:t>% Ownership</w:t>
            </w:r>
          </w:p>
        </w:tc>
        <w:tc>
          <w:tcPr>
            <w:tcW w:w="100" w:type="dxa"/>
            <w:vAlign w:val="bottom"/>
          </w:tcPr>
          <w:p>
            <w:pPr>
              <w:spacing w:after="0"/>
              <w:rPr>
                <w:sz w:val="14"/>
                <w:szCs w:val="14"/>
                <w:color w:val="auto"/>
              </w:rPr>
            </w:pPr>
          </w:p>
        </w:tc>
        <w:tc>
          <w:tcPr>
            <w:tcW w:w="21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Property</w:t>
            </w:r>
          </w:p>
        </w:tc>
        <w:tc>
          <w:tcPr>
            <w:tcW w:w="2340" w:type="dxa"/>
            <w:vAlign w:val="bottom"/>
          </w:tcPr>
          <w:p>
            <w:pPr>
              <w:ind w:left="480"/>
              <w:spacing w:after="0" w:line="141" w:lineRule="exact"/>
              <w:rPr>
                <w:sz w:val="20"/>
                <w:szCs w:val="20"/>
                <w:color w:val="auto"/>
              </w:rPr>
            </w:pPr>
            <w:r>
              <w:rPr>
                <w:rFonts w:ascii="Arial" w:cs="Arial" w:eastAsia="Arial" w:hAnsi="Arial"/>
                <w:sz w:val="14"/>
                <w:szCs w:val="14"/>
                <w:b w:val="1"/>
                <w:bCs w:val="1"/>
                <w:color w:val="auto"/>
              </w:rPr>
              <w:t>Registration Rights, etc.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FR LINDEN SQUARE, INC., a Delaware</w:t>
            </w:r>
          </w:p>
        </w:tc>
        <w:tc>
          <w:tcPr>
            <w:tcW w:w="128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Federal Realty</w:t>
            </w: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Sole stockholder</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100</w:t>
            </w:r>
          </w:p>
        </w:tc>
        <w:tc>
          <w:tcPr>
            <w:tcW w:w="240" w:type="dxa"/>
            <w:vAlign w:val="bottom"/>
            <w:shd w:val="clear" w:color="auto" w:fill="CCEEFF"/>
          </w:tcPr>
          <w:p>
            <w:pPr>
              <w:jc w:val="right"/>
              <w:ind w:right="58"/>
              <w:spacing w:after="0" w:line="105" w:lineRule="exact"/>
              <w:rPr>
                <w:sz w:val="20"/>
                <w:szCs w:val="20"/>
                <w:color w:val="auto"/>
              </w:rPr>
            </w:pPr>
            <w:r>
              <w:rPr>
                <w:rFonts w:ascii="Arial" w:cs="Arial" w:eastAsia="Arial" w:hAnsi="Arial"/>
                <w:sz w:val="12"/>
                <w:szCs w:val="12"/>
                <w:color w:val="auto"/>
                <w:w w:val="93"/>
              </w:rPr>
              <w:t>%</w:t>
            </w:r>
          </w:p>
        </w:tc>
        <w:tc>
          <w:tcPr>
            <w:tcW w:w="100" w:type="dxa"/>
            <w:vAlign w:val="bottom"/>
            <w:shd w:val="clear" w:color="auto" w:fill="CCEEFF"/>
          </w:tcPr>
          <w:p>
            <w:pPr>
              <w:spacing w:after="0"/>
              <w:rPr>
                <w:sz w:val="9"/>
                <w:szCs w:val="9"/>
                <w:color w:val="auto"/>
              </w:rPr>
            </w:pPr>
          </w:p>
        </w:tc>
        <w:tc>
          <w:tcPr>
            <w:tcW w:w="192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Guarantor</w:t>
            </w:r>
          </w:p>
        </w:tc>
        <w:tc>
          <w:tcPr>
            <w:tcW w:w="200" w:type="dxa"/>
            <w:vAlign w:val="bottom"/>
            <w:shd w:val="clear" w:color="auto" w:fill="CCEEFF"/>
          </w:tcPr>
          <w:p>
            <w:pPr>
              <w:spacing w:after="0"/>
              <w:rPr>
                <w:sz w:val="9"/>
                <w:szCs w:val="9"/>
                <w:color w:val="auto"/>
              </w:rPr>
            </w:pPr>
          </w:p>
        </w:tc>
        <w:tc>
          <w:tcPr>
            <w:tcW w:w="234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corporation</w:t>
            </w: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Trust</w:t>
            </w: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Material Subsidiary</w:t>
            </w:r>
          </w:p>
        </w:tc>
        <w:tc>
          <w:tcPr>
            <w:tcW w:w="2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FR KEY ROAD, INC., a Delaware corporation</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color w:val="auto"/>
              </w:rPr>
              <w:t>(TO BE DISSOLVED)</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FR RIVERSIDE, INC., a Delaware corporation</w:t>
            </w: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(TO BE DISSOLVED)</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FR SHOPPERS WORLD, INC. a Delaware</w:t>
            </w:r>
          </w:p>
        </w:tc>
        <w:tc>
          <w:tcPr>
            <w:tcW w:w="1480" w:type="dxa"/>
            <w:vAlign w:val="bottom"/>
            <w:gridSpan w:val="2"/>
          </w:tcPr>
          <w:p>
            <w:pPr>
              <w:spacing w:after="0"/>
              <w:rPr>
                <w:sz w:val="20"/>
                <w:szCs w:val="20"/>
                <w:color w:val="auto"/>
              </w:rPr>
            </w:pPr>
            <w:r>
              <w:rPr>
                <w:rFonts w:ascii="Arial" w:cs="Arial" w:eastAsia="Arial" w:hAnsi="Arial"/>
                <w:sz w:val="14"/>
                <w:szCs w:val="14"/>
                <w:color w:val="auto"/>
              </w:rPr>
              <w:t>Federal Realty</w:t>
            </w:r>
          </w:p>
        </w:tc>
        <w:tc>
          <w:tcPr>
            <w:tcW w:w="1460" w:type="dxa"/>
            <w:vAlign w:val="bottom"/>
            <w:gridSpan w:val="2"/>
          </w:tcPr>
          <w:p>
            <w:pPr>
              <w:spacing w:after="0"/>
              <w:rPr>
                <w:sz w:val="20"/>
                <w:szCs w:val="20"/>
                <w:color w:val="auto"/>
              </w:rPr>
            </w:pPr>
            <w:r>
              <w:rPr>
                <w:rFonts w:ascii="Arial" w:cs="Arial" w:eastAsia="Arial" w:hAnsi="Arial"/>
                <w:sz w:val="14"/>
                <w:szCs w:val="14"/>
                <w:color w:val="auto"/>
              </w:rPr>
              <w:t>Sole stockholder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color w:val="auto"/>
              </w:rPr>
              <w:t>corporation</w:t>
            </w:r>
          </w:p>
        </w:tc>
        <w:tc>
          <w:tcPr>
            <w:tcW w:w="1480" w:type="dxa"/>
            <w:vAlign w:val="bottom"/>
            <w:gridSpan w:val="2"/>
          </w:tcPr>
          <w:p>
            <w:pPr>
              <w:spacing w:after="0"/>
              <w:rPr>
                <w:sz w:val="20"/>
                <w:szCs w:val="20"/>
                <w:color w:val="auto"/>
              </w:rPr>
            </w:pPr>
            <w:r>
              <w:rPr>
                <w:rFonts w:ascii="Arial" w:cs="Arial" w:eastAsia="Arial" w:hAnsi="Arial"/>
                <w:sz w:val="14"/>
                <w:szCs w:val="14"/>
                <w:color w:val="auto"/>
              </w:rPr>
              <w:t>Investment Trust</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FR SHOPPERS WORLD, LLC, a Delaware</w:t>
            </w:r>
          </w:p>
        </w:tc>
        <w:tc>
          <w:tcPr>
            <w:tcW w:w="1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FR Shoppers World,</w:t>
            </w:r>
          </w:p>
        </w:tc>
        <w:tc>
          <w:tcPr>
            <w:tcW w:w="1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100%</w:t>
            </w:r>
          </w:p>
        </w:tc>
        <w:tc>
          <w:tcPr>
            <w:tcW w:w="22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Excluded Subsidiary</w:t>
            </w: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14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Inc.</w:t>
            </w: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FR WHITE MARSH, INC., a Maryland</w:t>
            </w:r>
          </w:p>
        </w:tc>
        <w:tc>
          <w:tcPr>
            <w:tcW w:w="1480" w:type="dxa"/>
            <w:vAlign w:val="bottom"/>
            <w:gridSpan w:val="2"/>
          </w:tcPr>
          <w:p>
            <w:pPr>
              <w:spacing w:after="0"/>
              <w:rPr>
                <w:sz w:val="20"/>
                <w:szCs w:val="20"/>
                <w:color w:val="auto"/>
              </w:rPr>
            </w:pPr>
            <w:r>
              <w:rPr>
                <w:rFonts w:ascii="Arial" w:cs="Arial" w:eastAsia="Arial" w:hAnsi="Arial"/>
                <w:sz w:val="14"/>
                <w:szCs w:val="14"/>
                <w:color w:val="auto"/>
              </w:rPr>
              <w:t>Federal Realty</w:t>
            </w:r>
          </w:p>
        </w:tc>
        <w:tc>
          <w:tcPr>
            <w:tcW w:w="1460" w:type="dxa"/>
            <w:vAlign w:val="bottom"/>
            <w:gridSpan w:val="2"/>
          </w:tcPr>
          <w:p>
            <w:pPr>
              <w:spacing w:after="0"/>
              <w:rPr>
                <w:sz w:val="20"/>
                <w:szCs w:val="20"/>
                <w:color w:val="auto"/>
              </w:rPr>
            </w:pPr>
            <w:r>
              <w:rPr>
                <w:rFonts w:ascii="Arial" w:cs="Arial" w:eastAsia="Arial" w:hAnsi="Arial"/>
                <w:sz w:val="14"/>
                <w:szCs w:val="14"/>
                <w:color w:val="auto"/>
              </w:rPr>
              <w:t>Sole Stockholder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100%</w:t>
            </w:r>
          </w:p>
        </w:tc>
        <w:tc>
          <w:tcPr>
            <w:tcW w:w="2220" w:type="dxa"/>
            <w:vAlign w:val="bottom"/>
            <w:gridSpan w:val="3"/>
          </w:tcPr>
          <w:p>
            <w:pPr>
              <w:ind w:left="100"/>
              <w:spacing w:after="0"/>
              <w:rPr>
                <w:sz w:val="20"/>
                <w:szCs w:val="20"/>
                <w:color w:val="auto"/>
              </w:rPr>
            </w:pPr>
            <w:r>
              <w:rPr>
                <w:rFonts w:ascii="Arial" w:cs="Arial" w:eastAsia="Arial" w:hAnsi="Arial"/>
                <w:sz w:val="14"/>
                <w:szCs w:val="14"/>
                <w:color w:val="auto"/>
              </w:rPr>
              <w:t>Guarantor</w:t>
            </w:r>
          </w:p>
        </w:tc>
        <w:tc>
          <w:tcPr>
            <w:tcW w:w="234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color w:val="auto"/>
              </w:rPr>
              <w:t>corporation</w:t>
            </w:r>
          </w:p>
        </w:tc>
        <w:tc>
          <w:tcPr>
            <w:tcW w:w="1480" w:type="dxa"/>
            <w:vAlign w:val="bottom"/>
            <w:gridSpan w:val="2"/>
          </w:tcPr>
          <w:p>
            <w:pPr>
              <w:spacing w:after="0"/>
              <w:rPr>
                <w:sz w:val="20"/>
                <w:szCs w:val="20"/>
                <w:color w:val="auto"/>
              </w:rPr>
            </w:pPr>
            <w:r>
              <w:rPr>
                <w:rFonts w:ascii="Arial" w:cs="Arial" w:eastAsia="Arial" w:hAnsi="Arial"/>
                <w:sz w:val="14"/>
                <w:szCs w:val="14"/>
                <w:color w:val="auto"/>
              </w:rPr>
              <w:t>Investment Trust</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WHITE MARSH PLAZA, LLC, a Maryland</w:t>
            </w:r>
          </w:p>
        </w:tc>
        <w:tc>
          <w:tcPr>
            <w:tcW w:w="1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FR White Marsh, Inc.</w:t>
            </w:r>
          </w:p>
        </w:tc>
        <w:tc>
          <w:tcPr>
            <w:tcW w:w="1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WHITE MARSH PLAZA LIMITED</w:t>
            </w:r>
          </w:p>
        </w:tc>
        <w:tc>
          <w:tcPr>
            <w:tcW w:w="1480" w:type="dxa"/>
            <w:vAlign w:val="bottom"/>
            <w:gridSpan w:val="2"/>
          </w:tcPr>
          <w:p>
            <w:pPr>
              <w:spacing w:after="0"/>
              <w:rPr>
                <w:sz w:val="20"/>
                <w:szCs w:val="20"/>
                <w:color w:val="auto"/>
              </w:rPr>
            </w:pPr>
            <w:r>
              <w:rPr>
                <w:rFonts w:ascii="Arial" w:cs="Arial" w:eastAsia="Arial" w:hAnsi="Arial"/>
                <w:sz w:val="14"/>
                <w:szCs w:val="14"/>
                <w:color w:val="auto"/>
              </w:rPr>
              <w:t>White Marsh Plaza,</w:t>
            </w:r>
          </w:p>
        </w:tc>
        <w:tc>
          <w:tcPr>
            <w:tcW w:w="146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880" w:type="dxa"/>
            <w:vAlign w:val="bottom"/>
            <w:gridSpan w:val="3"/>
          </w:tcPr>
          <w:p>
            <w:pPr>
              <w:spacing w:after="0" w:line="149" w:lineRule="exact"/>
              <w:rPr>
                <w:sz w:val="20"/>
                <w:szCs w:val="20"/>
                <w:color w:val="auto"/>
              </w:rPr>
            </w:pPr>
            <w:r>
              <w:rPr>
                <w:rFonts w:ascii="Arial" w:cs="Arial" w:eastAsia="Arial" w:hAnsi="Arial"/>
                <w:sz w:val="14"/>
                <w:szCs w:val="14"/>
                <w:color w:val="auto"/>
                <w:w w:val="96"/>
              </w:rPr>
              <w:t>PARTNERSHIP, a Maryland limited partnership</w:t>
            </w:r>
          </w:p>
        </w:tc>
        <w:tc>
          <w:tcPr>
            <w:tcW w:w="1480" w:type="dxa"/>
            <w:vAlign w:val="bottom"/>
            <w:gridSpan w:val="2"/>
          </w:tcPr>
          <w:p>
            <w:pPr>
              <w:spacing w:after="0" w:line="149" w:lineRule="exact"/>
              <w:rPr>
                <w:sz w:val="20"/>
                <w:szCs w:val="20"/>
                <w:color w:val="auto"/>
              </w:rPr>
            </w:pPr>
            <w:r>
              <w:rPr>
                <w:rFonts w:ascii="Arial" w:cs="Arial" w:eastAsia="Arial" w:hAnsi="Arial"/>
                <w:sz w:val="14"/>
                <w:szCs w:val="14"/>
                <w:color w:val="auto"/>
              </w:rPr>
              <w:t>LLC</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color w:val="auto"/>
              </w:rPr>
              <w:t>FR White Marsh, Inc.</w:t>
            </w:r>
          </w:p>
        </w:tc>
        <w:tc>
          <w:tcPr>
            <w:tcW w:w="146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WHITE MARSH PLAZA BUSINESS TRUST, a</w:t>
            </w:r>
          </w:p>
        </w:tc>
        <w:tc>
          <w:tcPr>
            <w:tcW w:w="1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White Marsh Plaza</w:t>
            </w:r>
          </w:p>
        </w:tc>
        <w:tc>
          <w:tcPr>
            <w:tcW w:w="1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shareholder</w:t>
            </w:r>
          </w:p>
        </w:tc>
        <w:tc>
          <w:tcPr>
            <w:tcW w:w="1040" w:type="dxa"/>
            <w:vAlign w:val="bottom"/>
            <w:gridSpan w:val="2"/>
            <w:shd w:val="clear" w:color="auto" w:fill="CCEEFF"/>
          </w:tcPr>
          <w:p>
            <w:pPr>
              <w:jc w:val="right"/>
              <w:ind w:right="58"/>
              <w:spacing w:after="0" w:line="138" w:lineRule="exact"/>
              <w:rPr>
                <w:sz w:val="20"/>
                <w:szCs w:val="20"/>
                <w:color w:val="auto"/>
              </w:rPr>
            </w:pPr>
            <w:r>
              <w:rPr>
                <w:rFonts w:ascii="Arial" w:cs="Arial" w:eastAsia="Arial" w:hAnsi="Arial"/>
                <w:sz w:val="14"/>
                <w:szCs w:val="14"/>
                <w:color w:val="auto"/>
              </w:rPr>
              <w:t>100%</w:t>
            </w:r>
          </w:p>
        </w:tc>
        <w:tc>
          <w:tcPr>
            <w:tcW w:w="22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Excluded Subsidiary</w:t>
            </w: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 business trust</w:t>
            </w:r>
          </w:p>
        </w:tc>
        <w:tc>
          <w:tcPr>
            <w:tcW w:w="14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Limited Partnership</w:t>
            </w: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BYRON STATION, LLC, a Maryland limited</w:t>
            </w:r>
          </w:p>
        </w:tc>
        <w:tc>
          <w:tcPr>
            <w:tcW w:w="1480" w:type="dxa"/>
            <w:vAlign w:val="bottom"/>
            <w:gridSpan w:val="2"/>
          </w:tcPr>
          <w:p>
            <w:pPr>
              <w:spacing w:after="0"/>
              <w:rPr>
                <w:sz w:val="20"/>
                <w:szCs w:val="20"/>
                <w:color w:val="auto"/>
              </w:rPr>
            </w:pPr>
            <w:r>
              <w:rPr>
                <w:rFonts w:ascii="Arial" w:cs="Arial" w:eastAsia="Arial" w:hAnsi="Arial"/>
                <w:sz w:val="14"/>
                <w:szCs w:val="14"/>
                <w:color w:val="auto"/>
              </w:rPr>
              <w:t>FR White Marsh, Inc.</w:t>
            </w:r>
          </w:p>
        </w:tc>
        <w:tc>
          <w:tcPr>
            <w:tcW w:w="1460" w:type="dxa"/>
            <w:vAlign w:val="bottom"/>
            <w:gridSpan w:val="2"/>
          </w:tcPr>
          <w:p>
            <w:pPr>
              <w:spacing w:after="0"/>
              <w:rPr>
                <w:sz w:val="20"/>
                <w:szCs w:val="20"/>
                <w:color w:val="auto"/>
              </w:rPr>
            </w:pPr>
            <w:r>
              <w:rPr>
                <w:rFonts w:ascii="Arial" w:cs="Arial" w:eastAsia="Arial" w:hAnsi="Arial"/>
                <w:sz w:val="14"/>
                <w:szCs w:val="14"/>
                <w:color w:val="auto"/>
              </w:rPr>
              <w:t>Sole member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color w:val="auto"/>
              </w:rPr>
              <w:t>liability company</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right="760"/>
        <w:spacing w:after="0" w:line="241" w:lineRule="auto"/>
        <w:rPr>
          <w:sz w:val="20"/>
          <w:szCs w:val="20"/>
          <w:color w:val="auto"/>
        </w:rPr>
      </w:pPr>
      <w:r>
        <w:rPr>
          <w:rFonts w:ascii="Arial" w:cs="Arial" w:eastAsia="Arial" w:hAnsi="Arial"/>
          <w:sz w:val="14"/>
          <w:szCs w:val="14"/>
          <w:b w:val="1"/>
          <w:bCs w:val="1"/>
          <w:color w:val="auto"/>
        </w:rPr>
        <w:t>ENTITY NAME/Jurisdiction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50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20" w:hanging="215"/>
        <w:spacing w:after="0" w:line="233" w:lineRule="auto"/>
        <w:rPr>
          <w:sz w:val="20"/>
          <w:szCs w:val="20"/>
          <w:color w:val="auto"/>
        </w:rPr>
      </w:pPr>
      <w:r>
        <w:rPr>
          <w:rFonts w:ascii="Arial" w:cs="Arial" w:eastAsia="Arial" w:hAnsi="Arial"/>
          <w:sz w:val="14"/>
          <w:szCs w:val="14"/>
          <w:color w:val="auto"/>
        </w:rPr>
        <w:t>BYRON STATION LIMITED PARTNERSHIP, LLLP, a Maryland limited liability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1800860" cy="283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0860" cy="283210"/>
                    </a:xfrm>
                    <a:prstGeom prst="rect">
                      <a:avLst/>
                    </a:prstGeom>
                    <a:noFill/>
                  </pic:spPr>
                </pic:pic>
              </a:graphicData>
            </a:graphic>
          </wp:anchor>
        </w:drawing>
      </w:r>
    </w:p>
    <w:p>
      <w:pPr>
        <w:spacing w:after="0" w:line="65" w:lineRule="exact"/>
        <w:rPr>
          <w:sz w:val="20"/>
          <w:szCs w:val="20"/>
          <w:color w:val="auto"/>
        </w:rPr>
      </w:pPr>
    </w:p>
    <w:p>
      <w:pPr>
        <w:ind w:left="220" w:right="60" w:hanging="215"/>
        <w:spacing w:after="0" w:line="239" w:lineRule="auto"/>
        <w:rPr>
          <w:sz w:val="20"/>
          <w:szCs w:val="20"/>
          <w:color w:val="auto"/>
        </w:rPr>
      </w:pPr>
      <w:r>
        <w:rPr>
          <w:rFonts w:ascii="Arial" w:cs="Arial" w:eastAsia="Arial" w:hAnsi="Arial"/>
          <w:sz w:val="14"/>
          <w:szCs w:val="14"/>
          <w:color w:val="auto"/>
        </w:rPr>
        <w:t>CORDON FAIRFIELD BUSINESS TRUST, a Maryland business trust</w:t>
      </w:r>
    </w:p>
    <w:p>
      <w:pPr>
        <w:spacing w:after="0" w:line="85" w:lineRule="exact"/>
        <w:rPr>
          <w:sz w:val="20"/>
          <w:szCs w:val="20"/>
          <w:color w:val="auto"/>
        </w:rPr>
      </w:pPr>
    </w:p>
    <w:p>
      <w:pPr>
        <w:ind w:left="220" w:right="180" w:hanging="215"/>
        <w:spacing w:after="0" w:line="318" w:lineRule="auto"/>
        <w:rPr>
          <w:sz w:val="20"/>
          <w:szCs w:val="20"/>
          <w:color w:val="auto"/>
        </w:rPr>
      </w:pPr>
      <w:r>
        <w:rPr>
          <w:rFonts w:ascii="Arial" w:cs="Arial" w:eastAsia="Arial" w:hAnsi="Arial"/>
          <w:sz w:val="12"/>
          <w:szCs w:val="12"/>
          <w:color w:val="auto"/>
        </w:rPr>
        <w:t>CAMPBELL-PHILADELPHIA BUSINESS TRUST, a Maryland business trust</w:t>
      </w:r>
    </w:p>
    <w:p>
      <w:pPr>
        <w:spacing w:after="0" w:line="39" w:lineRule="exact"/>
        <w:rPr>
          <w:sz w:val="20"/>
          <w:szCs w:val="20"/>
          <w:color w:val="auto"/>
        </w:rPr>
      </w:pPr>
    </w:p>
    <w:p>
      <w:pPr>
        <w:ind w:left="220" w:right="100" w:hanging="215"/>
        <w:spacing w:after="0" w:line="233" w:lineRule="auto"/>
        <w:rPr>
          <w:sz w:val="20"/>
          <w:szCs w:val="20"/>
          <w:color w:val="auto"/>
        </w:rPr>
      </w:pPr>
      <w:r>
        <w:rPr>
          <w:rFonts w:ascii="Arial" w:cs="Arial" w:eastAsia="Arial" w:hAnsi="Arial"/>
          <w:sz w:val="14"/>
          <w:szCs w:val="14"/>
          <w:color w:val="auto"/>
        </w:rPr>
        <w:t>SHOPPES AT NOTTINGHAM SQUARE BUSINESS TRUST, a Maryland business trust</w:t>
      </w:r>
    </w:p>
    <w:p>
      <w:pPr>
        <w:spacing w:after="0" w:line="85" w:lineRule="exact"/>
        <w:rPr>
          <w:sz w:val="20"/>
          <w:szCs w:val="20"/>
          <w:color w:val="auto"/>
        </w:rPr>
      </w:pPr>
    </w:p>
    <w:p>
      <w:pPr>
        <w:ind w:left="220" w:right="60" w:hanging="215"/>
        <w:spacing w:after="0" w:line="239" w:lineRule="auto"/>
        <w:rPr>
          <w:sz w:val="20"/>
          <w:szCs w:val="20"/>
          <w:color w:val="auto"/>
        </w:rPr>
      </w:pPr>
      <w:r>
        <w:rPr>
          <w:rFonts w:ascii="Arial" w:cs="Arial" w:eastAsia="Arial" w:hAnsi="Arial"/>
          <w:sz w:val="14"/>
          <w:szCs w:val="14"/>
          <w:color w:val="auto"/>
        </w:rPr>
        <w:t>RETAIL PROPERTIES BUSINESS TRUST, a Maryland business trust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Material and/or</w:t>
            </w:r>
          </w:p>
        </w:tc>
        <w:tc>
          <w:tcPr>
            <w:tcW w:w="228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28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28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Liens, Options,</w:t>
            </w:r>
          </w:p>
        </w:tc>
      </w:tr>
      <w:tr>
        <w:trPr>
          <w:trHeight w:val="175"/>
        </w:trPr>
        <w:tc>
          <w:tcPr>
            <w:tcW w:w="100" w:type="dxa"/>
            <w:vAlign w:val="bottom"/>
          </w:tcPr>
          <w:p>
            <w:pPr>
              <w:spacing w:after="0"/>
              <w:rPr>
                <w:sz w:val="15"/>
                <w:szCs w:val="15"/>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7"/>
              </w:rPr>
              <w:t>% Ownership</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2280" w:type="dxa"/>
            <w:vAlign w:val="bottom"/>
          </w:tcPr>
          <w:p>
            <w:pPr>
              <w:ind w:left="440"/>
              <w:spacing w:after="0"/>
              <w:rPr>
                <w:sz w:val="20"/>
                <w:szCs w:val="20"/>
                <w:color w:val="auto"/>
              </w:rPr>
            </w:pPr>
            <w:r>
              <w:rPr>
                <w:rFonts w:ascii="Arial" w:cs="Arial" w:eastAsia="Arial" w:hAnsi="Arial"/>
                <w:sz w:val="14"/>
                <w:szCs w:val="14"/>
                <w:b w:val="1"/>
                <w:bCs w:val="1"/>
                <w:color w:val="auto"/>
              </w:rPr>
              <w:t>Registration Rights, etc.</w:t>
            </w:r>
          </w:p>
        </w:tc>
      </w:tr>
      <w:tr>
        <w:trPr>
          <w:trHeight w:val="190"/>
        </w:trPr>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jc w:val="right"/>
              <w:ind w:right="332"/>
              <w:spacing w:after="0"/>
              <w:rPr>
                <w:sz w:val="20"/>
                <w:szCs w:val="20"/>
                <w:color w:val="auto"/>
              </w:rPr>
            </w:pPr>
            <w:r>
              <w:rPr>
                <w:rFonts w:ascii="Arial" w:cs="Arial" w:eastAsia="Arial" w:hAnsi="Arial"/>
                <w:sz w:val="14"/>
                <w:szCs w:val="14"/>
                <w:color w:val="auto"/>
                <w:w w:val="90"/>
              </w:rPr>
              <w:t>Byron Station, LLC</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partner</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top w:val="single" w:sz="8" w:color="CCEEFF"/>
              <w:bottom w:val="single" w:sz="8" w:color="CCEEFF"/>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w w:val="79"/>
              </w:rPr>
              <w:t>%</w:t>
            </w:r>
          </w:p>
        </w:tc>
        <w:tc>
          <w:tcPr>
            <w:tcW w:w="2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Guarantor</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None</w:t>
            </w:r>
          </w:p>
        </w:tc>
      </w:tr>
      <w:tr>
        <w:trPr>
          <w:trHeight w:val="196"/>
        </w:trPr>
        <w:tc>
          <w:tcPr>
            <w:tcW w:w="100" w:type="dxa"/>
            <w:vAlign w:val="bottom"/>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4"/>
                <w:szCs w:val="14"/>
                <w:color w:val="auto"/>
                <w:w w:val="88"/>
              </w:rPr>
              <w:t>FR White Marsh, Inc.</w:t>
            </w:r>
          </w:p>
        </w:tc>
        <w:tc>
          <w:tcPr>
            <w:tcW w:w="1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Limited partner</w:t>
            </w:r>
          </w:p>
        </w:tc>
        <w:tc>
          <w:tcPr>
            <w:tcW w:w="108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4"/>
                <w:szCs w:val="14"/>
                <w:color w:val="auto"/>
              </w:rPr>
              <w:t>99%</w:t>
            </w:r>
          </w:p>
        </w:tc>
        <w:tc>
          <w:tcPr>
            <w:tcW w:w="2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r>
      <w:tr>
        <w:trPr>
          <w:trHeight w:val="270"/>
        </w:trPr>
        <w:tc>
          <w:tcPr>
            <w:tcW w:w="100" w:type="dxa"/>
            <w:vAlign w:val="bottom"/>
          </w:tcPr>
          <w:p>
            <w:pPr>
              <w:spacing w:after="0"/>
              <w:rPr>
                <w:sz w:val="23"/>
                <w:szCs w:val="23"/>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color w:val="auto"/>
                <w:w w:val="88"/>
              </w:rPr>
              <w:t>FR White Marsh, Inc.</w:t>
            </w:r>
          </w:p>
        </w:tc>
        <w:tc>
          <w:tcPr>
            <w:tcW w:w="1580" w:type="dxa"/>
            <w:vAlign w:val="bottom"/>
            <w:gridSpan w:val="3"/>
          </w:tcPr>
          <w:p>
            <w:pPr>
              <w:ind w:left="100"/>
              <w:spacing w:after="0"/>
              <w:rPr>
                <w:sz w:val="20"/>
                <w:szCs w:val="20"/>
                <w:color w:val="auto"/>
              </w:rPr>
            </w:pPr>
            <w:r>
              <w:rPr>
                <w:rFonts w:ascii="Arial" w:cs="Arial" w:eastAsia="Arial" w:hAnsi="Arial"/>
                <w:sz w:val="14"/>
                <w:szCs w:val="14"/>
                <w:color w:val="auto"/>
              </w:rPr>
              <w:t>Sole shareholder</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100%</w:t>
            </w:r>
          </w:p>
        </w:tc>
        <w:tc>
          <w:tcPr>
            <w:tcW w:w="2160" w:type="dxa"/>
            <w:vAlign w:val="bottom"/>
            <w:gridSpan w:val="2"/>
          </w:tcPr>
          <w:p>
            <w:pPr>
              <w:spacing w:after="0"/>
              <w:rPr>
                <w:sz w:val="20"/>
                <w:szCs w:val="20"/>
                <w:color w:val="auto"/>
              </w:rPr>
            </w:pPr>
            <w:r>
              <w:rPr>
                <w:rFonts w:ascii="Arial" w:cs="Arial" w:eastAsia="Arial" w:hAnsi="Arial"/>
                <w:sz w:val="14"/>
                <w:szCs w:val="14"/>
                <w:color w:val="auto"/>
              </w:rPr>
              <w:t>Guarantor</w:t>
            </w:r>
          </w:p>
        </w:tc>
        <w:tc>
          <w:tcPr>
            <w:tcW w:w="2280" w:type="dxa"/>
            <w:vAlign w:val="bottom"/>
          </w:tcPr>
          <w:p>
            <w:pPr>
              <w:spacing w:after="0"/>
              <w:rPr>
                <w:sz w:val="20"/>
                <w:szCs w:val="20"/>
                <w:color w:val="auto"/>
              </w:rPr>
            </w:pPr>
            <w:r>
              <w:rPr>
                <w:rFonts w:ascii="Arial" w:cs="Arial" w:eastAsia="Arial" w:hAnsi="Arial"/>
                <w:sz w:val="14"/>
                <w:szCs w:val="14"/>
                <w:color w:val="auto"/>
              </w:rPr>
              <w:t>None</w:t>
            </w:r>
          </w:p>
        </w:tc>
      </w:tr>
      <w:tr>
        <w:trPr>
          <w:trHeight w:val="405"/>
        </w:trPr>
        <w:tc>
          <w:tcPr>
            <w:tcW w:w="1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color w:val="auto"/>
                <w:w w:val="88"/>
              </w:rPr>
              <w:t>FR White Marsh, Inc.</w:t>
            </w:r>
          </w:p>
        </w:tc>
        <w:tc>
          <w:tcPr>
            <w:tcW w:w="1580" w:type="dxa"/>
            <w:vAlign w:val="bottom"/>
            <w:gridSpan w:val="3"/>
          </w:tcPr>
          <w:p>
            <w:pPr>
              <w:ind w:left="100"/>
              <w:spacing w:after="0"/>
              <w:rPr>
                <w:sz w:val="20"/>
                <w:szCs w:val="20"/>
                <w:color w:val="auto"/>
              </w:rPr>
            </w:pPr>
            <w:r>
              <w:rPr>
                <w:rFonts w:ascii="Arial" w:cs="Arial" w:eastAsia="Arial" w:hAnsi="Arial"/>
                <w:sz w:val="14"/>
                <w:szCs w:val="14"/>
                <w:color w:val="auto"/>
              </w:rPr>
              <w:t>Sole shareholder</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100%</w:t>
            </w:r>
          </w:p>
        </w:tc>
        <w:tc>
          <w:tcPr>
            <w:tcW w:w="2160" w:type="dxa"/>
            <w:vAlign w:val="bottom"/>
            <w:gridSpan w:val="2"/>
          </w:tcPr>
          <w:p>
            <w:pPr>
              <w:spacing w:after="0"/>
              <w:rPr>
                <w:sz w:val="20"/>
                <w:szCs w:val="20"/>
                <w:color w:val="auto"/>
              </w:rPr>
            </w:pPr>
            <w:r>
              <w:rPr>
                <w:rFonts w:ascii="Arial" w:cs="Arial" w:eastAsia="Arial" w:hAnsi="Arial"/>
                <w:sz w:val="14"/>
                <w:szCs w:val="14"/>
                <w:color w:val="auto"/>
              </w:rPr>
              <w:t>Guarantor</w:t>
            </w:r>
          </w:p>
        </w:tc>
        <w:tc>
          <w:tcPr>
            <w:tcW w:w="2280" w:type="dxa"/>
            <w:vAlign w:val="bottom"/>
          </w:tcPr>
          <w:p>
            <w:pPr>
              <w:spacing w:after="0"/>
              <w:rPr>
                <w:sz w:val="20"/>
                <w:szCs w:val="20"/>
                <w:color w:val="auto"/>
              </w:rPr>
            </w:pPr>
            <w:r>
              <w:rPr>
                <w:rFonts w:ascii="Arial" w:cs="Arial" w:eastAsia="Arial" w:hAnsi="Arial"/>
                <w:sz w:val="14"/>
                <w:szCs w:val="14"/>
                <w:color w:val="auto"/>
              </w:rPr>
              <w:t>None</w:t>
            </w:r>
          </w:p>
        </w:tc>
      </w:tr>
      <w:tr>
        <w:trPr>
          <w:trHeight w:val="405"/>
        </w:trPr>
        <w:tc>
          <w:tcPr>
            <w:tcW w:w="1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color w:val="auto"/>
                <w:w w:val="88"/>
              </w:rPr>
              <w:t>FR White Marsh, Inc.</w:t>
            </w:r>
          </w:p>
        </w:tc>
        <w:tc>
          <w:tcPr>
            <w:tcW w:w="1580" w:type="dxa"/>
            <w:vAlign w:val="bottom"/>
            <w:gridSpan w:val="3"/>
          </w:tcPr>
          <w:p>
            <w:pPr>
              <w:ind w:left="100"/>
              <w:spacing w:after="0"/>
              <w:rPr>
                <w:sz w:val="20"/>
                <w:szCs w:val="20"/>
                <w:color w:val="auto"/>
              </w:rPr>
            </w:pPr>
            <w:r>
              <w:rPr>
                <w:rFonts w:ascii="Arial" w:cs="Arial" w:eastAsia="Arial" w:hAnsi="Arial"/>
                <w:sz w:val="14"/>
                <w:szCs w:val="14"/>
                <w:color w:val="auto"/>
              </w:rPr>
              <w:t>Sole shareholder</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100%</w:t>
            </w:r>
          </w:p>
        </w:tc>
        <w:tc>
          <w:tcPr>
            <w:tcW w:w="2160" w:type="dxa"/>
            <w:vAlign w:val="bottom"/>
            <w:gridSpan w:val="2"/>
          </w:tcPr>
          <w:p>
            <w:pPr>
              <w:spacing w:after="0"/>
              <w:rPr>
                <w:sz w:val="20"/>
                <w:szCs w:val="20"/>
                <w:color w:val="auto"/>
              </w:rPr>
            </w:pPr>
            <w:r>
              <w:rPr>
                <w:rFonts w:ascii="Arial" w:cs="Arial" w:eastAsia="Arial" w:hAnsi="Arial"/>
                <w:sz w:val="14"/>
                <w:szCs w:val="14"/>
                <w:color w:val="auto"/>
              </w:rPr>
              <w:t>Guarantor</w:t>
            </w:r>
          </w:p>
        </w:tc>
        <w:tc>
          <w:tcPr>
            <w:tcW w:w="2280" w:type="dxa"/>
            <w:vAlign w:val="bottom"/>
          </w:tcPr>
          <w:p>
            <w:pPr>
              <w:spacing w:after="0"/>
              <w:rPr>
                <w:sz w:val="20"/>
                <w:szCs w:val="20"/>
                <w:color w:val="auto"/>
              </w:rPr>
            </w:pPr>
            <w:r>
              <w:rPr>
                <w:rFonts w:ascii="Arial" w:cs="Arial" w:eastAsia="Arial" w:hAnsi="Arial"/>
                <w:sz w:val="14"/>
                <w:szCs w:val="14"/>
                <w:color w:val="auto"/>
              </w:rPr>
              <w:t>None</w:t>
            </w:r>
          </w:p>
        </w:tc>
      </w:tr>
      <w:tr>
        <w:trPr>
          <w:trHeight w:val="554"/>
        </w:trPr>
        <w:tc>
          <w:tcPr>
            <w:tcW w:w="1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color w:val="auto"/>
                <w:w w:val="88"/>
              </w:rPr>
              <w:t>FR White Marsh, Inc.</w:t>
            </w:r>
          </w:p>
        </w:tc>
        <w:tc>
          <w:tcPr>
            <w:tcW w:w="1580" w:type="dxa"/>
            <w:vAlign w:val="bottom"/>
            <w:gridSpan w:val="3"/>
          </w:tcPr>
          <w:p>
            <w:pPr>
              <w:ind w:left="100"/>
              <w:spacing w:after="0"/>
              <w:rPr>
                <w:sz w:val="20"/>
                <w:szCs w:val="20"/>
                <w:color w:val="auto"/>
              </w:rPr>
            </w:pPr>
            <w:r>
              <w:rPr>
                <w:rFonts w:ascii="Arial" w:cs="Arial" w:eastAsia="Arial" w:hAnsi="Arial"/>
                <w:sz w:val="14"/>
                <w:szCs w:val="14"/>
                <w:color w:val="auto"/>
              </w:rPr>
              <w:t>Sole shareholder</w:t>
            </w:r>
          </w:p>
        </w:tc>
        <w:tc>
          <w:tcPr>
            <w:tcW w:w="1080" w:type="dxa"/>
            <w:vAlign w:val="bottom"/>
            <w:gridSpan w:val="2"/>
          </w:tcPr>
          <w:p>
            <w:pPr>
              <w:jc w:val="right"/>
              <w:ind w:right="92"/>
              <w:spacing w:after="0"/>
              <w:rPr>
                <w:sz w:val="20"/>
                <w:szCs w:val="20"/>
                <w:color w:val="auto"/>
              </w:rPr>
            </w:pPr>
            <w:r>
              <w:rPr>
                <w:rFonts w:ascii="Arial" w:cs="Arial" w:eastAsia="Arial" w:hAnsi="Arial"/>
                <w:sz w:val="14"/>
                <w:szCs w:val="14"/>
                <w:color w:val="auto"/>
              </w:rPr>
              <w:t>100%</w:t>
            </w:r>
          </w:p>
        </w:tc>
        <w:tc>
          <w:tcPr>
            <w:tcW w:w="2160" w:type="dxa"/>
            <w:vAlign w:val="bottom"/>
            <w:gridSpan w:val="2"/>
          </w:tcPr>
          <w:p>
            <w:pPr>
              <w:spacing w:after="0"/>
              <w:rPr>
                <w:sz w:val="20"/>
                <w:szCs w:val="20"/>
                <w:color w:val="auto"/>
              </w:rPr>
            </w:pPr>
            <w:r>
              <w:rPr>
                <w:rFonts w:ascii="Arial" w:cs="Arial" w:eastAsia="Arial" w:hAnsi="Arial"/>
                <w:sz w:val="14"/>
                <w:szCs w:val="14"/>
                <w:color w:val="auto"/>
              </w:rPr>
              <w:t>Guarantor</w:t>
            </w:r>
          </w:p>
        </w:tc>
        <w:tc>
          <w:tcPr>
            <w:tcW w:w="2280" w:type="dxa"/>
            <w:vAlign w:val="bottom"/>
          </w:tcPr>
          <w:p>
            <w:pPr>
              <w:spacing w:after="0"/>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-710565</wp:posOffset>
            </wp:positionV>
            <wp:extent cx="72466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-102235</wp:posOffset>
            </wp:positionV>
            <wp:extent cx="72466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600" w:space="140"/>
            <w:col w:w="86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color w:val="auto"/>
                <w:w w:val="96"/>
              </w:rPr>
              <w:t>NOTTINGHAM SQUARE BUSINESS TRUST,</w:t>
            </w:r>
          </w:p>
        </w:tc>
        <w:tc>
          <w:tcPr>
            <w:tcW w:w="1440" w:type="dxa"/>
            <w:vAlign w:val="bottom"/>
          </w:tcPr>
          <w:p>
            <w:pPr>
              <w:ind w:left="60"/>
              <w:spacing w:after="0"/>
              <w:rPr>
                <w:sz w:val="20"/>
                <w:szCs w:val="20"/>
                <w:color w:val="auto"/>
              </w:rPr>
            </w:pPr>
            <w:r>
              <w:rPr>
                <w:rFonts w:ascii="Arial" w:cs="Arial" w:eastAsia="Arial" w:hAnsi="Arial"/>
                <w:sz w:val="14"/>
                <w:szCs w:val="14"/>
                <w:color w:val="auto"/>
              </w:rPr>
              <w:t>FR White Marsh, Inc.</w:t>
            </w:r>
          </w:p>
        </w:tc>
        <w:tc>
          <w:tcPr>
            <w:tcW w:w="1480" w:type="dxa"/>
            <w:vAlign w:val="bottom"/>
          </w:tcPr>
          <w:p>
            <w:pPr>
              <w:ind w:left="200"/>
              <w:spacing w:after="0"/>
              <w:rPr>
                <w:sz w:val="20"/>
                <w:szCs w:val="20"/>
                <w:color w:val="auto"/>
              </w:rPr>
            </w:pPr>
            <w:r>
              <w:rPr>
                <w:rFonts w:ascii="Arial" w:cs="Arial" w:eastAsia="Arial" w:hAnsi="Arial"/>
                <w:sz w:val="14"/>
                <w:szCs w:val="14"/>
                <w:color w:val="auto"/>
              </w:rPr>
              <w:t>Sole shareholder</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100%</w:t>
            </w:r>
          </w:p>
        </w:tc>
        <w:tc>
          <w:tcPr>
            <w:tcW w:w="1720" w:type="dxa"/>
            <w:vAlign w:val="bottom"/>
          </w:tcPr>
          <w:p>
            <w:pPr>
              <w:ind w:left="80"/>
              <w:spacing w:after="0"/>
              <w:rPr>
                <w:sz w:val="20"/>
                <w:szCs w:val="20"/>
                <w:color w:val="auto"/>
              </w:rPr>
            </w:pPr>
            <w:r>
              <w:rPr>
                <w:rFonts w:ascii="Arial" w:cs="Arial" w:eastAsia="Arial" w:hAnsi="Arial"/>
                <w:sz w:val="14"/>
                <w:szCs w:val="14"/>
                <w:color w:val="auto"/>
              </w:rPr>
              <w:t>Guarantor</w:t>
            </w:r>
          </w:p>
        </w:tc>
        <w:tc>
          <w:tcPr>
            <w:tcW w:w="2800" w:type="dxa"/>
            <w:vAlign w:val="bottom"/>
          </w:tcPr>
          <w:p>
            <w:pPr>
              <w:ind w:left="5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a Maryland business trust</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THE AVENUE AT WHITE MARSH BUSINESS</w:t>
            </w:r>
          </w:p>
        </w:tc>
        <w:tc>
          <w:tcPr>
            <w:tcW w:w="14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FR White Marsh, Inc.</w:t>
            </w:r>
          </w:p>
        </w:tc>
        <w:tc>
          <w:tcPr>
            <w:tcW w:w="14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Sole shareholder</w:t>
            </w:r>
          </w:p>
        </w:tc>
        <w:tc>
          <w:tcPr>
            <w:tcW w:w="12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100%</w:t>
            </w:r>
          </w:p>
        </w:tc>
        <w:tc>
          <w:tcPr>
            <w:tcW w:w="17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Excluded Subsidiary</w:t>
            </w:r>
          </w:p>
        </w:tc>
        <w:tc>
          <w:tcPr>
            <w:tcW w:w="280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TRUST, a Maryland business trust</w:t>
            </w:r>
          </w:p>
        </w:tc>
        <w:tc>
          <w:tcPr>
            <w:tcW w:w="1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w w:val="96"/>
              </w:rPr>
              <w:t>NVI-AVENUE, LLC, a Maryland limited liability</w:t>
            </w:r>
          </w:p>
        </w:tc>
        <w:tc>
          <w:tcPr>
            <w:tcW w:w="1440" w:type="dxa"/>
            <w:vAlign w:val="bottom"/>
          </w:tcPr>
          <w:p>
            <w:pPr>
              <w:ind w:left="60"/>
              <w:spacing w:after="0"/>
              <w:rPr>
                <w:sz w:val="20"/>
                <w:szCs w:val="20"/>
                <w:color w:val="auto"/>
              </w:rPr>
            </w:pPr>
            <w:r>
              <w:rPr>
                <w:rFonts w:ascii="Arial" w:cs="Arial" w:eastAsia="Arial" w:hAnsi="Arial"/>
                <w:sz w:val="14"/>
                <w:szCs w:val="14"/>
                <w:color w:val="auto"/>
              </w:rPr>
              <w:t>FR White Marsh, Inc.</w:t>
            </w:r>
          </w:p>
        </w:tc>
        <w:tc>
          <w:tcPr>
            <w:tcW w:w="1480" w:type="dxa"/>
            <w:vAlign w:val="bottom"/>
          </w:tcPr>
          <w:p>
            <w:pPr>
              <w:ind w:left="200"/>
              <w:spacing w:after="0"/>
              <w:rPr>
                <w:sz w:val="20"/>
                <w:szCs w:val="20"/>
                <w:color w:val="auto"/>
              </w:rPr>
            </w:pPr>
            <w:r>
              <w:rPr>
                <w:rFonts w:ascii="Arial" w:cs="Arial" w:eastAsia="Arial" w:hAnsi="Arial"/>
                <w:sz w:val="14"/>
                <w:szCs w:val="14"/>
                <w:color w:val="auto"/>
              </w:rPr>
              <w:t>Managing member</w:t>
            </w:r>
          </w:p>
        </w:tc>
        <w:tc>
          <w:tcPr>
            <w:tcW w:w="1200" w:type="dxa"/>
            <w:vAlign w:val="bottom"/>
          </w:tcPr>
          <w:p>
            <w:pPr>
              <w:jc w:val="right"/>
              <w:ind w:right="132"/>
              <w:spacing w:after="0"/>
              <w:rPr>
                <w:sz w:val="20"/>
                <w:szCs w:val="20"/>
                <w:color w:val="auto"/>
              </w:rPr>
            </w:pPr>
            <w:r>
              <w:rPr>
                <w:rFonts w:ascii="Arial" w:cs="Arial" w:eastAsia="Arial" w:hAnsi="Arial"/>
                <w:sz w:val="14"/>
                <w:szCs w:val="14"/>
                <w:color w:val="auto"/>
              </w:rPr>
              <w:t>9,644 units</w:t>
            </w:r>
          </w:p>
        </w:tc>
        <w:tc>
          <w:tcPr>
            <w:tcW w:w="1720" w:type="dxa"/>
            <w:vAlign w:val="bottom"/>
          </w:tcPr>
          <w:p>
            <w:pPr>
              <w:ind w:left="80"/>
              <w:spacing w:after="0"/>
              <w:rPr>
                <w:sz w:val="20"/>
                <w:szCs w:val="20"/>
                <w:color w:val="auto"/>
              </w:rPr>
            </w:pPr>
            <w:r>
              <w:rPr>
                <w:rFonts w:ascii="Arial" w:cs="Arial" w:eastAsia="Arial" w:hAnsi="Arial"/>
                <w:sz w:val="14"/>
                <w:szCs w:val="14"/>
                <w:color w:val="auto"/>
              </w:rPr>
              <w:t>Excluded Subsidiary</w:t>
            </w:r>
          </w:p>
        </w:tc>
        <w:tc>
          <w:tcPr>
            <w:tcW w:w="2800" w:type="dxa"/>
            <w:vAlign w:val="bottom"/>
          </w:tcPr>
          <w:p>
            <w:pPr>
              <w:ind w:left="620"/>
              <w:spacing w:after="0"/>
              <w:rPr>
                <w:sz w:val="20"/>
                <w:szCs w:val="20"/>
                <w:color w:val="auto"/>
              </w:rPr>
            </w:pPr>
            <w:r>
              <w:rPr>
                <w:rFonts w:ascii="Arial" w:cs="Arial" w:eastAsia="Arial" w:hAnsi="Arial"/>
                <w:sz w:val="14"/>
                <w:szCs w:val="14"/>
                <w:color w:val="auto"/>
                <w:w w:val="90"/>
              </w:rPr>
              <w:t>•  Right to exchange membership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company (DownREIT)</w:t>
            </w:r>
          </w:p>
        </w:tc>
        <w:tc>
          <w:tcPr>
            <w:tcW w:w="1440" w:type="dxa"/>
            <w:vAlign w:val="bottom"/>
          </w:tcPr>
          <w:p>
            <w:pPr>
              <w:ind w:left="60"/>
              <w:spacing w:after="0" w:line="149" w:lineRule="exact"/>
              <w:rPr>
                <w:sz w:val="20"/>
                <w:szCs w:val="20"/>
                <w:color w:val="auto"/>
              </w:rPr>
            </w:pPr>
            <w:r>
              <w:rPr>
                <w:rFonts w:ascii="Arial" w:cs="Arial" w:eastAsia="Arial" w:hAnsi="Arial"/>
                <w:sz w:val="14"/>
                <w:szCs w:val="14"/>
                <w:color w:val="auto"/>
              </w:rPr>
              <w:t>54 separate investor</w:t>
            </w:r>
          </w:p>
        </w:tc>
        <w:tc>
          <w:tcPr>
            <w:tcW w:w="1480" w:type="dxa"/>
            <w:vAlign w:val="bottom"/>
          </w:tcPr>
          <w:p>
            <w:pPr>
              <w:ind w:left="200"/>
              <w:spacing w:after="0" w:line="149" w:lineRule="exact"/>
              <w:rPr>
                <w:sz w:val="20"/>
                <w:szCs w:val="20"/>
                <w:color w:val="auto"/>
              </w:rPr>
            </w:pPr>
            <w:r>
              <w:rPr>
                <w:rFonts w:ascii="Arial" w:cs="Arial" w:eastAsia="Arial" w:hAnsi="Arial"/>
                <w:sz w:val="14"/>
                <w:szCs w:val="14"/>
                <w:color w:val="auto"/>
              </w:rPr>
              <w:t>Members</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175,860 units</w:t>
            </w:r>
          </w:p>
        </w:tc>
        <w:tc>
          <w:tcPr>
            <w:tcW w:w="1720" w:type="dxa"/>
            <w:vAlign w:val="bottom"/>
          </w:tcPr>
          <w:p>
            <w:pPr>
              <w:spacing w:after="0"/>
              <w:rPr>
                <w:sz w:val="12"/>
                <w:szCs w:val="12"/>
                <w:color w:val="auto"/>
              </w:rPr>
            </w:pPr>
          </w:p>
        </w:tc>
        <w:tc>
          <w:tcPr>
            <w:tcW w:w="2800" w:type="dxa"/>
            <w:vAlign w:val="bottom"/>
          </w:tcPr>
          <w:p>
            <w:pPr>
              <w:ind w:left="940"/>
              <w:spacing w:after="0" w:line="149" w:lineRule="exact"/>
              <w:rPr>
                <w:sz w:val="20"/>
                <w:szCs w:val="20"/>
                <w:color w:val="auto"/>
              </w:rPr>
            </w:pPr>
            <w:r>
              <w:rPr>
                <w:rFonts w:ascii="Arial" w:cs="Arial" w:eastAsia="Arial" w:hAnsi="Arial"/>
                <w:sz w:val="14"/>
                <w:szCs w:val="14"/>
                <w:color w:val="auto"/>
                <w:w w:val="88"/>
              </w:rPr>
              <w:t>for Federal Realty shares or cash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members</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Pr>
          <w:p>
            <w:pPr>
              <w:ind w:left="940"/>
              <w:spacing w:after="0"/>
              <w:rPr>
                <w:sz w:val="20"/>
                <w:szCs w:val="20"/>
                <w:color w:val="auto"/>
              </w:rPr>
            </w:pPr>
            <w:r>
              <w:rPr>
                <w:rFonts w:ascii="Arial" w:cs="Arial" w:eastAsia="Arial" w:hAnsi="Arial"/>
                <w:sz w:val="14"/>
                <w:szCs w:val="14"/>
                <w:color w:val="auto"/>
              </w:rPr>
              <w:t>(at Federal Realty’s option)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RETAIL FUNDING AFFILIATES, LLC, a</w:t>
            </w:r>
          </w:p>
        </w:tc>
        <w:tc>
          <w:tcPr>
            <w:tcW w:w="14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FR White Marsh, Inc.</w:t>
            </w:r>
          </w:p>
        </w:tc>
        <w:tc>
          <w:tcPr>
            <w:tcW w:w="14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Managing member</w:t>
            </w:r>
          </w:p>
        </w:tc>
        <w:tc>
          <w:tcPr>
            <w:tcW w:w="12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20%</w:t>
            </w:r>
          </w:p>
        </w:tc>
        <w:tc>
          <w:tcPr>
            <w:tcW w:w="1720" w:type="dxa"/>
            <w:vAlign w:val="bottom"/>
            <w:shd w:val="clear" w:color="auto" w:fill="CCEEFF"/>
          </w:tcPr>
          <w:p>
            <w:pPr>
              <w:spacing w:after="0"/>
              <w:rPr>
                <w:sz w:val="11"/>
                <w:szCs w:val="11"/>
                <w:color w:val="auto"/>
              </w:rPr>
            </w:pPr>
          </w:p>
        </w:tc>
        <w:tc>
          <w:tcPr>
            <w:tcW w:w="280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1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Material and/or</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1"/>
                <w:szCs w:val="11"/>
                <w:color w:val="auto"/>
              </w:rPr>
            </w:pPr>
          </w:p>
        </w:tc>
        <w:tc>
          <w:tcPr>
            <w:tcW w:w="2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Liens, Options,</w:t>
            </w:r>
          </w:p>
        </w:tc>
        <w:tc>
          <w:tcPr>
            <w:tcW w:w="0" w:type="dxa"/>
            <w:vAlign w:val="bottom"/>
          </w:tcPr>
          <w:p>
            <w:pPr>
              <w:spacing w:after="0"/>
              <w:rPr>
                <w:sz w:val="1"/>
                <w:szCs w:val="1"/>
                <w:color w:val="auto"/>
              </w:rPr>
            </w:pPr>
          </w:p>
        </w:tc>
      </w:tr>
      <w:tr>
        <w:trPr>
          <w:trHeight w:val="161"/>
        </w:trPr>
        <w:tc>
          <w:tcPr>
            <w:tcW w:w="26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4"/>
                <w:szCs w:val="14"/>
                <w:color w:val="auto"/>
              </w:rPr>
            </w:pPr>
          </w:p>
        </w:tc>
        <w:tc>
          <w:tcPr>
            <w:tcW w:w="1360" w:type="dxa"/>
            <w:vAlign w:val="bottom"/>
          </w:tcPr>
          <w:p>
            <w:pPr>
              <w:ind w:left="240"/>
              <w:spacing w:after="0" w:line="141" w:lineRule="exact"/>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4"/>
                <w:szCs w:val="14"/>
                <w:color w:val="auto"/>
              </w:rPr>
            </w:pPr>
          </w:p>
        </w:tc>
        <w:tc>
          <w:tcPr>
            <w:tcW w:w="14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w w:val="87"/>
              </w:rPr>
              <w:t>% Ownership</w:t>
            </w:r>
          </w:p>
        </w:tc>
        <w:tc>
          <w:tcPr>
            <w:tcW w:w="100" w:type="dxa"/>
            <w:vAlign w:val="bottom"/>
          </w:tcPr>
          <w:p>
            <w:pPr>
              <w:spacing w:after="0"/>
              <w:rPr>
                <w:sz w:val="14"/>
                <w:szCs w:val="14"/>
                <w:color w:val="auto"/>
              </w:rPr>
            </w:pPr>
          </w:p>
        </w:tc>
        <w:tc>
          <w:tcPr>
            <w:tcW w:w="1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Property</w:t>
            </w:r>
          </w:p>
        </w:tc>
        <w:tc>
          <w:tcPr>
            <w:tcW w:w="200" w:type="dxa"/>
            <w:vAlign w:val="bottom"/>
          </w:tcPr>
          <w:p>
            <w:pPr>
              <w:spacing w:after="0"/>
              <w:rPr>
                <w:sz w:val="14"/>
                <w:szCs w:val="14"/>
                <w:color w:val="auto"/>
              </w:rPr>
            </w:pPr>
          </w:p>
        </w:tc>
        <w:tc>
          <w:tcPr>
            <w:tcW w:w="2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Registration Rights, etc.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limited liability company</w:t>
            </w: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NVI-Avenue, LLC</w:t>
            </w: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Member</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The Avenue at White</w:t>
            </w: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8"/>
              </w:rPr>
              <w:t>Marsh Business Trust</w:t>
            </w:r>
          </w:p>
        </w:tc>
        <w:tc>
          <w:tcPr>
            <w:tcW w:w="166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Member</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680" w:type="dxa"/>
            <w:vAlign w:val="bottom"/>
            <w:gridSpan w:val="3"/>
          </w:tcPr>
          <w:p>
            <w:pPr>
              <w:spacing w:after="0"/>
              <w:rPr>
                <w:sz w:val="20"/>
                <w:szCs w:val="20"/>
                <w:color w:val="auto"/>
              </w:rPr>
            </w:pPr>
            <w:r>
              <w:rPr>
                <w:rFonts w:ascii="Arial" w:cs="Arial" w:eastAsia="Arial" w:hAnsi="Arial"/>
                <w:sz w:val="14"/>
                <w:szCs w:val="14"/>
                <w:color w:val="auto"/>
              </w:rPr>
              <w:t>FR FLORIDA, INC. (F/K/A FR CHELSEA</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COMMONS III, INC.), a Delaware</w:t>
            </w:r>
          </w:p>
        </w:tc>
        <w:tc>
          <w:tcPr>
            <w:tcW w:w="20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Federal Realty</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color w:val="auto"/>
              </w:rPr>
              <w:t>corporation</w:t>
            </w:r>
          </w:p>
        </w:tc>
        <w:tc>
          <w:tcPr>
            <w:tcW w:w="2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Investment Trust</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FR DEL MAR VILLAGE, LLC, a Delaware</w:t>
            </w: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FR Florida, Inc.</w:t>
            </w:r>
          </w:p>
        </w:tc>
        <w:tc>
          <w:tcPr>
            <w:tcW w:w="166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100%</w:t>
            </w:r>
          </w:p>
        </w:tc>
        <w:tc>
          <w:tcPr>
            <w:tcW w:w="20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Guarantor</w:t>
            </w: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46"/>
        </w:trPr>
        <w:tc>
          <w:tcPr>
            <w:tcW w:w="2680" w:type="dxa"/>
            <w:vAlign w:val="bottom"/>
            <w:gridSpan w:val="3"/>
          </w:tcPr>
          <w:p>
            <w:pPr>
              <w:spacing w:after="0"/>
              <w:rPr>
                <w:sz w:val="20"/>
                <w:szCs w:val="20"/>
                <w:color w:val="auto"/>
              </w:rPr>
            </w:pPr>
            <w:r>
              <w:rPr>
                <w:rFonts w:ascii="Arial" w:cs="Arial" w:eastAsia="Arial" w:hAnsi="Arial"/>
                <w:sz w:val="14"/>
                <w:szCs w:val="14"/>
                <w:color w:val="auto"/>
                <w:w w:val="98"/>
              </w:rPr>
              <w:t>FR DEL MAR VILLAGE II, LLC, a Delaware</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color w:val="auto"/>
              </w:rPr>
              <w:t>limited liability company</w:t>
            </w:r>
          </w:p>
        </w:tc>
        <w:tc>
          <w:tcPr>
            <w:tcW w:w="2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FR Florida, Inc.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member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Guarantor</w:t>
            </w: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FR COURTYARD SHOPS, LLC, a Delaware</w:t>
            </w: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FR Florida, Inc.</w:t>
            </w:r>
          </w:p>
        </w:tc>
        <w:tc>
          <w:tcPr>
            <w:tcW w:w="166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100%</w:t>
            </w:r>
          </w:p>
        </w:tc>
        <w:tc>
          <w:tcPr>
            <w:tcW w:w="20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Excluded Subsidiary</w:t>
            </w: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46"/>
        </w:trPr>
        <w:tc>
          <w:tcPr>
            <w:tcW w:w="2680" w:type="dxa"/>
            <w:vAlign w:val="bottom"/>
            <w:gridSpan w:val="3"/>
          </w:tcPr>
          <w:p>
            <w:pPr>
              <w:spacing w:after="0"/>
              <w:rPr>
                <w:sz w:val="20"/>
                <w:szCs w:val="20"/>
                <w:color w:val="auto"/>
              </w:rPr>
            </w:pPr>
            <w:r>
              <w:rPr>
                <w:rFonts w:ascii="Arial" w:cs="Arial" w:eastAsia="Arial" w:hAnsi="Arial"/>
                <w:sz w:val="14"/>
                <w:szCs w:val="14"/>
                <w:color w:val="auto"/>
              </w:rPr>
              <w:t>FR CHELSEA COMMONS III, LLC, a</w:t>
            </w:r>
          </w:p>
        </w:tc>
        <w:tc>
          <w:tcPr>
            <w:tcW w:w="20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Federal Realty</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color w:val="auto"/>
              </w:rPr>
              <w:t>Delaware limited liability company</w:t>
            </w:r>
          </w:p>
        </w:tc>
        <w:tc>
          <w:tcPr>
            <w:tcW w:w="2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Investment Trust</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member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Guarantor</w:t>
            </w: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2"/>
              </w:rPr>
              <w:t>FR ROLLINGWOOD, LLC, a Delaware limited</w:t>
            </w: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Realty</w:t>
            </w: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Investment Trust</w:t>
            </w:r>
          </w:p>
        </w:tc>
        <w:tc>
          <w:tcPr>
            <w:tcW w:w="166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46"/>
        </w:trPr>
        <w:tc>
          <w:tcPr>
            <w:tcW w:w="2680" w:type="dxa"/>
            <w:vAlign w:val="bottom"/>
            <w:gridSpan w:val="3"/>
          </w:tcPr>
          <w:p>
            <w:pPr>
              <w:spacing w:after="0"/>
              <w:rPr>
                <w:sz w:val="20"/>
                <w:szCs w:val="20"/>
                <w:color w:val="auto"/>
              </w:rPr>
            </w:pPr>
            <w:r>
              <w:rPr>
                <w:rFonts w:ascii="Arial" w:cs="Arial" w:eastAsia="Arial" w:hAnsi="Arial"/>
                <w:sz w:val="14"/>
                <w:szCs w:val="14"/>
                <w:color w:val="auto"/>
              </w:rPr>
              <w:t>FR ROLLINGWOOD, INC., a Delaware</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color w:val="auto"/>
              </w:rPr>
              <w:t>corporation</w:t>
            </w:r>
          </w:p>
        </w:tc>
        <w:tc>
          <w:tcPr>
            <w:tcW w:w="20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FR Rollingwood, LLC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Excluded Subsidiary</w:t>
            </w: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FR HUNTINGTON SQUARE, LLC, a Delaware</w:t>
            </w: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Realty</w:t>
            </w: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Investment Trust</w:t>
            </w:r>
          </w:p>
        </w:tc>
        <w:tc>
          <w:tcPr>
            <w:tcW w:w="166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Sole member</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100%</w:t>
            </w:r>
          </w:p>
        </w:tc>
        <w:tc>
          <w:tcPr>
            <w:tcW w:w="20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Guarantor</w:t>
            </w:r>
          </w:p>
        </w:tc>
        <w:tc>
          <w:tcPr>
            <w:tcW w:w="24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70"/>
        </w:trPr>
        <w:tc>
          <w:tcPr>
            <w:tcW w:w="2680" w:type="dxa"/>
            <w:vAlign w:val="bottom"/>
            <w:gridSpan w:val="3"/>
          </w:tcPr>
          <w:p>
            <w:pPr>
              <w:spacing w:after="0"/>
              <w:rPr>
                <w:sz w:val="20"/>
                <w:szCs w:val="20"/>
                <w:color w:val="auto"/>
              </w:rPr>
            </w:pPr>
            <w:r>
              <w:rPr>
                <w:rFonts w:ascii="Arial" w:cs="Arial" w:eastAsia="Arial" w:hAnsi="Arial"/>
                <w:sz w:val="14"/>
                <w:szCs w:val="14"/>
                <w:color w:val="auto"/>
              </w:rPr>
              <w:t>FR TOWER SHOPS, LLC, a</w:t>
            </w:r>
          </w:p>
        </w:tc>
        <w:tc>
          <w:tcPr>
            <w:tcW w:w="20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FR Florida, Inc.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member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2040" w:type="dxa"/>
            <w:vAlign w:val="bottom"/>
            <w:gridSpan w:val="2"/>
          </w:tcPr>
          <w:p>
            <w:pPr>
              <w:ind w:left="100"/>
              <w:spacing w:after="0"/>
              <w:rPr>
                <w:sz w:val="20"/>
                <w:szCs w:val="20"/>
                <w:color w:val="auto"/>
              </w:rPr>
            </w:pPr>
            <w:r>
              <w:rPr>
                <w:rFonts w:ascii="Arial" w:cs="Arial" w:eastAsia="Arial" w:hAnsi="Arial"/>
                <w:sz w:val="14"/>
                <w:szCs w:val="14"/>
                <w:color w:val="auto"/>
              </w:rPr>
              <w:t>Guarantor</w:t>
            </w: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Formation</w:t>
            </w:r>
          </w:p>
        </w:tc>
        <w:tc>
          <w:tcPr>
            <w:tcW w:w="140" w:type="dxa"/>
            <w:vAlign w:val="bottom"/>
          </w:tcPr>
          <w:p>
            <w:pPr>
              <w:spacing w:after="0"/>
              <w:rPr>
                <w:sz w:val="15"/>
                <w:szCs w:val="15"/>
                <w:color w:val="auto"/>
              </w:rPr>
            </w:pPr>
          </w:p>
        </w:tc>
        <w:tc>
          <w:tcPr>
            <w:tcW w:w="1460" w:type="dxa"/>
            <w:vAlign w:val="bottom"/>
          </w:tcPr>
          <w:p>
            <w:pPr>
              <w:ind w:left="30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 Ownership</w:t>
            </w:r>
          </w:p>
        </w:tc>
      </w:tr>
      <w:tr>
        <w:trPr>
          <w:trHeight w:val="146"/>
        </w:trPr>
        <w:tc>
          <w:tcPr>
            <w:tcW w:w="196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color w:val="auto"/>
                <w:w w:val="92"/>
              </w:rPr>
              <w:t>Delaware limited liability company</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4"/>
                <w:szCs w:val="14"/>
                <w:color w:val="auto"/>
              </w:rPr>
              <w:t>FEDERAL REALTY BOSTON, INC., a</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w w:val="88"/>
              </w:rPr>
              <w:t>Federal Realty Investment</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640" w:type="dxa"/>
            <w:vAlign w:val="bottom"/>
            <w:gridSpan w:val="2"/>
          </w:tcPr>
          <w:p>
            <w:pPr>
              <w:ind w:left="220"/>
              <w:spacing w:after="0"/>
              <w:rPr>
                <w:sz w:val="20"/>
                <w:szCs w:val="20"/>
                <w:color w:val="auto"/>
              </w:rPr>
            </w:pPr>
            <w:r>
              <w:rPr>
                <w:rFonts w:ascii="Arial" w:cs="Arial" w:eastAsia="Arial" w:hAnsi="Arial"/>
                <w:sz w:val="14"/>
                <w:szCs w:val="14"/>
                <w:color w:val="auto"/>
              </w:rPr>
              <w:t>Delaware corporation</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Trust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4"/>
                <w:szCs w:val="14"/>
                <w:color w:val="auto"/>
                <w:w w:val="96"/>
              </w:rPr>
              <w:t>FEDERAL REALTY WEST COAST, INC., a</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w w:val="88"/>
              </w:rPr>
              <w:t>Federal Realty Investment</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640" w:type="dxa"/>
            <w:vAlign w:val="bottom"/>
            <w:gridSpan w:val="2"/>
          </w:tcPr>
          <w:p>
            <w:pPr>
              <w:ind w:left="220"/>
              <w:spacing w:after="0"/>
              <w:rPr>
                <w:sz w:val="20"/>
                <w:szCs w:val="20"/>
                <w:color w:val="auto"/>
              </w:rPr>
            </w:pPr>
            <w:r>
              <w:rPr>
                <w:rFonts w:ascii="Arial" w:cs="Arial" w:eastAsia="Arial" w:hAnsi="Arial"/>
                <w:sz w:val="14"/>
                <w:szCs w:val="14"/>
                <w:color w:val="auto"/>
              </w:rPr>
              <w:t>Delaware corporation</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Trust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4"/>
                <w:szCs w:val="14"/>
                <w:color w:val="auto"/>
              </w:rPr>
              <w:t>STREET RETAIL, INC., a Maryland</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w w:val="88"/>
              </w:rPr>
              <w:t>Federal Realty Investment</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640" w:type="dxa"/>
            <w:vAlign w:val="bottom"/>
            <w:gridSpan w:val="2"/>
          </w:tcPr>
          <w:p>
            <w:pPr>
              <w:ind w:left="220"/>
              <w:spacing w:after="0"/>
              <w:rPr>
                <w:sz w:val="20"/>
                <w:szCs w:val="20"/>
                <w:color w:val="auto"/>
              </w:rPr>
            </w:pPr>
            <w:r>
              <w:rPr>
                <w:rFonts w:ascii="Arial" w:cs="Arial" w:eastAsia="Arial" w:hAnsi="Arial"/>
                <w:sz w:val="14"/>
                <w:szCs w:val="14"/>
                <w:color w:val="auto"/>
              </w:rPr>
              <w:t>corporation</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Trust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6"/>
        </w:trPr>
        <w:tc>
          <w:tcPr>
            <w:tcW w:w="2640" w:type="dxa"/>
            <w:vAlign w:val="bottom"/>
            <w:gridSpan w:val="2"/>
          </w:tcPr>
          <w:p>
            <w:pPr>
              <w:spacing w:after="0"/>
              <w:rPr>
                <w:sz w:val="20"/>
                <w:szCs w:val="20"/>
                <w:color w:val="auto"/>
              </w:rPr>
            </w:pPr>
            <w:r>
              <w:rPr>
                <w:rFonts w:ascii="Arial" w:cs="Arial" w:eastAsia="Arial" w:hAnsi="Arial"/>
                <w:sz w:val="14"/>
                <w:szCs w:val="14"/>
                <w:color w:val="auto"/>
              </w:rPr>
              <w:t>SRI/CONTINENTAL, LLC (a Delaware</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Street Retail, Inc.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member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640" w:type="dxa"/>
            <w:vAlign w:val="bottom"/>
            <w:gridSpan w:val="2"/>
          </w:tcPr>
          <w:p>
            <w:pPr>
              <w:ind w:left="220"/>
              <w:spacing w:after="0"/>
              <w:rPr>
                <w:sz w:val="20"/>
                <w:szCs w:val="20"/>
                <w:color w:val="auto"/>
              </w:rPr>
            </w:pPr>
            <w:r>
              <w:rPr>
                <w:rFonts w:ascii="Arial" w:cs="Arial" w:eastAsia="Arial" w:hAnsi="Arial"/>
                <w:sz w:val="14"/>
                <w:szCs w:val="14"/>
                <w:color w:val="auto"/>
              </w:rPr>
              <w:t>limited liability company)</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3"/>
        </w:trPr>
        <w:tc>
          <w:tcPr>
            <w:tcW w:w="2640" w:type="dxa"/>
            <w:vAlign w:val="bottom"/>
            <w:gridSpan w:val="2"/>
          </w:tcPr>
          <w:p>
            <w:pPr>
              <w:spacing w:after="0"/>
              <w:rPr>
                <w:sz w:val="20"/>
                <w:szCs w:val="20"/>
                <w:color w:val="auto"/>
              </w:rPr>
            </w:pPr>
            <w:r>
              <w:rPr>
                <w:rFonts w:ascii="Arial" w:cs="Arial" w:eastAsia="Arial" w:hAnsi="Arial"/>
                <w:sz w:val="14"/>
                <w:szCs w:val="14"/>
                <w:color w:val="auto"/>
              </w:rPr>
              <w:t>FR STURTEVANT STREET, INC., a</w:t>
            </w: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Street Retail, Inc.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640" w:type="dxa"/>
            <w:vAlign w:val="bottom"/>
            <w:gridSpan w:val="2"/>
          </w:tcPr>
          <w:p>
            <w:pPr>
              <w:ind w:left="220"/>
              <w:spacing w:after="0"/>
              <w:rPr>
                <w:sz w:val="20"/>
                <w:szCs w:val="20"/>
                <w:color w:val="auto"/>
              </w:rPr>
            </w:pPr>
            <w:r>
              <w:rPr>
                <w:rFonts w:ascii="Arial" w:cs="Arial" w:eastAsia="Arial" w:hAnsi="Arial"/>
                <w:sz w:val="14"/>
                <w:szCs w:val="14"/>
                <w:color w:val="auto"/>
              </w:rPr>
              <w:t>Delaware corporation</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-1397000</wp:posOffset>
            </wp:positionV>
            <wp:extent cx="724662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24662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Material and/or</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Liens, Options,</w:t>
            </w:r>
          </w:p>
        </w:tc>
      </w:tr>
      <w:tr>
        <w:trPr>
          <w:trHeight w:val="175"/>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Property</w:t>
            </w:r>
          </w:p>
        </w:tc>
        <w:tc>
          <w:tcPr>
            <w:tcW w:w="20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Rights, etc.</w:t>
            </w:r>
          </w:p>
        </w:tc>
      </w:tr>
      <w:tr>
        <w:trPr>
          <w:trHeight w:val="398"/>
        </w:trPr>
        <w:tc>
          <w:tcPr>
            <w:tcW w:w="194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r>
        <w:trPr>
          <w:trHeight w:val="405"/>
        </w:trPr>
        <w:tc>
          <w:tcPr>
            <w:tcW w:w="194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r>
        <w:trPr>
          <w:trHeight w:val="381"/>
        </w:trPr>
        <w:tc>
          <w:tcPr>
            <w:tcW w:w="1940" w:type="dxa"/>
            <w:vAlign w:val="bottom"/>
          </w:tcPr>
          <w:p>
            <w:pPr>
              <w:spacing w:after="0"/>
              <w:rPr>
                <w:sz w:val="20"/>
                <w:szCs w:val="20"/>
                <w:color w:val="auto"/>
              </w:rPr>
            </w:pPr>
            <w:r>
              <w:rPr>
                <w:rFonts w:ascii="Arial" w:cs="Arial" w:eastAsia="Arial" w:hAnsi="Arial"/>
                <w:sz w:val="14"/>
                <w:szCs w:val="14"/>
                <w:color w:val="auto"/>
              </w:rPr>
              <w:t>Guarantor</w:t>
            </w: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Material Subsidiary</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70"/>
        </w:trPr>
        <w:tc>
          <w:tcPr>
            <w:tcW w:w="1940" w:type="dxa"/>
            <w:vAlign w:val="bottom"/>
          </w:tcPr>
          <w:p>
            <w:pPr>
              <w:spacing w:after="0"/>
              <w:rPr>
                <w:sz w:val="23"/>
                <w:szCs w:val="23"/>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r>
        <w:trPr>
          <w:trHeight w:val="405"/>
        </w:trPr>
        <w:tc>
          <w:tcPr>
            <w:tcW w:w="194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bl>
    <w:p>
      <w:pPr>
        <w:spacing w:after="0" w:line="220" w:lineRule="exact"/>
        <w:rPr>
          <w:sz w:val="20"/>
          <w:szCs w:val="20"/>
          <w:color w:val="auto"/>
        </w:rPr>
      </w:pPr>
    </w:p>
    <w:p>
      <w:pPr>
        <w:sectPr>
          <w:pgSz w:w="11900" w:h="16838" w:orient="portrait"/>
          <w:cols w:equalWidth="0" w:num="2">
            <w:col w:w="6820" w:space="220"/>
            <w:col w:w="43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w w:val="91"/>
              </w:rPr>
              <w:t>FR STURTEVANT STREET, LLC, a Delaware</w:t>
            </w:r>
          </w:p>
        </w:tc>
        <w:tc>
          <w:tcPr>
            <w:tcW w:w="16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4"/>
              </w:rPr>
              <w:t>FR Sturtevant Street, Inc.</w:t>
            </w:r>
          </w:p>
        </w:tc>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Sole member</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Guarantor</w:t>
            </w:r>
          </w:p>
        </w:tc>
        <w:tc>
          <w:tcPr>
            <w:tcW w:w="27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liability company</w:t>
            </w:r>
          </w:p>
        </w:tc>
        <w:tc>
          <w:tcPr>
            <w:tcW w:w="1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Material Subsidiary</w:t>
            </w:r>
          </w:p>
        </w:tc>
        <w:tc>
          <w:tcPr>
            <w:tcW w:w="2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680" w:type="dxa"/>
            <w:vAlign w:val="bottom"/>
            <w:gridSpan w:val="2"/>
          </w:tcPr>
          <w:p>
            <w:pPr>
              <w:spacing w:after="0"/>
              <w:rPr>
                <w:sz w:val="20"/>
                <w:szCs w:val="20"/>
                <w:color w:val="auto"/>
              </w:rPr>
            </w:pPr>
            <w:r>
              <w:rPr>
                <w:rFonts w:ascii="Arial" w:cs="Arial" w:eastAsia="Arial" w:hAnsi="Arial"/>
                <w:sz w:val="14"/>
                <w:szCs w:val="14"/>
                <w:color w:val="auto"/>
                <w:w w:val="97"/>
              </w:rPr>
              <w:t>SRI ASSEMBLY ROW B2, LLC, a Delaware</w:t>
            </w:r>
          </w:p>
        </w:tc>
        <w:tc>
          <w:tcPr>
            <w:tcW w:w="1620" w:type="dxa"/>
            <w:vAlign w:val="bottom"/>
          </w:tcPr>
          <w:p>
            <w:pPr>
              <w:ind w:left="100"/>
              <w:spacing w:after="0"/>
              <w:rPr>
                <w:sz w:val="20"/>
                <w:szCs w:val="20"/>
                <w:color w:val="auto"/>
              </w:rPr>
            </w:pPr>
            <w:r>
              <w:rPr>
                <w:rFonts w:ascii="Arial" w:cs="Arial" w:eastAsia="Arial" w:hAnsi="Arial"/>
                <w:sz w:val="14"/>
                <w:szCs w:val="14"/>
                <w:color w:val="auto"/>
              </w:rPr>
              <w:t>Street Retail, Inc.</w:t>
            </w:r>
          </w:p>
        </w:tc>
        <w:tc>
          <w:tcPr>
            <w:tcW w:w="1540" w:type="dxa"/>
            <w:vAlign w:val="bottom"/>
          </w:tcPr>
          <w:p>
            <w:pPr>
              <w:ind w:left="160"/>
              <w:spacing w:after="0"/>
              <w:rPr>
                <w:sz w:val="20"/>
                <w:szCs w:val="20"/>
                <w:color w:val="auto"/>
              </w:rPr>
            </w:pPr>
            <w:r>
              <w:rPr>
                <w:rFonts w:ascii="Arial" w:cs="Arial" w:eastAsia="Arial" w:hAnsi="Arial"/>
                <w:sz w:val="14"/>
                <w:szCs w:val="14"/>
                <w:color w:val="auto"/>
              </w:rPr>
              <w:t>Sole member</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0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780" w:type="dxa"/>
            <w:vAlign w:val="bottom"/>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Material Subsidiary</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SRI ASSEMBLY ROW B3, LLC, a Delaware</w:t>
            </w:r>
          </w:p>
        </w:tc>
        <w:tc>
          <w:tcPr>
            <w:tcW w:w="1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Street Retail, Inc.</w:t>
            </w:r>
          </w:p>
        </w:tc>
        <w:tc>
          <w:tcPr>
            <w:tcW w:w="15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Sole member</w:t>
            </w:r>
          </w:p>
        </w:tc>
        <w:tc>
          <w:tcPr>
            <w:tcW w:w="11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0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Guarantor</w:t>
            </w:r>
          </w:p>
        </w:tc>
        <w:tc>
          <w:tcPr>
            <w:tcW w:w="278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liability company</w:t>
            </w:r>
          </w:p>
        </w:tc>
        <w:tc>
          <w:tcPr>
            <w:tcW w:w="1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Material Subsidiary</w:t>
            </w:r>
          </w:p>
        </w:tc>
        <w:tc>
          <w:tcPr>
            <w:tcW w:w="2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680" w:type="dxa"/>
            <w:vAlign w:val="bottom"/>
            <w:gridSpan w:val="2"/>
          </w:tcPr>
          <w:p>
            <w:pPr>
              <w:spacing w:after="0"/>
              <w:rPr>
                <w:sz w:val="20"/>
                <w:szCs w:val="20"/>
                <w:color w:val="auto"/>
              </w:rPr>
            </w:pPr>
            <w:r>
              <w:rPr>
                <w:rFonts w:ascii="Arial" w:cs="Arial" w:eastAsia="Arial" w:hAnsi="Arial"/>
                <w:sz w:val="14"/>
                <w:szCs w:val="14"/>
                <w:color w:val="auto"/>
                <w:w w:val="97"/>
              </w:rPr>
              <w:t>SRI ASSEMBLY ROW B5, LLC, a Delaware</w:t>
            </w:r>
          </w:p>
        </w:tc>
        <w:tc>
          <w:tcPr>
            <w:tcW w:w="1620" w:type="dxa"/>
            <w:vAlign w:val="bottom"/>
          </w:tcPr>
          <w:p>
            <w:pPr>
              <w:ind w:left="100"/>
              <w:spacing w:after="0"/>
              <w:rPr>
                <w:sz w:val="20"/>
                <w:szCs w:val="20"/>
                <w:color w:val="auto"/>
              </w:rPr>
            </w:pPr>
            <w:r>
              <w:rPr>
                <w:rFonts w:ascii="Arial" w:cs="Arial" w:eastAsia="Arial" w:hAnsi="Arial"/>
                <w:sz w:val="14"/>
                <w:szCs w:val="14"/>
                <w:color w:val="auto"/>
              </w:rPr>
              <w:t>Street Retail, Inc.</w:t>
            </w:r>
          </w:p>
        </w:tc>
        <w:tc>
          <w:tcPr>
            <w:tcW w:w="1540" w:type="dxa"/>
            <w:vAlign w:val="bottom"/>
          </w:tcPr>
          <w:p>
            <w:pPr>
              <w:ind w:left="160"/>
              <w:spacing w:after="0"/>
              <w:rPr>
                <w:sz w:val="20"/>
                <w:szCs w:val="20"/>
                <w:color w:val="auto"/>
              </w:rPr>
            </w:pPr>
            <w:r>
              <w:rPr>
                <w:rFonts w:ascii="Arial" w:cs="Arial" w:eastAsia="Arial" w:hAnsi="Arial"/>
                <w:sz w:val="14"/>
                <w:szCs w:val="14"/>
                <w:color w:val="auto"/>
              </w:rPr>
              <w:t>Sole member</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0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780" w:type="dxa"/>
            <w:vAlign w:val="bottom"/>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Arial" w:cs="Arial" w:eastAsia="Arial" w:hAnsi="Arial"/>
                <w:sz w:val="14"/>
                <w:szCs w:val="14"/>
                <w:color w:val="auto"/>
              </w:rPr>
              <w:t>Material Subsidiary</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ENTITY NAME/Jurisdiction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50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20" w:hanging="215"/>
        <w:spacing w:after="0" w:line="239" w:lineRule="auto"/>
        <w:rPr>
          <w:sz w:val="20"/>
          <w:szCs w:val="20"/>
          <w:color w:val="auto"/>
        </w:rPr>
      </w:pPr>
      <w:r>
        <w:rPr>
          <w:rFonts w:ascii="Arial" w:cs="Arial" w:eastAsia="Arial" w:hAnsi="Arial"/>
          <w:sz w:val="14"/>
          <w:szCs w:val="14"/>
          <w:color w:val="auto"/>
        </w:rPr>
        <w:t>SRI ASSEMBLY ROW B6, LLC, a Delaware limited liability company</w:t>
      </w:r>
    </w:p>
    <w:p>
      <w:pPr>
        <w:spacing w:after="0" w:line="112"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SRI ASSEMBLY ROW B7, LLC, a Delaware limited liability company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Material and/or</w:t>
            </w:r>
          </w:p>
        </w:tc>
        <w:tc>
          <w:tcPr>
            <w:tcW w:w="222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220" w:type="dxa"/>
            <w:vAlign w:val="bottom"/>
          </w:tcPr>
          <w:p>
            <w:pPr>
              <w:spacing w:after="0"/>
              <w:rPr>
                <w:sz w:val="12"/>
                <w:szCs w:val="12"/>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Liens, Options,</w:t>
            </w:r>
          </w:p>
        </w:tc>
      </w:tr>
      <w:tr>
        <w:trPr>
          <w:trHeight w:val="175"/>
        </w:trPr>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Interest</w:t>
            </w:r>
          </w:p>
        </w:tc>
        <w:tc>
          <w:tcPr>
            <w:tcW w:w="104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Property</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5"/>
              </w:rPr>
              <w:t>Registration Rights, etc.</w:t>
            </w:r>
          </w:p>
        </w:tc>
      </w:tr>
      <w:tr>
        <w:trPr>
          <w:trHeight w:val="131"/>
        </w:trPr>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Street Retail, Inc.</w:t>
            </w:r>
          </w:p>
        </w:tc>
        <w:tc>
          <w:tcPr>
            <w:tcW w:w="220" w:type="dxa"/>
            <w:vAlign w:val="bottom"/>
          </w:tcPr>
          <w:p>
            <w:pPr>
              <w:spacing w:after="0"/>
              <w:rPr>
                <w:sz w:val="11"/>
                <w:szCs w:val="11"/>
                <w:color w:val="auto"/>
              </w:rPr>
            </w:pPr>
          </w:p>
        </w:tc>
        <w:tc>
          <w:tcPr>
            <w:tcW w:w="1260" w:type="dxa"/>
            <w:vAlign w:val="bottom"/>
            <w:tcBorders>
              <w:top w:val="single" w:sz="8" w:color="auto"/>
            </w:tcBorders>
          </w:tcPr>
          <w:p>
            <w:pPr>
              <w:jc w:val="right"/>
              <w:ind w:right="492"/>
              <w:spacing w:after="0" w:line="131" w:lineRule="exact"/>
              <w:rPr>
                <w:sz w:val="20"/>
                <w:szCs w:val="20"/>
                <w:color w:val="auto"/>
              </w:rPr>
            </w:pPr>
            <w:r>
              <w:rPr>
                <w:rFonts w:ascii="Arial" w:cs="Arial" w:eastAsia="Arial" w:hAnsi="Arial"/>
                <w:sz w:val="14"/>
                <w:szCs w:val="14"/>
                <w:color w:val="auto"/>
                <w:w w:val="81"/>
              </w:rPr>
              <w:t>Sole member</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100</w:t>
            </w:r>
          </w:p>
        </w:tc>
        <w:tc>
          <w:tcPr>
            <w:tcW w:w="220" w:type="dxa"/>
            <w:vAlign w:val="bottom"/>
          </w:tcPr>
          <w:p>
            <w:pPr>
              <w:jc w:val="right"/>
              <w:ind w:right="58"/>
              <w:spacing w:after="0" w:line="132" w:lineRule="exact"/>
              <w:rPr>
                <w:sz w:val="20"/>
                <w:szCs w:val="20"/>
                <w:color w:val="auto"/>
              </w:rPr>
            </w:pPr>
            <w:r>
              <w:rPr>
                <w:rFonts w:ascii="Arial" w:cs="Arial" w:eastAsia="Arial" w:hAnsi="Arial"/>
                <w:sz w:val="12"/>
                <w:szCs w:val="12"/>
                <w:color w:val="auto"/>
                <w:w w:val="74"/>
              </w:rPr>
              <w:t>%</w:t>
            </w:r>
          </w:p>
        </w:tc>
        <w:tc>
          <w:tcPr>
            <w:tcW w:w="120" w:type="dxa"/>
            <w:vAlign w:val="bottom"/>
          </w:tcPr>
          <w:p>
            <w:pPr>
              <w:spacing w:after="0"/>
              <w:rPr>
                <w:sz w:val="11"/>
                <w:szCs w:val="11"/>
                <w:color w:val="auto"/>
              </w:rPr>
            </w:pPr>
          </w:p>
        </w:tc>
        <w:tc>
          <w:tcPr>
            <w:tcW w:w="19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Guarantor</w:t>
            </w:r>
          </w:p>
        </w:tc>
        <w:tc>
          <w:tcPr>
            <w:tcW w:w="220" w:type="dxa"/>
            <w:vAlign w:val="bottom"/>
          </w:tcPr>
          <w:p>
            <w:pPr>
              <w:spacing w:after="0"/>
              <w:rPr>
                <w:sz w:val="11"/>
                <w:szCs w:val="11"/>
                <w:color w:val="auto"/>
              </w:rPr>
            </w:pPr>
          </w:p>
        </w:tc>
        <w:tc>
          <w:tcPr>
            <w:tcW w:w="22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None</w:t>
            </w:r>
          </w:p>
        </w:tc>
      </w:tr>
      <w:tr>
        <w:trPr>
          <w:trHeight w:val="17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Material Subsidiary</w:t>
            </w:r>
          </w:p>
        </w:tc>
        <w:tc>
          <w:tcPr>
            <w:tcW w:w="2220" w:type="dxa"/>
            <w:vAlign w:val="bottom"/>
          </w:tcPr>
          <w:p>
            <w:pPr>
              <w:spacing w:after="0"/>
              <w:rPr>
                <w:sz w:val="14"/>
                <w:szCs w:val="14"/>
                <w:color w:val="auto"/>
              </w:rPr>
            </w:pPr>
          </w:p>
        </w:tc>
      </w:tr>
      <w:tr>
        <w:trPr>
          <w:trHeight w:val="270"/>
        </w:trPr>
        <w:tc>
          <w:tcPr>
            <w:tcW w:w="1360" w:type="dxa"/>
            <w:vAlign w:val="bottom"/>
          </w:tcPr>
          <w:p>
            <w:pPr>
              <w:spacing w:after="0"/>
              <w:rPr>
                <w:sz w:val="20"/>
                <w:szCs w:val="20"/>
                <w:color w:val="auto"/>
              </w:rPr>
            </w:pPr>
            <w:r>
              <w:rPr>
                <w:rFonts w:ascii="Arial" w:cs="Arial" w:eastAsia="Arial" w:hAnsi="Arial"/>
                <w:sz w:val="14"/>
                <w:szCs w:val="14"/>
                <w:color w:val="auto"/>
              </w:rPr>
              <w:t>Street Retail, Inc.</w:t>
            </w:r>
          </w:p>
        </w:tc>
        <w:tc>
          <w:tcPr>
            <w:tcW w:w="1680" w:type="dxa"/>
            <w:vAlign w:val="bottom"/>
            <w:gridSpan w:val="3"/>
          </w:tcPr>
          <w:p>
            <w:pPr>
              <w:jc w:val="right"/>
              <w:ind w:right="760"/>
              <w:spacing w:after="0"/>
              <w:rPr>
                <w:sz w:val="20"/>
                <w:szCs w:val="20"/>
                <w:color w:val="auto"/>
              </w:rPr>
            </w:pPr>
            <w:r>
              <w:rPr>
                <w:rFonts w:ascii="Arial" w:cs="Arial" w:eastAsia="Arial" w:hAnsi="Arial"/>
                <w:sz w:val="14"/>
                <w:szCs w:val="14"/>
                <w:color w:val="auto"/>
              </w:rPr>
              <w:t>Sole member</w:t>
            </w:r>
          </w:p>
        </w:tc>
        <w:tc>
          <w:tcPr>
            <w:tcW w:w="1040" w:type="dxa"/>
            <w:vAlign w:val="bottom"/>
            <w:gridSpan w:val="2"/>
          </w:tcPr>
          <w:p>
            <w:pPr>
              <w:jc w:val="right"/>
              <w:ind w:right="58"/>
              <w:spacing w:after="0"/>
              <w:rPr>
                <w:sz w:val="20"/>
                <w:szCs w:val="20"/>
                <w:color w:val="auto"/>
              </w:rPr>
            </w:pPr>
            <w:r>
              <w:rPr>
                <w:rFonts w:ascii="Arial" w:cs="Arial" w:eastAsia="Arial" w:hAnsi="Arial"/>
                <w:sz w:val="14"/>
                <w:szCs w:val="14"/>
                <w:color w:val="auto"/>
              </w:rPr>
              <w:t>100%</w:t>
            </w: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Guarantor Material Subsidiary</w:t>
            </w:r>
          </w:p>
        </w:tc>
        <w:tc>
          <w:tcPr>
            <w:tcW w:w="2220" w:type="dxa"/>
            <w:vAlign w:val="bottom"/>
          </w:tcPr>
          <w:p>
            <w:pPr>
              <w:spacing w:after="0"/>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-376555</wp:posOffset>
            </wp:positionV>
            <wp:extent cx="724662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500" w:space="380"/>
            <w:col w:w="85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w w:val="97"/>
              </w:rPr>
              <w:t>SRI ASSEMBLY ROW B8, LLC, a Delaware</w:t>
            </w:r>
          </w:p>
        </w:tc>
        <w:tc>
          <w:tcPr>
            <w:tcW w:w="1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Street Retail, Inc.</w:t>
            </w:r>
          </w:p>
        </w:tc>
        <w:tc>
          <w:tcPr>
            <w:tcW w:w="1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Sole member</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Guarantor</w:t>
            </w:r>
          </w:p>
        </w:tc>
        <w:tc>
          <w:tcPr>
            <w:tcW w:w="2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limited liability company</w:t>
            </w:r>
          </w:p>
        </w:tc>
        <w:tc>
          <w:tcPr>
            <w:tcW w:w="15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Material Subsidiary</w:t>
            </w:r>
          </w:p>
        </w:tc>
        <w:tc>
          <w:tcPr>
            <w:tcW w:w="2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720" w:type="dxa"/>
            <w:vAlign w:val="bottom"/>
            <w:gridSpan w:val="2"/>
          </w:tcPr>
          <w:p>
            <w:pPr>
              <w:spacing w:after="0"/>
              <w:rPr>
                <w:sz w:val="20"/>
                <w:szCs w:val="20"/>
                <w:color w:val="auto"/>
              </w:rPr>
            </w:pPr>
            <w:r>
              <w:rPr>
                <w:rFonts w:ascii="Arial" w:cs="Arial" w:eastAsia="Arial" w:hAnsi="Arial"/>
                <w:sz w:val="14"/>
                <w:szCs w:val="14"/>
                <w:color w:val="auto"/>
                <w:w w:val="98"/>
              </w:rPr>
              <w:t>SRI ASSEMBLY ROW B9, LLC, a Delaware</w:t>
            </w:r>
          </w:p>
        </w:tc>
        <w:tc>
          <w:tcPr>
            <w:tcW w:w="1580" w:type="dxa"/>
            <w:vAlign w:val="bottom"/>
          </w:tcPr>
          <w:p>
            <w:pPr>
              <w:ind w:left="160"/>
              <w:spacing w:after="0"/>
              <w:rPr>
                <w:sz w:val="20"/>
                <w:szCs w:val="20"/>
                <w:color w:val="auto"/>
              </w:rPr>
            </w:pPr>
            <w:r>
              <w:rPr>
                <w:rFonts w:ascii="Arial" w:cs="Arial" w:eastAsia="Arial" w:hAnsi="Arial"/>
                <w:sz w:val="14"/>
                <w:szCs w:val="14"/>
                <w:color w:val="auto"/>
              </w:rPr>
              <w:t>Street Retail, Inc.</w:t>
            </w:r>
          </w:p>
        </w:tc>
        <w:tc>
          <w:tcPr>
            <w:tcW w:w="1780" w:type="dxa"/>
            <w:vAlign w:val="bottom"/>
          </w:tcPr>
          <w:p>
            <w:pPr>
              <w:ind w:left="160"/>
              <w:spacing w:after="0"/>
              <w:rPr>
                <w:sz w:val="20"/>
                <w:szCs w:val="20"/>
                <w:color w:val="auto"/>
              </w:rPr>
            </w:pPr>
            <w:r>
              <w:rPr>
                <w:rFonts w:ascii="Arial" w:cs="Arial" w:eastAsia="Arial" w:hAnsi="Arial"/>
                <w:sz w:val="14"/>
                <w:szCs w:val="14"/>
                <w:color w:val="auto"/>
              </w:rPr>
              <w:t>Sole member</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00" w:type="dxa"/>
            <w:vAlign w:val="bottom"/>
          </w:tcPr>
          <w:p>
            <w:pPr>
              <w:ind w:left="120"/>
              <w:spacing w:after="0"/>
              <w:rPr>
                <w:sz w:val="20"/>
                <w:szCs w:val="20"/>
                <w:color w:val="auto"/>
              </w:rPr>
            </w:pPr>
            <w:r>
              <w:rPr>
                <w:rFonts w:ascii="Arial" w:cs="Arial" w:eastAsia="Arial" w:hAnsi="Arial"/>
                <w:sz w:val="14"/>
                <w:szCs w:val="14"/>
                <w:color w:val="auto"/>
              </w:rPr>
              <w:t>Guarantor</w:t>
            </w:r>
          </w:p>
        </w:tc>
        <w:tc>
          <w:tcPr>
            <w:tcW w:w="2760" w:type="dxa"/>
            <w:vAlign w:val="bottom"/>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ind w:left="200"/>
              <w:spacing w:after="0"/>
              <w:rPr>
                <w:sz w:val="20"/>
                <w:szCs w:val="20"/>
                <w:color w:val="auto"/>
              </w:rPr>
            </w:pPr>
            <w:r>
              <w:rPr>
                <w:rFonts w:ascii="Arial" w:cs="Arial" w:eastAsia="Arial" w:hAnsi="Arial"/>
                <w:sz w:val="14"/>
                <w:szCs w:val="14"/>
                <w:color w:val="auto"/>
              </w:rPr>
              <w:t>limited liability company</w:t>
            </w: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Material Subsidiary</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FRIT SAN JOSE TOWN AND COUNTRY</w:t>
            </w:r>
          </w:p>
        </w:tc>
        <w:tc>
          <w:tcPr>
            <w:tcW w:w="15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Street Retail, Inc.</w:t>
            </w:r>
          </w:p>
        </w:tc>
        <w:tc>
          <w:tcPr>
            <w:tcW w:w="17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Sole member</w:t>
            </w:r>
          </w:p>
        </w:tc>
        <w:tc>
          <w:tcPr>
            <w:tcW w:w="8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Guarantor</w:t>
            </w:r>
          </w:p>
        </w:tc>
        <w:tc>
          <w:tcPr>
            <w:tcW w:w="276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VILLAGE, LLC, a California limited</w:t>
            </w:r>
          </w:p>
        </w:tc>
        <w:tc>
          <w:tcPr>
            <w:tcW w:w="15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Material Subsidiary</w:t>
            </w:r>
          </w:p>
        </w:tc>
        <w:tc>
          <w:tcPr>
            <w:tcW w:w="2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5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20" w:type="dxa"/>
            <w:vAlign w:val="bottom"/>
            <w:gridSpan w:val="2"/>
          </w:tcPr>
          <w:p>
            <w:pPr>
              <w:spacing w:after="0"/>
              <w:rPr>
                <w:sz w:val="20"/>
                <w:szCs w:val="20"/>
                <w:color w:val="auto"/>
              </w:rPr>
            </w:pPr>
            <w:r>
              <w:rPr>
                <w:rFonts w:ascii="Arial" w:cs="Arial" w:eastAsia="Arial" w:hAnsi="Arial"/>
                <w:sz w:val="14"/>
                <w:szCs w:val="14"/>
                <w:color w:val="auto"/>
                <w:w w:val="97"/>
              </w:rPr>
              <w:t>SAN JOSE RESIDENTIAL, INC., a Maryland</w:t>
            </w:r>
          </w:p>
        </w:tc>
        <w:tc>
          <w:tcPr>
            <w:tcW w:w="1580" w:type="dxa"/>
            <w:vAlign w:val="bottom"/>
          </w:tcPr>
          <w:p>
            <w:pPr>
              <w:ind w:left="160"/>
              <w:spacing w:after="0"/>
              <w:rPr>
                <w:sz w:val="20"/>
                <w:szCs w:val="20"/>
                <w:color w:val="auto"/>
              </w:rPr>
            </w:pPr>
            <w:r>
              <w:rPr>
                <w:rFonts w:ascii="Arial" w:cs="Arial" w:eastAsia="Arial" w:hAnsi="Arial"/>
                <w:sz w:val="14"/>
                <w:szCs w:val="14"/>
                <w:color w:val="auto"/>
              </w:rPr>
              <w:t>Federal Realty</w:t>
            </w:r>
          </w:p>
        </w:tc>
        <w:tc>
          <w:tcPr>
            <w:tcW w:w="1780" w:type="dxa"/>
            <w:vAlign w:val="bottom"/>
          </w:tcPr>
          <w:p>
            <w:pPr>
              <w:ind w:left="160"/>
              <w:spacing w:after="0"/>
              <w:rPr>
                <w:sz w:val="20"/>
                <w:szCs w:val="20"/>
                <w:color w:val="auto"/>
              </w:rPr>
            </w:pPr>
            <w:r>
              <w:rPr>
                <w:rFonts w:ascii="Arial" w:cs="Arial" w:eastAsia="Arial" w:hAnsi="Arial"/>
                <w:sz w:val="14"/>
                <w:szCs w:val="14"/>
                <w:color w:val="auto"/>
              </w:rPr>
              <w:t>Class A Voting</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50%</w:t>
            </w:r>
          </w:p>
        </w:tc>
        <w:tc>
          <w:tcPr>
            <w:tcW w:w="1700" w:type="dxa"/>
            <w:vAlign w:val="bottom"/>
          </w:tcPr>
          <w:p>
            <w:pPr>
              <w:spacing w:after="0"/>
              <w:rPr>
                <w:sz w:val="21"/>
                <w:szCs w:val="21"/>
                <w:color w:val="auto"/>
              </w:rPr>
            </w:pPr>
          </w:p>
        </w:tc>
        <w:tc>
          <w:tcPr>
            <w:tcW w:w="2760" w:type="dxa"/>
            <w:vAlign w:val="bottom"/>
          </w:tcPr>
          <w:p>
            <w:pPr>
              <w:ind w:left="5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corporation</w:t>
            </w:r>
          </w:p>
        </w:tc>
        <w:tc>
          <w:tcPr>
            <w:tcW w:w="1580" w:type="dxa"/>
            <w:vAlign w:val="bottom"/>
          </w:tcPr>
          <w:p>
            <w:pPr>
              <w:ind w:left="160"/>
              <w:spacing w:after="0" w:line="149" w:lineRule="exact"/>
              <w:rPr>
                <w:sz w:val="20"/>
                <w:szCs w:val="20"/>
                <w:color w:val="auto"/>
              </w:rPr>
            </w:pPr>
            <w:r>
              <w:rPr>
                <w:rFonts w:ascii="Arial" w:cs="Arial" w:eastAsia="Arial" w:hAnsi="Arial"/>
                <w:sz w:val="14"/>
                <w:szCs w:val="14"/>
                <w:color w:val="auto"/>
              </w:rPr>
              <w:t>Investment Trust</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Common Stockholder</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80" w:type="dxa"/>
            <w:vAlign w:val="bottom"/>
          </w:tcPr>
          <w:p>
            <w:pPr>
              <w:ind w:left="160"/>
              <w:spacing w:after="0" w:line="149" w:lineRule="exact"/>
              <w:rPr>
                <w:sz w:val="20"/>
                <w:szCs w:val="20"/>
                <w:color w:val="auto"/>
              </w:rPr>
            </w:pPr>
            <w:r>
              <w:rPr>
                <w:rFonts w:ascii="Arial" w:cs="Arial" w:eastAsia="Arial" w:hAnsi="Arial"/>
                <w:sz w:val="14"/>
                <w:szCs w:val="14"/>
                <w:color w:val="auto"/>
              </w:rPr>
              <w:t>Jeanne T. Connor</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Class A Voting</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1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Common Stockholder</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80" w:type="dxa"/>
            <w:vAlign w:val="bottom"/>
          </w:tcPr>
          <w:p>
            <w:pPr>
              <w:ind w:left="160"/>
              <w:spacing w:after="0" w:line="149" w:lineRule="exact"/>
              <w:rPr>
                <w:sz w:val="20"/>
                <w:szCs w:val="20"/>
                <w:color w:val="auto"/>
              </w:rPr>
            </w:pPr>
            <w:r>
              <w:rPr>
                <w:rFonts w:ascii="Arial" w:cs="Arial" w:eastAsia="Arial" w:hAnsi="Arial"/>
                <w:sz w:val="14"/>
                <w:szCs w:val="14"/>
                <w:color w:val="auto"/>
                <w:w w:val="96"/>
              </w:rPr>
              <w:t>FRIT San Jose Town &amp;</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Class B Non-Voting</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1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ind w:left="160"/>
              <w:spacing w:after="0"/>
              <w:rPr>
                <w:sz w:val="20"/>
                <w:szCs w:val="20"/>
                <w:color w:val="auto"/>
              </w:rPr>
            </w:pPr>
            <w:r>
              <w:rPr>
                <w:rFonts w:ascii="Arial" w:cs="Arial" w:eastAsia="Arial" w:hAnsi="Arial"/>
                <w:sz w:val="14"/>
                <w:szCs w:val="14"/>
                <w:color w:val="auto"/>
              </w:rPr>
              <w:t>Country Village, LLC</w:t>
            </w:r>
          </w:p>
        </w:tc>
        <w:tc>
          <w:tcPr>
            <w:tcW w:w="1780" w:type="dxa"/>
            <w:vAlign w:val="bottom"/>
          </w:tcPr>
          <w:p>
            <w:pPr>
              <w:ind w:left="160"/>
              <w:spacing w:after="0"/>
              <w:rPr>
                <w:sz w:val="20"/>
                <w:szCs w:val="20"/>
                <w:color w:val="auto"/>
              </w:rPr>
            </w:pPr>
            <w:r>
              <w:rPr>
                <w:rFonts w:ascii="Arial" w:cs="Arial" w:eastAsia="Arial" w:hAnsi="Arial"/>
                <w:sz w:val="14"/>
                <w:szCs w:val="14"/>
                <w:color w:val="auto"/>
              </w:rPr>
              <w:t>Common Stockholder</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STREET RETAIL FOREST HILLS I, LLC, a</w:t>
            </w:r>
          </w:p>
        </w:tc>
        <w:tc>
          <w:tcPr>
            <w:tcW w:w="15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Street Retail, Inc.</w:t>
            </w:r>
          </w:p>
        </w:tc>
        <w:tc>
          <w:tcPr>
            <w:tcW w:w="17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Sole member</w:t>
            </w:r>
          </w:p>
        </w:tc>
        <w:tc>
          <w:tcPr>
            <w:tcW w:w="8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Guarantor</w:t>
            </w:r>
          </w:p>
        </w:tc>
        <w:tc>
          <w:tcPr>
            <w:tcW w:w="276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Delaware limited liability company</w:t>
            </w:r>
          </w:p>
        </w:tc>
        <w:tc>
          <w:tcPr>
            <w:tcW w:w="15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right="780"/>
        <w:spacing w:after="0" w:line="241" w:lineRule="auto"/>
        <w:rPr>
          <w:sz w:val="20"/>
          <w:szCs w:val="20"/>
          <w:color w:val="auto"/>
        </w:rPr>
      </w:pPr>
      <w:r>
        <w:rPr>
          <w:rFonts w:ascii="Arial" w:cs="Arial" w:eastAsia="Arial" w:hAnsi="Arial"/>
          <w:sz w:val="14"/>
          <w:szCs w:val="14"/>
          <w:b w:val="1"/>
          <w:bCs w:val="1"/>
          <w:color w:val="auto"/>
        </w:rPr>
        <w:t>ENTITY NAME/Jurisdiction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50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20" w:right="200" w:hanging="215"/>
        <w:spacing w:after="0" w:line="239" w:lineRule="auto"/>
        <w:rPr>
          <w:sz w:val="20"/>
          <w:szCs w:val="20"/>
          <w:color w:val="auto"/>
        </w:rPr>
      </w:pPr>
      <w:r>
        <w:rPr>
          <w:rFonts w:ascii="Arial" w:cs="Arial" w:eastAsia="Arial" w:hAnsi="Arial"/>
          <w:sz w:val="14"/>
          <w:szCs w:val="14"/>
          <w:color w:val="auto"/>
        </w:rPr>
        <w:t>SRI OLD TOWN, LLC, a California limited liability company</w:t>
      </w:r>
    </w:p>
    <w:p>
      <w:pPr>
        <w:spacing w:after="0" w:line="85"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STREET RETAIL WEST GP, INC., a Maryland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Material and/or</w:t>
            </w: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9"/>
        </w:trPr>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Liens, Options,</w:t>
            </w:r>
          </w:p>
        </w:tc>
      </w:tr>
      <w:tr>
        <w:trPr>
          <w:trHeight w:val="175"/>
        </w:trPr>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Holders</w:t>
            </w:r>
          </w:p>
        </w:tc>
        <w:tc>
          <w:tcPr>
            <w:tcW w:w="2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1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7"/>
              </w:rPr>
              <w:t>% Ownership</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Property</w:t>
            </w:r>
          </w:p>
        </w:tc>
        <w:tc>
          <w:tcPr>
            <w:tcW w:w="2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Rights, etc.</w:t>
            </w:r>
          </w:p>
        </w:tc>
      </w:tr>
      <w:tr>
        <w:trPr>
          <w:trHeight w:val="166"/>
        </w:trPr>
        <w:tc>
          <w:tcPr>
            <w:tcW w:w="1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Street Retail, Inc.</w:t>
            </w: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Sole member</w:t>
            </w:r>
          </w:p>
        </w:tc>
        <w:tc>
          <w:tcPr>
            <w:tcW w:w="2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340" w:type="dxa"/>
            <w:vAlign w:val="bottom"/>
          </w:tcPr>
          <w:p>
            <w:pPr>
              <w:jc w:val="right"/>
              <w:ind w:right="152"/>
              <w:spacing w:after="0" w:line="153" w:lineRule="exact"/>
              <w:rPr>
                <w:sz w:val="20"/>
                <w:szCs w:val="20"/>
                <w:color w:val="auto"/>
              </w:rPr>
            </w:pPr>
            <w:r>
              <w:rPr>
                <w:rFonts w:ascii="Arial" w:cs="Arial" w:eastAsia="Arial" w:hAnsi="Arial"/>
                <w:sz w:val="14"/>
                <w:szCs w:val="14"/>
                <w:color w:val="auto"/>
                <w:w w:val="79"/>
              </w:rPr>
              <w:t>%</w:t>
            </w:r>
          </w:p>
        </w:tc>
        <w:tc>
          <w:tcPr>
            <w:tcW w:w="1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Guarantor</w:t>
            </w:r>
          </w:p>
        </w:tc>
        <w:tc>
          <w:tcPr>
            <w:tcW w:w="200" w:type="dxa"/>
            <w:vAlign w:val="bottom"/>
          </w:tcPr>
          <w:p>
            <w:pPr>
              <w:spacing w:after="0"/>
              <w:rPr>
                <w:sz w:val="14"/>
                <w:szCs w:val="14"/>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None</w:t>
            </w:r>
          </w:p>
        </w:tc>
      </w:tr>
      <w:tr>
        <w:trPr>
          <w:trHeight w:val="381"/>
        </w:trPr>
        <w:tc>
          <w:tcPr>
            <w:tcW w:w="1360" w:type="dxa"/>
            <w:vAlign w:val="bottom"/>
          </w:tcPr>
          <w:p>
            <w:pPr>
              <w:spacing w:after="0"/>
              <w:rPr>
                <w:sz w:val="20"/>
                <w:szCs w:val="20"/>
                <w:color w:val="auto"/>
              </w:rPr>
            </w:pPr>
            <w:r>
              <w:rPr>
                <w:rFonts w:ascii="Arial" w:cs="Arial" w:eastAsia="Arial" w:hAnsi="Arial"/>
                <w:sz w:val="14"/>
                <w:szCs w:val="14"/>
                <w:color w:val="auto"/>
              </w:rPr>
              <w:t>Street Retail, Inc.</w:t>
            </w:r>
          </w:p>
        </w:tc>
        <w:tc>
          <w:tcPr>
            <w:tcW w:w="1660" w:type="dxa"/>
            <w:vAlign w:val="bottom"/>
            <w:gridSpan w:val="3"/>
          </w:tcPr>
          <w:p>
            <w:pPr>
              <w:ind w:left="220"/>
              <w:spacing w:after="0"/>
              <w:rPr>
                <w:sz w:val="20"/>
                <w:szCs w:val="20"/>
                <w:color w:val="auto"/>
              </w:rPr>
            </w:pPr>
            <w:r>
              <w:rPr>
                <w:rFonts w:ascii="Arial" w:cs="Arial" w:eastAsia="Arial" w:hAnsi="Arial"/>
                <w:sz w:val="14"/>
                <w:szCs w:val="14"/>
                <w:color w:val="auto"/>
              </w:rPr>
              <w:t>Sole stockholder</w:t>
            </w:r>
          </w:p>
        </w:tc>
        <w:tc>
          <w:tcPr>
            <w:tcW w:w="1140" w:type="dxa"/>
            <w:vAlign w:val="bottom"/>
            <w:gridSpan w:val="2"/>
          </w:tcPr>
          <w:p>
            <w:pPr>
              <w:jc w:val="right"/>
              <w:ind w:right="152"/>
              <w:spacing w:after="0"/>
              <w:rPr>
                <w:sz w:val="20"/>
                <w:szCs w:val="20"/>
                <w:color w:val="auto"/>
              </w:rPr>
            </w:pPr>
            <w:r>
              <w:rPr>
                <w:rFonts w:ascii="Arial" w:cs="Arial" w:eastAsia="Arial" w:hAnsi="Arial"/>
                <w:sz w:val="14"/>
                <w:szCs w:val="14"/>
                <w:color w:val="auto"/>
              </w:rPr>
              <w:t>100%</w:t>
            </w:r>
          </w:p>
        </w:tc>
        <w:tc>
          <w:tcPr>
            <w:tcW w:w="194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-359410</wp:posOffset>
            </wp:positionV>
            <wp:extent cx="724662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620" w:space="260"/>
            <w:col w:w="85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STREET RETAIL WEST I, L.P., a Delaware</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Street Retail West GP,</w:t>
            </w:r>
          </w:p>
        </w:tc>
        <w:tc>
          <w:tcPr>
            <w:tcW w:w="1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w:t>
            </w:r>
          </w:p>
        </w:tc>
        <w:tc>
          <w:tcPr>
            <w:tcW w:w="2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Guarantor</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partnership</w:t>
            </w:r>
          </w:p>
        </w:tc>
        <w:tc>
          <w:tcPr>
            <w:tcW w:w="14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Inc.</w:t>
            </w:r>
          </w:p>
        </w:tc>
        <w:tc>
          <w:tcPr>
            <w:tcW w:w="1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12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Material Subsidiary</w:t>
            </w: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Limited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rPr>
              <w:t>STREET RETAIL WEST II, L.P., a Delaware</w:t>
            </w:r>
          </w:p>
        </w:tc>
        <w:tc>
          <w:tcPr>
            <w:tcW w:w="1460" w:type="dxa"/>
            <w:vAlign w:val="bottom"/>
          </w:tcPr>
          <w:p>
            <w:pPr>
              <w:ind w:left="100"/>
              <w:spacing w:after="0"/>
              <w:rPr>
                <w:sz w:val="20"/>
                <w:szCs w:val="20"/>
                <w:color w:val="auto"/>
              </w:rPr>
            </w:pPr>
            <w:r>
              <w:rPr>
                <w:rFonts w:ascii="Arial" w:cs="Arial" w:eastAsia="Arial" w:hAnsi="Arial"/>
                <w:sz w:val="14"/>
                <w:szCs w:val="14"/>
                <w:color w:val="auto"/>
                <w:w w:val="95"/>
              </w:rPr>
              <w:t>Street Retail West GP,</w:t>
            </w:r>
          </w:p>
        </w:tc>
        <w:tc>
          <w:tcPr>
            <w:tcW w:w="1700" w:type="dxa"/>
            <w:vAlign w:val="bottom"/>
          </w:tcPr>
          <w:p>
            <w:pPr>
              <w:ind w:left="220"/>
              <w:spacing w:after="0"/>
              <w:rPr>
                <w:sz w:val="20"/>
                <w:szCs w:val="20"/>
                <w:color w:val="auto"/>
              </w:rPr>
            </w:pPr>
            <w:r>
              <w:rPr>
                <w:rFonts w:ascii="Arial" w:cs="Arial" w:eastAsia="Arial" w:hAnsi="Arial"/>
                <w:sz w:val="14"/>
                <w:szCs w:val="14"/>
                <w:color w:val="auto"/>
              </w:rPr>
              <w:t>General partner</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212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360" w:type="dxa"/>
            <w:vAlign w:val="bottom"/>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limited partnership</w:t>
            </w:r>
          </w:p>
        </w:tc>
        <w:tc>
          <w:tcPr>
            <w:tcW w:w="1460" w:type="dxa"/>
            <w:vAlign w:val="bottom"/>
          </w:tcPr>
          <w:p>
            <w:pPr>
              <w:ind w:left="100"/>
              <w:spacing w:after="0" w:line="149" w:lineRule="exact"/>
              <w:rPr>
                <w:sz w:val="20"/>
                <w:szCs w:val="20"/>
                <w:color w:val="auto"/>
              </w:rPr>
            </w:pPr>
            <w:r>
              <w:rPr>
                <w:rFonts w:ascii="Arial" w:cs="Arial" w:eastAsia="Arial" w:hAnsi="Arial"/>
                <w:sz w:val="14"/>
                <w:szCs w:val="14"/>
                <w:color w:val="auto"/>
              </w:rPr>
              <w:t>Inc.</w:t>
            </w:r>
          </w:p>
        </w:tc>
        <w:tc>
          <w:tcPr>
            <w:tcW w:w="1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60" w:type="dxa"/>
            <w:vAlign w:val="bottom"/>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tcPr>
          <w:p>
            <w:pPr>
              <w:ind w:left="220"/>
              <w:spacing w:after="0" w:line="149" w:lineRule="exact"/>
              <w:rPr>
                <w:sz w:val="20"/>
                <w:szCs w:val="20"/>
                <w:color w:val="auto"/>
              </w:rPr>
            </w:pPr>
            <w:r>
              <w:rPr>
                <w:rFonts w:ascii="Arial" w:cs="Arial" w:eastAsia="Arial" w:hAnsi="Arial"/>
                <w:sz w:val="14"/>
                <w:szCs w:val="14"/>
                <w:color w:val="auto"/>
              </w:rPr>
              <w:t>General partner</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4"/>
                <w:szCs w:val="14"/>
                <w:color w:val="auto"/>
              </w:rPr>
              <w:t>Street Retail, Inc.</w:t>
            </w:r>
          </w:p>
        </w:tc>
        <w:tc>
          <w:tcPr>
            <w:tcW w:w="1700" w:type="dxa"/>
            <w:vAlign w:val="bottom"/>
          </w:tcPr>
          <w:p>
            <w:pPr>
              <w:ind w:left="220"/>
              <w:spacing w:after="0"/>
              <w:rPr>
                <w:sz w:val="20"/>
                <w:szCs w:val="20"/>
                <w:color w:val="auto"/>
              </w:rPr>
            </w:pPr>
            <w:r>
              <w:rPr>
                <w:rFonts w:ascii="Arial" w:cs="Arial" w:eastAsia="Arial" w:hAnsi="Arial"/>
                <w:sz w:val="14"/>
                <w:szCs w:val="14"/>
                <w:color w:val="auto"/>
              </w:rPr>
              <w:t>Limited partner</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STREET RETAIL WEST 3, L.P., a Delaware</w:t>
            </w:r>
          </w:p>
        </w:tc>
        <w:tc>
          <w:tcPr>
            <w:tcW w:w="14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5"/>
              </w:rPr>
              <w:t>Street Retail West GP,</w:t>
            </w:r>
          </w:p>
        </w:tc>
        <w:tc>
          <w:tcPr>
            <w:tcW w:w="17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90%</w:t>
            </w:r>
          </w:p>
        </w:tc>
        <w:tc>
          <w:tcPr>
            <w:tcW w:w="21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Guarantor</w:t>
            </w:r>
          </w:p>
        </w:tc>
        <w:tc>
          <w:tcPr>
            <w:tcW w:w="23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partnership</w:t>
            </w:r>
          </w:p>
        </w:tc>
        <w:tc>
          <w:tcPr>
            <w:tcW w:w="14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Inc.</w:t>
            </w:r>
          </w:p>
        </w:tc>
        <w:tc>
          <w:tcPr>
            <w:tcW w:w="1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Limited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rPr>
              <w:t>STREET RETAIL WEST 4, L.P., a Delaware</w:t>
            </w:r>
          </w:p>
        </w:tc>
        <w:tc>
          <w:tcPr>
            <w:tcW w:w="1460" w:type="dxa"/>
            <w:vAlign w:val="bottom"/>
          </w:tcPr>
          <w:p>
            <w:pPr>
              <w:ind w:left="100"/>
              <w:spacing w:after="0"/>
              <w:rPr>
                <w:sz w:val="20"/>
                <w:szCs w:val="20"/>
                <w:color w:val="auto"/>
              </w:rPr>
            </w:pPr>
            <w:r>
              <w:rPr>
                <w:rFonts w:ascii="Arial" w:cs="Arial" w:eastAsia="Arial" w:hAnsi="Arial"/>
                <w:sz w:val="14"/>
                <w:szCs w:val="14"/>
                <w:color w:val="auto"/>
                <w:w w:val="95"/>
              </w:rPr>
              <w:t>Street Retail West GP,</w:t>
            </w:r>
          </w:p>
        </w:tc>
        <w:tc>
          <w:tcPr>
            <w:tcW w:w="1700" w:type="dxa"/>
            <w:vAlign w:val="bottom"/>
          </w:tcPr>
          <w:p>
            <w:pPr>
              <w:ind w:left="220"/>
              <w:spacing w:after="0"/>
              <w:rPr>
                <w:sz w:val="20"/>
                <w:szCs w:val="20"/>
                <w:color w:val="auto"/>
              </w:rPr>
            </w:pPr>
            <w:r>
              <w:rPr>
                <w:rFonts w:ascii="Arial" w:cs="Arial" w:eastAsia="Arial" w:hAnsi="Arial"/>
                <w:sz w:val="14"/>
                <w:szCs w:val="14"/>
                <w:color w:val="auto"/>
              </w:rPr>
              <w:t>Class C general</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2120" w:type="dxa"/>
            <w:vAlign w:val="bottom"/>
          </w:tcPr>
          <w:p>
            <w:pPr>
              <w:ind w:left="100"/>
              <w:spacing w:after="0"/>
              <w:rPr>
                <w:sz w:val="20"/>
                <w:szCs w:val="20"/>
                <w:color w:val="auto"/>
              </w:rPr>
            </w:pPr>
            <w:r>
              <w:rPr>
                <w:rFonts w:ascii="Arial" w:cs="Arial" w:eastAsia="Arial" w:hAnsi="Arial"/>
                <w:sz w:val="14"/>
                <w:szCs w:val="14"/>
                <w:color w:val="auto"/>
              </w:rPr>
              <w:t>Guarantor</w:t>
            </w:r>
          </w:p>
        </w:tc>
        <w:tc>
          <w:tcPr>
            <w:tcW w:w="2360" w:type="dxa"/>
            <w:vAlign w:val="bottom"/>
          </w:tcPr>
          <w:p>
            <w:pPr>
              <w:ind w:left="12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limited partnership</w:t>
            </w:r>
          </w:p>
        </w:tc>
        <w:tc>
          <w:tcPr>
            <w:tcW w:w="1460" w:type="dxa"/>
            <w:vAlign w:val="bottom"/>
          </w:tcPr>
          <w:p>
            <w:pPr>
              <w:ind w:left="100"/>
              <w:spacing w:after="0" w:line="149" w:lineRule="exact"/>
              <w:rPr>
                <w:sz w:val="20"/>
                <w:szCs w:val="20"/>
                <w:color w:val="auto"/>
              </w:rPr>
            </w:pPr>
            <w:r>
              <w:rPr>
                <w:rFonts w:ascii="Arial" w:cs="Arial" w:eastAsia="Arial" w:hAnsi="Arial"/>
                <w:sz w:val="14"/>
                <w:szCs w:val="14"/>
                <w:color w:val="auto"/>
              </w:rPr>
              <w:t>Inc.</w:t>
            </w:r>
          </w:p>
        </w:tc>
        <w:tc>
          <w:tcPr>
            <w:tcW w:w="1700" w:type="dxa"/>
            <w:vAlign w:val="bottom"/>
          </w:tcPr>
          <w:p>
            <w:pPr>
              <w:ind w:left="220"/>
              <w:spacing w:after="0" w:line="149" w:lineRule="exact"/>
              <w:rPr>
                <w:sz w:val="20"/>
                <w:szCs w:val="20"/>
                <w:color w:val="auto"/>
              </w:rPr>
            </w:pPr>
            <w:r>
              <w:rPr>
                <w:rFonts w:ascii="Arial" w:cs="Arial" w:eastAsia="Arial" w:hAnsi="Arial"/>
                <w:sz w:val="14"/>
                <w:szCs w:val="14"/>
                <w:color w:val="auto"/>
              </w:rPr>
              <w:t>partner</w:t>
            </w:r>
          </w:p>
        </w:tc>
        <w:tc>
          <w:tcPr>
            <w:tcW w:w="1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60" w:type="dxa"/>
            <w:vAlign w:val="bottom"/>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tcPr>
          <w:p>
            <w:pPr>
              <w:ind w:left="220"/>
              <w:spacing w:after="0" w:line="149" w:lineRule="exact"/>
              <w:rPr>
                <w:sz w:val="20"/>
                <w:szCs w:val="20"/>
                <w:color w:val="auto"/>
              </w:rPr>
            </w:pPr>
            <w:r>
              <w:rPr>
                <w:rFonts w:ascii="Arial" w:cs="Arial" w:eastAsia="Arial" w:hAnsi="Arial"/>
                <w:sz w:val="14"/>
                <w:szCs w:val="14"/>
                <w:color w:val="auto"/>
              </w:rPr>
              <w:t>General partner</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4"/>
                <w:szCs w:val="14"/>
                <w:color w:val="auto"/>
              </w:rPr>
              <w:t>Street Retail, Inc.</w:t>
            </w:r>
          </w:p>
        </w:tc>
        <w:tc>
          <w:tcPr>
            <w:tcW w:w="1700" w:type="dxa"/>
            <w:vAlign w:val="bottom"/>
          </w:tcPr>
          <w:p>
            <w:pPr>
              <w:ind w:left="220"/>
              <w:spacing w:after="0"/>
              <w:rPr>
                <w:sz w:val="20"/>
                <w:szCs w:val="20"/>
                <w:color w:val="auto"/>
              </w:rPr>
            </w:pPr>
            <w:r>
              <w:rPr>
                <w:rFonts w:ascii="Arial" w:cs="Arial" w:eastAsia="Arial" w:hAnsi="Arial"/>
                <w:sz w:val="14"/>
                <w:szCs w:val="14"/>
                <w:color w:val="auto"/>
              </w:rPr>
              <w:t>Limited partner</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STREET RETAIL WEST 6, L.P., a Delaware</w:t>
            </w:r>
          </w:p>
        </w:tc>
        <w:tc>
          <w:tcPr>
            <w:tcW w:w="14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5"/>
              </w:rPr>
              <w:t>Street Retail West GP,</w:t>
            </w:r>
          </w:p>
        </w:tc>
        <w:tc>
          <w:tcPr>
            <w:tcW w:w="17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90%</w:t>
            </w:r>
          </w:p>
        </w:tc>
        <w:tc>
          <w:tcPr>
            <w:tcW w:w="21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Guarantor</w:t>
            </w:r>
          </w:p>
        </w:tc>
        <w:tc>
          <w:tcPr>
            <w:tcW w:w="23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partnership</w:t>
            </w:r>
          </w:p>
        </w:tc>
        <w:tc>
          <w:tcPr>
            <w:tcW w:w="14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Inc.</w:t>
            </w:r>
          </w:p>
        </w:tc>
        <w:tc>
          <w:tcPr>
            <w:tcW w:w="1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Street Retail, Inc.</w:t>
            </w:r>
          </w:p>
        </w:tc>
        <w:tc>
          <w:tcPr>
            <w:tcW w:w="1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Limited partner</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780" w:type="dxa"/>
            <w:vAlign w:val="bottom"/>
            <w:gridSpan w:val="2"/>
          </w:tcPr>
          <w:p>
            <w:pPr>
              <w:spacing w:after="0"/>
              <w:rPr>
                <w:sz w:val="20"/>
                <w:szCs w:val="20"/>
                <w:color w:val="auto"/>
              </w:rPr>
            </w:pPr>
            <w:r>
              <w:rPr>
                <w:rFonts w:ascii="Arial" w:cs="Arial" w:eastAsia="Arial" w:hAnsi="Arial"/>
                <w:sz w:val="14"/>
                <w:szCs w:val="14"/>
                <w:color w:val="auto"/>
              </w:rPr>
              <w:t>STREET RETAIL WEST 7, L.P., a Delaware</w:t>
            </w:r>
          </w:p>
        </w:tc>
        <w:tc>
          <w:tcPr>
            <w:tcW w:w="1460" w:type="dxa"/>
            <w:vAlign w:val="bottom"/>
          </w:tcPr>
          <w:p>
            <w:pPr>
              <w:ind w:left="100"/>
              <w:spacing w:after="0"/>
              <w:rPr>
                <w:sz w:val="20"/>
                <w:szCs w:val="20"/>
                <w:color w:val="auto"/>
              </w:rPr>
            </w:pPr>
            <w:r>
              <w:rPr>
                <w:rFonts w:ascii="Arial" w:cs="Arial" w:eastAsia="Arial" w:hAnsi="Arial"/>
                <w:sz w:val="14"/>
                <w:szCs w:val="14"/>
                <w:color w:val="auto"/>
                <w:w w:val="95"/>
              </w:rPr>
              <w:t>Street Retail West GP,</w:t>
            </w:r>
          </w:p>
        </w:tc>
        <w:tc>
          <w:tcPr>
            <w:tcW w:w="1700" w:type="dxa"/>
            <w:vAlign w:val="bottom"/>
          </w:tcPr>
          <w:p>
            <w:pPr>
              <w:ind w:left="220"/>
              <w:spacing w:after="0"/>
              <w:rPr>
                <w:sz w:val="20"/>
                <w:szCs w:val="20"/>
                <w:color w:val="auto"/>
              </w:rPr>
            </w:pPr>
            <w:r>
              <w:rPr>
                <w:rFonts w:ascii="Arial" w:cs="Arial" w:eastAsia="Arial" w:hAnsi="Arial"/>
                <w:sz w:val="14"/>
                <w:szCs w:val="14"/>
                <w:color w:val="auto"/>
              </w:rPr>
              <w:t>Class C general</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2120" w:type="dxa"/>
            <w:vAlign w:val="bottom"/>
          </w:tcPr>
          <w:p>
            <w:pPr>
              <w:ind w:left="100"/>
              <w:spacing w:after="0"/>
              <w:rPr>
                <w:sz w:val="20"/>
                <w:szCs w:val="20"/>
                <w:color w:val="auto"/>
              </w:rPr>
            </w:pPr>
            <w:r>
              <w:rPr>
                <w:rFonts w:ascii="Arial" w:cs="Arial" w:eastAsia="Arial" w:hAnsi="Arial"/>
                <w:sz w:val="14"/>
                <w:szCs w:val="14"/>
                <w:color w:val="auto"/>
                <w:w w:val="94"/>
              </w:rPr>
              <w:t>Owner of Non-Controlled Property</w:t>
            </w:r>
          </w:p>
        </w:tc>
        <w:tc>
          <w:tcPr>
            <w:tcW w:w="2360" w:type="dxa"/>
            <w:vAlign w:val="bottom"/>
          </w:tcPr>
          <w:p>
            <w:pPr>
              <w:ind w:left="220"/>
              <w:spacing w:after="0"/>
              <w:rPr>
                <w:sz w:val="20"/>
                <w:szCs w:val="20"/>
                <w:color w:val="auto"/>
              </w:rPr>
            </w:pPr>
            <w:r>
              <w:rPr>
                <w:rFonts w:ascii="Arial" w:cs="Arial" w:eastAsia="Arial" w:hAnsi="Arial"/>
                <w:sz w:val="14"/>
                <w:szCs w:val="14"/>
                <w:color w:val="auto"/>
              </w:rPr>
              <w:t>•  Right to merge entities into 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limited partnership</w:t>
            </w:r>
          </w:p>
        </w:tc>
        <w:tc>
          <w:tcPr>
            <w:tcW w:w="1460" w:type="dxa"/>
            <w:vAlign w:val="bottom"/>
          </w:tcPr>
          <w:p>
            <w:pPr>
              <w:ind w:left="100"/>
              <w:spacing w:after="0"/>
              <w:rPr>
                <w:sz w:val="20"/>
                <w:szCs w:val="20"/>
                <w:color w:val="auto"/>
              </w:rPr>
            </w:pPr>
            <w:r>
              <w:rPr>
                <w:rFonts w:ascii="Arial" w:cs="Arial" w:eastAsia="Arial" w:hAnsi="Arial"/>
                <w:sz w:val="14"/>
                <w:szCs w:val="14"/>
                <w:color w:val="auto"/>
              </w:rPr>
              <w:t>Inc.</w:t>
            </w:r>
          </w:p>
        </w:tc>
        <w:tc>
          <w:tcPr>
            <w:tcW w:w="1700" w:type="dxa"/>
            <w:vAlign w:val="bottom"/>
          </w:tcPr>
          <w:p>
            <w:pPr>
              <w:ind w:left="220"/>
              <w:spacing w:after="0"/>
              <w:rPr>
                <w:sz w:val="20"/>
                <w:szCs w:val="20"/>
                <w:color w:val="auto"/>
              </w:rPr>
            </w:pPr>
            <w:r>
              <w:rPr>
                <w:rFonts w:ascii="Arial" w:cs="Arial" w:eastAsia="Arial" w:hAnsi="Arial"/>
                <w:sz w:val="14"/>
                <w:szCs w:val="14"/>
                <w:color w:val="auto"/>
              </w:rPr>
              <w:t>partner</w:t>
            </w:r>
          </w:p>
        </w:tc>
        <w:tc>
          <w:tcPr>
            <w:tcW w:w="1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60" w:type="dxa"/>
            <w:vAlign w:val="bottom"/>
          </w:tcPr>
          <w:p>
            <w:pPr>
              <w:ind w:left="560"/>
              <w:spacing w:after="0"/>
              <w:rPr>
                <w:sz w:val="20"/>
                <w:szCs w:val="20"/>
                <w:color w:val="auto"/>
              </w:rPr>
            </w:pPr>
            <w:r>
              <w:rPr>
                <w:rFonts w:ascii="Arial" w:cs="Arial" w:eastAsia="Arial" w:hAnsi="Arial"/>
                <w:sz w:val="14"/>
                <w:szCs w:val="14"/>
                <w:color w:val="auto"/>
              </w:rPr>
              <w:t>Federal</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OWNERSHIP STRUCTURE</w:t>
      </w:r>
    </w:p>
    <w:p>
      <w:pPr>
        <w:sectPr>
          <w:pgSz w:w="11900" w:h="16838" w:orient="portrait"/>
          <w:cols w:equalWidth="0" w:num="1">
            <w:col w:w="11420"/>
          </w:cols>
          <w:pgMar w:left="240" w:top="274" w:right="239" w:bottom="1440" w:gutter="0" w:footer="0" w:header="0"/>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 NAME/Jurisdiction of</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1300" w:type="dxa"/>
            <w:vAlign w:val="bottom"/>
          </w:tcPr>
          <w:p>
            <w:pPr>
              <w:ind w:left="200"/>
              <w:spacing w:after="0" w:line="141" w:lineRule="exact"/>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4"/>
                <w:szCs w:val="14"/>
                <w:color w:val="auto"/>
              </w:rPr>
            </w:pP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Interest</w:t>
            </w:r>
          </w:p>
        </w:tc>
        <w:tc>
          <w:tcPr>
            <w:tcW w:w="200" w:type="dxa"/>
            <w:vAlign w:val="bottom"/>
          </w:tcPr>
          <w:p>
            <w:pPr>
              <w:spacing w:after="0"/>
              <w:rPr>
                <w:sz w:val="14"/>
                <w:szCs w:val="14"/>
                <w:color w:val="auto"/>
              </w:rPr>
            </w:pPr>
          </w:p>
        </w:tc>
        <w:tc>
          <w:tcPr>
            <w:tcW w:w="1160" w:type="dxa"/>
            <w:vAlign w:val="bottom"/>
            <w:gridSpan w:val="2"/>
          </w:tcPr>
          <w:p>
            <w:pPr>
              <w:jc w:val="right"/>
              <w:ind w:right="292"/>
              <w:spacing w:after="0" w:line="141" w:lineRule="exact"/>
              <w:rPr>
                <w:sz w:val="20"/>
                <w:szCs w:val="20"/>
                <w:color w:val="auto"/>
              </w:rPr>
            </w:pPr>
            <w:r>
              <w:rPr>
                <w:rFonts w:ascii="Arial" w:cs="Arial" w:eastAsia="Arial" w:hAnsi="Arial"/>
                <w:sz w:val="14"/>
                <w:szCs w:val="14"/>
                <w:b w:val="1"/>
                <w:bCs w:val="1"/>
                <w:color w:val="auto"/>
                <w:w w:val="87"/>
              </w:rPr>
              <w:t>% Ownership</w:t>
            </w:r>
          </w:p>
        </w:tc>
        <w:tc>
          <w:tcPr>
            <w:tcW w:w="0" w:type="dxa"/>
            <w:vAlign w:val="bottom"/>
          </w:tcPr>
          <w:p>
            <w:pPr>
              <w:spacing w:after="0"/>
              <w:rPr>
                <w:sz w:val="1"/>
                <w:szCs w:val="1"/>
                <w:color w:val="auto"/>
              </w:rPr>
            </w:pPr>
          </w:p>
        </w:tc>
      </w:tr>
      <w:tr>
        <w:trPr>
          <w:trHeight w:val="20"/>
        </w:trPr>
        <w:tc>
          <w:tcPr>
            <w:tcW w:w="196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72"/>
              <w:spacing w:after="0" w:line="158"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18"/>
        </w:trPr>
        <w:tc>
          <w:tcPr>
            <w:tcW w:w="1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300" w:type="dxa"/>
            <w:vAlign w:val="bottom"/>
          </w:tcPr>
          <w:p>
            <w:pPr>
              <w:spacing w:after="0" w:line="118" w:lineRule="exact"/>
              <w:rPr>
                <w:sz w:val="20"/>
                <w:szCs w:val="20"/>
                <w:color w:val="auto"/>
              </w:rPr>
            </w:pPr>
            <w:r>
              <w:rPr>
                <w:rFonts w:ascii="Arial" w:cs="Arial" w:eastAsia="Arial" w:hAnsi="Arial"/>
                <w:sz w:val="12"/>
                <w:szCs w:val="12"/>
                <w:color w:val="auto"/>
              </w:rPr>
              <w:t>Delaware GPO 7 Inc.</w:t>
            </w:r>
          </w:p>
        </w:tc>
        <w:tc>
          <w:tcPr>
            <w:tcW w:w="200" w:type="dxa"/>
            <w:vAlign w:val="bottom"/>
          </w:tcPr>
          <w:p>
            <w:pPr>
              <w:spacing w:after="0"/>
              <w:rPr>
                <w:sz w:val="10"/>
                <w:szCs w:val="10"/>
                <w:color w:val="auto"/>
              </w:rPr>
            </w:pPr>
          </w:p>
        </w:tc>
        <w:tc>
          <w:tcPr>
            <w:tcW w:w="1260" w:type="dxa"/>
            <w:vAlign w:val="bottom"/>
          </w:tcPr>
          <w:p>
            <w:pPr>
              <w:spacing w:after="0" w:line="118" w:lineRule="exact"/>
              <w:rPr>
                <w:sz w:val="20"/>
                <w:szCs w:val="20"/>
                <w:color w:val="auto"/>
              </w:rPr>
            </w:pPr>
            <w:r>
              <w:rPr>
                <w:rFonts w:ascii="Arial" w:cs="Arial" w:eastAsia="Arial" w:hAnsi="Arial"/>
                <w:sz w:val="12"/>
                <w:szCs w:val="12"/>
                <w:color w:val="auto"/>
              </w:rPr>
              <w:t>Class A general</w:t>
            </w:r>
          </w:p>
        </w:tc>
        <w:tc>
          <w:tcPr>
            <w:tcW w:w="200" w:type="dxa"/>
            <w:vAlign w:val="bottom"/>
            <w:vMerge w:val="continue"/>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Arial" w:cs="Arial" w:eastAsia="Arial" w:hAnsi="Arial"/>
                <w:sz w:val="12"/>
                <w:szCs w:val="12"/>
                <w:color w:val="auto"/>
              </w:rPr>
              <w:t>0</w:t>
            </w: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partner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Delaware GPO 7 Inc.</w:t>
            </w:r>
          </w:p>
        </w:tc>
        <w:tc>
          <w:tcPr>
            <w:tcW w:w="14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Class B general</w:t>
            </w:r>
          </w:p>
        </w:tc>
        <w:tc>
          <w:tcPr>
            <w:tcW w:w="1360" w:type="dxa"/>
            <w:vAlign w:val="bottom"/>
            <w:gridSpan w:val="3"/>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partner</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6"/>
              </w:rPr>
              <w:t>Delaware GPM 7 Inc.</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Class B general</w:t>
            </w:r>
          </w:p>
        </w:tc>
        <w:tc>
          <w:tcPr>
            <w:tcW w:w="1360" w:type="dxa"/>
            <w:vAlign w:val="bottom"/>
            <w:gridSpan w:val="3"/>
            <w:shd w:val="clear" w:color="auto" w:fill="CCEEFF"/>
          </w:tcPr>
          <w:p>
            <w:pPr>
              <w:jc w:val="right"/>
              <w:ind w:right="172"/>
              <w:spacing w:after="0" w:line="13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partner</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w w:val="96"/>
              </w:rPr>
              <w:t>Delaware GPO 7 Inc.</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w w:val="88"/>
              </w:rPr>
              <w:t>Class B limited partner</w:t>
            </w:r>
          </w:p>
        </w:tc>
        <w:tc>
          <w:tcPr>
            <w:tcW w:w="1360" w:type="dxa"/>
            <w:vAlign w:val="bottom"/>
            <w:gridSpan w:val="3"/>
            <w:shd w:val="clear" w:color="auto" w:fill="CCEEFF"/>
          </w:tcPr>
          <w:p>
            <w:pPr>
              <w:jc w:val="right"/>
              <w:ind w:right="17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w w:val="96"/>
              </w:rPr>
              <w:t>Delaware GPM 7 Inc.</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w w:val="88"/>
              </w:rPr>
              <w:t>Class B limited partner</w:t>
            </w:r>
          </w:p>
        </w:tc>
        <w:tc>
          <w:tcPr>
            <w:tcW w:w="1360" w:type="dxa"/>
            <w:vAlign w:val="bottom"/>
            <w:gridSpan w:val="3"/>
            <w:shd w:val="clear" w:color="auto" w:fill="CCEEFF"/>
          </w:tcPr>
          <w:p>
            <w:pPr>
              <w:jc w:val="right"/>
              <w:ind w:right="172"/>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-916940</wp:posOffset>
            </wp:positionV>
            <wp:extent cx="4107815" cy="317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0781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left="-14" w:right="240"/>
        <w:spacing w:after="0" w:line="270" w:lineRule="auto"/>
        <w:rPr>
          <w:sz w:val="20"/>
          <w:szCs w:val="20"/>
          <w:color w:val="auto"/>
        </w:rPr>
      </w:pPr>
      <w:r>
        <w:rPr>
          <w:rFonts w:ascii="Arial" w:cs="Arial" w:eastAsia="Arial" w:hAnsi="Arial"/>
          <w:sz w:val="12"/>
          <w:szCs w:val="12"/>
          <w:b w:val="1"/>
          <w:bCs w:val="1"/>
          <w:color w:val="auto"/>
        </w:rPr>
        <w:t>Material and/or Excluded Subsidiary, Non-Controlled Property</w:t>
      </w:r>
    </w:p>
    <w:p>
      <w:pPr>
        <w:spacing w:after="0" w:line="2" w:lineRule="exact"/>
        <w:rPr>
          <w:sz w:val="20"/>
          <w:szCs w:val="20"/>
          <w:color w:val="auto"/>
        </w:rPr>
      </w:pPr>
    </w:p>
    <w:p>
      <w:pPr>
        <w:ind w:left="315" w:hanging="315"/>
        <w:spacing w:after="0" w:line="318" w:lineRule="auto"/>
        <w:tabs>
          <w:tab w:leader="none" w:pos="173" w:val="left"/>
        </w:tabs>
        <w:numPr>
          <w:ilvl w:val="0"/>
          <w:numId w:val="97"/>
        </w:numPr>
        <w:rPr>
          <w:rFonts w:ascii="Arial" w:cs="Arial" w:eastAsia="Arial" w:hAnsi="Arial"/>
          <w:sz w:val="12"/>
          <w:szCs w:val="12"/>
          <w:color w:val="auto"/>
        </w:rPr>
      </w:pPr>
      <w:r>
        <w:rPr>
          <w:rFonts w:ascii="Arial" w:cs="Arial" w:eastAsia="Arial" w:hAnsi="Arial"/>
          <w:sz w:val="12"/>
          <w:szCs w:val="12"/>
          <w:color w:val="auto"/>
        </w:rPr>
        <w:t>7001 Hollywood Boulevard, Hollywood, CA</w:t>
      </w:r>
    </w:p>
    <w:p>
      <w:pPr>
        <w:spacing w:after="0" w:line="120" w:lineRule="exact"/>
        <w:rPr>
          <w:rFonts w:ascii="Arial" w:cs="Arial" w:eastAsia="Arial" w:hAnsi="Arial"/>
          <w:sz w:val="12"/>
          <w:szCs w:val="12"/>
          <w:color w:val="auto"/>
        </w:rPr>
      </w:pPr>
    </w:p>
    <w:p>
      <w:pPr>
        <w:ind w:left="315" w:hanging="315"/>
        <w:spacing w:after="0" w:line="318" w:lineRule="auto"/>
        <w:tabs>
          <w:tab w:leader="none" w:pos="173" w:val="left"/>
        </w:tabs>
        <w:numPr>
          <w:ilvl w:val="0"/>
          <w:numId w:val="97"/>
        </w:numPr>
        <w:rPr>
          <w:rFonts w:ascii="Arial" w:cs="Arial" w:eastAsia="Arial" w:hAnsi="Arial"/>
          <w:sz w:val="12"/>
          <w:szCs w:val="12"/>
          <w:color w:val="auto"/>
        </w:rPr>
      </w:pPr>
      <w:r>
        <w:rPr>
          <w:rFonts w:ascii="Arial" w:cs="Arial" w:eastAsia="Arial" w:hAnsi="Arial"/>
          <w:sz w:val="12"/>
          <w:szCs w:val="12"/>
          <w:color w:val="auto"/>
        </w:rPr>
        <w:t>7021 Hollywood Boulevard, Hollywood,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-224790</wp:posOffset>
            </wp:positionV>
            <wp:extent cx="1363345" cy="600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Liens, Options,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Registration Rights,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1431925" cy="917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31925" cy="917575"/>
                    </a:xfrm>
                    <a:prstGeom prst="rect">
                      <a:avLst/>
                    </a:prstGeom>
                    <a:noFill/>
                  </pic:spPr>
                </pic:pic>
              </a:graphicData>
            </a:graphic>
          </wp:anchor>
        </w:drawing>
      </w:r>
    </w:p>
    <w:p>
      <w:pPr>
        <w:spacing w:after="0" w:line="278" w:lineRule="auto"/>
        <w:rPr>
          <w:sz w:val="20"/>
          <w:szCs w:val="20"/>
          <w:color w:val="auto"/>
        </w:rPr>
      </w:pPr>
      <w:r>
        <w:rPr>
          <w:rFonts w:ascii="Arial" w:cs="Arial" w:eastAsia="Arial" w:hAnsi="Arial"/>
          <w:sz w:val="12"/>
          <w:szCs w:val="12"/>
          <w:color w:val="auto"/>
        </w:rPr>
        <w:t>Realty entity in exchange for Federal Realty shares or cash (at option of non-Federal Realty partners, subject to certain conditions); and</w:t>
      </w:r>
    </w:p>
    <w:p>
      <w:pPr>
        <w:spacing w:after="0" w:line="35" w:lineRule="exact"/>
        <w:rPr>
          <w:sz w:val="20"/>
          <w:szCs w:val="20"/>
          <w:color w:val="auto"/>
        </w:rPr>
      </w:pPr>
    </w:p>
    <w:p>
      <w:pPr>
        <w:ind w:left="300" w:hanging="187"/>
        <w:spacing w:after="0"/>
        <w:tabs>
          <w:tab w:leader="none" w:pos="3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Registration rights for Federal</w:t>
      </w:r>
    </w:p>
    <w:p>
      <w:pPr>
        <w:ind w:left="440" w:right="280"/>
        <w:spacing w:after="0" w:line="225" w:lineRule="auto"/>
        <w:rPr>
          <w:sz w:val="20"/>
          <w:szCs w:val="20"/>
          <w:color w:val="auto"/>
        </w:rPr>
      </w:pPr>
      <w:r>
        <w:rPr>
          <w:rFonts w:ascii="Arial" w:cs="Arial" w:eastAsia="Arial" w:hAnsi="Arial"/>
          <w:sz w:val="14"/>
          <w:szCs w:val="14"/>
          <w:color w:val="auto"/>
        </w:rPr>
        <w:t>Realty shares issued in connection with transfer of partnership interests through merger.</w:t>
      </w:r>
    </w:p>
    <w:p>
      <w:pPr>
        <w:spacing w:after="0" w:line="87" w:lineRule="exact"/>
        <w:rPr>
          <w:sz w:val="20"/>
          <w:szCs w:val="20"/>
          <w:color w:val="auto"/>
        </w:rPr>
      </w:pPr>
    </w:p>
    <w:p>
      <w:pPr>
        <w:sectPr>
          <w:pgSz w:w="11900" w:h="16838" w:orient="portrait"/>
          <w:cols w:equalWidth="0" w:num="3">
            <w:col w:w="7020" w:space="105"/>
            <w:col w:w="1715" w:space="320"/>
            <w:col w:w="22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Arial" w:cs="Arial" w:eastAsia="Arial" w:hAnsi="Arial"/>
                <w:sz w:val="14"/>
                <w:szCs w:val="14"/>
                <w:color w:val="auto"/>
                <w:w w:val="96"/>
              </w:rPr>
              <w:t>STREET RETAIL WEST 10, L.P., a Delaware</w:t>
            </w:r>
          </w:p>
        </w:tc>
        <w:tc>
          <w:tcPr>
            <w:tcW w:w="1500" w:type="dxa"/>
            <w:vAlign w:val="bottom"/>
          </w:tcPr>
          <w:p>
            <w:pPr>
              <w:ind w:left="160"/>
              <w:spacing w:after="0"/>
              <w:rPr>
                <w:sz w:val="20"/>
                <w:szCs w:val="20"/>
                <w:color w:val="auto"/>
              </w:rPr>
            </w:pPr>
            <w:r>
              <w:rPr>
                <w:rFonts w:ascii="Arial" w:cs="Arial" w:eastAsia="Arial" w:hAnsi="Arial"/>
                <w:sz w:val="14"/>
                <w:szCs w:val="14"/>
                <w:color w:val="auto"/>
                <w:w w:val="93"/>
              </w:rPr>
              <w:t>Street Retail West GP,</w:t>
            </w:r>
          </w:p>
        </w:tc>
        <w:tc>
          <w:tcPr>
            <w:tcW w:w="1640" w:type="dxa"/>
            <w:vAlign w:val="bottom"/>
          </w:tcPr>
          <w:p>
            <w:pPr>
              <w:ind w:left="160"/>
              <w:spacing w:after="0"/>
              <w:rPr>
                <w:sz w:val="20"/>
                <w:szCs w:val="20"/>
                <w:color w:val="auto"/>
              </w:rPr>
            </w:pPr>
            <w:r>
              <w:rPr>
                <w:rFonts w:ascii="Arial" w:cs="Arial" w:eastAsia="Arial" w:hAnsi="Arial"/>
                <w:sz w:val="14"/>
                <w:szCs w:val="14"/>
                <w:color w:val="auto"/>
              </w:rPr>
              <w:t>General partner</w:t>
            </w:r>
          </w:p>
        </w:tc>
        <w:tc>
          <w:tcPr>
            <w:tcW w:w="9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limited partnership</w:t>
            </w: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Inc.</w:t>
            </w:r>
          </w:p>
        </w:tc>
        <w:tc>
          <w:tcPr>
            <w:tcW w:w="16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Street Retail, Inc.</w:t>
            </w:r>
          </w:p>
        </w:tc>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General partner</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72"/>
        </w:trPr>
        <w:tc>
          <w:tcPr>
            <w:tcW w:w="274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4"/>
                <w:szCs w:val="14"/>
                <w:color w:val="auto"/>
              </w:rPr>
              <w:t>Street Retail, Inc.</w:t>
            </w:r>
          </w:p>
        </w:tc>
        <w:tc>
          <w:tcPr>
            <w:tcW w:w="1640" w:type="dxa"/>
            <w:vAlign w:val="bottom"/>
          </w:tcPr>
          <w:p>
            <w:pPr>
              <w:ind w:left="160"/>
              <w:spacing w:after="0"/>
              <w:rPr>
                <w:sz w:val="20"/>
                <w:szCs w:val="20"/>
                <w:color w:val="auto"/>
              </w:rPr>
            </w:pPr>
            <w:r>
              <w:rPr>
                <w:rFonts w:ascii="Arial" w:cs="Arial" w:eastAsia="Arial" w:hAnsi="Arial"/>
                <w:sz w:val="14"/>
                <w:szCs w:val="14"/>
                <w:color w:val="auto"/>
              </w:rPr>
              <w:t>Limited partner</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3"/>
        </w:trPr>
        <w:tc>
          <w:tcPr>
            <w:tcW w:w="2740" w:type="dxa"/>
            <w:vAlign w:val="bottom"/>
          </w:tcPr>
          <w:p>
            <w:pPr>
              <w:spacing w:after="0"/>
              <w:rPr>
                <w:sz w:val="20"/>
                <w:szCs w:val="20"/>
                <w:color w:val="auto"/>
              </w:rPr>
            </w:pPr>
            <w:r>
              <w:rPr>
                <w:rFonts w:ascii="Arial" w:cs="Arial" w:eastAsia="Arial" w:hAnsi="Arial"/>
                <w:sz w:val="14"/>
                <w:szCs w:val="14"/>
                <w:color w:val="auto"/>
              </w:rPr>
              <w:t>SRI SAN ANTONIO, INC. (F/K/A DIM SUM,</w:t>
            </w:r>
          </w:p>
        </w:tc>
        <w:tc>
          <w:tcPr>
            <w:tcW w:w="1500" w:type="dxa"/>
            <w:vAlign w:val="bottom"/>
          </w:tcPr>
          <w:p>
            <w:pPr>
              <w:ind w:left="160"/>
              <w:spacing w:after="0"/>
              <w:rPr>
                <w:sz w:val="20"/>
                <w:szCs w:val="20"/>
                <w:color w:val="auto"/>
              </w:rPr>
            </w:pPr>
            <w:r>
              <w:rPr>
                <w:rFonts w:ascii="Arial" w:cs="Arial" w:eastAsia="Arial" w:hAnsi="Arial"/>
                <w:sz w:val="14"/>
                <w:szCs w:val="14"/>
                <w:color w:val="auto"/>
              </w:rPr>
              <w:t>Street Retail, Inc.</w:t>
            </w:r>
          </w:p>
        </w:tc>
        <w:tc>
          <w:tcPr>
            <w:tcW w:w="1640" w:type="dxa"/>
            <w:vAlign w:val="bottom"/>
          </w:tcPr>
          <w:p>
            <w:pPr>
              <w:ind w:left="160"/>
              <w:spacing w:after="0"/>
              <w:rPr>
                <w:sz w:val="20"/>
                <w:szCs w:val="20"/>
                <w:color w:val="auto"/>
              </w:rPr>
            </w:pPr>
            <w:r>
              <w:rPr>
                <w:rFonts w:ascii="Arial" w:cs="Arial" w:eastAsia="Arial" w:hAnsi="Arial"/>
                <w:sz w:val="14"/>
                <w:szCs w:val="14"/>
                <w:color w:val="auto"/>
              </w:rPr>
              <w:t>Sole stockholder</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INC.), a Maryland corporation</w:t>
            </w: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120" w:val="left"/>
        </w:tabs>
        <w:rPr>
          <w:sz w:val="20"/>
          <w:szCs w:val="20"/>
          <w:color w:val="auto"/>
        </w:rPr>
      </w:pPr>
      <w:r>
        <w:rPr>
          <w:rFonts w:ascii="Arial" w:cs="Arial" w:eastAsia="Arial" w:hAnsi="Arial"/>
          <w:sz w:val="12"/>
          <w:szCs w:val="12"/>
          <w:color w:val="auto"/>
        </w:rPr>
        <w:t>Guarantor</w:t>
      </w:r>
      <w:r>
        <w:rPr>
          <w:sz w:val="20"/>
          <w:szCs w:val="20"/>
          <w:color w:val="auto"/>
        </w:rPr>
        <w:tab/>
      </w:r>
      <w:r>
        <w:rPr>
          <w:rFonts w:ascii="Arial" w:cs="Arial" w:eastAsia="Arial" w:hAnsi="Arial"/>
          <w:sz w:val="12"/>
          <w:szCs w:val="12"/>
          <w:color w:val="auto"/>
        </w:rPr>
        <w:t>None</w:t>
      </w:r>
    </w:p>
    <w:p>
      <w:pPr>
        <w:spacing w:after="0" w:line="200" w:lineRule="exact"/>
        <w:rPr>
          <w:sz w:val="20"/>
          <w:szCs w:val="20"/>
          <w:color w:val="auto"/>
        </w:rPr>
      </w:pPr>
    </w:p>
    <w:p>
      <w:pPr>
        <w:spacing w:after="0" w:line="364" w:lineRule="exact"/>
        <w:rPr>
          <w:sz w:val="20"/>
          <w:szCs w:val="20"/>
          <w:color w:val="auto"/>
        </w:rPr>
      </w:pPr>
    </w:p>
    <w:p>
      <w:pPr>
        <w:jc w:val="right"/>
        <w:ind w:right="1960"/>
        <w:spacing w:after="0"/>
        <w:rPr>
          <w:sz w:val="20"/>
          <w:szCs w:val="20"/>
          <w:color w:val="auto"/>
        </w:rPr>
      </w:pPr>
      <w:r>
        <w:rPr>
          <w:rFonts w:ascii="Arial" w:cs="Arial" w:eastAsia="Arial" w:hAnsi="Arial"/>
          <w:sz w:val="14"/>
          <w:szCs w:val="14"/>
          <w:color w:val="auto"/>
        </w:rPr>
        <w:t>None</w:t>
      </w:r>
    </w:p>
    <w:p>
      <w:pPr>
        <w:spacing w:after="0" w:line="231" w:lineRule="exact"/>
        <w:rPr>
          <w:sz w:val="20"/>
          <w:szCs w:val="20"/>
          <w:color w:val="auto"/>
        </w:rPr>
      </w:pPr>
    </w:p>
    <w:p>
      <w:pPr>
        <w:sectPr>
          <w:pgSz w:w="11900" w:h="16838" w:orient="portrait"/>
          <w:cols w:equalWidth="0" w:num="2">
            <w:col w:w="6780" w:space="240"/>
            <w:col w:w="44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spacing w:after="0"/>
              <w:rPr>
                <w:sz w:val="20"/>
                <w:szCs w:val="20"/>
                <w:color w:val="auto"/>
              </w:rPr>
            </w:pPr>
            <w:r>
              <w:rPr>
                <w:rFonts w:ascii="Arial" w:cs="Arial" w:eastAsia="Arial" w:hAnsi="Arial"/>
                <w:sz w:val="14"/>
                <w:szCs w:val="14"/>
                <w:color w:val="auto"/>
              </w:rPr>
              <w:t>STREET RETAIL SAN ANTONIO, LP, a</w:t>
            </w:r>
          </w:p>
        </w:tc>
        <w:tc>
          <w:tcPr>
            <w:tcW w:w="1620" w:type="dxa"/>
            <w:vAlign w:val="bottom"/>
          </w:tcPr>
          <w:p>
            <w:pPr>
              <w:ind w:left="280"/>
              <w:spacing w:after="0"/>
              <w:rPr>
                <w:sz w:val="20"/>
                <w:szCs w:val="20"/>
                <w:color w:val="auto"/>
              </w:rPr>
            </w:pPr>
            <w:r>
              <w:rPr>
                <w:rFonts w:ascii="Arial" w:cs="Arial" w:eastAsia="Arial" w:hAnsi="Arial"/>
                <w:sz w:val="14"/>
                <w:szCs w:val="14"/>
                <w:color w:val="auto"/>
                <w:w w:val="98"/>
              </w:rPr>
              <w:t>SRI San Antonio, Inc.</w:t>
            </w:r>
          </w:p>
        </w:tc>
        <w:tc>
          <w:tcPr>
            <w:tcW w:w="1620" w:type="dxa"/>
            <w:vAlign w:val="bottom"/>
          </w:tcPr>
          <w:p>
            <w:pPr>
              <w:ind w:left="160"/>
              <w:spacing w:after="0"/>
              <w:rPr>
                <w:sz w:val="20"/>
                <w:szCs w:val="20"/>
                <w:color w:val="auto"/>
              </w:rPr>
            </w:pPr>
            <w:r>
              <w:rPr>
                <w:rFonts w:ascii="Arial" w:cs="Arial" w:eastAsia="Arial" w:hAnsi="Arial"/>
                <w:sz w:val="14"/>
                <w:szCs w:val="14"/>
                <w:color w:val="auto"/>
              </w:rPr>
              <w:t>General partner</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760" w:type="dxa"/>
            <w:vAlign w:val="bottom"/>
          </w:tcPr>
          <w:p>
            <w:pPr>
              <w:ind w:left="120"/>
              <w:spacing w:after="0"/>
              <w:rPr>
                <w:sz w:val="20"/>
                <w:szCs w:val="20"/>
                <w:color w:val="auto"/>
              </w:rPr>
            </w:pPr>
            <w:r>
              <w:rPr>
                <w:rFonts w:ascii="Arial" w:cs="Arial" w:eastAsia="Arial" w:hAnsi="Arial"/>
                <w:sz w:val="14"/>
                <w:szCs w:val="14"/>
                <w:color w:val="auto"/>
              </w:rPr>
              <w:t>Guarantor</w:t>
            </w:r>
          </w:p>
        </w:tc>
        <w:tc>
          <w:tcPr>
            <w:tcW w:w="276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00"/>
              <w:spacing w:after="0"/>
              <w:rPr>
                <w:sz w:val="20"/>
                <w:szCs w:val="20"/>
                <w:color w:val="auto"/>
              </w:rPr>
            </w:pPr>
            <w:r>
              <w:rPr>
                <w:rFonts w:ascii="Arial" w:cs="Arial" w:eastAsia="Arial" w:hAnsi="Arial"/>
                <w:sz w:val="14"/>
                <w:szCs w:val="14"/>
                <w:color w:val="auto"/>
              </w:rPr>
              <w:t>Delaware limited partnership</w:t>
            </w:r>
          </w:p>
        </w:tc>
        <w:tc>
          <w:tcPr>
            <w:tcW w:w="1620" w:type="dxa"/>
            <w:vAlign w:val="bottom"/>
          </w:tcPr>
          <w:p>
            <w:pPr>
              <w:ind w:left="280"/>
              <w:spacing w:after="0"/>
              <w:rPr>
                <w:sz w:val="20"/>
                <w:szCs w:val="20"/>
                <w:color w:val="auto"/>
              </w:rPr>
            </w:pPr>
            <w:r>
              <w:rPr>
                <w:rFonts w:ascii="Arial" w:cs="Arial" w:eastAsia="Arial" w:hAnsi="Arial"/>
                <w:sz w:val="14"/>
                <w:szCs w:val="14"/>
                <w:color w:val="auto"/>
              </w:rPr>
              <w:t>SRI Texas, Inc.</w:t>
            </w:r>
          </w:p>
        </w:tc>
        <w:tc>
          <w:tcPr>
            <w:tcW w:w="1620" w:type="dxa"/>
            <w:vAlign w:val="bottom"/>
          </w:tcPr>
          <w:p>
            <w:pPr>
              <w:ind w:left="160"/>
              <w:spacing w:after="0"/>
              <w:rPr>
                <w:sz w:val="20"/>
                <w:szCs w:val="20"/>
                <w:color w:val="auto"/>
              </w:rPr>
            </w:pPr>
            <w:r>
              <w:rPr>
                <w:rFonts w:ascii="Arial" w:cs="Arial" w:eastAsia="Arial" w:hAnsi="Arial"/>
                <w:sz w:val="14"/>
                <w:szCs w:val="14"/>
                <w:color w:val="auto"/>
              </w:rPr>
              <w:t>Limited partner</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99.9%</w:t>
            </w:r>
          </w:p>
        </w:tc>
        <w:tc>
          <w:tcPr>
            <w:tcW w:w="1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SRI TEXAS, INC., a Delaware corporation</w:t>
            </w:r>
          </w:p>
        </w:tc>
        <w:tc>
          <w:tcPr>
            <w:tcW w:w="1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Street Retail, Inc.,</w:t>
            </w:r>
          </w:p>
        </w:tc>
        <w:tc>
          <w:tcPr>
            <w:tcW w:w="1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Sole stockholder</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1760" w:type="dxa"/>
            <w:vAlign w:val="bottom"/>
            <w:shd w:val="clear" w:color="auto" w:fill="CCEEFF"/>
          </w:tcPr>
          <w:p>
            <w:pPr>
              <w:spacing w:after="0"/>
              <w:rPr>
                <w:sz w:val="12"/>
                <w:szCs w:val="12"/>
                <w:color w:val="auto"/>
              </w:rPr>
            </w:pPr>
          </w:p>
        </w:tc>
        <w:tc>
          <w:tcPr>
            <w:tcW w:w="27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46"/>
        </w:trPr>
        <w:tc>
          <w:tcPr>
            <w:tcW w:w="2620" w:type="dxa"/>
            <w:vAlign w:val="bottom"/>
            <w:gridSpan w:val="2"/>
          </w:tcPr>
          <w:p>
            <w:pPr>
              <w:spacing w:after="0"/>
              <w:rPr>
                <w:sz w:val="20"/>
                <w:szCs w:val="20"/>
                <w:color w:val="auto"/>
              </w:rPr>
            </w:pPr>
            <w:r>
              <w:rPr>
                <w:rFonts w:ascii="Arial" w:cs="Arial" w:eastAsia="Arial" w:hAnsi="Arial"/>
                <w:sz w:val="14"/>
                <w:szCs w:val="14"/>
                <w:color w:val="auto"/>
              </w:rPr>
              <w:t>SRI ARLINGTON ROAD WEST, INC., a</w:t>
            </w:r>
          </w:p>
        </w:tc>
        <w:tc>
          <w:tcPr>
            <w:tcW w:w="1620" w:type="dxa"/>
            <w:vAlign w:val="bottom"/>
          </w:tcPr>
          <w:p>
            <w:pPr>
              <w:ind w:left="280"/>
              <w:spacing w:after="0"/>
              <w:rPr>
                <w:sz w:val="20"/>
                <w:szCs w:val="20"/>
                <w:color w:val="auto"/>
              </w:rPr>
            </w:pPr>
            <w:r>
              <w:rPr>
                <w:rFonts w:ascii="Arial" w:cs="Arial" w:eastAsia="Arial" w:hAnsi="Arial"/>
                <w:sz w:val="14"/>
                <w:szCs w:val="14"/>
                <w:color w:val="auto"/>
              </w:rPr>
              <w:t>Street Retail, Inc.,</w:t>
            </w:r>
          </w:p>
        </w:tc>
        <w:tc>
          <w:tcPr>
            <w:tcW w:w="1620" w:type="dxa"/>
            <w:vAlign w:val="bottom"/>
          </w:tcPr>
          <w:p>
            <w:pPr>
              <w:ind w:left="160"/>
              <w:spacing w:after="0"/>
              <w:rPr>
                <w:sz w:val="20"/>
                <w:szCs w:val="20"/>
                <w:color w:val="auto"/>
              </w:rPr>
            </w:pPr>
            <w:r>
              <w:rPr>
                <w:rFonts w:ascii="Arial" w:cs="Arial" w:eastAsia="Arial" w:hAnsi="Arial"/>
                <w:sz w:val="14"/>
                <w:szCs w:val="14"/>
                <w:color w:val="auto"/>
              </w:rPr>
              <w:t>Sole stockholder</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760" w:type="dxa"/>
            <w:vAlign w:val="bottom"/>
          </w:tcPr>
          <w:p>
            <w:pPr>
              <w:spacing w:after="0"/>
              <w:rPr>
                <w:sz w:val="21"/>
                <w:szCs w:val="21"/>
                <w:color w:val="auto"/>
              </w:rPr>
            </w:pPr>
          </w:p>
        </w:tc>
        <w:tc>
          <w:tcPr>
            <w:tcW w:w="2760" w:type="dxa"/>
            <w:vAlign w:val="bottom"/>
          </w:tcPr>
          <w:p>
            <w:pPr>
              <w:ind w:left="50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00"/>
              <w:spacing w:after="0"/>
              <w:rPr>
                <w:sz w:val="20"/>
                <w:szCs w:val="20"/>
                <w:color w:val="auto"/>
              </w:rPr>
            </w:pPr>
            <w:r>
              <w:rPr>
                <w:rFonts w:ascii="Arial" w:cs="Arial" w:eastAsia="Arial" w:hAnsi="Arial"/>
                <w:sz w:val="14"/>
                <w:szCs w:val="14"/>
                <w:color w:val="auto"/>
              </w:rPr>
              <w:t>Delaware corporation</w:t>
            </w: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SRI ARLINGTON ROAD WEST, LLC, a</w:t>
            </w:r>
          </w:p>
        </w:tc>
        <w:tc>
          <w:tcPr>
            <w:tcW w:w="162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SRI Arlington Road</w:t>
            </w:r>
          </w:p>
        </w:tc>
        <w:tc>
          <w:tcPr>
            <w:tcW w:w="162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Sole member</w:t>
            </w:r>
          </w:p>
        </w:tc>
        <w:tc>
          <w:tcPr>
            <w:tcW w:w="10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17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Excluded Subsidiary</w:t>
            </w:r>
          </w:p>
        </w:tc>
        <w:tc>
          <w:tcPr>
            <w:tcW w:w="276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Delaware limited liability company</w:t>
            </w:r>
          </w:p>
        </w:tc>
        <w:tc>
          <w:tcPr>
            <w:tcW w:w="162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West, Inc.</w:t>
            </w:r>
          </w:p>
        </w:tc>
        <w:tc>
          <w:tcPr>
            <w:tcW w:w="1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Material and/or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 NAME/Jurisdiction of</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Nature of</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Non-Controlled</w:t>
            </w: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Liens, Options,</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Formation</w:t>
            </w:r>
          </w:p>
        </w:tc>
        <w:tc>
          <w:tcPr>
            <w:tcW w:w="1480" w:type="dxa"/>
            <w:vAlign w:val="bottom"/>
            <w:gridSpan w:val="2"/>
          </w:tcPr>
          <w:p>
            <w:pPr>
              <w:ind w:left="200"/>
              <w:spacing w:after="0" w:line="141" w:lineRule="exact"/>
              <w:rPr>
                <w:sz w:val="20"/>
                <w:szCs w:val="20"/>
                <w:color w:val="auto"/>
              </w:rPr>
            </w:pPr>
            <w:r>
              <w:rPr>
                <w:rFonts w:ascii="Arial" w:cs="Arial" w:eastAsia="Arial" w:hAnsi="Arial"/>
                <w:sz w:val="14"/>
                <w:szCs w:val="14"/>
                <w:b w:val="1"/>
                <w:bCs w:val="1"/>
                <w:color w:val="auto"/>
              </w:rPr>
              <w:t>Equity Holders</w:t>
            </w:r>
          </w:p>
        </w:tc>
        <w:tc>
          <w:tcPr>
            <w:tcW w:w="144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6"/>
              </w:rPr>
              <w:t>Interest</w:t>
            </w:r>
          </w:p>
        </w:tc>
        <w:tc>
          <w:tcPr>
            <w:tcW w:w="1140" w:type="dxa"/>
            <w:vAlign w:val="bottom"/>
            <w:gridSpan w:val="2"/>
          </w:tcPr>
          <w:p>
            <w:pPr>
              <w:jc w:val="right"/>
              <w:ind w:right="258"/>
              <w:spacing w:after="0" w:line="141" w:lineRule="exact"/>
              <w:rPr>
                <w:sz w:val="20"/>
                <w:szCs w:val="20"/>
                <w:color w:val="auto"/>
              </w:rPr>
            </w:pPr>
            <w:r>
              <w:rPr>
                <w:rFonts w:ascii="Arial" w:cs="Arial" w:eastAsia="Arial" w:hAnsi="Arial"/>
                <w:sz w:val="14"/>
                <w:szCs w:val="14"/>
                <w:b w:val="1"/>
                <w:bCs w:val="1"/>
                <w:color w:val="auto"/>
                <w:w w:val="90"/>
              </w:rPr>
              <w:t>% Ownership</w:t>
            </w:r>
          </w:p>
        </w:tc>
        <w:tc>
          <w:tcPr>
            <w:tcW w:w="214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0"/>
              </w:rPr>
              <w:t>Property</w:t>
            </w:r>
          </w:p>
        </w:tc>
        <w:tc>
          <w:tcPr>
            <w:tcW w:w="23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Registration Rights, etc.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SRI BETHESDA AVENUE NORTH, INC., a</w:t>
            </w:r>
          </w:p>
        </w:tc>
        <w:tc>
          <w:tcPr>
            <w:tcW w:w="128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Street Retail, Inc.,</w:t>
            </w: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Sole stockholder</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ind w:right="158"/>
              <w:spacing w:after="0" w:line="105" w:lineRule="exact"/>
              <w:rPr>
                <w:sz w:val="20"/>
                <w:szCs w:val="20"/>
                <w:color w:val="auto"/>
              </w:rPr>
            </w:pPr>
            <w:r>
              <w:rPr>
                <w:rFonts w:ascii="Arial" w:cs="Arial" w:eastAsia="Arial" w:hAnsi="Arial"/>
                <w:sz w:val="12"/>
                <w:szCs w:val="12"/>
                <w:color w:val="auto"/>
                <w:w w:val="74"/>
              </w:rPr>
              <w:t>%</w:t>
            </w:r>
          </w:p>
        </w:tc>
        <w:tc>
          <w:tcPr>
            <w:tcW w:w="1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34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Delaware corporation</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880" w:type="dxa"/>
            <w:vAlign w:val="bottom"/>
            <w:gridSpan w:val="3"/>
          </w:tcPr>
          <w:p>
            <w:pPr>
              <w:spacing w:after="0"/>
              <w:rPr>
                <w:sz w:val="20"/>
                <w:szCs w:val="20"/>
                <w:color w:val="auto"/>
              </w:rPr>
            </w:pPr>
            <w:r>
              <w:rPr>
                <w:rFonts w:ascii="Arial" w:cs="Arial" w:eastAsia="Arial" w:hAnsi="Arial"/>
                <w:sz w:val="14"/>
                <w:szCs w:val="14"/>
                <w:color w:val="auto"/>
              </w:rPr>
              <w:t>SRI BETHESDA AVENUE NORTH, LLC, a</w:t>
            </w:r>
          </w:p>
        </w:tc>
        <w:tc>
          <w:tcPr>
            <w:tcW w:w="1480" w:type="dxa"/>
            <w:vAlign w:val="bottom"/>
            <w:gridSpan w:val="2"/>
          </w:tcPr>
          <w:p>
            <w:pPr>
              <w:spacing w:after="0"/>
              <w:rPr>
                <w:sz w:val="20"/>
                <w:szCs w:val="20"/>
                <w:color w:val="auto"/>
              </w:rPr>
            </w:pPr>
            <w:r>
              <w:rPr>
                <w:rFonts w:ascii="Arial" w:cs="Arial" w:eastAsia="Arial" w:hAnsi="Arial"/>
                <w:sz w:val="14"/>
                <w:szCs w:val="14"/>
                <w:color w:val="auto"/>
              </w:rPr>
              <w:t>SRI Bethesda Avenue</w:t>
            </w:r>
          </w:p>
        </w:tc>
        <w:tc>
          <w:tcPr>
            <w:tcW w:w="1440" w:type="dxa"/>
            <w:vAlign w:val="bottom"/>
            <w:gridSpan w:val="2"/>
          </w:tcPr>
          <w:p>
            <w:pPr>
              <w:spacing w:after="0"/>
              <w:rPr>
                <w:sz w:val="20"/>
                <w:szCs w:val="20"/>
                <w:color w:val="auto"/>
              </w:rPr>
            </w:pPr>
            <w:r>
              <w:rPr>
                <w:rFonts w:ascii="Arial" w:cs="Arial" w:eastAsia="Arial" w:hAnsi="Arial"/>
                <w:sz w:val="14"/>
                <w:szCs w:val="14"/>
                <w:color w:val="auto"/>
              </w:rPr>
              <w:t>Sole member</w:t>
            </w:r>
          </w:p>
        </w:tc>
        <w:tc>
          <w:tcPr>
            <w:tcW w:w="1140" w:type="dxa"/>
            <w:vAlign w:val="bottom"/>
            <w:gridSpan w:val="2"/>
          </w:tcPr>
          <w:p>
            <w:pPr>
              <w:jc w:val="right"/>
              <w:ind w:right="158"/>
              <w:spacing w:after="0"/>
              <w:rPr>
                <w:sz w:val="20"/>
                <w:szCs w:val="20"/>
                <w:color w:val="auto"/>
              </w:rPr>
            </w:pPr>
            <w:r>
              <w:rPr>
                <w:rFonts w:ascii="Arial" w:cs="Arial" w:eastAsia="Arial" w:hAnsi="Arial"/>
                <w:sz w:val="14"/>
                <w:szCs w:val="14"/>
                <w:color w:val="auto"/>
              </w:rPr>
              <w:t>100%</w:t>
            </w:r>
          </w:p>
        </w:tc>
        <w:tc>
          <w:tcPr>
            <w:tcW w:w="2140" w:type="dxa"/>
            <w:vAlign w:val="bottom"/>
            <w:gridSpan w:val="2"/>
          </w:tcPr>
          <w:p>
            <w:pPr>
              <w:spacing w:after="0"/>
              <w:rPr>
                <w:sz w:val="20"/>
                <w:szCs w:val="20"/>
                <w:color w:val="auto"/>
              </w:rPr>
            </w:pPr>
            <w:r>
              <w:rPr>
                <w:rFonts w:ascii="Arial" w:cs="Arial" w:eastAsia="Arial" w:hAnsi="Arial"/>
                <w:sz w:val="14"/>
                <w:szCs w:val="14"/>
                <w:color w:val="auto"/>
              </w:rPr>
              <w:t>Excluded Subsidiary</w:t>
            </w:r>
          </w:p>
        </w:tc>
        <w:tc>
          <w:tcPr>
            <w:tcW w:w="2340" w:type="dxa"/>
            <w:vAlign w:val="bottom"/>
          </w:tcPr>
          <w:p>
            <w:pPr>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ind w:left="200"/>
              <w:spacing w:after="0"/>
              <w:rPr>
                <w:sz w:val="20"/>
                <w:szCs w:val="20"/>
                <w:color w:val="auto"/>
              </w:rPr>
            </w:pPr>
            <w:r>
              <w:rPr>
                <w:rFonts w:ascii="Arial" w:cs="Arial" w:eastAsia="Arial" w:hAnsi="Arial"/>
                <w:sz w:val="14"/>
                <w:szCs w:val="14"/>
                <w:color w:val="auto"/>
              </w:rPr>
              <w:t>Delaware limited liability company</w:t>
            </w:r>
          </w:p>
        </w:tc>
        <w:tc>
          <w:tcPr>
            <w:tcW w:w="1480" w:type="dxa"/>
            <w:vAlign w:val="bottom"/>
            <w:gridSpan w:val="2"/>
          </w:tcPr>
          <w:p>
            <w:pPr>
              <w:spacing w:after="0"/>
              <w:rPr>
                <w:sz w:val="20"/>
                <w:szCs w:val="20"/>
                <w:color w:val="auto"/>
              </w:rPr>
            </w:pPr>
            <w:r>
              <w:rPr>
                <w:rFonts w:ascii="Arial" w:cs="Arial" w:eastAsia="Arial" w:hAnsi="Arial"/>
                <w:sz w:val="14"/>
                <w:szCs w:val="14"/>
                <w:color w:val="auto"/>
              </w:rPr>
              <w:t>North, Inc.</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SANTANA ROW SERVICES, INC., a Delaware</w:t>
            </w:r>
          </w:p>
        </w:tc>
        <w:tc>
          <w:tcPr>
            <w:tcW w:w="1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Street Retail, Inc.</w:t>
            </w:r>
          </w:p>
        </w:tc>
        <w:tc>
          <w:tcPr>
            <w:tcW w:w="1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stockholder</w:t>
            </w:r>
          </w:p>
        </w:tc>
        <w:tc>
          <w:tcPr>
            <w:tcW w:w="1140" w:type="dxa"/>
            <w:vAlign w:val="bottom"/>
            <w:gridSpan w:val="2"/>
            <w:shd w:val="clear" w:color="auto" w:fill="CCEEFF"/>
          </w:tcPr>
          <w:p>
            <w:pPr>
              <w:jc w:val="right"/>
              <w:ind w:right="158"/>
              <w:spacing w:after="0" w:line="138" w:lineRule="exact"/>
              <w:rPr>
                <w:sz w:val="20"/>
                <w:szCs w:val="20"/>
                <w:color w:val="auto"/>
              </w:rPr>
            </w:pPr>
            <w:r>
              <w:rPr>
                <w:rFonts w:ascii="Arial" w:cs="Arial" w:eastAsia="Arial" w:hAnsi="Arial"/>
                <w:sz w:val="14"/>
                <w:szCs w:val="14"/>
                <w:color w:val="auto"/>
              </w:rPr>
              <w:t>100%</w:t>
            </w: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corporation</w:t>
            </w: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Unconsolidated Affiliates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Nature of Equity</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ind w:left="740"/>
              <w:spacing w:after="0"/>
              <w:rPr>
                <w:sz w:val="20"/>
                <w:szCs w:val="20"/>
                <w:color w:val="auto"/>
              </w:rPr>
            </w:pPr>
            <w:r>
              <w:rPr>
                <w:rFonts w:ascii="Arial" w:cs="Arial" w:eastAsia="Arial" w:hAnsi="Arial"/>
                <w:sz w:val="14"/>
                <w:szCs w:val="14"/>
                <w:b w:val="1"/>
                <w:bCs w:val="1"/>
                <w:color w:val="auto"/>
              </w:rPr>
              <w:t>Material and/or Excluded</w:t>
            </w:r>
          </w:p>
        </w:tc>
        <w:tc>
          <w:tcPr>
            <w:tcW w:w="0" w:type="dxa"/>
            <w:vAlign w:val="bottom"/>
          </w:tcPr>
          <w:p>
            <w:pPr>
              <w:spacing w:after="0"/>
              <w:rPr>
                <w:sz w:val="1"/>
                <w:szCs w:val="1"/>
                <w:color w:val="auto"/>
              </w:rPr>
            </w:pPr>
          </w:p>
        </w:tc>
      </w:t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220" w:type="dxa"/>
            <w:vAlign w:val="bottom"/>
          </w:tcPr>
          <w:p>
            <w:pPr>
              <w:spacing w:after="0"/>
              <w:rPr>
                <w:sz w:val="14"/>
                <w:szCs w:val="14"/>
                <w:color w:val="auto"/>
              </w:rPr>
            </w:pPr>
          </w:p>
        </w:tc>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4"/>
                <w:szCs w:val="14"/>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Interest</w:t>
            </w:r>
          </w:p>
        </w:tc>
        <w:tc>
          <w:tcPr>
            <w:tcW w:w="116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w w:val="87"/>
              </w:rPr>
              <w:t>% Ownership</w:t>
            </w:r>
          </w:p>
        </w:tc>
        <w:tc>
          <w:tcPr>
            <w:tcW w:w="2980" w:type="dxa"/>
            <w:vAlign w:val="bottom"/>
          </w:tcPr>
          <w:p>
            <w:pPr>
              <w:ind w:left="1180"/>
              <w:spacing w:after="0"/>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14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LA RIVE GAUCHE SAN JOSE, LLC, a California</w:t>
            </w:r>
          </w:p>
        </w:tc>
        <w:tc>
          <w:tcPr>
            <w:tcW w:w="2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Santana Row ROF, Inc.</w:t>
            </w:r>
          </w:p>
        </w:tc>
        <w:tc>
          <w:tcPr>
            <w:tcW w:w="2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Member</w:t>
            </w: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37.5</w:t>
            </w:r>
          </w:p>
        </w:tc>
        <w:tc>
          <w:tcPr>
            <w:tcW w:w="360" w:type="dxa"/>
            <w:vAlign w:val="bottom"/>
            <w:shd w:val="clear" w:color="auto" w:fill="CCEEFF"/>
          </w:tcPr>
          <w:p>
            <w:pPr>
              <w:jc w:val="right"/>
              <w:ind w:right="178"/>
              <w:spacing w:after="0" w:line="111" w:lineRule="exact"/>
              <w:rPr>
                <w:sz w:val="20"/>
                <w:szCs w:val="20"/>
                <w:color w:val="auto"/>
              </w:rPr>
            </w:pPr>
            <w:r>
              <w:rPr>
                <w:rFonts w:ascii="Arial" w:cs="Arial" w:eastAsia="Arial" w:hAnsi="Arial"/>
                <w:sz w:val="12"/>
                <w:szCs w:val="12"/>
                <w:color w:val="auto"/>
                <w:w w:val="93"/>
              </w:rPr>
              <w:t>%</w:t>
            </w:r>
          </w:p>
        </w:tc>
        <w:tc>
          <w:tcPr>
            <w:tcW w:w="29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Unconsolidated affiliate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limited liability company</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w w:val="96"/>
              </w:rPr>
              <w:t>Vine Dining Enterprises, Inc.</w:t>
            </w:r>
          </w:p>
        </w:tc>
        <w:tc>
          <w:tcPr>
            <w:tcW w:w="21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Manager/member</w:t>
            </w: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62.5%</w:t>
            </w:r>
          </w:p>
        </w:tc>
        <w:tc>
          <w:tcPr>
            <w:tcW w:w="2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160" w:type="dxa"/>
            <w:vAlign w:val="bottom"/>
            <w:gridSpan w:val="3"/>
          </w:tcPr>
          <w:p>
            <w:pPr>
              <w:spacing w:after="0"/>
              <w:rPr>
                <w:sz w:val="20"/>
                <w:szCs w:val="20"/>
                <w:color w:val="auto"/>
              </w:rPr>
            </w:pPr>
            <w:r>
              <w:rPr>
                <w:rFonts w:ascii="Arial" w:cs="Arial" w:eastAsia="Arial" w:hAnsi="Arial"/>
                <w:sz w:val="14"/>
                <w:szCs w:val="14"/>
                <w:color w:val="auto"/>
                <w:w w:val="97"/>
              </w:rPr>
              <w:t>STRAITS SANTANA ROW, LLC, a California limited</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Santana Row ROF, Inc.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90%</w:t>
            </w:r>
          </w:p>
        </w:tc>
        <w:tc>
          <w:tcPr>
            <w:tcW w:w="29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liability company</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Christopher Yeo</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Manager/member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10%</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VILLAGE CAFÉ SANTANA ROW, LLC, a California</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Santana Row ROF, Inc.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49%</w:t>
            </w: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limited liability company</w:t>
            </w:r>
          </w:p>
        </w:tc>
        <w:tc>
          <w:tcPr>
            <w:tcW w:w="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San Francisco Coffee Roasting</w:t>
            </w:r>
          </w:p>
        </w:tc>
        <w:tc>
          <w:tcPr>
            <w:tcW w:w="21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Manager/member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51%</w:t>
            </w: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Company, Inc.</w:t>
            </w:r>
          </w:p>
        </w:tc>
        <w:tc>
          <w:tcPr>
            <w:tcW w:w="2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160" w:type="dxa"/>
            <w:vAlign w:val="bottom"/>
            <w:gridSpan w:val="3"/>
          </w:tcPr>
          <w:p>
            <w:pPr>
              <w:spacing w:after="0"/>
              <w:rPr>
                <w:sz w:val="20"/>
                <w:szCs w:val="20"/>
                <w:color w:val="auto"/>
              </w:rPr>
            </w:pPr>
            <w:r>
              <w:rPr>
                <w:rFonts w:ascii="Arial" w:cs="Arial" w:eastAsia="Arial" w:hAnsi="Arial"/>
                <w:sz w:val="14"/>
                <w:szCs w:val="14"/>
                <w:color w:val="auto"/>
              </w:rPr>
              <w:t>BLOWFISH SR, LLC, a California limited liability</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Santana Row ROF, Inc.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30%</w:t>
            </w:r>
          </w:p>
        </w:tc>
        <w:tc>
          <w:tcPr>
            <w:tcW w:w="29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company</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Fugu Management, LLC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Manager/member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70%</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YANKEE PIER SANTANA ROW, LLC, a California</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Santana Row ROF, Inc.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75%</w:t>
            </w: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limited liability company</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Lark Creek Café, Inc.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Manager/member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25%</w:t>
            </w:r>
          </w:p>
        </w:tc>
        <w:tc>
          <w:tcPr>
            <w:tcW w:w="2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60" w:type="dxa"/>
            <w:vAlign w:val="bottom"/>
            <w:gridSpan w:val="3"/>
          </w:tcPr>
          <w:p>
            <w:pPr>
              <w:spacing w:after="0"/>
              <w:rPr>
                <w:sz w:val="20"/>
                <w:szCs w:val="20"/>
                <w:color w:val="auto"/>
              </w:rPr>
            </w:pPr>
            <w:r>
              <w:rPr>
                <w:rFonts w:ascii="Arial" w:cs="Arial" w:eastAsia="Arial" w:hAnsi="Arial"/>
                <w:sz w:val="14"/>
                <w:szCs w:val="14"/>
                <w:color w:val="auto"/>
              </w:rPr>
              <w:t>PIZZA ANTICA, LLC, a California limited liability</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Santana Row ROF, Inc.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20%</w:t>
            </w:r>
          </w:p>
        </w:tc>
        <w:tc>
          <w:tcPr>
            <w:tcW w:w="29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ind w:left="200"/>
              <w:spacing w:after="0"/>
              <w:rPr>
                <w:sz w:val="20"/>
                <w:szCs w:val="20"/>
                <w:color w:val="auto"/>
              </w:rPr>
            </w:pPr>
            <w:r>
              <w:rPr>
                <w:rFonts w:ascii="Arial" w:cs="Arial" w:eastAsia="Arial" w:hAnsi="Arial"/>
                <w:sz w:val="14"/>
                <w:szCs w:val="14"/>
                <w:color w:val="auto"/>
              </w:rPr>
              <w:t>company</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Tim Stannard</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Manager/member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80%</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SINO, LLC F/K/A RED LANTERN RESTAURANT,</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Santana Row ROF, Inc.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90%</w:t>
            </w: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LLC, a California limited liability company</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Yeo</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Manager/member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10%</w:t>
            </w:r>
          </w:p>
        </w:tc>
        <w:tc>
          <w:tcPr>
            <w:tcW w:w="2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60" w:type="dxa"/>
            <w:vAlign w:val="bottom"/>
            <w:gridSpan w:val="3"/>
          </w:tcPr>
          <w:p>
            <w:pPr>
              <w:spacing w:after="0"/>
              <w:rPr>
                <w:sz w:val="20"/>
                <w:szCs w:val="20"/>
                <w:color w:val="auto"/>
              </w:rPr>
            </w:pPr>
            <w:r>
              <w:rPr>
                <w:rFonts w:ascii="Arial" w:cs="Arial" w:eastAsia="Arial" w:hAnsi="Arial"/>
                <w:sz w:val="14"/>
                <w:szCs w:val="14"/>
                <w:color w:val="auto"/>
                <w:w w:val="92"/>
              </w:rPr>
              <w:t>SANTANA GRILL PARTNERS, LP, a California limited</w:t>
            </w: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VDAE, LLC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65.000%</w:t>
            </w:r>
          </w:p>
        </w:tc>
        <w:tc>
          <w:tcPr>
            <w:tcW w:w="29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partnership</w:t>
            </w:r>
          </w:p>
        </w:tc>
        <w:tc>
          <w:tcPr>
            <w:tcW w:w="1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Santana Row ROF, Inc.</w:t>
            </w:r>
          </w:p>
        </w:tc>
        <w:tc>
          <w:tcPr>
            <w:tcW w:w="2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29.167%</w:t>
            </w: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VDAE, LLC</w:t>
            </w:r>
          </w:p>
        </w:tc>
        <w:tc>
          <w:tcPr>
            <w:tcW w:w="2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1.250%</w:t>
            </w: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4"/>
                <w:szCs w:val="14"/>
                <w:color w:val="auto"/>
              </w:rPr>
              <w:t>VDAE, Inc.</w:t>
            </w:r>
          </w:p>
        </w:tc>
        <w:tc>
          <w:tcPr>
            <w:tcW w:w="2180" w:type="dxa"/>
            <w:vAlign w:val="bottom"/>
            <w:gridSpan w:val="3"/>
          </w:tcPr>
          <w:p>
            <w:pPr>
              <w:ind w:left="200"/>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4.583%</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FEDERAL/LION VENTURE LP, a Delaware limited</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Federal/LPF GP, Inc.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partner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w:t>
            </w: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partnership</w:t>
            </w: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CLPF-Federal GP, LLC</w:t>
            </w:r>
          </w:p>
        </w:tc>
        <w:tc>
          <w:tcPr>
            <w:tcW w:w="2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partner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.1%</w:t>
            </w:r>
          </w:p>
        </w:tc>
        <w:tc>
          <w:tcPr>
            <w:tcW w:w="2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Realty Investment</w:t>
            </w:r>
          </w:p>
        </w:tc>
        <w:tc>
          <w:tcPr>
            <w:tcW w:w="2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Limited partner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29.9%</w:t>
            </w:r>
          </w:p>
        </w:tc>
        <w:tc>
          <w:tcPr>
            <w:tcW w:w="2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Trust</w:t>
            </w:r>
          </w:p>
        </w:tc>
        <w:tc>
          <w:tcPr>
            <w:tcW w:w="2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CLPF-Federal, L.P.</w:t>
            </w:r>
          </w:p>
        </w:tc>
        <w:tc>
          <w:tcPr>
            <w:tcW w:w="2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Limited partner</w:t>
            </w:r>
          </w:p>
        </w:tc>
        <w:tc>
          <w:tcPr>
            <w:tcW w:w="116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69.9%</w:t>
            </w:r>
          </w:p>
        </w:tc>
        <w:tc>
          <w:tcPr>
            <w:tcW w:w="2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Nature of Equity</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ind w:left="800"/>
              <w:spacing w:after="0"/>
              <w:rPr>
                <w:sz w:val="20"/>
                <w:szCs w:val="20"/>
                <w:color w:val="auto"/>
              </w:rPr>
            </w:pPr>
            <w:r>
              <w:rPr>
                <w:rFonts w:ascii="Arial" w:cs="Arial" w:eastAsia="Arial" w:hAnsi="Arial"/>
                <w:sz w:val="14"/>
                <w:szCs w:val="14"/>
                <w:b w:val="1"/>
                <w:bCs w:val="1"/>
                <w:color w:val="auto"/>
              </w:rPr>
              <w:t>Material and/or Excluded</w:t>
            </w:r>
          </w:p>
        </w:tc>
        <w:tc>
          <w:tcPr>
            <w:tcW w:w="0" w:type="dxa"/>
            <w:vAlign w:val="bottom"/>
          </w:tcPr>
          <w:p>
            <w:pPr>
              <w:spacing w:after="0"/>
              <w:rPr>
                <w:sz w:val="1"/>
                <w:szCs w:val="1"/>
                <w:color w:val="auto"/>
              </w:rPr>
            </w:pPr>
          </w:p>
        </w:tc>
      </w:t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4"/>
                <w:szCs w:val="14"/>
                <w:color w:val="auto"/>
              </w:rPr>
            </w:pPr>
          </w:p>
        </w:tc>
        <w:tc>
          <w:tcPr>
            <w:tcW w:w="1900" w:type="dxa"/>
            <w:vAlign w:val="bottom"/>
            <w:gridSpan w:val="2"/>
          </w:tcPr>
          <w:p>
            <w:pPr>
              <w:ind w:left="400"/>
              <w:spacing w:after="0"/>
              <w:rPr>
                <w:sz w:val="20"/>
                <w:szCs w:val="20"/>
                <w:color w:val="auto"/>
              </w:rPr>
            </w:pPr>
            <w:r>
              <w:rPr>
                <w:rFonts w:ascii="Arial" w:cs="Arial" w:eastAsia="Arial" w:hAnsi="Arial"/>
                <w:sz w:val="14"/>
                <w:szCs w:val="14"/>
                <w:b w:val="1"/>
                <w:bCs w:val="1"/>
                <w:color w:val="auto"/>
              </w:rPr>
              <w:t>Equity Holders</w:t>
            </w:r>
          </w:p>
        </w:tc>
        <w:tc>
          <w:tcPr>
            <w:tcW w:w="1900" w:type="dxa"/>
            <w:vAlign w:val="bottom"/>
            <w:gridSpan w:val="2"/>
          </w:tcPr>
          <w:p>
            <w:pPr>
              <w:ind w:left="62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w w:val="87"/>
              </w:rPr>
              <w:t>% Ownership</w:t>
            </w:r>
          </w:p>
        </w:tc>
        <w:tc>
          <w:tcPr>
            <w:tcW w:w="3080" w:type="dxa"/>
            <w:vAlign w:val="bottom"/>
          </w:tcPr>
          <w:p>
            <w:pPr>
              <w:ind w:left="1220"/>
              <w:spacing w:after="0"/>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24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FLV ATLANTIC PLAZA GP, LLC, a Delaware limited</w:t>
            </w:r>
          </w:p>
        </w:tc>
        <w:tc>
          <w:tcPr>
            <w:tcW w:w="1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Federal/Lion Venture LP</w:t>
            </w:r>
          </w:p>
        </w:tc>
        <w:tc>
          <w:tcPr>
            <w:tcW w:w="2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Sole member</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100</w:t>
            </w:r>
          </w:p>
        </w:tc>
        <w:tc>
          <w:tcPr>
            <w:tcW w:w="360" w:type="dxa"/>
            <w:vAlign w:val="bottom"/>
            <w:shd w:val="clear" w:color="auto" w:fill="CCEEFF"/>
          </w:tcPr>
          <w:p>
            <w:pPr>
              <w:jc w:val="right"/>
              <w:ind w:right="178"/>
              <w:spacing w:after="0" w:line="111" w:lineRule="exact"/>
              <w:rPr>
                <w:sz w:val="20"/>
                <w:szCs w:val="20"/>
                <w:color w:val="auto"/>
              </w:rPr>
            </w:pPr>
            <w:r>
              <w:rPr>
                <w:rFonts w:ascii="Arial" w:cs="Arial" w:eastAsia="Arial" w:hAnsi="Arial"/>
                <w:sz w:val="12"/>
                <w:szCs w:val="12"/>
                <w:color w:val="auto"/>
                <w:w w:val="93"/>
              </w:rPr>
              <w:t>%</w:t>
            </w:r>
          </w:p>
        </w:tc>
        <w:tc>
          <w:tcPr>
            <w:tcW w:w="30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rPr>
              <w:t>FLV ATLANTIC PLAZA LIMITED PARTNERSHIP, a</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FLV Atlantic Plaza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Delaware limited 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FLV PLEASANT SHOPS GP, LLC, a Delaware limited</w:t>
            </w:r>
          </w:p>
        </w:tc>
        <w:tc>
          <w:tcPr>
            <w:tcW w:w="20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rPr>
              <w:t>Federal/Lion Venture LP</w:t>
            </w:r>
          </w:p>
        </w:tc>
        <w:tc>
          <w:tcPr>
            <w:tcW w:w="1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100%</w:t>
            </w: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w w:val="97"/>
              </w:rPr>
              <w:t>FLV PLEASANT SHOPS LIMITED PARTNERSHIP, a</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FLV Pleasant Shops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Delaware limited 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FLV CAMPUS PLAZA GP, LLC, a Delaware limited</w:t>
            </w:r>
          </w:p>
        </w:tc>
        <w:tc>
          <w:tcPr>
            <w:tcW w:w="20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rPr>
              <w:t>Federal/Lion Venture LP</w:t>
            </w:r>
          </w:p>
        </w:tc>
        <w:tc>
          <w:tcPr>
            <w:tcW w:w="1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100%</w:t>
            </w: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rPr>
              <w:t>FLV CAMPUS PLAZA LIMITED PARTNERSHIP, a</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FLV Campus Plaza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Delaware limited 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FLV PLAZA DEL MERCADO, LLC, a Delaware limited</w:t>
            </w:r>
          </w:p>
        </w:tc>
        <w:tc>
          <w:tcPr>
            <w:tcW w:w="20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rPr>
              <w:t>Federal/Lion Venture LP</w:t>
            </w:r>
          </w:p>
        </w:tc>
        <w:tc>
          <w:tcPr>
            <w:tcW w:w="1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100%</w:t>
            </w: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w w:val="98"/>
              </w:rPr>
              <w:t>FLV PLAZA DEL MERCADO, LP, a Delaware limited</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FLV Plaza del Mercado,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FLV GREENLAWN PLAZA GP, LLC, a Delaware</w:t>
            </w:r>
          </w:p>
        </w:tc>
        <w:tc>
          <w:tcPr>
            <w:tcW w:w="20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rPr>
              <w:t>Federal/Lion Venture LP</w:t>
            </w:r>
          </w:p>
        </w:tc>
        <w:tc>
          <w:tcPr>
            <w:tcW w:w="1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100%</w:t>
            </w: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 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rPr>
              <w:t>FLV GREENLAWN PLAZA, LP, a Delaware limited</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w w:val="97"/>
              </w:rPr>
              <w:t>FLV Greenlawn Plaza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FLV BARCROFT PLAZA GP, LLC, a Delaware limited</w:t>
            </w:r>
          </w:p>
        </w:tc>
        <w:tc>
          <w:tcPr>
            <w:tcW w:w="2020" w:type="dxa"/>
            <w:vAlign w:val="bottom"/>
            <w:gridSpan w:val="3"/>
            <w:shd w:val="clear" w:color="auto" w:fill="CCEEFF"/>
          </w:tcPr>
          <w:p>
            <w:pPr>
              <w:ind w:left="120"/>
              <w:spacing w:after="0" w:line="138" w:lineRule="exact"/>
              <w:rPr>
                <w:sz w:val="20"/>
                <w:szCs w:val="20"/>
                <w:color w:val="auto"/>
              </w:rPr>
            </w:pPr>
            <w:r>
              <w:rPr>
                <w:rFonts w:ascii="Arial" w:cs="Arial" w:eastAsia="Arial" w:hAnsi="Arial"/>
                <w:sz w:val="14"/>
                <w:szCs w:val="14"/>
                <w:color w:val="auto"/>
              </w:rPr>
              <w:t>Federal/Lion Venture LP</w:t>
            </w:r>
          </w:p>
        </w:tc>
        <w:tc>
          <w:tcPr>
            <w:tcW w:w="1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Sole member</w:t>
            </w:r>
          </w:p>
        </w:tc>
        <w:tc>
          <w:tcPr>
            <w:tcW w:w="1160" w:type="dxa"/>
            <w:vAlign w:val="bottom"/>
            <w:gridSpan w:val="2"/>
            <w:shd w:val="clear" w:color="auto" w:fill="CCEEFF"/>
          </w:tcPr>
          <w:p>
            <w:pPr>
              <w:jc w:val="right"/>
              <w:ind w:right="178"/>
              <w:spacing w:after="0" w:line="138" w:lineRule="exact"/>
              <w:rPr>
                <w:sz w:val="20"/>
                <w:szCs w:val="20"/>
                <w:color w:val="auto"/>
              </w:rPr>
            </w:pPr>
            <w:r>
              <w:rPr>
                <w:rFonts w:ascii="Arial" w:cs="Arial" w:eastAsia="Arial" w:hAnsi="Arial"/>
                <w:sz w:val="14"/>
                <w:szCs w:val="14"/>
                <w:color w:val="auto"/>
              </w:rPr>
              <w:t>100%</w:t>
            </w: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liability company</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60" w:type="dxa"/>
            <w:vAlign w:val="bottom"/>
            <w:gridSpan w:val="3"/>
          </w:tcPr>
          <w:p>
            <w:pPr>
              <w:spacing w:after="0"/>
              <w:rPr>
                <w:sz w:val="20"/>
                <w:szCs w:val="20"/>
                <w:color w:val="auto"/>
              </w:rPr>
            </w:pPr>
            <w:r>
              <w:rPr>
                <w:rFonts w:ascii="Arial" w:cs="Arial" w:eastAsia="Arial" w:hAnsi="Arial"/>
                <w:sz w:val="14"/>
                <w:szCs w:val="14"/>
                <w:color w:val="auto"/>
              </w:rPr>
              <w:t>FLV BARCROFT PLAZA, LP, a Delaware limited</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FLV Barcroft Plaza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gridSpan w:val="2"/>
          </w:tcPr>
          <w:p>
            <w:pPr>
              <w:ind w:left="200"/>
              <w:spacing w:after="0"/>
              <w:rPr>
                <w:sz w:val="20"/>
                <w:szCs w:val="20"/>
                <w:color w:val="auto"/>
              </w:rPr>
            </w:pPr>
            <w:r>
              <w:rPr>
                <w:rFonts w:ascii="Arial" w:cs="Arial" w:eastAsia="Arial" w:hAnsi="Arial"/>
                <w:sz w:val="14"/>
                <w:szCs w:val="14"/>
                <w:color w:val="auto"/>
              </w:rPr>
              <w:t>partnership</w:t>
            </w:r>
          </w:p>
        </w:tc>
        <w:tc>
          <w:tcPr>
            <w:tcW w:w="2020" w:type="dxa"/>
            <w:vAlign w:val="bottom"/>
            <w:gridSpan w:val="3"/>
          </w:tcPr>
          <w:p>
            <w:pPr>
              <w:ind w:left="12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ENTITY NAME/Jurisdiction of</w:t>
            </w: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Nature of Equity</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Material and/or Excluded</w:t>
            </w:r>
          </w:p>
        </w:tc>
      </w:tr>
      <w:tr>
        <w:trPr>
          <w:trHeight w:val="18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Formation</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ind w:left="400"/>
              <w:spacing w:after="0"/>
              <w:rPr>
                <w:sz w:val="20"/>
                <w:szCs w:val="20"/>
                <w:color w:val="auto"/>
              </w:rPr>
            </w:pPr>
            <w:r>
              <w:rPr>
                <w:rFonts w:ascii="Arial" w:cs="Arial" w:eastAsia="Arial" w:hAnsi="Arial"/>
                <w:sz w:val="14"/>
                <w:szCs w:val="14"/>
                <w:b w:val="1"/>
                <w:bCs w:val="1"/>
                <w:color w:val="auto"/>
              </w:rPr>
              <w:t>Equity Holders</w:t>
            </w: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w w:val="87"/>
              </w:rPr>
              <w:t>% Ownership</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Subsidiary</w:t>
            </w:r>
          </w:p>
        </w:tc>
      </w:tr>
      <w:tr>
        <w:trPr>
          <w:trHeight w:val="111"/>
        </w:trPr>
        <w:tc>
          <w:tcPr>
            <w:tcW w:w="324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FLV FREE STATE GP, LLC, a Delaware limited liability</w:t>
            </w:r>
          </w:p>
        </w:tc>
        <w:tc>
          <w:tcPr>
            <w:tcW w:w="14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Federal/Lion Venture LP</w:t>
            </w:r>
          </w:p>
        </w:tc>
        <w:tc>
          <w:tcPr>
            <w:tcW w:w="2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Sole member</w:t>
            </w:r>
          </w:p>
        </w:tc>
        <w:tc>
          <w:tcPr>
            <w:tcW w:w="2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100</w:t>
            </w:r>
          </w:p>
        </w:tc>
        <w:tc>
          <w:tcPr>
            <w:tcW w:w="360" w:type="dxa"/>
            <w:vAlign w:val="bottom"/>
            <w:tcBorders>
              <w:top w:val="single" w:sz="8" w:color="CCEEFF"/>
            </w:tcBorders>
            <w:shd w:val="clear" w:color="auto" w:fill="CCEEFF"/>
          </w:tcPr>
          <w:p>
            <w:pPr>
              <w:jc w:val="right"/>
              <w:ind w:right="178"/>
              <w:spacing w:after="0" w:line="111" w:lineRule="exact"/>
              <w:rPr>
                <w:sz w:val="20"/>
                <w:szCs w:val="20"/>
                <w:color w:val="auto"/>
              </w:rPr>
            </w:pPr>
            <w:r>
              <w:rPr>
                <w:rFonts w:ascii="Arial" w:cs="Arial" w:eastAsia="Arial" w:hAnsi="Arial"/>
                <w:sz w:val="12"/>
                <w:szCs w:val="12"/>
                <w:color w:val="auto"/>
                <w:w w:val="93"/>
              </w:rPr>
              <w:t>%</w:t>
            </w:r>
          </w:p>
        </w:tc>
        <w:tc>
          <w:tcPr>
            <w:tcW w:w="308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Unconsolidated affiliate</w:t>
            </w:r>
          </w:p>
        </w:tc>
      </w:tr>
      <w:tr>
        <w:trPr>
          <w:trHeight w:val="159"/>
        </w:trPr>
        <w:tc>
          <w:tcPr>
            <w:tcW w:w="32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company</w:t>
            </w:r>
          </w:p>
        </w:tc>
        <w:tc>
          <w:tcPr>
            <w:tcW w:w="1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color w:val="auto"/>
              </w:rPr>
              <w:t>FLV FREE STATE LIMITED PARTNERSHIP, a</w:t>
            </w:r>
          </w:p>
        </w:tc>
        <w:tc>
          <w:tcPr>
            <w:tcW w:w="2040" w:type="dxa"/>
            <w:vAlign w:val="bottom"/>
            <w:gridSpan w:val="3"/>
          </w:tcPr>
          <w:p>
            <w:pPr>
              <w:ind w:left="140"/>
              <w:spacing w:after="0"/>
              <w:rPr>
                <w:sz w:val="20"/>
                <w:szCs w:val="20"/>
                <w:color w:val="auto"/>
              </w:rPr>
            </w:pPr>
            <w:r>
              <w:rPr>
                <w:rFonts w:ascii="Arial" w:cs="Arial" w:eastAsia="Arial" w:hAnsi="Arial"/>
                <w:sz w:val="14"/>
                <w:szCs w:val="14"/>
                <w:color w:val="auto"/>
              </w:rPr>
              <w:t>FLV Free State GP, LLC</w:t>
            </w:r>
          </w:p>
        </w:tc>
        <w:tc>
          <w:tcPr>
            <w:tcW w:w="1900" w:type="dxa"/>
            <w:vAlign w:val="bottom"/>
            <w:gridSpan w:val="2"/>
          </w:tcPr>
          <w:p>
            <w:pPr>
              <w:spacing w:after="0"/>
              <w:rPr>
                <w:sz w:val="20"/>
                <w:szCs w:val="20"/>
                <w:color w:val="auto"/>
              </w:rPr>
            </w:pPr>
            <w:r>
              <w:rPr>
                <w:rFonts w:ascii="Arial" w:cs="Arial" w:eastAsia="Arial" w:hAnsi="Arial"/>
                <w:sz w:val="14"/>
                <w:szCs w:val="14"/>
                <w:color w:val="auto"/>
              </w:rPr>
              <w:t>General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.1%</w:t>
            </w:r>
          </w:p>
        </w:tc>
        <w:tc>
          <w:tcPr>
            <w:tcW w:w="3080" w:type="dxa"/>
            <w:vAlign w:val="bottom"/>
          </w:tcPr>
          <w:p>
            <w:pPr>
              <w:spacing w:after="0"/>
              <w:rPr>
                <w:sz w:val="20"/>
                <w:szCs w:val="20"/>
                <w:color w:val="auto"/>
              </w:rPr>
            </w:pPr>
            <w:r>
              <w:rPr>
                <w:rFonts w:ascii="Arial" w:cs="Arial" w:eastAsia="Arial" w:hAnsi="Arial"/>
                <w:sz w:val="14"/>
                <w:szCs w:val="14"/>
                <w:color w:val="auto"/>
              </w:rPr>
              <w:t>Unconsolidated affiliate</w:t>
            </w:r>
          </w:p>
        </w:tc>
      </w:tr>
      <w:tr>
        <w:trPr>
          <w:trHeight w:val="172"/>
        </w:trPr>
        <w:tc>
          <w:tcPr>
            <w:tcW w:w="3240" w:type="dxa"/>
            <w:vAlign w:val="bottom"/>
            <w:gridSpan w:val="2"/>
          </w:tcPr>
          <w:p>
            <w:pPr>
              <w:ind w:left="220"/>
              <w:spacing w:after="0"/>
              <w:rPr>
                <w:sz w:val="20"/>
                <w:szCs w:val="20"/>
                <w:color w:val="auto"/>
              </w:rPr>
            </w:pPr>
            <w:r>
              <w:rPr>
                <w:rFonts w:ascii="Arial" w:cs="Arial" w:eastAsia="Arial" w:hAnsi="Arial"/>
                <w:sz w:val="14"/>
                <w:szCs w:val="14"/>
                <w:color w:val="auto"/>
              </w:rPr>
              <w:t>Delaware limited partnership</w:t>
            </w:r>
          </w:p>
        </w:tc>
        <w:tc>
          <w:tcPr>
            <w:tcW w:w="2040" w:type="dxa"/>
            <w:vAlign w:val="bottom"/>
            <w:gridSpan w:val="3"/>
          </w:tcPr>
          <w:p>
            <w:pPr>
              <w:ind w:left="140"/>
              <w:spacing w:after="0"/>
              <w:rPr>
                <w:sz w:val="20"/>
                <w:szCs w:val="20"/>
                <w:color w:val="auto"/>
              </w:rPr>
            </w:pPr>
            <w:r>
              <w:rPr>
                <w:rFonts w:ascii="Arial" w:cs="Arial" w:eastAsia="Arial" w:hAnsi="Arial"/>
                <w:sz w:val="14"/>
                <w:szCs w:val="14"/>
                <w:color w:val="auto"/>
              </w:rPr>
              <w:t>Federal/Lion Venture LP</w:t>
            </w:r>
          </w:p>
        </w:tc>
        <w:tc>
          <w:tcPr>
            <w:tcW w:w="1900" w:type="dxa"/>
            <w:vAlign w:val="bottom"/>
            <w:gridSpan w:val="2"/>
          </w:tcPr>
          <w:p>
            <w:pPr>
              <w:spacing w:after="0"/>
              <w:rPr>
                <w:sz w:val="20"/>
                <w:szCs w:val="20"/>
                <w:color w:val="auto"/>
              </w:rPr>
            </w:pPr>
            <w:r>
              <w:rPr>
                <w:rFonts w:ascii="Arial" w:cs="Arial" w:eastAsia="Arial" w:hAnsi="Arial"/>
                <w:sz w:val="14"/>
                <w:szCs w:val="14"/>
                <w:color w:val="auto"/>
              </w:rPr>
              <w:t>Limited partner</w:t>
            </w:r>
          </w:p>
        </w:tc>
        <w:tc>
          <w:tcPr>
            <w:tcW w:w="1160" w:type="dxa"/>
            <w:vAlign w:val="bottom"/>
            <w:gridSpan w:val="2"/>
          </w:tcPr>
          <w:p>
            <w:pPr>
              <w:jc w:val="right"/>
              <w:ind w:right="178"/>
              <w:spacing w:after="0"/>
              <w:rPr>
                <w:sz w:val="20"/>
                <w:szCs w:val="20"/>
                <w:color w:val="auto"/>
              </w:rPr>
            </w:pPr>
            <w:r>
              <w:rPr>
                <w:rFonts w:ascii="Arial" w:cs="Arial" w:eastAsia="Arial" w:hAnsi="Arial"/>
                <w:sz w:val="14"/>
                <w:szCs w:val="14"/>
                <w:color w:val="auto"/>
              </w:rPr>
              <w:t>99.9%</w:t>
            </w:r>
          </w:p>
        </w:tc>
        <w:tc>
          <w:tcPr>
            <w:tcW w:w="3080" w:type="dxa"/>
            <w:vAlign w:val="bottom"/>
          </w:tcPr>
          <w:p>
            <w:pPr>
              <w:spacing w:after="0"/>
              <w:rPr>
                <w:sz w:val="14"/>
                <w:szCs w:val="14"/>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TAURUS NEWBURY STREET JV 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83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220"/>
        <w:spacing w:after="0" w:line="221" w:lineRule="auto"/>
        <w:rPr>
          <w:sz w:val="20"/>
          <w:szCs w:val="20"/>
          <w:color w:val="auto"/>
        </w:rPr>
      </w:pPr>
      <w:r>
        <w:rPr>
          <w:rFonts w:ascii="Arial" w:cs="Arial" w:eastAsia="Arial" w:hAnsi="Arial"/>
          <w:sz w:val="14"/>
          <w:szCs w:val="14"/>
          <w:color w:val="auto"/>
        </w:rPr>
        <w:t>PARTNERSHIP, a Delaware limited partnership (TO</w:t>
      </w:r>
    </w:p>
    <w:p>
      <w:pPr>
        <w:ind w:left="220"/>
        <w:spacing w:after="0"/>
        <w:rPr>
          <w:sz w:val="20"/>
          <w:szCs w:val="20"/>
          <w:color w:val="auto"/>
        </w:rPr>
      </w:pPr>
      <w:r>
        <w:rPr>
          <w:rFonts w:ascii="Arial" w:cs="Arial" w:eastAsia="Arial" w:hAnsi="Arial"/>
          <w:sz w:val="14"/>
          <w:szCs w:val="14"/>
          <w:color w:val="auto"/>
        </w:rPr>
        <w:t>BE DISSOLVED)</w:t>
      </w:r>
    </w:p>
    <w:p>
      <w:pPr>
        <w:spacing w:after="0" w:line="84" w:lineRule="exact"/>
        <w:rPr>
          <w:sz w:val="20"/>
          <w:szCs w:val="20"/>
          <w:color w:val="auto"/>
        </w:rPr>
      </w:pPr>
    </w:p>
    <w:p>
      <w:pPr>
        <w:jc w:val="right"/>
        <w:ind w:right="8340"/>
        <w:spacing w:after="0"/>
        <w:rPr>
          <w:sz w:val="20"/>
          <w:szCs w:val="20"/>
          <w:color w:val="auto"/>
        </w:rPr>
      </w:pPr>
      <w:r>
        <w:rPr>
          <w:rFonts w:ascii="Arial" w:cs="Arial" w:eastAsia="Arial" w:hAnsi="Arial"/>
          <w:sz w:val="12"/>
          <w:szCs w:val="12"/>
          <w:color w:val="auto"/>
        </w:rPr>
        <w:t>TNL 127-129 NEWBURY LIMITED PARTNERSHIP, a</w:t>
      </w:r>
    </w:p>
    <w:p>
      <w:pPr>
        <w:spacing w:after="0" w:line="23" w:lineRule="exact"/>
        <w:rPr>
          <w:sz w:val="20"/>
          <w:szCs w:val="20"/>
          <w:color w:val="auto"/>
        </w:rPr>
      </w:pPr>
    </w:p>
    <w:p>
      <w:pPr>
        <w:jc w:val="right"/>
        <w:ind w:right="8340"/>
        <w:spacing w:after="0"/>
        <w:rPr>
          <w:sz w:val="20"/>
          <w:szCs w:val="20"/>
          <w:color w:val="auto"/>
        </w:rPr>
      </w:pPr>
      <w:r>
        <w:rPr>
          <w:rFonts w:ascii="Arial" w:cs="Arial" w:eastAsia="Arial" w:hAnsi="Arial"/>
          <w:sz w:val="12"/>
          <w:szCs w:val="12"/>
          <w:color w:val="auto"/>
        </w:rPr>
        <w:t>Delaware limited partnership (TO BE DISSOLVED)</w:t>
      </w:r>
    </w:p>
    <w:p>
      <w:pPr>
        <w:spacing w:after="0" w:line="107" w:lineRule="exact"/>
        <w:rPr>
          <w:sz w:val="20"/>
          <w:szCs w:val="20"/>
          <w:color w:val="auto"/>
        </w:rPr>
      </w:pPr>
    </w:p>
    <w:p>
      <w:pPr>
        <w:jc w:val="right"/>
        <w:ind w:right="8340"/>
        <w:spacing w:after="0"/>
        <w:rPr>
          <w:sz w:val="20"/>
          <w:szCs w:val="20"/>
          <w:color w:val="auto"/>
        </w:rPr>
      </w:pPr>
      <w:r>
        <w:rPr>
          <w:rFonts w:ascii="Arial" w:cs="Arial" w:eastAsia="Arial" w:hAnsi="Arial"/>
          <w:sz w:val="12"/>
          <w:szCs w:val="12"/>
          <w:color w:val="auto"/>
        </w:rPr>
        <w:t>TNL 111-115 NEWBURY LIMITED PARTNERSHIP,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 w:lineRule="exact"/>
        <w:rPr>
          <w:sz w:val="20"/>
          <w:szCs w:val="20"/>
          <w:color w:val="auto"/>
        </w:rPr>
      </w:pPr>
    </w:p>
    <w:p>
      <w:pPr>
        <w:jc w:val="right"/>
        <w:ind w:right="8340"/>
        <w:spacing w:after="0"/>
        <w:rPr>
          <w:sz w:val="20"/>
          <w:szCs w:val="20"/>
          <w:color w:val="auto"/>
        </w:rPr>
      </w:pPr>
      <w:r>
        <w:rPr>
          <w:rFonts w:ascii="Arial" w:cs="Arial" w:eastAsia="Arial" w:hAnsi="Arial"/>
          <w:sz w:val="12"/>
          <w:szCs w:val="12"/>
          <w:color w:val="auto"/>
        </w:rPr>
        <w:t>Delaware limited partnership (TO BE DISSOLVED)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TNL 328 NEWBURY LIMITED PARTNERSHIP, a</w:t>
      </w:r>
    </w:p>
    <w:p>
      <w:pPr>
        <w:ind w:left="220"/>
        <w:spacing w:after="0"/>
        <w:rPr>
          <w:sz w:val="20"/>
          <w:szCs w:val="20"/>
          <w:color w:val="auto"/>
        </w:rPr>
      </w:pPr>
      <w:r>
        <w:rPr>
          <w:rFonts w:ascii="Arial" w:cs="Arial" w:eastAsia="Arial" w:hAnsi="Arial"/>
          <w:sz w:val="14"/>
          <w:szCs w:val="14"/>
          <w:color w:val="auto"/>
        </w:rPr>
        <w:t>Delaware limited partnership (TO BE DISSOLVED)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Santana Row Association, a California non-profit mutual benefit 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Deforest Building Condominium Owners Association, a California non-profit mutual benefit 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Margo Building and Villa Cornet Building Condominium Owners Association, a California non-profit mutual benefit corporation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4"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9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60" w:type="dxa"/>
            <w:vAlign w:val="bottom"/>
          </w:tcPr>
          <w:p>
            <w:pPr>
              <w:spacing w:after="0"/>
              <w:rPr>
                <w:sz w:val="14"/>
                <w:szCs w:val="14"/>
                <w:color w:val="auto"/>
              </w:rPr>
            </w:pPr>
          </w:p>
        </w:tc>
        <w:tc>
          <w:tcPr>
            <w:tcW w:w="4580" w:type="dxa"/>
            <w:vAlign w:val="bottom"/>
            <w:gridSpan w:val="2"/>
          </w:tcPr>
          <w:p>
            <w:pPr>
              <w:ind w:left="1000"/>
              <w:spacing w:after="0"/>
              <w:rPr>
                <w:sz w:val="20"/>
                <w:szCs w:val="20"/>
                <w:color w:val="auto"/>
              </w:rPr>
            </w:pPr>
            <w:r>
              <w:rPr>
                <w:rFonts w:ascii="Arial" w:cs="Arial" w:eastAsia="Arial" w:hAnsi="Arial"/>
                <w:sz w:val="14"/>
                <w:szCs w:val="14"/>
                <w:b w:val="1"/>
                <w:bCs w:val="1"/>
                <w:color w:val="auto"/>
              </w:rPr>
              <w:t>Property</w:t>
            </w:r>
          </w:p>
        </w:tc>
        <w:tc>
          <w:tcPr>
            <w:tcW w:w="2260" w:type="dxa"/>
            <w:vAlign w:val="bottom"/>
          </w:tcPr>
          <w:p>
            <w:pPr>
              <w:ind w:left="10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Part 1</w:t>
            </w:r>
          </w:p>
        </w:tc>
        <w:tc>
          <w:tcPr>
            <w:tcW w:w="6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w w:val="88"/>
              </w:rPr>
              <w:t>Wholly Owned Properties</w:t>
            </w:r>
          </w:p>
        </w:tc>
        <w:tc>
          <w:tcPr>
            <w:tcW w:w="4580" w:type="dxa"/>
            <w:vAlign w:val="bottom"/>
            <w:gridSpan w:val="2"/>
            <w:vMerge w:val="restart"/>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458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010-1002</w:t>
            </w:r>
          </w:p>
        </w:tc>
        <w:tc>
          <w:tcPr>
            <w:tcW w:w="6540" w:type="dxa"/>
            <w:vAlign w:val="bottom"/>
            <w:gridSpan w:val="3"/>
          </w:tcPr>
          <w:p>
            <w:pPr>
              <w:spacing w:after="0"/>
              <w:rPr>
                <w:sz w:val="20"/>
                <w:szCs w:val="20"/>
                <w:color w:val="auto"/>
              </w:rPr>
            </w:pPr>
            <w:r>
              <w:rPr>
                <w:rFonts w:ascii="Arial" w:cs="Arial" w:eastAsia="Arial" w:hAnsi="Arial"/>
                <w:sz w:val="18"/>
                <w:szCs w:val="18"/>
                <w:color w:val="auto"/>
              </w:rPr>
              <w:t>Andorra Shopping Center</w:t>
            </w:r>
          </w:p>
        </w:tc>
        <w:tc>
          <w:tcPr>
            <w:tcW w:w="2260" w:type="dxa"/>
            <w:vAlign w:val="bottom"/>
          </w:tcPr>
          <w:p>
            <w:pPr>
              <w:spacing w:after="0"/>
              <w:rPr>
                <w:sz w:val="20"/>
                <w:szCs w:val="20"/>
                <w:color w:val="auto"/>
              </w:rPr>
            </w:pPr>
            <w:r>
              <w:rPr>
                <w:rFonts w:ascii="Arial" w:cs="Arial" w:eastAsia="Arial" w:hAnsi="Arial"/>
                <w:sz w:val="18"/>
                <w:szCs w:val="18"/>
                <w:color w:val="auto"/>
              </w:rPr>
              <w:t>Philadelphia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040-1240</w:t>
            </w:r>
          </w:p>
        </w:tc>
        <w:tc>
          <w:tcPr>
            <w:tcW w:w="6540" w:type="dxa"/>
            <w:vAlign w:val="bottom"/>
            <w:gridSpan w:val="3"/>
          </w:tcPr>
          <w:p>
            <w:pPr>
              <w:spacing w:after="0"/>
              <w:rPr>
                <w:sz w:val="20"/>
                <w:szCs w:val="20"/>
                <w:color w:val="auto"/>
              </w:rPr>
            </w:pPr>
            <w:r>
              <w:rPr>
                <w:rFonts w:ascii="Arial" w:cs="Arial" w:eastAsia="Arial" w:hAnsi="Arial"/>
                <w:sz w:val="18"/>
                <w:szCs w:val="18"/>
                <w:color w:val="auto"/>
              </w:rPr>
              <w:t>Governor Plaza</w:t>
            </w:r>
          </w:p>
        </w:tc>
        <w:tc>
          <w:tcPr>
            <w:tcW w:w="2260" w:type="dxa"/>
            <w:vAlign w:val="bottom"/>
          </w:tcPr>
          <w:p>
            <w:pPr>
              <w:spacing w:after="0"/>
              <w:rPr>
                <w:sz w:val="20"/>
                <w:szCs w:val="20"/>
                <w:color w:val="auto"/>
              </w:rPr>
            </w:pPr>
            <w:r>
              <w:rPr>
                <w:rFonts w:ascii="Arial" w:cs="Arial" w:eastAsia="Arial" w:hAnsi="Arial"/>
                <w:sz w:val="18"/>
                <w:szCs w:val="18"/>
                <w:color w:val="auto"/>
              </w:rPr>
              <w:t>Glen Burnie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080-1600</w:t>
            </w:r>
          </w:p>
        </w:tc>
        <w:tc>
          <w:tcPr>
            <w:tcW w:w="6540" w:type="dxa"/>
            <w:vAlign w:val="bottom"/>
            <w:gridSpan w:val="3"/>
          </w:tcPr>
          <w:p>
            <w:pPr>
              <w:spacing w:after="0"/>
              <w:rPr>
                <w:sz w:val="20"/>
                <w:szCs w:val="20"/>
                <w:color w:val="auto"/>
              </w:rPr>
            </w:pPr>
            <w:r>
              <w:rPr>
                <w:rFonts w:ascii="Arial" w:cs="Arial" w:eastAsia="Arial" w:hAnsi="Arial"/>
                <w:sz w:val="18"/>
                <w:szCs w:val="18"/>
                <w:color w:val="auto"/>
              </w:rPr>
              <w:t>Perring Plaza</w:t>
            </w:r>
          </w:p>
        </w:tc>
        <w:tc>
          <w:tcPr>
            <w:tcW w:w="2260" w:type="dxa"/>
            <w:vAlign w:val="bottom"/>
          </w:tcPr>
          <w:p>
            <w:pPr>
              <w:spacing w:after="0"/>
              <w:rPr>
                <w:sz w:val="20"/>
                <w:szCs w:val="20"/>
                <w:color w:val="auto"/>
              </w:rPr>
            </w:pPr>
            <w:r>
              <w:rPr>
                <w:rFonts w:ascii="Arial" w:cs="Arial" w:eastAsia="Arial" w:hAnsi="Arial"/>
                <w:sz w:val="18"/>
                <w:szCs w:val="18"/>
                <w:color w:val="auto"/>
              </w:rPr>
              <w:t>Baltimore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100-1630</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100-1632</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1B-Retail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100-1634</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1C-Retail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100-1636</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2-Retail/Off</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100-1638</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3-Retail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100-1642</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4-Retail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100-1644</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5-Retail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100-1645</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5-Hotel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100-1646</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6A-Retail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100-1650</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7-Retail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100-1652</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8A-Retail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100-1662</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11A-Retail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100-1668</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13/15 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100-1674</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K-Retail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100-1648</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6B-Residential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100-1651</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7-Residential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100-1653</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8A-Residential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100-1654</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8B-Residential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100-1663</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11A-Res/Office</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100-1669</w:t>
            </w:r>
          </w:p>
        </w:tc>
        <w:tc>
          <w:tcPr>
            <w:tcW w:w="6540" w:type="dxa"/>
            <w:vAlign w:val="bottom"/>
            <w:gridSpan w:val="3"/>
          </w:tcPr>
          <w:p>
            <w:pPr>
              <w:spacing w:after="0"/>
              <w:rPr>
                <w:sz w:val="20"/>
                <w:szCs w:val="20"/>
                <w:color w:val="auto"/>
              </w:rPr>
            </w:pPr>
            <w:r>
              <w:rPr>
                <w:rFonts w:ascii="Arial" w:cs="Arial" w:eastAsia="Arial" w:hAnsi="Arial"/>
                <w:sz w:val="18"/>
                <w:szCs w:val="18"/>
                <w:color w:val="auto"/>
              </w:rPr>
              <w:t>Santana Row Bld 13/15 Res/Off</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130-1215</w:t>
            </w:r>
          </w:p>
        </w:tc>
        <w:tc>
          <w:tcPr>
            <w:tcW w:w="6540" w:type="dxa"/>
            <w:vAlign w:val="bottom"/>
            <w:gridSpan w:val="3"/>
          </w:tcPr>
          <w:p>
            <w:pPr>
              <w:spacing w:after="0"/>
              <w:rPr>
                <w:sz w:val="20"/>
                <w:szCs w:val="20"/>
                <w:color w:val="auto"/>
              </w:rPr>
            </w:pPr>
            <w:r>
              <w:rPr>
                <w:rFonts w:ascii="Arial" w:cs="Arial" w:eastAsia="Arial" w:hAnsi="Arial"/>
                <w:sz w:val="18"/>
                <w:szCs w:val="18"/>
                <w:color w:val="auto"/>
              </w:rPr>
              <w:t>Federal Plaza</w:t>
            </w:r>
          </w:p>
        </w:tc>
        <w:tc>
          <w:tcPr>
            <w:tcW w:w="2260" w:type="dxa"/>
            <w:vAlign w:val="bottom"/>
          </w:tcPr>
          <w:p>
            <w:pPr>
              <w:spacing w:after="0"/>
              <w:rPr>
                <w:sz w:val="20"/>
                <w:szCs w:val="20"/>
                <w:color w:val="auto"/>
              </w:rPr>
            </w:pPr>
            <w:r>
              <w:rPr>
                <w:rFonts w:ascii="Arial" w:cs="Arial" w:eastAsia="Arial" w:hAnsi="Arial"/>
                <w:sz w:val="18"/>
                <w:szCs w:val="18"/>
                <w:color w:val="auto"/>
              </w:rPr>
              <w:t>Rockville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150-1477</w:t>
            </w:r>
          </w:p>
        </w:tc>
        <w:tc>
          <w:tcPr>
            <w:tcW w:w="6540" w:type="dxa"/>
            <w:vAlign w:val="bottom"/>
            <w:gridSpan w:val="3"/>
          </w:tcPr>
          <w:p>
            <w:pPr>
              <w:spacing w:after="0"/>
              <w:rPr>
                <w:sz w:val="20"/>
                <w:szCs w:val="20"/>
                <w:color w:val="auto"/>
              </w:rPr>
            </w:pPr>
            <w:r>
              <w:rPr>
                <w:rFonts w:ascii="Arial" w:cs="Arial" w:eastAsia="Arial" w:hAnsi="Arial"/>
                <w:sz w:val="18"/>
                <w:szCs w:val="18"/>
                <w:color w:val="auto"/>
              </w:rPr>
              <w:t>Mercer Mall - H&amp;H BBQ</w:t>
            </w:r>
          </w:p>
        </w:tc>
        <w:tc>
          <w:tcPr>
            <w:tcW w:w="2260" w:type="dxa"/>
            <w:vAlign w:val="bottom"/>
          </w:tcPr>
          <w:p>
            <w:pPr>
              <w:spacing w:after="0"/>
              <w:rPr>
                <w:sz w:val="20"/>
                <w:szCs w:val="20"/>
                <w:color w:val="auto"/>
              </w:rPr>
            </w:pPr>
            <w:r>
              <w:rPr>
                <w:rFonts w:ascii="Arial" w:cs="Arial" w:eastAsia="Arial" w:hAnsi="Arial"/>
                <w:sz w:val="18"/>
                <w:szCs w:val="18"/>
                <w:color w:val="auto"/>
              </w:rPr>
              <w:t>Lawrenceville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151-1478</w:t>
            </w:r>
          </w:p>
        </w:tc>
        <w:tc>
          <w:tcPr>
            <w:tcW w:w="6540" w:type="dxa"/>
            <w:vAlign w:val="bottom"/>
            <w:gridSpan w:val="3"/>
          </w:tcPr>
          <w:p>
            <w:pPr>
              <w:spacing w:after="0"/>
              <w:rPr>
                <w:sz w:val="20"/>
                <w:szCs w:val="20"/>
                <w:color w:val="auto"/>
              </w:rPr>
            </w:pPr>
            <w:r>
              <w:rPr>
                <w:rFonts w:ascii="Arial" w:cs="Arial" w:eastAsia="Arial" w:hAnsi="Arial"/>
                <w:sz w:val="18"/>
                <w:szCs w:val="18"/>
                <w:color w:val="auto"/>
              </w:rPr>
              <w:t>FR Mercer Mall, LLC (H&amp;H BBQ)</w:t>
            </w:r>
          </w:p>
        </w:tc>
        <w:tc>
          <w:tcPr>
            <w:tcW w:w="2260" w:type="dxa"/>
            <w:vAlign w:val="bottom"/>
          </w:tcPr>
          <w:p>
            <w:pPr>
              <w:spacing w:after="0"/>
              <w:rPr>
                <w:sz w:val="20"/>
                <w:szCs w:val="20"/>
                <w:color w:val="auto"/>
              </w:rPr>
            </w:pPr>
            <w:r>
              <w:rPr>
                <w:rFonts w:ascii="Arial" w:cs="Arial" w:eastAsia="Arial" w:hAnsi="Arial"/>
                <w:sz w:val="18"/>
                <w:szCs w:val="18"/>
                <w:color w:val="auto"/>
              </w:rPr>
              <w:t>Lawrenceville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160-1800</w:t>
            </w:r>
          </w:p>
        </w:tc>
        <w:tc>
          <w:tcPr>
            <w:tcW w:w="6540" w:type="dxa"/>
            <w:vAlign w:val="bottom"/>
            <w:gridSpan w:val="3"/>
          </w:tcPr>
          <w:p>
            <w:pPr>
              <w:spacing w:after="0"/>
              <w:rPr>
                <w:sz w:val="20"/>
                <w:szCs w:val="20"/>
                <w:color w:val="auto"/>
              </w:rPr>
            </w:pPr>
            <w:r>
              <w:rPr>
                <w:rFonts w:ascii="Arial" w:cs="Arial" w:eastAsia="Arial" w:hAnsi="Arial"/>
                <w:sz w:val="18"/>
                <w:szCs w:val="18"/>
                <w:color w:val="auto"/>
              </w:rPr>
              <w:t>Westgate Mall</w:t>
            </w:r>
          </w:p>
        </w:tc>
        <w:tc>
          <w:tcPr>
            <w:tcW w:w="2260" w:type="dxa"/>
            <w:vAlign w:val="bottom"/>
          </w:tcPr>
          <w:p>
            <w:pPr>
              <w:spacing w:after="0"/>
              <w:rPr>
                <w:sz w:val="20"/>
                <w:szCs w:val="20"/>
                <w:color w:val="auto"/>
              </w:rPr>
            </w:pPr>
            <w:r>
              <w:rPr>
                <w:rFonts w:ascii="Arial" w:cs="Arial" w:eastAsia="Arial" w:hAnsi="Arial"/>
                <w:sz w:val="18"/>
                <w:szCs w:val="18"/>
                <w:color w:val="auto"/>
              </w:rPr>
              <w:t>San Jose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170-1730</w:t>
            </w:r>
          </w:p>
        </w:tc>
        <w:tc>
          <w:tcPr>
            <w:tcW w:w="6540" w:type="dxa"/>
            <w:vAlign w:val="bottom"/>
            <w:gridSpan w:val="3"/>
          </w:tcPr>
          <w:p>
            <w:pPr>
              <w:spacing w:after="0"/>
              <w:rPr>
                <w:sz w:val="20"/>
                <w:szCs w:val="20"/>
                <w:color w:val="auto"/>
              </w:rPr>
            </w:pPr>
            <w:r>
              <w:rPr>
                <w:rFonts w:ascii="Arial" w:cs="Arial" w:eastAsia="Arial" w:hAnsi="Arial"/>
                <w:sz w:val="18"/>
                <w:szCs w:val="18"/>
                <w:color w:val="auto"/>
              </w:rPr>
              <w:t>Assembly Sq Dev (Foley, Sturtevant, Amerigas Land)</w:t>
            </w:r>
          </w:p>
        </w:tc>
        <w:tc>
          <w:tcPr>
            <w:tcW w:w="2260" w:type="dxa"/>
            <w:vAlign w:val="bottom"/>
          </w:tcPr>
          <w:p>
            <w:pPr>
              <w:spacing w:after="0"/>
              <w:rPr>
                <w:sz w:val="20"/>
                <w:szCs w:val="20"/>
                <w:color w:val="auto"/>
              </w:rPr>
            </w:pPr>
            <w:r>
              <w:rPr>
                <w:rFonts w:ascii="Arial" w:cs="Arial" w:eastAsia="Arial" w:hAnsi="Arial"/>
                <w:sz w:val="18"/>
                <w:szCs w:val="18"/>
                <w:color w:val="auto"/>
              </w:rPr>
              <w:t>Somerville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180-1008</w:t>
            </w:r>
          </w:p>
        </w:tc>
        <w:tc>
          <w:tcPr>
            <w:tcW w:w="6540" w:type="dxa"/>
            <w:vAlign w:val="bottom"/>
            <w:gridSpan w:val="3"/>
          </w:tcPr>
          <w:p>
            <w:pPr>
              <w:spacing w:after="0"/>
              <w:rPr>
                <w:sz w:val="20"/>
                <w:szCs w:val="20"/>
                <w:color w:val="auto"/>
              </w:rPr>
            </w:pPr>
            <w:r>
              <w:rPr>
                <w:rFonts w:ascii="Arial" w:cs="Arial" w:eastAsia="Arial" w:hAnsi="Arial"/>
                <w:sz w:val="18"/>
                <w:szCs w:val="18"/>
                <w:color w:val="auto"/>
              </w:rPr>
              <w:t>Assembly Square</w:t>
            </w:r>
          </w:p>
        </w:tc>
        <w:tc>
          <w:tcPr>
            <w:tcW w:w="2260" w:type="dxa"/>
            <w:vAlign w:val="bottom"/>
          </w:tcPr>
          <w:p>
            <w:pPr>
              <w:spacing w:after="0"/>
              <w:rPr>
                <w:sz w:val="20"/>
                <w:szCs w:val="20"/>
                <w:color w:val="auto"/>
              </w:rPr>
            </w:pPr>
            <w:r>
              <w:rPr>
                <w:rFonts w:ascii="Arial" w:cs="Arial" w:eastAsia="Arial" w:hAnsi="Arial"/>
                <w:sz w:val="18"/>
                <w:szCs w:val="18"/>
                <w:color w:val="auto"/>
              </w:rPr>
              <w:t>Somerville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194-1940</w:t>
            </w:r>
          </w:p>
        </w:tc>
        <w:tc>
          <w:tcPr>
            <w:tcW w:w="6540" w:type="dxa"/>
            <w:vAlign w:val="bottom"/>
            <w:gridSpan w:val="3"/>
          </w:tcPr>
          <w:p>
            <w:pPr>
              <w:spacing w:after="0"/>
              <w:rPr>
                <w:sz w:val="20"/>
                <w:szCs w:val="20"/>
                <w:color w:val="auto"/>
              </w:rPr>
            </w:pPr>
            <w:r>
              <w:rPr>
                <w:rFonts w:ascii="Arial" w:cs="Arial" w:eastAsia="Arial" w:hAnsi="Arial"/>
                <w:sz w:val="18"/>
                <w:szCs w:val="18"/>
                <w:color w:val="auto"/>
              </w:rPr>
              <w:t>Del Mar Village</w:t>
            </w:r>
          </w:p>
        </w:tc>
        <w:tc>
          <w:tcPr>
            <w:tcW w:w="2260" w:type="dxa"/>
            <w:vAlign w:val="bottom"/>
          </w:tcPr>
          <w:p>
            <w:pPr>
              <w:spacing w:after="0"/>
              <w:rPr>
                <w:sz w:val="20"/>
                <w:szCs w:val="20"/>
                <w:color w:val="auto"/>
              </w:rPr>
            </w:pPr>
            <w:r>
              <w:rPr>
                <w:rFonts w:ascii="Arial" w:cs="Arial" w:eastAsia="Arial" w:hAnsi="Arial"/>
                <w:sz w:val="18"/>
                <w:szCs w:val="18"/>
                <w:color w:val="auto"/>
              </w:rPr>
              <w:t>Boca Raton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195-1950</w:t>
            </w:r>
          </w:p>
        </w:tc>
        <w:tc>
          <w:tcPr>
            <w:tcW w:w="6540" w:type="dxa"/>
            <w:vAlign w:val="bottom"/>
            <w:gridSpan w:val="3"/>
          </w:tcPr>
          <w:p>
            <w:pPr>
              <w:spacing w:after="0"/>
              <w:rPr>
                <w:sz w:val="20"/>
                <w:szCs w:val="20"/>
                <w:color w:val="auto"/>
              </w:rPr>
            </w:pPr>
            <w:r>
              <w:rPr>
                <w:rFonts w:ascii="Arial" w:cs="Arial" w:eastAsia="Arial" w:hAnsi="Arial"/>
                <w:sz w:val="18"/>
                <w:szCs w:val="18"/>
                <w:color w:val="auto"/>
              </w:rPr>
              <w:t>7015 Beracasa Way (Office)</w:t>
            </w:r>
          </w:p>
        </w:tc>
        <w:tc>
          <w:tcPr>
            <w:tcW w:w="2260" w:type="dxa"/>
            <w:vAlign w:val="bottom"/>
          </w:tcPr>
          <w:p>
            <w:pPr>
              <w:spacing w:after="0"/>
              <w:rPr>
                <w:sz w:val="20"/>
                <w:szCs w:val="20"/>
                <w:color w:val="auto"/>
              </w:rPr>
            </w:pPr>
            <w:r>
              <w:rPr>
                <w:rFonts w:ascii="Arial" w:cs="Arial" w:eastAsia="Arial" w:hAnsi="Arial"/>
                <w:sz w:val="18"/>
                <w:szCs w:val="18"/>
                <w:color w:val="auto"/>
              </w:rPr>
              <w:t>Boca Raton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195-1953</w:t>
            </w:r>
          </w:p>
        </w:tc>
        <w:tc>
          <w:tcPr>
            <w:tcW w:w="6540" w:type="dxa"/>
            <w:vAlign w:val="bottom"/>
            <w:gridSpan w:val="3"/>
          </w:tcPr>
          <w:p>
            <w:pPr>
              <w:spacing w:after="0"/>
              <w:rPr>
                <w:sz w:val="20"/>
                <w:szCs w:val="20"/>
                <w:color w:val="auto"/>
              </w:rPr>
            </w:pPr>
            <w:r>
              <w:rPr>
                <w:rFonts w:ascii="Arial" w:cs="Arial" w:eastAsia="Arial" w:hAnsi="Arial"/>
                <w:sz w:val="18"/>
                <w:szCs w:val="18"/>
                <w:color w:val="auto"/>
              </w:rPr>
              <w:t>7045 Beracasa Way (Blockbuster)</w:t>
            </w:r>
          </w:p>
        </w:tc>
        <w:tc>
          <w:tcPr>
            <w:tcW w:w="2260" w:type="dxa"/>
            <w:vAlign w:val="bottom"/>
          </w:tcPr>
          <w:p>
            <w:pPr>
              <w:spacing w:after="0"/>
              <w:rPr>
                <w:sz w:val="20"/>
                <w:szCs w:val="20"/>
                <w:color w:val="auto"/>
              </w:rPr>
            </w:pPr>
            <w:r>
              <w:rPr>
                <w:rFonts w:ascii="Arial" w:cs="Arial" w:eastAsia="Arial" w:hAnsi="Arial"/>
                <w:sz w:val="18"/>
                <w:szCs w:val="18"/>
                <w:color w:val="auto"/>
              </w:rPr>
              <w:t>Boca Raton</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197-1970</w:t>
            </w:r>
          </w:p>
        </w:tc>
        <w:tc>
          <w:tcPr>
            <w:tcW w:w="6540" w:type="dxa"/>
            <w:vAlign w:val="bottom"/>
            <w:gridSpan w:val="3"/>
          </w:tcPr>
          <w:p>
            <w:pPr>
              <w:spacing w:after="0"/>
              <w:rPr>
                <w:sz w:val="20"/>
                <w:szCs w:val="20"/>
                <w:color w:val="auto"/>
              </w:rPr>
            </w:pPr>
            <w:r>
              <w:rPr>
                <w:rFonts w:ascii="Arial" w:cs="Arial" w:eastAsia="Arial" w:hAnsi="Arial"/>
                <w:sz w:val="18"/>
                <w:szCs w:val="18"/>
                <w:color w:val="auto"/>
              </w:rPr>
              <w:t>Huntington Square</w:t>
            </w:r>
          </w:p>
        </w:tc>
        <w:tc>
          <w:tcPr>
            <w:tcW w:w="2260" w:type="dxa"/>
            <w:vAlign w:val="bottom"/>
          </w:tcPr>
          <w:p>
            <w:pPr>
              <w:spacing w:after="0"/>
              <w:rPr>
                <w:sz w:val="20"/>
                <w:szCs w:val="20"/>
                <w:color w:val="auto"/>
              </w:rPr>
            </w:pPr>
            <w:r>
              <w:rPr>
                <w:rFonts w:ascii="Arial" w:cs="Arial" w:eastAsia="Arial" w:hAnsi="Arial"/>
                <w:sz w:val="18"/>
                <w:szCs w:val="18"/>
                <w:color w:val="auto"/>
              </w:rPr>
              <w:t>East Northport</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198-1980</w:t>
            </w:r>
          </w:p>
        </w:tc>
        <w:tc>
          <w:tcPr>
            <w:tcW w:w="6540" w:type="dxa"/>
            <w:vAlign w:val="bottom"/>
            <w:gridSpan w:val="3"/>
          </w:tcPr>
          <w:p>
            <w:pPr>
              <w:spacing w:after="0"/>
              <w:rPr>
                <w:sz w:val="20"/>
                <w:szCs w:val="20"/>
                <w:color w:val="auto"/>
              </w:rPr>
            </w:pPr>
            <w:r>
              <w:rPr>
                <w:rFonts w:ascii="Arial" w:cs="Arial" w:eastAsia="Arial" w:hAnsi="Arial"/>
                <w:sz w:val="18"/>
                <w:szCs w:val="18"/>
                <w:color w:val="auto"/>
              </w:rPr>
              <w:t>Tower Shops</w:t>
            </w:r>
          </w:p>
        </w:tc>
        <w:tc>
          <w:tcPr>
            <w:tcW w:w="2260" w:type="dxa"/>
            <w:vAlign w:val="bottom"/>
          </w:tcPr>
          <w:p>
            <w:pPr>
              <w:spacing w:after="0"/>
              <w:rPr>
                <w:sz w:val="20"/>
                <w:szCs w:val="20"/>
                <w:color w:val="auto"/>
              </w:rPr>
            </w:pPr>
            <w:r>
              <w:rPr>
                <w:rFonts w:ascii="Arial" w:cs="Arial" w:eastAsia="Arial" w:hAnsi="Arial"/>
                <w:sz w:val="18"/>
                <w:szCs w:val="18"/>
                <w:color w:val="auto"/>
              </w:rPr>
              <w:t>Davie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209-2090</w:t>
            </w:r>
          </w:p>
        </w:tc>
        <w:tc>
          <w:tcPr>
            <w:tcW w:w="6540" w:type="dxa"/>
            <w:vAlign w:val="bottom"/>
            <w:gridSpan w:val="3"/>
          </w:tcPr>
          <w:p>
            <w:pPr>
              <w:spacing w:after="0"/>
              <w:rPr>
                <w:sz w:val="20"/>
                <w:szCs w:val="20"/>
                <w:color w:val="auto"/>
              </w:rPr>
            </w:pPr>
            <w:r>
              <w:rPr>
                <w:rFonts w:ascii="Arial" w:cs="Arial" w:eastAsia="Arial" w:hAnsi="Arial"/>
                <w:sz w:val="18"/>
                <w:szCs w:val="18"/>
                <w:color w:val="auto"/>
              </w:rPr>
              <w:t>Chelsea Commons III</w:t>
            </w:r>
          </w:p>
        </w:tc>
        <w:tc>
          <w:tcPr>
            <w:tcW w:w="2260" w:type="dxa"/>
            <w:vAlign w:val="bottom"/>
          </w:tcPr>
          <w:p>
            <w:pPr>
              <w:spacing w:after="0"/>
              <w:rPr>
                <w:sz w:val="20"/>
                <w:szCs w:val="20"/>
                <w:color w:val="auto"/>
              </w:rPr>
            </w:pPr>
            <w:r>
              <w:rPr>
                <w:rFonts w:ascii="Arial" w:cs="Arial" w:eastAsia="Arial" w:hAnsi="Arial"/>
                <w:sz w:val="18"/>
                <w:szCs w:val="18"/>
                <w:color w:val="auto"/>
              </w:rPr>
              <w:t>Chelsea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210-2100</w:t>
            </w:r>
          </w:p>
        </w:tc>
        <w:tc>
          <w:tcPr>
            <w:tcW w:w="6540" w:type="dxa"/>
            <w:vAlign w:val="bottom"/>
            <w:gridSpan w:val="3"/>
          </w:tcPr>
          <w:p>
            <w:pPr>
              <w:spacing w:after="0"/>
              <w:rPr>
                <w:sz w:val="20"/>
                <w:szCs w:val="20"/>
                <w:color w:val="auto"/>
              </w:rPr>
            </w:pPr>
            <w:r>
              <w:rPr>
                <w:rFonts w:ascii="Arial" w:cs="Arial" w:eastAsia="Arial" w:hAnsi="Arial"/>
                <w:sz w:val="18"/>
                <w:szCs w:val="18"/>
                <w:color w:val="auto"/>
              </w:rPr>
              <w:t>Linden Square</w:t>
            </w:r>
          </w:p>
        </w:tc>
        <w:tc>
          <w:tcPr>
            <w:tcW w:w="2260" w:type="dxa"/>
            <w:vAlign w:val="bottom"/>
          </w:tcPr>
          <w:p>
            <w:pPr>
              <w:spacing w:after="0"/>
              <w:rPr>
                <w:sz w:val="20"/>
                <w:szCs w:val="20"/>
                <w:color w:val="auto"/>
              </w:rPr>
            </w:pPr>
            <w:r>
              <w:rPr>
                <w:rFonts w:ascii="Arial" w:cs="Arial" w:eastAsia="Arial" w:hAnsi="Arial"/>
                <w:sz w:val="18"/>
                <w:szCs w:val="18"/>
                <w:color w:val="auto"/>
              </w:rPr>
              <w:t>Wellesley</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211-2111</w:t>
            </w:r>
          </w:p>
        </w:tc>
        <w:tc>
          <w:tcPr>
            <w:tcW w:w="6540" w:type="dxa"/>
            <w:vAlign w:val="bottom"/>
            <w:gridSpan w:val="3"/>
          </w:tcPr>
          <w:p>
            <w:pPr>
              <w:spacing w:after="0"/>
              <w:rPr>
                <w:sz w:val="20"/>
                <w:szCs w:val="20"/>
                <w:color w:val="auto"/>
              </w:rPr>
            </w:pPr>
            <w:r>
              <w:rPr>
                <w:rFonts w:ascii="Arial" w:cs="Arial" w:eastAsia="Arial" w:hAnsi="Arial"/>
                <w:sz w:val="18"/>
                <w:szCs w:val="18"/>
                <w:color w:val="auto"/>
              </w:rPr>
              <w:t>Chelsea - 1020 Revere Beach Parkway</w:t>
            </w:r>
          </w:p>
        </w:tc>
        <w:tc>
          <w:tcPr>
            <w:tcW w:w="2260" w:type="dxa"/>
            <w:vAlign w:val="bottom"/>
          </w:tcPr>
          <w:p>
            <w:pPr>
              <w:spacing w:after="0"/>
              <w:rPr>
                <w:sz w:val="20"/>
                <w:szCs w:val="20"/>
                <w:color w:val="auto"/>
              </w:rPr>
            </w:pPr>
            <w:r>
              <w:rPr>
                <w:rFonts w:ascii="Arial" w:cs="Arial" w:eastAsia="Arial" w:hAnsi="Arial"/>
                <w:sz w:val="18"/>
                <w:szCs w:val="18"/>
                <w:color w:val="auto"/>
              </w:rPr>
              <w:t>Chelsea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213-2130</w:t>
            </w:r>
          </w:p>
        </w:tc>
        <w:tc>
          <w:tcPr>
            <w:tcW w:w="6540" w:type="dxa"/>
            <w:vAlign w:val="bottom"/>
            <w:gridSpan w:val="3"/>
          </w:tcPr>
          <w:p>
            <w:pPr>
              <w:spacing w:after="0"/>
              <w:rPr>
                <w:sz w:val="20"/>
                <w:szCs w:val="20"/>
                <w:color w:val="auto"/>
              </w:rPr>
            </w:pPr>
            <w:r>
              <w:rPr>
                <w:rFonts w:ascii="Arial" w:cs="Arial" w:eastAsia="Arial" w:hAnsi="Arial"/>
                <w:sz w:val="18"/>
                <w:szCs w:val="18"/>
                <w:color w:val="auto"/>
              </w:rPr>
              <w:t>North Dartmouth</w:t>
            </w:r>
          </w:p>
        </w:tc>
        <w:tc>
          <w:tcPr>
            <w:tcW w:w="2260" w:type="dxa"/>
            <w:vAlign w:val="bottom"/>
          </w:tcPr>
          <w:p>
            <w:pPr>
              <w:spacing w:after="0"/>
              <w:rPr>
                <w:sz w:val="20"/>
                <w:szCs w:val="20"/>
                <w:color w:val="auto"/>
              </w:rPr>
            </w:pPr>
            <w:r>
              <w:rPr>
                <w:rFonts w:ascii="Arial" w:cs="Arial" w:eastAsia="Arial" w:hAnsi="Arial"/>
                <w:sz w:val="18"/>
                <w:szCs w:val="18"/>
                <w:color w:val="auto"/>
              </w:rPr>
              <w:t>North Dartmouth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220-2200</w:t>
            </w:r>
          </w:p>
        </w:tc>
        <w:tc>
          <w:tcPr>
            <w:tcW w:w="6540" w:type="dxa"/>
            <w:vAlign w:val="bottom"/>
            <w:gridSpan w:val="3"/>
          </w:tcPr>
          <w:p>
            <w:pPr>
              <w:spacing w:after="0"/>
              <w:rPr>
                <w:sz w:val="20"/>
                <w:szCs w:val="20"/>
                <w:color w:val="auto"/>
              </w:rPr>
            </w:pPr>
            <w:r>
              <w:rPr>
                <w:rFonts w:ascii="Arial" w:cs="Arial" w:eastAsia="Arial" w:hAnsi="Arial"/>
                <w:sz w:val="18"/>
                <w:szCs w:val="18"/>
                <w:color w:val="auto"/>
              </w:rPr>
              <w:t>White Marsh Ground Leases</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222-2220</w:t>
            </w:r>
          </w:p>
        </w:tc>
        <w:tc>
          <w:tcPr>
            <w:tcW w:w="6540" w:type="dxa"/>
            <w:vAlign w:val="bottom"/>
            <w:gridSpan w:val="3"/>
          </w:tcPr>
          <w:p>
            <w:pPr>
              <w:spacing w:after="0"/>
              <w:rPr>
                <w:sz w:val="20"/>
                <w:szCs w:val="20"/>
                <w:color w:val="auto"/>
              </w:rPr>
            </w:pPr>
            <w:r>
              <w:rPr>
                <w:rFonts w:ascii="Arial" w:cs="Arial" w:eastAsia="Arial" w:hAnsi="Arial"/>
                <w:sz w:val="18"/>
                <w:szCs w:val="18"/>
                <w:color w:val="auto"/>
              </w:rPr>
              <w:t>Byron Station (White Marsh Other)</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223-2230</w:t>
            </w:r>
          </w:p>
        </w:tc>
        <w:tc>
          <w:tcPr>
            <w:tcW w:w="6540" w:type="dxa"/>
            <w:vAlign w:val="bottom"/>
            <w:gridSpan w:val="3"/>
          </w:tcPr>
          <w:p>
            <w:pPr>
              <w:spacing w:after="0"/>
              <w:rPr>
                <w:sz w:val="20"/>
                <w:szCs w:val="20"/>
                <w:color w:val="auto"/>
              </w:rPr>
            </w:pPr>
            <w:r>
              <w:rPr>
                <w:rFonts w:ascii="Arial" w:cs="Arial" w:eastAsia="Arial" w:hAnsi="Arial"/>
                <w:sz w:val="18"/>
                <w:szCs w:val="18"/>
                <w:color w:val="auto"/>
              </w:rPr>
              <w:t>Fairfield Inn (Hotel Ground Lease)</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224-2240</w:t>
            </w:r>
          </w:p>
        </w:tc>
        <w:tc>
          <w:tcPr>
            <w:tcW w:w="6540" w:type="dxa"/>
            <w:vAlign w:val="bottom"/>
            <w:gridSpan w:val="3"/>
          </w:tcPr>
          <w:p>
            <w:pPr>
              <w:spacing w:after="0"/>
              <w:rPr>
                <w:sz w:val="20"/>
                <w:szCs w:val="20"/>
                <w:color w:val="auto"/>
              </w:rPr>
            </w:pPr>
            <w:r>
              <w:rPr>
                <w:rFonts w:ascii="Arial" w:cs="Arial" w:eastAsia="Arial" w:hAnsi="Arial"/>
                <w:sz w:val="18"/>
                <w:szCs w:val="18"/>
                <w:color w:val="auto"/>
              </w:rPr>
              <w:t>Shoppes at Nottingham Sq II</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228-2280</w:t>
            </w:r>
          </w:p>
        </w:tc>
        <w:tc>
          <w:tcPr>
            <w:tcW w:w="6540" w:type="dxa"/>
            <w:vAlign w:val="bottom"/>
            <w:gridSpan w:val="3"/>
          </w:tcPr>
          <w:p>
            <w:pPr>
              <w:spacing w:after="0"/>
              <w:rPr>
                <w:sz w:val="20"/>
                <w:szCs w:val="20"/>
                <w:color w:val="auto"/>
              </w:rPr>
            </w:pPr>
            <w:r>
              <w:rPr>
                <w:rFonts w:ascii="Arial" w:cs="Arial" w:eastAsia="Arial" w:hAnsi="Arial"/>
                <w:sz w:val="18"/>
                <w:szCs w:val="18"/>
                <w:color w:val="auto"/>
              </w:rPr>
              <w:t>Shoppes at Nottingham Sq I</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229-2290</w:t>
            </w:r>
          </w:p>
        </w:tc>
        <w:tc>
          <w:tcPr>
            <w:tcW w:w="6540" w:type="dxa"/>
            <w:vAlign w:val="bottom"/>
            <w:gridSpan w:val="3"/>
          </w:tcPr>
          <w:p>
            <w:pPr>
              <w:spacing w:after="0"/>
              <w:rPr>
                <w:sz w:val="20"/>
                <w:szCs w:val="20"/>
                <w:color w:val="auto"/>
              </w:rPr>
            </w:pPr>
            <w:r>
              <w:rPr>
                <w:rFonts w:ascii="Arial" w:cs="Arial" w:eastAsia="Arial" w:hAnsi="Arial"/>
                <w:sz w:val="18"/>
                <w:szCs w:val="18"/>
                <w:color w:val="auto"/>
              </w:rPr>
              <w:t>RPBT Ground Leases - Nottingham</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229-2291</w:t>
            </w:r>
          </w:p>
        </w:tc>
        <w:tc>
          <w:tcPr>
            <w:tcW w:w="6540" w:type="dxa"/>
            <w:vAlign w:val="bottom"/>
            <w:gridSpan w:val="3"/>
          </w:tcPr>
          <w:p>
            <w:pPr>
              <w:spacing w:after="0"/>
              <w:rPr>
                <w:sz w:val="20"/>
                <w:szCs w:val="20"/>
                <w:color w:val="auto"/>
              </w:rPr>
            </w:pPr>
            <w:r>
              <w:rPr>
                <w:rFonts w:ascii="Arial" w:cs="Arial" w:eastAsia="Arial" w:hAnsi="Arial"/>
                <w:sz w:val="18"/>
                <w:szCs w:val="18"/>
                <w:color w:val="auto"/>
              </w:rPr>
              <w:t>The Avenue - Parking</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230-2300</w:t>
            </w:r>
          </w:p>
        </w:tc>
        <w:tc>
          <w:tcPr>
            <w:tcW w:w="6540" w:type="dxa"/>
            <w:vAlign w:val="bottom"/>
            <w:gridSpan w:val="3"/>
          </w:tcPr>
          <w:p>
            <w:pPr>
              <w:spacing w:after="0"/>
              <w:rPr>
                <w:sz w:val="20"/>
                <w:szCs w:val="20"/>
                <w:color w:val="auto"/>
              </w:rPr>
            </w:pPr>
            <w:r>
              <w:rPr>
                <w:rFonts w:ascii="Arial" w:cs="Arial" w:eastAsia="Arial" w:hAnsi="Arial"/>
                <w:sz w:val="18"/>
                <w:szCs w:val="18"/>
                <w:color w:val="auto"/>
              </w:rPr>
              <w:t>Panera Bread - Nottingham</w:t>
            </w:r>
          </w:p>
        </w:tc>
        <w:tc>
          <w:tcPr>
            <w:tcW w:w="2260" w:type="dxa"/>
            <w:vAlign w:val="bottom"/>
          </w:tcPr>
          <w:p>
            <w:pPr>
              <w:spacing w:after="0"/>
              <w:rPr>
                <w:sz w:val="20"/>
                <w:szCs w:val="20"/>
                <w:color w:val="auto"/>
              </w:rPr>
            </w:pPr>
            <w:r>
              <w:rPr>
                <w:rFonts w:ascii="Arial" w:cs="Arial" w:eastAsia="Arial" w:hAnsi="Arial"/>
                <w:sz w:val="18"/>
                <w:szCs w:val="18"/>
                <w:color w:val="auto"/>
              </w:rPr>
              <w:t>White Marsh</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400-1019</w:t>
            </w:r>
          </w:p>
        </w:tc>
        <w:tc>
          <w:tcPr>
            <w:tcW w:w="6540" w:type="dxa"/>
            <w:vAlign w:val="bottom"/>
            <w:gridSpan w:val="3"/>
          </w:tcPr>
          <w:p>
            <w:pPr>
              <w:spacing w:after="0"/>
              <w:rPr>
                <w:sz w:val="20"/>
                <w:szCs w:val="20"/>
                <w:color w:val="auto"/>
              </w:rPr>
            </w:pPr>
            <w:r>
              <w:rPr>
                <w:rFonts w:ascii="Arial" w:cs="Arial" w:eastAsia="Arial" w:hAnsi="Arial"/>
                <w:sz w:val="18"/>
                <w:szCs w:val="18"/>
                <w:color w:val="auto"/>
              </w:rPr>
              <w:t>Beth Ave Shops WW1-Arl East (residential)</w:t>
            </w:r>
          </w:p>
        </w:tc>
        <w:tc>
          <w:tcPr>
            <w:tcW w:w="2260" w:type="dxa"/>
            <w:vAlign w:val="bottom"/>
          </w:tcPr>
          <w:p>
            <w:pPr>
              <w:spacing w:after="0"/>
              <w:rPr>
                <w:sz w:val="20"/>
                <w:szCs w:val="20"/>
                <w:color w:val="auto"/>
              </w:rPr>
            </w:pPr>
            <w:r>
              <w:rPr>
                <w:rFonts w:ascii="Arial" w:cs="Arial" w:eastAsia="Arial" w:hAnsi="Arial"/>
                <w:sz w:val="18"/>
                <w:szCs w:val="18"/>
                <w:color w:val="auto"/>
              </w:rPr>
              <w:t>Bethesda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400-1020</w:t>
            </w:r>
          </w:p>
        </w:tc>
        <w:tc>
          <w:tcPr>
            <w:tcW w:w="6540" w:type="dxa"/>
            <w:vAlign w:val="bottom"/>
            <w:gridSpan w:val="3"/>
          </w:tcPr>
          <w:p>
            <w:pPr>
              <w:spacing w:after="0"/>
              <w:rPr>
                <w:sz w:val="20"/>
                <w:szCs w:val="20"/>
                <w:color w:val="auto"/>
              </w:rPr>
            </w:pPr>
            <w:r>
              <w:rPr>
                <w:rFonts w:ascii="Arial" w:cs="Arial" w:eastAsia="Arial" w:hAnsi="Arial"/>
                <w:sz w:val="18"/>
                <w:szCs w:val="18"/>
                <w:color w:val="auto"/>
              </w:rPr>
              <w:t>Beth Ave Shops W W 1-Arl East (retail)</w:t>
            </w:r>
          </w:p>
        </w:tc>
        <w:tc>
          <w:tcPr>
            <w:tcW w:w="2260" w:type="dxa"/>
            <w:vAlign w:val="bottom"/>
          </w:tcPr>
          <w:p>
            <w:pPr>
              <w:spacing w:after="0"/>
              <w:rPr>
                <w:sz w:val="20"/>
                <w:szCs w:val="20"/>
                <w:color w:val="auto"/>
              </w:rPr>
            </w:pPr>
            <w:r>
              <w:rPr>
                <w:rFonts w:ascii="Arial" w:cs="Arial" w:eastAsia="Arial" w:hAnsi="Arial"/>
                <w:sz w:val="18"/>
                <w:szCs w:val="18"/>
                <w:color w:val="auto"/>
              </w:rPr>
              <w:t>Bethesda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400-1021</w:t>
            </w:r>
          </w:p>
        </w:tc>
        <w:tc>
          <w:tcPr>
            <w:tcW w:w="6540" w:type="dxa"/>
            <w:vAlign w:val="bottom"/>
            <w:gridSpan w:val="3"/>
          </w:tcPr>
          <w:p>
            <w:pPr>
              <w:spacing w:after="0"/>
              <w:rPr>
                <w:sz w:val="20"/>
                <w:szCs w:val="20"/>
                <w:color w:val="auto"/>
              </w:rPr>
            </w:pPr>
            <w:r>
              <w:rPr>
                <w:rFonts w:ascii="Arial" w:cs="Arial" w:eastAsia="Arial" w:hAnsi="Arial"/>
                <w:sz w:val="18"/>
                <w:szCs w:val="18"/>
                <w:color w:val="auto"/>
              </w:rPr>
              <w:t>Bethesda Ave Shops W W 2</w:t>
            </w:r>
          </w:p>
        </w:tc>
        <w:tc>
          <w:tcPr>
            <w:tcW w:w="2260" w:type="dxa"/>
            <w:vAlign w:val="bottom"/>
          </w:tcPr>
          <w:p>
            <w:pPr>
              <w:spacing w:after="0"/>
              <w:rPr>
                <w:sz w:val="20"/>
                <w:szCs w:val="20"/>
                <w:color w:val="auto"/>
              </w:rPr>
            </w:pPr>
            <w:r>
              <w:rPr>
                <w:rFonts w:ascii="Arial" w:cs="Arial" w:eastAsia="Arial" w:hAnsi="Arial"/>
                <w:sz w:val="18"/>
                <w:szCs w:val="18"/>
                <w:color w:val="auto"/>
              </w:rPr>
              <w:t>Bethesda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22"/>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400-1022</w:t>
            </w:r>
          </w:p>
        </w:tc>
        <w:tc>
          <w:tcPr>
            <w:tcW w:w="6540" w:type="dxa"/>
            <w:vAlign w:val="bottom"/>
            <w:gridSpan w:val="3"/>
          </w:tcPr>
          <w:p>
            <w:pPr>
              <w:spacing w:after="0"/>
              <w:rPr>
                <w:sz w:val="20"/>
                <w:szCs w:val="20"/>
                <w:color w:val="auto"/>
              </w:rPr>
            </w:pPr>
            <w:r>
              <w:rPr>
                <w:rFonts w:ascii="Arial" w:cs="Arial" w:eastAsia="Arial" w:hAnsi="Arial"/>
                <w:sz w:val="18"/>
                <w:szCs w:val="18"/>
                <w:color w:val="auto"/>
              </w:rPr>
              <w:t>Bethesda Ave Offices W W 2</w:t>
            </w:r>
          </w:p>
        </w:tc>
        <w:tc>
          <w:tcPr>
            <w:tcW w:w="2260" w:type="dxa"/>
            <w:vAlign w:val="bottom"/>
          </w:tcPr>
          <w:p>
            <w:pPr>
              <w:spacing w:after="0"/>
              <w:rPr>
                <w:sz w:val="20"/>
                <w:szCs w:val="20"/>
                <w:color w:val="auto"/>
              </w:rPr>
            </w:pPr>
            <w:r>
              <w:rPr>
                <w:rFonts w:ascii="Arial" w:cs="Arial" w:eastAsia="Arial" w:hAnsi="Arial"/>
                <w:sz w:val="18"/>
                <w:szCs w:val="18"/>
                <w:color w:val="auto"/>
              </w:rPr>
              <w:t>Bethesda</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27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0" w:type="dxa"/>
            <w:vAlign w:val="bottom"/>
            <w:gridSpan w:val="2"/>
          </w:tcPr>
          <w:p>
            <w:pPr>
              <w:ind w:left="3000"/>
              <w:spacing w:after="0"/>
              <w:rPr>
                <w:sz w:val="20"/>
                <w:szCs w:val="20"/>
                <w:color w:val="auto"/>
              </w:rPr>
            </w:pPr>
            <w:r>
              <w:rPr>
                <w:rFonts w:ascii="Arial" w:cs="Arial" w:eastAsia="Arial" w:hAnsi="Arial"/>
                <w:sz w:val="14"/>
                <w:szCs w:val="14"/>
                <w:b w:val="1"/>
                <w:bCs w:val="1"/>
                <w:color w:val="auto"/>
              </w:rPr>
              <w:t>Property</w:t>
            </w:r>
          </w:p>
        </w:tc>
        <w:tc>
          <w:tcPr>
            <w:tcW w:w="2400" w:type="dxa"/>
            <w:vAlign w:val="bottom"/>
            <w:gridSpan w:val="2"/>
          </w:tcPr>
          <w:p>
            <w:pPr>
              <w:ind w:left="1020"/>
              <w:spacing w:after="0"/>
              <w:rPr>
                <w:sz w:val="20"/>
                <w:szCs w:val="20"/>
                <w:color w:val="auto"/>
              </w:rPr>
            </w:pPr>
            <w:r>
              <w:rPr>
                <w:rFonts w:ascii="Arial" w:cs="Arial" w:eastAsia="Arial" w:hAnsi="Arial"/>
                <w:sz w:val="14"/>
                <w:szCs w:val="14"/>
                <w:b w:val="1"/>
                <w:bCs w:val="1"/>
                <w:color w:val="auto"/>
              </w:rPr>
              <w:t>City</w:t>
            </w: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ind w:left="180"/>
              <w:spacing w:after="0"/>
              <w:rPr>
                <w:sz w:val="20"/>
                <w:szCs w:val="20"/>
                <w:color w:val="auto"/>
              </w:rPr>
            </w:pPr>
            <w:r>
              <w:rPr>
                <w:rFonts w:ascii="Arial" w:cs="Arial" w:eastAsia="Arial" w:hAnsi="Arial"/>
                <w:sz w:val="18"/>
                <w:szCs w:val="18"/>
                <w:color w:val="auto"/>
              </w:rPr>
              <w:t>400-1023</w:t>
            </w:r>
          </w:p>
        </w:tc>
        <w:tc>
          <w:tcPr>
            <w:tcW w:w="6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60" w:type="dxa"/>
            <w:vAlign w:val="bottom"/>
            <w:gridSpan w:val="3"/>
            <w:vMerge w:val="continue"/>
          </w:tcPr>
          <w:p>
            <w:pPr>
              <w:spacing w:after="0"/>
              <w:rPr>
                <w:sz w:val="16"/>
                <w:szCs w:val="16"/>
                <w:color w:val="auto"/>
              </w:rPr>
            </w:pPr>
          </w:p>
        </w:tc>
        <w:tc>
          <w:tcPr>
            <w:tcW w:w="6500" w:type="dxa"/>
            <w:vAlign w:val="bottom"/>
          </w:tcPr>
          <w:p>
            <w:pPr>
              <w:spacing w:after="0" w:line="189" w:lineRule="exact"/>
              <w:rPr>
                <w:sz w:val="20"/>
                <w:szCs w:val="20"/>
                <w:color w:val="auto"/>
              </w:rPr>
            </w:pPr>
            <w:r>
              <w:rPr>
                <w:rFonts w:ascii="Arial" w:cs="Arial" w:eastAsia="Arial" w:hAnsi="Arial"/>
                <w:sz w:val="18"/>
                <w:szCs w:val="18"/>
                <w:color w:val="auto"/>
              </w:rPr>
              <w:t>Bethesda Ave Shops W W 3</w:t>
            </w:r>
          </w:p>
        </w:tc>
        <w:tc>
          <w:tcPr>
            <w:tcW w:w="100" w:type="dxa"/>
            <w:vAlign w:val="bottom"/>
            <w:vMerge w:val="continue"/>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400-1024  Bethesda Ave Shops W W 4</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400-1025  Bethesda Ave Offices W W 4</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400-1026  Bethesda Ave Shops W W 5</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400-1027  Bethesda Ave Offices W W 5</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400-1028  Bethesda Ave Shops II</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400-1029  Bethesda Ave Shops III</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400-1030  Bethesda Ave Shops Ravengard</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400-1031  Bethesda Ave Shops Parking Lot</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400-1032</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4900 Hampden Lane</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400-1033  Bethesda Ave Office Ravengard</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400-3031</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Elm St - Retail (Bethesda)</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400-3032</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Kilbane/Jaffe Parcels</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400-3033</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Elm Street - Office (Bethesda)</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400-3034</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Woodmont East - Retail</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400-3035</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Woodmont East - Offices</w:t>
            </w:r>
          </w:p>
        </w:tc>
        <w:tc>
          <w:tcPr>
            <w:tcW w:w="2400" w:type="dxa"/>
            <w:vAlign w:val="bottom"/>
            <w:gridSpan w:val="2"/>
          </w:tcPr>
          <w:p>
            <w:pPr>
              <w:spacing w:after="0"/>
              <w:rPr>
                <w:sz w:val="20"/>
                <w:szCs w:val="20"/>
                <w:color w:val="auto"/>
              </w:rPr>
            </w:pPr>
            <w:r>
              <w:rPr>
                <w:rFonts w:ascii="Arial" w:cs="Arial" w:eastAsia="Arial" w:hAnsi="Arial"/>
                <w:sz w:val="18"/>
                <w:szCs w:val="18"/>
                <w:color w:val="auto"/>
              </w:rPr>
              <w:t>Bethesda</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400-1910</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Rockville Town Square</w:t>
            </w:r>
          </w:p>
        </w:tc>
        <w:tc>
          <w:tcPr>
            <w:tcW w:w="2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400-3101  205 Greenwich Ave (Saks)</w:t>
            </w:r>
          </w:p>
        </w:tc>
        <w:tc>
          <w:tcPr>
            <w:tcW w:w="2400" w:type="dxa"/>
            <w:vAlign w:val="bottom"/>
            <w:gridSpan w:val="2"/>
          </w:tcPr>
          <w:p>
            <w:pPr>
              <w:spacing w:after="0"/>
              <w:rPr>
                <w:sz w:val="20"/>
                <w:szCs w:val="20"/>
                <w:color w:val="auto"/>
              </w:rPr>
            </w:pPr>
            <w:r>
              <w:rPr>
                <w:rFonts w:ascii="Arial" w:cs="Arial" w:eastAsia="Arial" w:hAnsi="Arial"/>
                <w:sz w:val="18"/>
                <w:szCs w:val="18"/>
                <w:color w:val="auto"/>
              </w:rPr>
              <w:t>Greenwich</w:t>
            </w:r>
          </w:p>
        </w:tc>
        <w:tc>
          <w:tcPr>
            <w:tcW w:w="1360" w:type="dxa"/>
            <w:vAlign w:val="bottom"/>
          </w:tcPr>
          <w:p>
            <w:pPr>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400-3400  Fresh Meadows (Kohls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Queens</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400-3401  Fresh Meadows (Filene’s Ctr)</w:t>
            </w:r>
          </w:p>
        </w:tc>
        <w:tc>
          <w:tcPr>
            <w:tcW w:w="2400" w:type="dxa"/>
            <w:vAlign w:val="bottom"/>
            <w:gridSpan w:val="2"/>
          </w:tcPr>
          <w:p>
            <w:pPr>
              <w:spacing w:after="0"/>
              <w:rPr>
                <w:sz w:val="20"/>
                <w:szCs w:val="20"/>
                <w:color w:val="auto"/>
              </w:rPr>
            </w:pPr>
            <w:r>
              <w:rPr>
                <w:rFonts w:ascii="Arial" w:cs="Arial" w:eastAsia="Arial" w:hAnsi="Arial"/>
                <w:sz w:val="18"/>
                <w:szCs w:val="18"/>
                <w:color w:val="auto"/>
              </w:rPr>
              <w:t>Queens</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400-3402  Fresh Meadows (73rd Ave Strip)</w:t>
            </w:r>
          </w:p>
        </w:tc>
        <w:tc>
          <w:tcPr>
            <w:tcW w:w="2400" w:type="dxa"/>
            <w:vAlign w:val="bottom"/>
            <w:gridSpan w:val="2"/>
          </w:tcPr>
          <w:p>
            <w:pPr>
              <w:spacing w:after="0"/>
              <w:rPr>
                <w:sz w:val="20"/>
                <w:szCs w:val="20"/>
                <w:color w:val="auto"/>
              </w:rPr>
            </w:pPr>
            <w:r>
              <w:rPr>
                <w:rFonts w:ascii="Arial" w:cs="Arial" w:eastAsia="Arial" w:hAnsi="Arial"/>
                <w:sz w:val="18"/>
                <w:szCs w:val="18"/>
                <w:color w:val="auto"/>
              </w:rPr>
              <w:t>Queens</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400-3403  Fresh Meadows (69th Ave Strip)</w:t>
            </w:r>
          </w:p>
        </w:tc>
        <w:tc>
          <w:tcPr>
            <w:tcW w:w="2400" w:type="dxa"/>
            <w:vAlign w:val="bottom"/>
            <w:gridSpan w:val="2"/>
          </w:tcPr>
          <w:p>
            <w:pPr>
              <w:spacing w:after="0"/>
              <w:rPr>
                <w:sz w:val="20"/>
                <w:szCs w:val="20"/>
                <w:color w:val="auto"/>
              </w:rPr>
            </w:pPr>
            <w:r>
              <w:rPr>
                <w:rFonts w:ascii="Arial" w:cs="Arial" w:eastAsia="Arial" w:hAnsi="Arial"/>
                <w:sz w:val="18"/>
                <w:szCs w:val="18"/>
                <w:color w:val="auto"/>
              </w:rPr>
              <w:t>Queens</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400-3500  150 Post Street (SF)</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Francisco</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400-3525  1344 3rd Street (Santa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400-3600  Sam’s Park &amp; Shop</w:t>
            </w:r>
          </w:p>
        </w:tc>
        <w:tc>
          <w:tcPr>
            <w:tcW w:w="240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360" w:type="dxa"/>
            <w:vAlign w:val="bottom"/>
          </w:tcPr>
          <w:p>
            <w:pPr>
              <w:spacing w:after="0"/>
              <w:rPr>
                <w:sz w:val="20"/>
                <w:szCs w:val="20"/>
                <w:color w:val="auto"/>
              </w:rPr>
            </w:pPr>
            <w:r>
              <w:rPr>
                <w:rFonts w:ascii="Arial" w:cs="Arial" w:eastAsia="Arial" w:hAnsi="Arial"/>
                <w:sz w:val="18"/>
                <w:szCs w:val="18"/>
                <w:color w:val="auto"/>
              </w:rPr>
              <w:t>DC</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400-3601</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Village at Shirlington-Retail</w:t>
            </w:r>
          </w:p>
        </w:tc>
        <w:tc>
          <w:tcPr>
            <w:tcW w:w="240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400-3602</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Village at Shirlington-Office</w:t>
            </w:r>
          </w:p>
        </w:tc>
        <w:tc>
          <w:tcPr>
            <w:tcW w:w="2400" w:type="dxa"/>
            <w:vAlign w:val="bottom"/>
            <w:gridSpan w:val="2"/>
          </w:tcPr>
          <w:p>
            <w:pPr>
              <w:spacing w:after="0"/>
              <w:rPr>
                <w:sz w:val="20"/>
                <w:szCs w:val="20"/>
                <w:color w:val="auto"/>
              </w:rPr>
            </w:pPr>
            <w:r>
              <w:rPr>
                <w:rFonts w:ascii="Arial" w:cs="Arial" w:eastAsia="Arial" w:hAnsi="Arial"/>
                <w:sz w:val="18"/>
                <w:szCs w:val="18"/>
                <w:color w:val="auto"/>
              </w:rPr>
              <w:t>Arlington</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400-3604</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Friendship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360" w:type="dxa"/>
            <w:vAlign w:val="bottom"/>
          </w:tcPr>
          <w:p>
            <w:pPr>
              <w:spacing w:after="0"/>
              <w:rPr>
                <w:sz w:val="20"/>
                <w:szCs w:val="20"/>
                <w:color w:val="auto"/>
              </w:rPr>
            </w:pPr>
            <w:r>
              <w:rPr>
                <w:rFonts w:ascii="Arial" w:cs="Arial" w:eastAsia="Arial" w:hAnsi="Arial"/>
                <w:sz w:val="18"/>
                <w:szCs w:val="18"/>
                <w:color w:val="auto"/>
              </w:rPr>
              <w:t>DC</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420-4300  14 N.Fair Oaks Ave (Pasadena)</w:t>
            </w:r>
          </w:p>
        </w:tc>
        <w:tc>
          <w:tcPr>
            <w:tcW w:w="2400" w:type="dxa"/>
            <w:vAlign w:val="bottom"/>
            <w:gridSpan w:val="2"/>
          </w:tcPr>
          <w:p>
            <w:pPr>
              <w:spacing w:after="0"/>
              <w:rPr>
                <w:sz w:val="20"/>
                <w:szCs w:val="20"/>
                <w:color w:val="auto"/>
              </w:rPr>
            </w:pPr>
            <w:r>
              <w:rPr>
                <w:rFonts w:ascii="Arial" w:cs="Arial" w:eastAsia="Arial" w:hAnsi="Arial"/>
                <w:sz w:val="18"/>
                <w:szCs w:val="18"/>
                <w:color w:val="auto"/>
              </w:rPr>
              <w:t>Pasadena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420-4500  643-653 5th Ave. (S D)</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420-4502  665 5th Ave. (S D)</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420-4503  825-831 5th Ave. (S D)</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420-4700  301 Arizona/1251-1253 3rd St.</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420-4702  1225 3rd St. (Santa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420-4704  1337 3rd St. (Santa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420-4705  1343-1349 3rd St(Santa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421-4701  1202 3rd St. (Santa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422-4706  1222 3rd St. (Santa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960" w:type="dxa"/>
            <w:vAlign w:val="bottom"/>
            <w:gridSpan w:val="2"/>
          </w:tcPr>
          <w:p>
            <w:pPr>
              <w:ind w:left="180"/>
              <w:spacing w:after="0"/>
              <w:rPr>
                <w:sz w:val="20"/>
                <w:szCs w:val="20"/>
                <w:color w:val="auto"/>
              </w:rPr>
            </w:pPr>
            <w:r>
              <w:rPr>
                <w:rFonts w:ascii="Arial" w:cs="Arial" w:eastAsia="Arial" w:hAnsi="Arial"/>
                <w:sz w:val="18"/>
                <w:szCs w:val="18"/>
                <w:color w:val="auto"/>
                <w:w w:val="99"/>
              </w:rPr>
              <w:t>423-4200</w:t>
            </w:r>
          </w:p>
        </w:tc>
        <w:tc>
          <w:tcPr>
            <w:tcW w:w="6700" w:type="dxa"/>
            <w:vAlign w:val="bottom"/>
            <w:gridSpan w:val="3"/>
          </w:tcPr>
          <w:p>
            <w:pPr>
              <w:ind w:left="100"/>
              <w:spacing w:after="0"/>
              <w:rPr>
                <w:sz w:val="20"/>
                <w:szCs w:val="20"/>
                <w:color w:val="auto"/>
              </w:rPr>
            </w:pPr>
            <w:r>
              <w:rPr>
                <w:rFonts w:ascii="Arial" w:cs="Arial" w:eastAsia="Arial" w:hAnsi="Arial"/>
                <w:sz w:val="18"/>
                <w:szCs w:val="18"/>
                <w:color w:val="auto"/>
              </w:rPr>
              <w:t>1221-1227 Hermosa Ave(Hermosa)</w:t>
            </w:r>
          </w:p>
        </w:tc>
        <w:tc>
          <w:tcPr>
            <w:tcW w:w="2400" w:type="dxa"/>
            <w:vAlign w:val="bottom"/>
            <w:gridSpan w:val="2"/>
          </w:tcPr>
          <w:p>
            <w:pPr>
              <w:spacing w:after="0"/>
              <w:rPr>
                <w:sz w:val="20"/>
                <w:szCs w:val="20"/>
                <w:color w:val="auto"/>
              </w:rPr>
            </w:pPr>
            <w:r>
              <w:rPr>
                <w:rFonts w:ascii="Arial" w:cs="Arial" w:eastAsia="Arial" w:hAnsi="Arial"/>
                <w:sz w:val="18"/>
                <w:szCs w:val="18"/>
                <w:color w:val="auto"/>
              </w:rPr>
              <w:t>Hermosa Beach</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423-4707  1232-1240 3rd St(Santa Monica)</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424-4301  140-168 W Colorado(Tanner Mkt)</w:t>
            </w:r>
          </w:p>
        </w:tc>
        <w:tc>
          <w:tcPr>
            <w:tcW w:w="2400" w:type="dxa"/>
            <w:vAlign w:val="bottom"/>
            <w:gridSpan w:val="2"/>
          </w:tcPr>
          <w:p>
            <w:pPr>
              <w:spacing w:after="0"/>
              <w:rPr>
                <w:sz w:val="20"/>
                <w:szCs w:val="20"/>
                <w:color w:val="auto"/>
              </w:rPr>
            </w:pPr>
            <w:r>
              <w:rPr>
                <w:rFonts w:ascii="Arial" w:cs="Arial" w:eastAsia="Arial" w:hAnsi="Arial"/>
                <w:sz w:val="18"/>
                <w:szCs w:val="18"/>
                <w:color w:val="auto"/>
              </w:rPr>
              <w:t>Pasadena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428-4708  214 Wilshire Blvd (SM)</w:t>
            </w:r>
          </w:p>
        </w:tc>
        <w:tc>
          <w:tcPr>
            <w:tcW w:w="2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440-5002  108-22 Queens Blvd (Midway Th)</w:t>
            </w:r>
          </w:p>
        </w:tc>
        <w:tc>
          <w:tcPr>
            <w:tcW w:w="2400" w:type="dxa"/>
            <w:vAlign w:val="bottom"/>
            <w:gridSpan w:val="2"/>
          </w:tcPr>
          <w:p>
            <w:pPr>
              <w:spacing w:after="0"/>
              <w:rPr>
                <w:sz w:val="20"/>
                <w:szCs w:val="20"/>
                <w:color w:val="auto"/>
              </w:rPr>
            </w:pPr>
            <w:r>
              <w:rPr>
                <w:rFonts w:ascii="Arial" w:cs="Arial" w:eastAsia="Arial" w:hAnsi="Arial"/>
                <w:sz w:val="18"/>
                <w:szCs w:val="18"/>
                <w:color w:val="auto"/>
              </w:rPr>
              <w:t>Forest Hills</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450-5500  Old Town Center (Los Gatos)</w:t>
            </w:r>
          </w:p>
        </w:tc>
        <w:tc>
          <w:tcPr>
            <w:tcW w:w="2400" w:type="dxa"/>
            <w:vAlign w:val="bottom"/>
            <w:gridSpan w:val="2"/>
          </w:tcPr>
          <w:p>
            <w:pPr>
              <w:spacing w:after="0"/>
              <w:rPr>
                <w:sz w:val="20"/>
                <w:szCs w:val="20"/>
                <w:color w:val="auto"/>
              </w:rPr>
            </w:pPr>
            <w:r>
              <w:rPr>
                <w:rFonts w:ascii="Arial" w:cs="Arial" w:eastAsia="Arial" w:hAnsi="Arial"/>
                <w:sz w:val="18"/>
                <w:szCs w:val="18"/>
                <w:color w:val="auto"/>
              </w:rPr>
              <w:t>Los Gatos</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451-5601  301-303 E Houston St (Vogue)</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451-5602  225-233 E Houston St (Schaum)</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451-5603  St Mary’s &amp; E Houston(W Hotel)</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451-5606  111 Jefferson St (Pkg Lot)</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451-5607  300-302 E Houston St(Walgreen)</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451-5608  221-223 E Houston St(Court Bl)</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451-5609  219 E Houston St (Carl)</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22"/>
        </w:trPr>
        <w:tc>
          <w:tcPr>
            <w:tcW w:w="7660" w:type="dxa"/>
            <w:vAlign w:val="bottom"/>
            <w:gridSpan w:val="5"/>
          </w:tcPr>
          <w:p>
            <w:pPr>
              <w:ind w:left="180"/>
              <w:spacing w:after="0"/>
              <w:rPr>
                <w:sz w:val="20"/>
                <w:szCs w:val="20"/>
                <w:color w:val="auto"/>
              </w:rPr>
            </w:pPr>
            <w:r>
              <w:rPr>
                <w:rFonts w:ascii="Arial" w:cs="Arial" w:eastAsia="Arial" w:hAnsi="Arial"/>
                <w:sz w:val="18"/>
                <w:szCs w:val="18"/>
                <w:color w:val="auto"/>
              </w:rPr>
              <w:t>451-5610  311-315 E Houston St (Kress)</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1360" w:type="dxa"/>
            <w:vAlign w:val="bottom"/>
          </w:tcPr>
          <w:p>
            <w:pPr>
              <w:spacing w:after="0"/>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20"/>
          </w:cols>
          <w:pgMar w:left="240" w:top="27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0" w:type="dxa"/>
            <w:vAlign w:val="bottom"/>
            <w:gridSpan w:val="2"/>
          </w:tcPr>
          <w:p>
            <w:pPr>
              <w:ind w:left="1000"/>
              <w:spacing w:after="0"/>
              <w:rPr>
                <w:sz w:val="20"/>
                <w:szCs w:val="20"/>
                <w:color w:val="auto"/>
              </w:rPr>
            </w:pPr>
            <w:r>
              <w:rPr>
                <w:rFonts w:ascii="Arial" w:cs="Arial" w:eastAsia="Arial" w:hAnsi="Arial"/>
                <w:sz w:val="14"/>
                <w:szCs w:val="14"/>
                <w:b w:val="1"/>
                <w:bCs w:val="1"/>
                <w:color w:val="auto"/>
              </w:rPr>
              <w:t>Property</w:t>
            </w:r>
          </w:p>
        </w:tc>
        <w:tc>
          <w:tcPr>
            <w:tcW w:w="2400" w:type="dxa"/>
            <w:vAlign w:val="bottom"/>
            <w:gridSpan w:val="2"/>
          </w:tcPr>
          <w:p>
            <w:pPr>
              <w:ind w:left="1020"/>
              <w:spacing w:after="0"/>
              <w:rPr>
                <w:sz w:val="20"/>
                <w:szCs w:val="20"/>
                <w:color w:val="auto"/>
              </w:rPr>
            </w:pPr>
            <w:r>
              <w:rPr>
                <w:rFonts w:ascii="Arial" w:cs="Arial" w:eastAsia="Arial" w:hAnsi="Arial"/>
                <w:sz w:val="14"/>
                <w:szCs w:val="14"/>
                <w:b w:val="1"/>
                <w:bCs w:val="1"/>
                <w:color w:val="auto"/>
              </w:rPr>
              <w:t>City</w:t>
            </w: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State</w:t>
            </w: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200"/>
              <w:spacing w:after="0"/>
              <w:rPr>
                <w:sz w:val="20"/>
                <w:szCs w:val="20"/>
                <w:color w:val="auto"/>
              </w:rPr>
            </w:pPr>
            <w:r>
              <w:rPr>
                <w:rFonts w:ascii="Arial" w:cs="Arial" w:eastAsia="Arial" w:hAnsi="Arial"/>
                <w:sz w:val="18"/>
                <w:szCs w:val="18"/>
                <w:color w:val="auto"/>
              </w:rPr>
              <w:t>451-5611</w:t>
            </w: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80" w:type="dxa"/>
            <w:vAlign w:val="bottom"/>
            <w:gridSpan w:val="3"/>
            <w:vMerge w:val="continue"/>
          </w:tcPr>
          <w:p>
            <w:pPr>
              <w:spacing w:after="0"/>
              <w:rPr>
                <w:sz w:val="16"/>
                <w:szCs w:val="16"/>
                <w:color w:val="auto"/>
              </w:rPr>
            </w:pPr>
          </w:p>
        </w:tc>
        <w:tc>
          <w:tcPr>
            <w:tcW w:w="6480" w:type="dxa"/>
            <w:vAlign w:val="bottom"/>
            <w:gridSpan w:val="3"/>
          </w:tcPr>
          <w:p>
            <w:pPr>
              <w:spacing w:after="0" w:line="189" w:lineRule="exact"/>
              <w:rPr>
                <w:sz w:val="20"/>
                <w:szCs w:val="20"/>
                <w:color w:val="auto"/>
              </w:rPr>
            </w:pPr>
            <w:r>
              <w:rPr>
                <w:rFonts w:ascii="Arial" w:cs="Arial" w:eastAsia="Arial" w:hAnsi="Arial"/>
                <w:sz w:val="18"/>
                <w:szCs w:val="18"/>
                <w:color w:val="auto"/>
              </w:rPr>
              <w:t>306-308 E Houston St (Stuart)</w:t>
            </w:r>
          </w:p>
        </w:tc>
        <w:tc>
          <w:tcPr>
            <w:tcW w:w="100" w:type="dxa"/>
            <w:vAlign w:val="bottom"/>
            <w:vMerge w:val="continue"/>
          </w:tcPr>
          <w:p>
            <w:pPr>
              <w:spacing w:after="0"/>
              <w:rPr>
                <w:sz w:val="16"/>
                <w:szCs w:val="16"/>
                <w:color w:val="auto"/>
              </w:rPr>
            </w:pPr>
          </w:p>
        </w:tc>
        <w:tc>
          <w:tcPr>
            <w:tcW w:w="2280" w:type="dxa"/>
            <w:vAlign w:val="bottom"/>
          </w:tcPr>
          <w:p>
            <w:pPr>
              <w:spacing w:after="0" w:line="189" w:lineRule="exact"/>
              <w:rPr>
                <w:sz w:val="20"/>
                <w:szCs w:val="20"/>
                <w:color w:val="auto"/>
              </w:rPr>
            </w:pPr>
            <w:r>
              <w:rPr>
                <w:rFonts w:ascii="Arial" w:cs="Arial" w:eastAsia="Arial" w:hAnsi="Arial"/>
                <w:sz w:val="18"/>
                <w:szCs w:val="18"/>
                <w:color w:val="auto"/>
              </w:rPr>
              <w:t>San Antonio</w:t>
            </w:r>
          </w:p>
        </w:tc>
        <w:tc>
          <w:tcPr>
            <w:tcW w:w="120" w:type="dxa"/>
            <w:vAlign w:val="bottom"/>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TX</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500-1010  Bala Cynwyd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500-1050</w:t>
            </w:r>
          </w:p>
        </w:tc>
        <w:tc>
          <w:tcPr>
            <w:tcW w:w="6600" w:type="dxa"/>
            <w:vAlign w:val="bottom"/>
            <w:gridSpan w:val="5"/>
          </w:tcPr>
          <w:p>
            <w:pPr>
              <w:spacing w:after="0"/>
              <w:rPr>
                <w:sz w:val="20"/>
                <w:szCs w:val="20"/>
                <w:color w:val="auto"/>
              </w:rPr>
            </w:pPr>
            <w:r>
              <w:rPr>
                <w:rFonts w:ascii="Arial" w:cs="Arial" w:eastAsia="Arial" w:hAnsi="Arial"/>
                <w:sz w:val="18"/>
                <w:szCs w:val="18"/>
                <w:color w:val="auto"/>
              </w:rPr>
              <w:t>Bristol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Bristol</w:t>
            </w:r>
          </w:p>
        </w:tc>
        <w:tc>
          <w:tcPr>
            <w:tcW w:w="1360" w:type="dxa"/>
            <w:vAlign w:val="bottom"/>
          </w:tcPr>
          <w:p>
            <w:pPr>
              <w:spacing w:after="0"/>
              <w:rPr>
                <w:sz w:val="20"/>
                <w:szCs w:val="20"/>
                <w:color w:val="auto"/>
              </w:rPr>
            </w:pPr>
            <w:r>
              <w:rPr>
                <w:rFonts w:ascii="Arial" w:cs="Arial" w:eastAsia="Arial" w:hAnsi="Arial"/>
                <w:sz w:val="18"/>
                <w:szCs w:val="18"/>
                <w:color w:val="auto"/>
              </w:rPr>
              <w:t>CT</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500-1090</w:t>
            </w:r>
          </w:p>
        </w:tc>
        <w:tc>
          <w:tcPr>
            <w:tcW w:w="6600" w:type="dxa"/>
            <w:vAlign w:val="bottom"/>
            <w:gridSpan w:val="5"/>
          </w:tcPr>
          <w:p>
            <w:pPr>
              <w:spacing w:after="0"/>
              <w:rPr>
                <w:sz w:val="20"/>
                <w:szCs w:val="20"/>
                <w:color w:val="auto"/>
              </w:rPr>
            </w:pPr>
            <w:r>
              <w:rPr>
                <w:rFonts w:ascii="Arial" w:cs="Arial" w:eastAsia="Arial" w:hAnsi="Arial"/>
                <w:sz w:val="18"/>
                <w:szCs w:val="18"/>
                <w:color w:val="auto"/>
              </w:rPr>
              <w:t>Crossroads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Highland Park</w:t>
            </w:r>
          </w:p>
        </w:tc>
        <w:tc>
          <w:tcPr>
            <w:tcW w:w="1360" w:type="dxa"/>
            <w:vAlign w:val="bottom"/>
          </w:tcPr>
          <w:p>
            <w:pPr>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500-1097</w:t>
            </w:r>
          </w:p>
        </w:tc>
        <w:tc>
          <w:tcPr>
            <w:tcW w:w="6600" w:type="dxa"/>
            <w:vAlign w:val="bottom"/>
            <w:gridSpan w:val="5"/>
          </w:tcPr>
          <w:p>
            <w:pPr>
              <w:spacing w:after="0"/>
              <w:rPr>
                <w:sz w:val="20"/>
                <w:szCs w:val="20"/>
                <w:color w:val="auto"/>
              </w:rPr>
            </w:pPr>
            <w:r>
              <w:rPr>
                <w:rFonts w:ascii="Arial" w:cs="Arial" w:eastAsia="Arial" w:hAnsi="Arial"/>
                <w:sz w:val="18"/>
                <w:szCs w:val="18"/>
                <w:color w:val="auto"/>
              </w:rPr>
              <w:t>Crow Canyon Crest</w:t>
            </w:r>
          </w:p>
        </w:tc>
        <w:tc>
          <w:tcPr>
            <w:tcW w:w="2400" w:type="dxa"/>
            <w:vAlign w:val="bottom"/>
            <w:gridSpan w:val="2"/>
          </w:tcPr>
          <w:p>
            <w:pPr>
              <w:spacing w:after="0"/>
              <w:rPr>
                <w:sz w:val="20"/>
                <w:szCs w:val="20"/>
                <w:color w:val="auto"/>
              </w:rPr>
            </w:pPr>
            <w:r>
              <w:rPr>
                <w:rFonts w:ascii="Arial" w:cs="Arial" w:eastAsia="Arial" w:hAnsi="Arial"/>
                <w:sz w:val="18"/>
                <w:szCs w:val="18"/>
                <w:color w:val="auto"/>
              </w:rPr>
              <w:t>San Ramon</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200"/>
              <w:spacing w:after="0"/>
              <w:rPr>
                <w:sz w:val="20"/>
                <w:szCs w:val="20"/>
                <w:color w:val="auto"/>
              </w:rPr>
            </w:pPr>
            <w:r>
              <w:rPr>
                <w:rFonts w:ascii="Arial" w:cs="Arial" w:eastAsia="Arial" w:hAnsi="Arial"/>
                <w:sz w:val="18"/>
                <w:szCs w:val="18"/>
                <w:color w:val="auto"/>
              </w:rPr>
              <w:t>500-1125</w:t>
            </w:r>
          </w:p>
        </w:tc>
        <w:tc>
          <w:tcPr>
            <w:tcW w:w="6600" w:type="dxa"/>
            <w:vAlign w:val="bottom"/>
            <w:gridSpan w:val="5"/>
          </w:tcPr>
          <w:p>
            <w:pPr>
              <w:spacing w:after="0"/>
              <w:rPr>
                <w:sz w:val="20"/>
                <w:szCs w:val="20"/>
                <w:color w:val="auto"/>
              </w:rPr>
            </w:pPr>
            <w:r>
              <w:rPr>
                <w:rFonts w:ascii="Arial" w:cs="Arial" w:eastAsia="Arial" w:hAnsi="Arial"/>
                <w:sz w:val="18"/>
                <w:szCs w:val="18"/>
                <w:color w:val="auto"/>
              </w:rPr>
              <w:t>Dedham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Dedham</w:t>
            </w:r>
          </w:p>
        </w:tc>
        <w:tc>
          <w:tcPr>
            <w:tcW w:w="136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200"/>
              <w:spacing w:after="0"/>
              <w:rPr>
                <w:sz w:val="20"/>
                <w:szCs w:val="20"/>
                <w:color w:val="auto"/>
              </w:rPr>
            </w:pPr>
            <w:r>
              <w:rPr>
                <w:rFonts w:ascii="Arial" w:cs="Arial" w:eastAsia="Arial" w:hAnsi="Arial"/>
                <w:sz w:val="18"/>
                <w:szCs w:val="18"/>
                <w:color w:val="auto"/>
              </w:rPr>
              <w:t>500-1160</w:t>
            </w:r>
          </w:p>
        </w:tc>
        <w:tc>
          <w:tcPr>
            <w:tcW w:w="6600" w:type="dxa"/>
            <w:vAlign w:val="bottom"/>
            <w:gridSpan w:val="5"/>
          </w:tcPr>
          <w:p>
            <w:pPr>
              <w:spacing w:after="0"/>
              <w:rPr>
                <w:sz w:val="20"/>
                <w:szCs w:val="20"/>
                <w:color w:val="auto"/>
              </w:rPr>
            </w:pPr>
            <w:r>
              <w:rPr>
                <w:rFonts w:ascii="Arial" w:cs="Arial" w:eastAsia="Arial" w:hAnsi="Arial"/>
                <w:sz w:val="18"/>
                <w:szCs w:val="18"/>
                <w:color w:val="auto"/>
              </w:rPr>
              <w:t>Eastgate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Chapel Hill</w:t>
            </w:r>
          </w:p>
        </w:tc>
        <w:tc>
          <w:tcPr>
            <w:tcW w:w="1360" w:type="dxa"/>
            <w:vAlign w:val="bottom"/>
          </w:tcPr>
          <w:p>
            <w:pPr>
              <w:spacing w:after="0"/>
              <w:rPr>
                <w:sz w:val="20"/>
                <w:szCs w:val="20"/>
                <w:color w:val="auto"/>
              </w:rPr>
            </w:pPr>
            <w:r>
              <w:rPr>
                <w:rFonts w:ascii="Arial" w:cs="Arial" w:eastAsia="Arial" w:hAnsi="Arial"/>
                <w:sz w:val="18"/>
                <w:szCs w:val="18"/>
                <w:color w:val="auto"/>
              </w:rPr>
              <w:t>NC</w:t>
            </w:r>
          </w:p>
        </w:tc>
        <w:tc>
          <w:tcPr>
            <w:tcW w:w="0" w:type="dxa"/>
            <w:vAlign w:val="bottom"/>
          </w:tcPr>
          <w:p>
            <w:pPr>
              <w:spacing w:after="0"/>
              <w:rPr>
                <w:sz w:val="1"/>
                <w:szCs w:val="1"/>
                <w:color w:val="auto"/>
              </w:rPr>
            </w:pPr>
          </w:p>
        </w:tc>
      </w:tr>
      <w:tr>
        <w:trPr>
          <w:trHeight w:val="216"/>
        </w:trPr>
        <w:tc>
          <w:tcPr>
            <w:tcW w:w="7660" w:type="dxa"/>
            <w:vAlign w:val="bottom"/>
            <w:gridSpan w:val="7"/>
          </w:tcPr>
          <w:p>
            <w:pPr>
              <w:ind w:left="200"/>
              <w:spacing w:after="0"/>
              <w:rPr>
                <w:sz w:val="20"/>
                <w:szCs w:val="20"/>
                <w:color w:val="auto"/>
              </w:rPr>
            </w:pPr>
            <w:r>
              <w:rPr>
                <w:rFonts w:ascii="Arial" w:cs="Arial" w:eastAsia="Arial" w:hAnsi="Arial"/>
                <w:sz w:val="18"/>
                <w:szCs w:val="18"/>
                <w:color w:val="auto"/>
              </w:rPr>
              <w:t>500-1180  Ellisburg Circle Shopping Ctr</w:t>
            </w:r>
          </w:p>
        </w:tc>
        <w:tc>
          <w:tcPr>
            <w:tcW w:w="2400" w:type="dxa"/>
            <w:vAlign w:val="bottom"/>
            <w:gridSpan w:val="2"/>
          </w:tcPr>
          <w:p>
            <w:pPr>
              <w:spacing w:after="0"/>
              <w:rPr>
                <w:sz w:val="20"/>
                <w:szCs w:val="20"/>
                <w:color w:val="auto"/>
              </w:rPr>
            </w:pPr>
            <w:r>
              <w:rPr>
                <w:rFonts w:ascii="Arial" w:cs="Arial" w:eastAsia="Arial" w:hAnsi="Arial"/>
                <w:sz w:val="18"/>
                <w:szCs w:val="18"/>
                <w:color w:val="auto"/>
              </w:rPr>
              <w:t>Cherry Hill</w:t>
            </w:r>
          </w:p>
        </w:tc>
        <w:tc>
          <w:tcPr>
            <w:tcW w:w="136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500-1200  Falls Plaza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Falls Church</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500-1202</w:t>
            </w:r>
          </w:p>
        </w:tc>
        <w:tc>
          <w:tcPr>
            <w:tcW w:w="6600" w:type="dxa"/>
            <w:vAlign w:val="bottom"/>
            <w:gridSpan w:val="5"/>
          </w:tcPr>
          <w:p>
            <w:pPr>
              <w:spacing w:after="0"/>
              <w:rPr>
                <w:sz w:val="20"/>
                <w:szCs w:val="20"/>
                <w:color w:val="auto"/>
              </w:rPr>
            </w:pPr>
            <w:r>
              <w:rPr>
                <w:rFonts w:ascii="Arial" w:cs="Arial" w:eastAsia="Arial" w:hAnsi="Arial"/>
                <w:sz w:val="18"/>
                <w:szCs w:val="18"/>
                <w:color w:val="auto"/>
              </w:rPr>
              <w:t>Flourtown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Flourtown</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500-1217  Finley Square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Downers Grove</w:t>
            </w:r>
          </w:p>
        </w:tc>
        <w:tc>
          <w:tcPr>
            <w:tcW w:w="1360" w:type="dxa"/>
            <w:vAlign w:val="bottom"/>
          </w:tcPr>
          <w:p>
            <w:pPr>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500-1220</w:t>
            </w:r>
          </w:p>
        </w:tc>
        <w:tc>
          <w:tcPr>
            <w:tcW w:w="6600" w:type="dxa"/>
            <w:vAlign w:val="bottom"/>
            <w:gridSpan w:val="5"/>
          </w:tcPr>
          <w:p>
            <w:pPr>
              <w:spacing w:after="0"/>
              <w:rPr>
                <w:sz w:val="20"/>
                <w:szCs w:val="20"/>
                <w:color w:val="auto"/>
              </w:rPr>
            </w:pPr>
            <w:r>
              <w:rPr>
                <w:rFonts w:ascii="Arial" w:cs="Arial" w:eastAsia="Arial" w:hAnsi="Arial"/>
                <w:sz w:val="18"/>
                <w:szCs w:val="18"/>
                <w:color w:val="auto"/>
              </w:rPr>
              <w:t>Gratiot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Rosevile</w:t>
            </w:r>
          </w:p>
        </w:tc>
        <w:tc>
          <w:tcPr>
            <w:tcW w:w="1360" w:type="dxa"/>
            <w:vAlign w:val="bottom"/>
          </w:tcPr>
          <w:p>
            <w:pPr>
              <w:spacing w:after="0"/>
              <w:rPr>
                <w:sz w:val="20"/>
                <w:szCs w:val="20"/>
                <w:color w:val="auto"/>
              </w:rPr>
            </w:pPr>
            <w:r>
              <w:rPr>
                <w:rFonts w:ascii="Arial" w:cs="Arial" w:eastAsia="Arial" w:hAnsi="Arial"/>
                <w:sz w:val="18"/>
                <w:szCs w:val="18"/>
                <w:color w:val="auto"/>
              </w:rPr>
              <w:t>MI</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500-1235  Gaithersburg Square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Gaithersburg</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500-1236  Gaithersburg Square Office Bld</w:t>
            </w:r>
          </w:p>
        </w:tc>
        <w:tc>
          <w:tcPr>
            <w:tcW w:w="2400" w:type="dxa"/>
            <w:vAlign w:val="bottom"/>
            <w:gridSpan w:val="2"/>
          </w:tcPr>
          <w:p>
            <w:pPr>
              <w:spacing w:after="0"/>
              <w:rPr>
                <w:sz w:val="20"/>
                <w:szCs w:val="20"/>
                <w:color w:val="auto"/>
              </w:rPr>
            </w:pPr>
            <w:r>
              <w:rPr>
                <w:rFonts w:ascii="Arial" w:cs="Arial" w:eastAsia="Arial" w:hAnsi="Arial"/>
                <w:sz w:val="18"/>
                <w:szCs w:val="18"/>
                <w:color w:val="auto"/>
              </w:rPr>
              <w:t>Gaithersburg</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500-1245  Garden Market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Western Springs</w:t>
            </w:r>
          </w:p>
        </w:tc>
        <w:tc>
          <w:tcPr>
            <w:tcW w:w="1360" w:type="dxa"/>
            <w:vAlign w:val="bottom"/>
          </w:tcPr>
          <w:p>
            <w:pPr>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500-1326</w:t>
            </w:r>
          </w:p>
        </w:tc>
        <w:tc>
          <w:tcPr>
            <w:tcW w:w="6600" w:type="dxa"/>
            <w:vAlign w:val="bottom"/>
            <w:gridSpan w:val="5"/>
          </w:tcPr>
          <w:p>
            <w:pPr>
              <w:spacing w:after="0"/>
              <w:rPr>
                <w:sz w:val="20"/>
                <w:szCs w:val="20"/>
                <w:color w:val="auto"/>
              </w:rPr>
            </w:pPr>
            <w:r>
              <w:rPr>
                <w:rFonts w:ascii="Arial" w:cs="Arial" w:eastAsia="Arial" w:hAnsi="Arial"/>
                <w:sz w:val="18"/>
                <w:szCs w:val="18"/>
                <w:color w:val="auto"/>
              </w:rPr>
              <w:t>Huntington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Huntington</w:t>
            </w:r>
          </w:p>
        </w:tc>
        <w:tc>
          <w:tcPr>
            <w:tcW w:w="136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500-1440</w:t>
            </w:r>
          </w:p>
        </w:tc>
        <w:tc>
          <w:tcPr>
            <w:tcW w:w="6600" w:type="dxa"/>
            <w:vAlign w:val="bottom"/>
            <w:gridSpan w:val="5"/>
          </w:tcPr>
          <w:p>
            <w:pPr>
              <w:spacing w:after="0"/>
              <w:rPr>
                <w:sz w:val="20"/>
                <w:szCs w:val="20"/>
                <w:color w:val="auto"/>
              </w:rPr>
            </w:pPr>
            <w:r>
              <w:rPr>
                <w:rFonts w:ascii="Arial" w:cs="Arial" w:eastAsia="Arial" w:hAnsi="Arial"/>
                <w:sz w:val="18"/>
                <w:szCs w:val="18"/>
                <w:color w:val="auto"/>
              </w:rPr>
              <w:t>Lancaster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Lancaster</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500-1441  Langhorne Square S C</w:t>
            </w:r>
          </w:p>
        </w:tc>
        <w:tc>
          <w:tcPr>
            <w:tcW w:w="2400" w:type="dxa"/>
            <w:vAlign w:val="bottom"/>
            <w:gridSpan w:val="2"/>
          </w:tcPr>
          <w:p>
            <w:pPr>
              <w:spacing w:after="0"/>
              <w:rPr>
                <w:sz w:val="20"/>
                <w:szCs w:val="20"/>
                <w:color w:val="auto"/>
              </w:rPr>
            </w:pPr>
            <w:r>
              <w:rPr>
                <w:rFonts w:ascii="Arial" w:cs="Arial" w:eastAsia="Arial" w:hAnsi="Arial"/>
                <w:sz w:val="18"/>
                <w:szCs w:val="18"/>
                <w:color w:val="auto"/>
              </w:rPr>
              <w:t>Levitttown</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500-1443</w:t>
            </w:r>
          </w:p>
        </w:tc>
        <w:tc>
          <w:tcPr>
            <w:tcW w:w="6600" w:type="dxa"/>
            <w:vAlign w:val="bottom"/>
            <w:gridSpan w:val="5"/>
          </w:tcPr>
          <w:p>
            <w:pPr>
              <w:spacing w:after="0"/>
              <w:rPr>
                <w:sz w:val="20"/>
                <w:szCs w:val="20"/>
                <w:color w:val="auto"/>
              </w:rPr>
            </w:pPr>
            <w:r>
              <w:rPr>
                <w:rFonts w:ascii="Arial" w:cs="Arial" w:eastAsia="Arial" w:hAnsi="Arial"/>
                <w:sz w:val="18"/>
                <w:szCs w:val="18"/>
                <w:color w:val="auto"/>
              </w:rPr>
              <w:t>Laurel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Laurel</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500-1475</w:t>
            </w:r>
          </w:p>
        </w:tc>
        <w:tc>
          <w:tcPr>
            <w:tcW w:w="6600" w:type="dxa"/>
            <w:vAlign w:val="bottom"/>
            <w:gridSpan w:val="5"/>
          </w:tcPr>
          <w:p>
            <w:pPr>
              <w:spacing w:after="0"/>
              <w:rPr>
                <w:sz w:val="20"/>
                <w:szCs w:val="20"/>
                <w:color w:val="auto"/>
              </w:rPr>
            </w:pPr>
            <w:r>
              <w:rPr>
                <w:rFonts w:ascii="Arial" w:cs="Arial" w:eastAsia="Arial" w:hAnsi="Arial"/>
                <w:sz w:val="18"/>
                <w:szCs w:val="18"/>
                <w:color w:val="auto"/>
              </w:rPr>
              <w:t>Mercer Mall</w:t>
            </w:r>
          </w:p>
        </w:tc>
        <w:tc>
          <w:tcPr>
            <w:tcW w:w="2400" w:type="dxa"/>
            <w:vAlign w:val="bottom"/>
            <w:gridSpan w:val="2"/>
          </w:tcPr>
          <w:p>
            <w:pPr>
              <w:spacing w:after="0"/>
              <w:rPr>
                <w:sz w:val="20"/>
                <w:szCs w:val="20"/>
                <w:color w:val="auto"/>
              </w:rPr>
            </w:pPr>
            <w:r>
              <w:rPr>
                <w:rFonts w:ascii="Arial" w:cs="Arial" w:eastAsia="Arial" w:hAnsi="Arial"/>
                <w:sz w:val="18"/>
                <w:szCs w:val="18"/>
                <w:color w:val="auto"/>
              </w:rPr>
              <w:t>Lawrenceville</w:t>
            </w:r>
          </w:p>
        </w:tc>
        <w:tc>
          <w:tcPr>
            <w:tcW w:w="136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500-1476</w:t>
            </w:r>
          </w:p>
        </w:tc>
        <w:tc>
          <w:tcPr>
            <w:tcW w:w="6600" w:type="dxa"/>
            <w:vAlign w:val="bottom"/>
            <w:gridSpan w:val="5"/>
          </w:tcPr>
          <w:p>
            <w:pPr>
              <w:spacing w:after="0"/>
              <w:rPr>
                <w:sz w:val="20"/>
                <w:szCs w:val="20"/>
                <w:color w:val="auto"/>
              </w:rPr>
            </w:pPr>
            <w:r>
              <w:rPr>
                <w:rFonts w:ascii="Arial" w:cs="Arial" w:eastAsia="Arial" w:hAnsi="Arial"/>
                <w:sz w:val="18"/>
                <w:szCs w:val="18"/>
                <w:color w:val="auto"/>
              </w:rPr>
              <w:t>Mercer Mall-Loupinski/Moore</w:t>
            </w:r>
          </w:p>
        </w:tc>
        <w:tc>
          <w:tcPr>
            <w:tcW w:w="2400" w:type="dxa"/>
            <w:vAlign w:val="bottom"/>
            <w:gridSpan w:val="2"/>
          </w:tcPr>
          <w:p>
            <w:pPr>
              <w:spacing w:after="0"/>
              <w:rPr>
                <w:sz w:val="20"/>
                <w:szCs w:val="20"/>
                <w:color w:val="auto"/>
              </w:rPr>
            </w:pPr>
            <w:r>
              <w:rPr>
                <w:rFonts w:ascii="Arial" w:cs="Arial" w:eastAsia="Arial" w:hAnsi="Arial"/>
                <w:sz w:val="18"/>
                <w:szCs w:val="18"/>
                <w:color w:val="auto"/>
              </w:rPr>
              <w:t>Lawrenceville</w:t>
            </w:r>
          </w:p>
        </w:tc>
        <w:tc>
          <w:tcPr>
            <w:tcW w:w="136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500-1480</w:t>
            </w:r>
          </w:p>
        </w:tc>
        <w:tc>
          <w:tcPr>
            <w:tcW w:w="6600" w:type="dxa"/>
            <w:vAlign w:val="bottom"/>
            <w:gridSpan w:val="5"/>
          </w:tcPr>
          <w:p>
            <w:pPr>
              <w:spacing w:after="0"/>
              <w:rPr>
                <w:sz w:val="20"/>
                <w:szCs w:val="20"/>
                <w:color w:val="auto"/>
              </w:rPr>
            </w:pPr>
            <w:r>
              <w:rPr>
                <w:rFonts w:ascii="Arial" w:cs="Arial" w:eastAsia="Arial" w:hAnsi="Arial"/>
                <w:sz w:val="18"/>
                <w:szCs w:val="18"/>
                <w:color w:val="auto"/>
              </w:rPr>
              <w:t>Mid-Pike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500-1500  Town Center of New Britain</w:t>
            </w:r>
          </w:p>
        </w:tc>
        <w:tc>
          <w:tcPr>
            <w:tcW w:w="2400" w:type="dxa"/>
            <w:vAlign w:val="bottom"/>
            <w:gridSpan w:val="2"/>
          </w:tcPr>
          <w:p>
            <w:pPr>
              <w:spacing w:after="0"/>
              <w:rPr>
                <w:sz w:val="20"/>
                <w:szCs w:val="20"/>
                <w:color w:val="auto"/>
              </w:rPr>
            </w:pPr>
            <w:r>
              <w:rPr>
                <w:rFonts w:ascii="Arial" w:cs="Arial" w:eastAsia="Arial" w:hAnsi="Arial"/>
                <w:sz w:val="18"/>
                <w:szCs w:val="18"/>
                <w:color w:val="auto"/>
              </w:rPr>
              <w:t>New Britain</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500-1520</w:t>
            </w:r>
          </w:p>
        </w:tc>
        <w:tc>
          <w:tcPr>
            <w:tcW w:w="6600" w:type="dxa"/>
            <w:vAlign w:val="bottom"/>
            <w:gridSpan w:val="5"/>
          </w:tcPr>
          <w:p>
            <w:pPr>
              <w:spacing w:after="0"/>
              <w:rPr>
                <w:sz w:val="20"/>
                <w:szCs w:val="20"/>
                <w:color w:val="auto"/>
              </w:rPr>
            </w:pPr>
            <w:r>
              <w:rPr>
                <w:rFonts w:ascii="Arial" w:cs="Arial" w:eastAsia="Arial" w:hAnsi="Arial"/>
                <w:sz w:val="18"/>
                <w:szCs w:val="18"/>
                <w:color w:val="auto"/>
              </w:rPr>
              <w:t>Northeast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Philadelphia</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500-1525</w:t>
            </w:r>
          </w:p>
        </w:tc>
        <w:tc>
          <w:tcPr>
            <w:tcW w:w="6600" w:type="dxa"/>
            <w:vAlign w:val="bottom"/>
            <w:gridSpan w:val="5"/>
          </w:tcPr>
          <w:p>
            <w:pPr>
              <w:spacing w:after="0"/>
              <w:rPr>
                <w:sz w:val="20"/>
                <w:szCs w:val="20"/>
                <w:color w:val="auto"/>
              </w:rPr>
            </w:pPr>
            <w:r>
              <w:rPr>
                <w:rFonts w:ascii="Arial" w:cs="Arial" w:eastAsia="Arial" w:hAnsi="Arial"/>
                <w:sz w:val="18"/>
                <w:szCs w:val="18"/>
                <w:color w:val="auto"/>
              </w:rPr>
              <w:t>North Lake Commons</w:t>
            </w:r>
          </w:p>
        </w:tc>
        <w:tc>
          <w:tcPr>
            <w:tcW w:w="2400" w:type="dxa"/>
            <w:vAlign w:val="bottom"/>
            <w:gridSpan w:val="2"/>
          </w:tcPr>
          <w:p>
            <w:pPr>
              <w:spacing w:after="0"/>
              <w:rPr>
                <w:sz w:val="20"/>
                <w:szCs w:val="20"/>
                <w:color w:val="auto"/>
              </w:rPr>
            </w:pPr>
            <w:r>
              <w:rPr>
                <w:rFonts w:ascii="Arial" w:cs="Arial" w:eastAsia="Arial" w:hAnsi="Arial"/>
                <w:sz w:val="18"/>
                <w:szCs w:val="18"/>
                <w:color w:val="auto"/>
              </w:rPr>
              <w:t>Lake Zurich</w:t>
            </w:r>
          </w:p>
        </w:tc>
        <w:tc>
          <w:tcPr>
            <w:tcW w:w="1360" w:type="dxa"/>
            <w:vAlign w:val="bottom"/>
          </w:tcPr>
          <w:p>
            <w:pPr>
              <w:spacing w:after="0"/>
              <w:rPr>
                <w:sz w:val="20"/>
                <w:szCs w:val="20"/>
                <w:color w:val="auto"/>
              </w:rPr>
            </w:pPr>
            <w:r>
              <w:rPr>
                <w:rFonts w:ascii="Arial" w:cs="Arial" w:eastAsia="Arial" w:hAnsi="Arial"/>
                <w:sz w:val="18"/>
                <w:szCs w:val="18"/>
                <w:color w:val="auto"/>
              </w:rPr>
              <w:t>IL</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500-1560  Old Keene Mill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Springfield</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500-1580  Pan Am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Fairfax</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500-1610</w:t>
            </w:r>
          </w:p>
        </w:tc>
        <w:tc>
          <w:tcPr>
            <w:tcW w:w="6600" w:type="dxa"/>
            <w:vAlign w:val="bottom"/>
            <w:gridSpan w:val="5"/>
          </w:tcPr>
          <w:p>
            <w:pPr>
              <w:spacing w:after="0"/>
              <w:rPr>
                <w:sz w:val="20"/>
                <w:szCs w:val="20"/>
                <w:color w:val="auto"/>
              </w:rPr>
            </w:pPr>
            <w:r>
              <w:rPr>
                <w:rFonts w:ascii="Arial" w:cs="Arial" w:eastAsia="Arial" w:hAnsi="Arial"/>
                <w:sz w:val="18"/>
                <w:szCs w:val="18"/>
                <w:color w:val="auto"/>
              </w:rPr>
              <w:t>Queen Anne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Norwell</w:t>
            </w:r>
          </w:p>
        </w:tc>
        <w:tc>
          <w:tcPr>
            <w:tcW w:w="136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500-1625  Quince Orchard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Gaithersburg</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500-1626  Quince Orchard Office Building</w:t>
            </w:r>
          </w:p>
        </w:tc>
        <w:tc>
          <w:tcPr>
            <w:tcW w:w="2400" w:type="dxa"/>
            <w:vAlign w:val="bottom"/>
            <w:gridSpan w:val="2"/>
          </w:tcPr>
          <w:p>
            <w:pPr>
              <w:spacing w:after="0"/>
              <w:rPr>
                <w:sz w:val="20"/>
                <w:szCs w:val="20"/>
                <w:color w:val="auto"/>
              </w:rPr>
            </w:pPr>
            <w:r>
              <w:rPr>
                <w:rFonts w:ascii="Arial" w:cs="Arial" w:eastAsia="Arial" w:hAnsi="Arial"/>
                <w:sz w:val="18"/>
                <w:szCs w:val="18"/>
                <w:color w:val="auto"/>
              </w:rPr>
              <w:t>Gaithersburg</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500-1627</w:t>
            </w:r>
          </w:p>
        </w:tc>
        <w:tc>
          <w:tcPr>
            <w:tcW w:w="6600" w:type="dxa"/>
            <w:vAlign w:val="bottom"/>
            <w:gridSpan w:val="5"/>
          </w:tcPr>
          <w:p>
            <w:pPr>
              <w:spacing w:after="0"/>
              <w:rPr>
                <w:sz w:val="20"/>
                <w:szCs w:val="20"/>
                <w:color w:val="auto"/>
              </w:rPr>
            </w:pPr>
            <w:r>
              <w:rPr>
                <w:rFonts w:ascii="Arial" w:cs="Arial" w:eastAsia="Arial" w:hAnsi="Arial"/>
                <w:sz w:val="18"/>
                <w:szCs w:val="18"/>
                <w:color w:val="auto"/>
              </w:rPr>
              <w:t>7770 Richmond Highway</w:t>
            </w:r>
          </w:p>
        </w:tc>
        <w:tc>
          <w:tcPr>
            <w:tcW w:w="2400" w:type="dxa"/>
            <w:vAlign w:val="bottom"/>
            <w:gridSpan w:val="2"/>
          </w:tcPr>
          <w:p>
            <w:pPr>
              <w:spacing w:after="0"/>
              <w:rPr>
                <w:sz w:val="20"/>
                <w:szCs w:val="20"/>
                <w:color w:val="auto"/>
              </w:rPr>
            </w:pPr>
            <w:r>
              <w:rPr>
                <w:rFonts w:ascii="Arial" w:cs="Arial" w:eastAsia="Arial" w:hAnsi="Arial"/>
                <w:sz w:val="18"/>
                <w:szCs w:val="18"/>
                <w:color w:val="auto"/>
              </w:rPr>
              <w:t>Alexandria</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500-1700</w:t>
            </w:r>
          </w:p>
        </w:tc>
        <w:tc>
          <w:tcPr>
            <w:tcW w:w="6600" w:type="dxa"/>
            <w:vAlign w:val="bottom"/>
            <w:gridSpan w:val="5"/>
          </w:tcPr>
          <w:p>
            <w:pPr>
              <w:spacing w:after="0"/>
              <w:rPr>
                <w:sz w:val="20"/>
                <w:szCs w:val="20"/>
                <w:color w:val="auto"/>
              </w:rPr>
            </w:pPr>
            <w:r>
              <w:rPr>
                <w:rFonts w:ascii="Arial" w:cs="Arial" w:eastAsia="Arial" w:hAnsi="Arial"/>
                <w:sz w:val="18"/>
                <w:szCs w:val="18"/>
                <w:color w:val="auto"/>
              </w:rPr>
              <w:t>Saugus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Saugus</w:t>
            </w:r>
          </w:p>
        </w:tc>
        <w:tc>
          <w:tcPr>
            <w:tcW w:w="136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500-1750</w:t>
            </w:r>
          </w:p>
        </w:tc>
        <w:tc>
          <w:tcPr>
            <w:tcW w:w="6600" w:type="dxa"/>
            <w:vAlign w:val="bottom"/>
            <w:gridSpan w:val="5"/>
          </w:tcPr>
          <w:p>
            <w:pPr>
              <w:spacing w:after="0"/>
              <w:rPr>
                <w:sz w:val="20"/>
                <w:szCs w:val="20"/>
                <w:color w:val="auto"/>
              </w:rPr>
            </w:pPr>
            <w:r>
              <w:rPr>
                <w:rFonts w:ascii="Arial" w:cs="Arial" w:eastAsia="Arial" w:hAnsi="Arial"/>
                <w:sz w:val="18"/>
                <w:szCs w:val="18"/>
                <w:color w:val="auto"/>
              </w:rPr>
              <w:t>Tower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Springfield</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500-1761</w:t>
            </w:r>
          </w:p>
        </w:tc>
        <w:tc>
          <w:tcPr>
            <w:tcW w:w="6600" w:type="dxa"/>
            <w:vAlign w:val="bottom"/>
            <w:gridSpan w:val="5"/>
          </w:tcPr>
          <w:p>
            <w:pPr>
              <w:spacing w:after="0"/>
              <w:rPr>
                <w:sz w:val="20"/>
                <w:szCs w:val="20"/>
                <w:color w:val="auto"/>
              </w:rPr>
            </w:pPr>
            <w:r>
              <w:rPr>
                <w:rFonts w:ascii="Arial" w:cs="Arial" w:eastAsia="Arial" w:hAnsi="Arial"/>
                <w:sz w:val="18"/>
                <w:szCs w:val="18"/>
                <w:color w:val="auto"/>
              </w:rPr>
              <w:t>Troy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Parsippany-Troy</w:t>
            </w:r>
          </w:p>
        </w:tc>
        <w:tc>
          <w:tcPr>
            <w:tcW w:w="136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500-1763  Tysons Station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Falls Church</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500-1880</w:t>
            </w:r>
          </w:p>
        </w:tc>
        <w:tc>
          <w:tcPr>
            <w:tcW w:w="6600" w:type="dxa"/>
            <w:vAlign w:val="bottom"/>
            <w:gridSpan w:val="5"/>
          </w:tcPr>
          <w:p>
            <w:pPr>
              <w:spacing w:after="0"/>
              <w:rPr>
                <w:sz w:val="20"/>
                <w:szCs w:val="20"/>
                <w:color w:val="auto"/>
              </w:rPr>
            </w:pPr>
            <w:r>
              <w:rPr>
                <w:rFonts w:ascii="Arial" w:cs="Arial" w:eastAsia="Arial" w:hAnsi="Arial"/>
                <w:sz w:val="18"/>
                <w:szCs w:val="18"/>
                <w:color w:val="auto"/>
              </w:rPr>
              <w:t>Falls Plaza - East</w:t>
            </w:r>
          </w:p>
        </w:tc>
        <w:tc>
          <w:tcPr>
            <w:tcW w:w="2400" w:type="dxa"/>
            <w:vAlign w:val="bottom"/>
            <w:gridSpan w:val="2"/>
          </w:tcPr>
          <w:p>
            <w:pPr>
              <w:spacing w:after="0"/>
              <w:rPr>
                <w:sz w:val="20"/>
                <w:szCs w:val="20"/>
                <w:color w:val="auto"/>
              </w:rPr>
            </w:pPr>
            <w:r>
              <w:rPr>
                <w:rFonts w:ascii="Arial" w:cs="Arial" w:eastAsia="Arial" w:hAnsi="Arial"/>
                <w:sz w:val="18"/>
                <w:szCs w:val="18"/>
                <w:color w:val="auto"/>
              </w:rPr>
              <w:t>Falls Church</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500-1883  The Shops at Willow Lawn</w:t>
            </w:r>
          </w:p>
        </w:tc>
        <w:tc>
          <w:tcPr>
            <w:tcW w:w="2400" w:type="dxa"/>
            <w:vAlign w:val="bottom"/>
            <w:gridSpan w:val="2"/>
          </w:tcPr>
          <w:p>
            <w:pPr>
              <w:spacing w:after="0"/>
              <w:rPr>
                <w:sz w:val="20"/>
                <w:szCs w:val="20"/>
                <w:color w:val="auto"/>
              </w:rPr>
            </w:pPr>
            <w:r>
              <w:rPr>
                <w:rFonts w:ascii="Arial" w:cs="Arial" w:eastAsia="Arial" w:hAnsi="Arial"/>
                <w:sz w:val="18"/>
                <w:szCs w:val="18"/>
                <w:color w:val="auto"/>
              </w:rPr>
              <w:t>Richmond</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22"/>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500-1889  Willow Grove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Willow Grove</w:t>
            </w:r>
          </w:p>
        </w:tc>
        <w:tc>
          <w:tcPr>
            <w:tcW w:w="136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0" w:type="dxa"/>
            <w:vAlign w:val="bottom"/>
            <w:gridSpan w:val="5"/>
          </w:tcPr>
          <w:p>
            <w:pPr>
              <w:spacing w:after="0"/>
              <w:rPr>
                <w:sz w:val="20"/>
                <w:szCs w:val="20"/>
                <w:color w:val="auto"/>
              </w:rPr>
            </w:pPr>
            <w:r>
              <w:rPr>
                <w:rFonts w:ascii="Arial" w:cs="Arial" w:eastAsia="Arial" w:hAnsi="Arial"/>
                <w:sz w:val="18"/>
                <w:szCs w:val="18"/>
                <w:b w:val="1"/>
                <w:bCs w:val="1"/>
                <w:color w:val="auto"/>
              </w:rPr>
              <w:t>Controlled Properties</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60" w:type="dxa"/>
            <w:vAlign w:val="bottom"/>
            <w:gridSpan w:val="2"/>
          </w:tcPr>
          <w:p>
            <w:pPr>
              <w:ind w:left="200"/>
              <w:spacing w:after="0"/>
              <w:rPr>
                <w:sz w:val="20"/>
                <w:szCs w:val="20"/>
                <w:color w:val="auto"/>
              </w:rPr>
            </w:pPr>
            <w:r>
              <w:rPr>
                <w:rFonts w:ascii="Arial" w:cs="Arial" w:eastAsia="Arial" w:hAnsi="Arial"/>
                <w:sz w:val="18"/>
                <w:szCs w:val="18"/>
                <w:color w:val="auto"/>
              </w:rPr>
              <w:t>110-1605</w:t>
            </w: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Pike 7</w:t>
            </w:r>
          </w:p>
        </w:tc>
        <w:tc>
          <w:tcPr>
            <w:tcW w:w="4980" w:type="dxa"/>
            <w:vAlign w:val="bottom"/>
            <w:gridSpan w:val="3"/>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Vienna</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490-1085</w:t>
            </w:r>
          </w:p>
        </w:tc>
        <w:tc>
          <w:tcPr>
            <w:tcW w:w="6600" w:type="dxa"/>
            <w:vAlign w:val="bottom"/>
            <w:gridSpan w:val="5"/>
          </w:tcPr>
          <w:p>
            <w:pPr>
              <w:spacing w:after="0"/>
              <w:rPr>
                <w:sz w:val="20"/>
                <w:szCs w:val="20"/>
                <w:color w:val="auto"/>
              </w:rPr>
            </w:pPr>
            <w:r>
              <w:rPr>
                <w:rFonts w:ascii="Arial" w:cs="Arial" w:eastAsia="Arial" w:hAnsi="Arial"/>
                <w:sz w:val="18"/>
                <w:szCs w:val="18"/>
                <w:color w:val="auto"/>
              </w:rPr>
              <w:t>Courthouse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490-1400</w:t>
            </w:r>
          </w:p>
        </w:tc>
        <w:tc>
          <w:tcPr>
            <w:tcW w:w="6600" w:type="dxa"/>
            <w:vAlign w:val="bottom"/>
            <w:gridSpan w:val="5"/>
          </w:tcPr>
          <w:p>
            <w:pPr>
              <w:spacing w:after="0"/>
              <w:rPr>
                <w:sz w:val="20"/>
                <w:szCs w:val="20"/>
                <w:color w:val="auto"/>
              </w:rPr>
            </w:pPr>
            <w:r>
              <w:rPr>
                <w:rFonts w:ascii="Arial" w:cs="Arial" w:eastAsia="Arial" w:hAnsi="Arial"/>
                <w:sz w:val="18"/>
                <w:szCs w:val="18"/>
                <w:color w:val="auto"/>
              </w:rPr>
              <w:t>Kings Court</w:t>
            </w:r>
          </w:p>
        </w:tc>
        <w:tc>
          <w:tcPr>
            <w:tcW w:w="2400" w:type="dxa"/>
            <w:vAlign w:val="bottom"/>
            <w:gridSpan w:val="2"/>
          </w:tcPr>
          <w:p>
            <w:pPr>
              <w:spacing w:after="0"/>
              <w:rPr>
                <w:sz w:val="20"/>
                <w:szCs w:val="20"/>
                <w:color w:val="auto"/>
              </w:rPr>
            </w:pPr>
            <w:r>
              <w:rPr>
                <w:rFonts w:ascii="Arial" w:cs="Arial" w:eastAsia="Arial" w:hAnsi="Arial"/>
                <w:sz w:val="18"/>
                <w:szCs w:val="18"/>
                <w:color w:val="auto"/>
              </w:rPr>
              <w:t>Los Gatos</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22"/>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490-1720  South Valley Shopping Center</w:t>
            </w:r>
          </w:p>
        </w:tc>
        <w:tc>
          <w:tcPr>
            <w:tcW w:w="2400" w:type="dxa"/>
            <w:vAlign w:val="bottom"/>
            <w:gridSpan w:val="2"/>
          </w:tcPr>
          <w:p>
            <w:pPr>
              <w:spacing w:after="0"/>
              <w:rPr>
                <w:sz w:val="20"/>
                <w:szCs w:val="20"/>
                <w:color w:val="auto"/>
              </w:rPr>
            </w:pPr>
            <w:r>
              <w:rPr>
                <w:rFonts w:ascii="Arial" w:cs="Arial" w:eastAsia="Arial" w:hAnsi="Arial"/>
                <w:sz w:val="18"/>
                <w:szCs w:val="18"/>
                <w:color w:val="auto"/>
              </w:rPr>
              <w:t>Alexandria</w:t>
            </w:r>
          </w:p>
        </w:tc>
        <w:tc>
          <w:tcPr>
            <w:tcW w:w="1360" w:type="dxa"/>
            <w:vAlign w:val="bottom"/>
          </w:tcPr>
          <w:p>
            <w:pPr>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Non-Controlled Properties</w:t>
            </w:r>
          </w:p>
        </w:tc>
        <w:tc>
          <w:tcPr>
            <w:tcW w:w="460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030-1080</w:t>
            </w:r>
          </w:p>
        </w:tc>
        <w:tc>
          <w:tcPr>
            <w:tcW w:w="6600" w:type="dxa"/>
            <w:vAlign w:val="bottom"/>
            <w:gridSpan w:val="5"/>
          </w:tcPr>
          <w:p>
            <w:pPr>
              <w:spacing w:after="0"/>
              <w:rPr>
                <w:sz w:val="20"/>
                <w:szCs w:val="20"/>
                <w:color w:val="auto"/>
              </w:rPr>
            </w:pPr>
            <w:r>
              <w:rPr>
                <w:rFonts w:ascii="Arial" w:cs="Arial" w:eastAsia="Arial" w:hAnsi="Arial"/>
                <w:sz w:val="18"/>
                <w:szCs w:val="18"/>
                <w:color w:val="auto"/>
              </w:rPr>
              <w:t>Congressional Plaza</w:t>
            </w:r>
          </w:p>
        </w:tc>
        <w:tc>
          <w:tcPr>
            <w:tcW w:w="2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030-1081</w:t>
            </w:r>
          </w:p>
        </w:tc>
        <w:tc>
          <w:tcPr>
            <w:tcW w:w="6600" w:type="dxa"/>
            <w:vAlign w:val="bottom"/>
            <w:gridSpan w:val="5"/>
          </w:tcPr>
          <w:p>
            <w:pPr>
              <w:spacing w:after="0"/>
              <w:rPr>
                <w:sz w:val="20"/>
                <w:szCs w:val="20"/>
                <w:color w:val="auto"/>
              </w:rPr>
            </w:pPr>
            <w:r>
              <w:rPr>
                <w:rFonts w:ascii="Arial" w:cs="Arial" w:eastAsia="Arial" w:hAnsi="Arial"/>
                <w:sz w:val="18"/>
                <w:szCs w:val="18"/>
                <w:color w:val="auto"/>
              </w:rPr>
              <w:t>Congressional Plaza Apartments</w:t>
            </w:r>
          </w:p>
        </w:tc>
        <w:tc>
          <w:tcPr>
            <w:tcW w:w="2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136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060" w:type="dxa"/>
            <w:vAlign w:val="bottom"/>
            <w:gridSpan w:val="2"/>
          </w:tcPr>
          <w:p>
            <w:pPr>
              <w:ind w:left="200"/>
              <w:spacing w:after="0"/>
              <w:rPr>
                <w:sz w:val="20"/>
                <w:szCs w:val="20"/>
                <w:color w:val="auto"/>
              </w:rPr>
            </w:pPr>
            <w:r>
              <w:rPr>
                <w:rFonts w:ascii="Arial" w:cs="Arial" w:eastAsia="Arial" w:hAnsi="Arial"/>
                <w:sz w:val="18"/>
                <w:szCs w:val="18"/>
                <w:color w:val="auto"/>
              </w:rPr>
              <w:t>090-1190</w:t>
            </w:r>
          </w:p>
        </w:tc>
        <w:tc>
          <w:tcPr>
            <w:tcW w:w="6600" w:type="dxa"/>
            <w:vAlign w:val="bottom"/>
            <w:gridSpan w:val="5"/>
          </w:tcPr>
          <w:p>
            <w:pPr>
              <w:spacing w:after="0"/>
              <w:rPr>
                <w:sz w:val="20"/>
                <w:szCs w:val="20"/>
                <w:color w:val="auto"/>
              </w:rPr>
            </w:pPr>
            <w:r>
              <w:rPr>
                <w:rFonts w:ascii="Arial" w:cs="Arial" w:eastAsia="Arial" w:hAnsi="Arial"/>
                <w:sz w:val="18"/>
                <w:szCs w:val="18"/>
                <w:color w:val="auto"/>
              </w:rPr>
              <w:t>Escondido Promenade</w:t>
            </w:r>
          </w:p>
        </w:tc>
        <w:tc>
          <w:tcPr>
            <w:tcW w:w="2400" w:type="dxa"/>
            <w:vAlign w:val="bottom"/>
            <w:gridSpan w:val="2"/>
          </w:tcPr>
          <w:p>
            <w:pPr>
              <w:spacing w:after="0"/>
              <w:rPr>
                <w:sz w:val="20"/>
                <w:szCs w:val="20"/>
                <w:color w:val="auto"/>
              </w:rPr>
            </w:pPr>
            <w:r>
              <w:rPr>
                <w:rFonts w:ascii="Arial" w:cs="Arial" w:eastAsia="Arial" w:hAnsi="Arial"/>
                <w:sz w:val="18"/>
                <w:szCs w:val="18"/>
                <w:color w:val="auto"/>
              </w:rPr>
              <w:t>Escondido</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80"/>
              <w:spacing w:after="0"/>
              <w:rPr>
                <w:sz w:val="20"/>
                <w:szCs w:val="20"/>
                <w:color w:val="auto"/>
              </w:rPr>
            </w:pPr>
            <w:r>
              <w:rPr>
                <w:rFonts w:ascii="Arial" w:cs="Arial" w:eastAsia="Arial" w:hAnsi="Arial"/>
                <w:sz w:val="18"/>
                <w:szCs w:val="18"/>
                <w:color w:val="auto"/>
              </w:rPr>
              <w:t>425-4225</w:t>
            </w:r>
          </w:p>
        </w:tc>
        <w:tc>
          <w:tcPr>
            <w:tcW w:w="6600" w:type="dxa"/>
            <w:vAlign w:val="bottom"/>
            <w:gridSpan w:val="5"/>
          </w:tcPr>
          <w:p>
            <w:pPr>
              <w:spacing w:after="0"/>
              <w:rPr>
                <w:sz w:val="20"/>
                <w:szCs w:val="20"/>
                <w:color w:val="auto"/>
              </w:rPr>
            </w:pPr>
            <w:r>
              <w:rPr>
                <w:rFonts w:ascii="Arial" w:cs="Arial" w:eastAsia="Arial" w:hAnsi="Arial"/>
                <w:sz w:val="18"/>
                <w:szCs w:val="18"/>
                <w:color w:val="auto"/>
              </w:rPr>
              <w:t>Galaxy Bldg (Hollywood)</w:t>
            </w:r>
          </w:p>
        </w:tc>
        <w:tc>
          <w:tcPr>
            <w:tcW w:w="2400" w:type="dxa"/>
            <w:vAlign w:val="bottom"/>
            <w:gridSpan w:val="2"/>
          </w:tcPr>
          <w:p>
            <w:pPr>
              <w:spacing w:after="0"/>
              <w:rPr>
                <w:sz w:val="20"/>
                <w:szCs w:val="20"/>
                <w:color w:val="auto"/>
              </w:rPr>
            </w:pPr>
            <w:r>
              <w:rPr>
                <w:rFonts w:ascii="Arial" w:cs="Arial" w:eastAsia="Arial" w:hAnsi="Arial"/>
                <w:sz w:val="18"/>
                <w:szCs w:val="18"/>
                <w:color w:val="auto"/>
              </w:rPr>
              <w:t>Hollywood</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22"/>
        </w:trPr>
        <w:tc>
          <w:tcPr>
            <w:tcW w:w="7660" w:type="dxa"/>
            <w:vAlign w:val="bottom"/>
            <w:gridSpan w:val="7"/>
          </w:tcPr>
          <w:p>
            <w:pPr>
              <w:ind w:left="180"/>
              <w:spacing w:after="0"/>
              <w:rPr>
                <w:sz w:val="20"/>
                <w:szCs w:val="20"/>
                <w:color w:val="auto"/>
              </w:rPr>
            </w:pPr>
            <w:r>
              <w:rPr>
                <w:rFonts w:ascii="Arial" w:cs="Arial" w:eastAsia="Arial" w:hAnsi="Arial"/>
                <w:sz w:val="18"/>
                <w:szCs w:val="18"/>
                <w:color w:val="auto"/>
              </w:rPr>
              <w:t>425-4226  7001 Hollywood Blvd (Peterson)</w:t>
            </w:r>
          </w:p>
        </w:tc>
        <w:tc>
          <w:tcPr>
            <w:tcW w:w="2400" w:type="dxa"/>
            <w:vAlign w:val="bottom"/>
            <w:gridSpan w:val="2"/>
          </w:tcPr>
          <w:p>
            <w:pPr>
              <w:spacing w:after="0"/>
              <w:rPr>
                <w:sz w:val="20"/>
                <w:szCs w:val="20"/>
                <w:color w:val="auto"/>
              </w:rPr>
            </w:pPr>
            <w:r>
              <w:rPr>
                <w:rFonts w:ascii="Arial" w:cs="Arial" w:eastAsia="Arial" w:hAnsi="Arial"/>
                <w:sz w:val="18"/>
                <w:szCs w:val="18"/>
                <w:color w:val="auto"/>
              </w:rPr>
              <w:t>Hollywood</w:t>
            </w:r>
          </w:p>
        </w:tc>
        <w:tc>
          <w:tcPr>
            <w:tcW w:w="136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27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Properties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w:t>
      </w:r>
    </w:p>
    <w:p>
      <w:pPr>
        <w:sectPr>
          <w:pgSz w:w="11900" w:h="16838" w:orient="portrait"/>
          <w:cols w:equalWidth="0" w:num="1">
            <w:col w:w="10880"/>
          </w:cols>
          <w:pgMar w:left="240" w:top="274" w:right="77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29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15875</wp:posOffset>
            </wp:positionV>
            <wp:extent cx="41249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15875</wp:posOffset>
            </wp:positionV>
            <wp:extent cx="14490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22860</wp:posOffset>
            </wp:positionV>
            <wp:extent cx="8661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3340" w:space="720"/>
            <w:col w:w="3900" w:space="720"/>
            <w:col w:w="1200" w:space="720"/>
            <w:col w:w="280"/>
          </w:cols>
          <w:pgMar w:left="240" w:top="274" w:right="77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Permitted Liens in Existence as of Date of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properties are currently subject to liens:</w:t>
      </w:r>
    </w:p>
    <w:p>
      <w:pPr>
        <w:spacing w:after="0" w:line="9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Encumbered Properties</w:t>
            </w:r>
          </w:p>
        </w:tc>
        <w:tc>
          <w:tcPr>
            <w:tcW w:w="3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8"/>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120-1450</w:t>
            </w: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Leesburg Plaza</w:t>
            </w:r>
          </w:p>
        </w:tc>
        <w:tc>
          <w:tcPr>
            <w:tcW w:w="3200" w:type="dxa"/>
            <w:vAlign w:val="bottom"/>
          </w:tcPr>
          <w:p>
            <w:pPr>
              <w:spacing w:after="0"/>
              <w:rPr>
                <w:sz w:val="19"/>
                <w:szCs w:val="19"/>
                <w:color w:val="auto"/>
              </w:rPr>
            </w:pPr>
          </w:p>
        </w:tc>
        <w:tc>
          <w:tcPr>
            <w:tcW w:w="3340" w:type="dxa"/>
            <w:vAlign w:val="bottom"/>
          </w:tcPr>
          <w:p>
            <w:pPr>
              <w:ind w:left="1620"/>
              <w:spacing w:after="0"/>
              <w:rPr>
                <w:sz w:val="20"/>
                <w:szCs w:val="20"/>
                <w:color w:val="auto"/>
              </w:rPr>
            </w:pPr>
            <w:r>
              <w:rPr>
                <w:rFonts w:ascii="Arial" w:cs="Arial" w:eastAsia="Arial" w:hAnsi="Arial"/>
                <w:sz w:val="18"/>
                <w:szCs w:val="18"/>
                <w:color w:val="auto"/>
              </w:rPr>
              <w:t>Leesburg</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196-1960</w:t>
            </w:r>
          </w:p>
        </w:tc>
        <w:tc>
          <w:tcPr>
            <w:tcW w:w="4980" w:type="dxa"/>
            <w:vAlign w:val="bottom"/>
            <w:gridSpan w:val="2"/>
          </w:tcPr>
          <w:p>
            <w:pPr>
              <w:spacing w:after="0"/>
              <w:rPr>
                <w:sz w:val="20"/>
                <w:szCs w:val="20"/>
                <w:color w:val="auto"/>
              </w:rPr>
            </w:pPr>
            <w:r>
              <w:rPr>
                <w:rFonts w:ascii="Arial" w:cs="Arial" w:eastAsia="Arial" w:hAnsi="Arial"/>
                <w:sz w:val="18"/>
                <w:szCs w:val="18"/>
                <w:color w:val="auto"/>
              </w:rPr>
              <w:t>Courtyard Shops @ Wellington</w:t>
            </w:r>
          </w:p>
        </w:tc>
        <w:tc>
          <w:tcPr>
            <w:tcW w:w="3340" w:type="dxa"/>
            <w:vAlign w:val="bottom"/>
          </w:tcPr>
          <w:p>
            <w:pPr>
              <w:ind w:left="1620"/>
              <w:spacing w:after="0"/>
              <w:rPr>
                <w:sz w:val="20"/>
                <w:szCs w:val="20"/>
                <w:color w:val="auto"/>
              </w:rPr>
            </w:pPr>
            <w:r>
              <w:rPr>
                <w:rFonts w:ascii="Arial" w:cs="Arial" w:eastAsia="Arial" w:hAnsi="Arial"/>
                <w:sz w:val="18"/>
                <w:szCs w:val="18"/>
                <w:color w:val="auto"/>
              </w:rPr>
              <w:t>Wellington</w:t>
            </w:r>
          </w:p>
        </w:tc>
        <w:tc>
          <w:tcPr>
            <w:tcW w:w="960" w:type="dxa"/>
            <w:vAlign w:val="bottom"/>
          </w:tcPr>
          <w:p>
            <w:pPr>
              <w:ind w:left="6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260-2060</w:t>
            </w:r>
          </w:p>
        </w:tc>
        <w:tc>
          <w:tcPr>
            <w:tcW w:w="4980" w:type="dxa"/>
            <w:vAlign w:val="bottom"/>
            <w:gridSpan w:val="2"/>
          </w:tcPr>
          <w:p>
            <w:pPr>
              <w:spacing w:after="0"/>
              <w:rPr>
                <w:sz w:val="20"/>
                <w:szCs w:val="20"/>
                <w:color w:val="auto"/>
              </w:rPr>
            </w:pPr>
            <w:r>
              <w:rPr>
                <w:rFonts w:ascii="Arial" w:cs="Arial" w:eastAsia="Arial" w:hAnsi="Arial"/>
                <w:sz w:val="18"/>
                <w:szCs w:val="18"/>
                <w:color w:val="auto"/>
              </w:rPr>
              <w:t>Rollingwood Apartments</w:t>
            </w:r>
          </w:p>
        </w:tc>
        <w:tc>
          <w:tcPr>
            <w:tcW w:w="3340" w:type="dxa"/>
            <w:vAlign w:val="bottom"/>
          </w:tcPr>
          <w:p>
            <w:pPr>
              <w:ind w:left="1620"/>
              <w:spacing w:after="0"/>
              <w:rPr>
                <w:sz w:val="20"/>
                <w:szCs w:val="20"/>
                <w:color w:val="auto"/>
              </w:rPr>
            </w:pPr>
            <w:r>
              <w:rPr>
                <w:rFonts w:ascii="Arial" w:cs="Arial" w:eastAsia="Arial" w:hAnsi="Arial"/>
                <w:sz w:val="18"/>
                <w:szCs w:val="18"/>
                <w:color w:val="auto"/>
              </w:rPr>
              <w:t>Silver Spring</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227-2270</w:t>
            </w:r>
          </w:p>
        </w:tc>
        <w:tc>
          <w:tcPr>
            <w:tcW w:w="49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3340" w:type="dxa"/>
            <w:vAlign w:val="bottom"/>
          </w:tcPr>
          <w:p>
            <w:pPr>
              <w:ind w:left="1620"/>
              <w:spacing w:after="0"/>
              <w:rPr>
                <w:sz w:val="20"/>
                <w:szCs w:val="20"/>
                <w:color w:val="auto"/>
              </w:rPr>
            </w:pPr>
            <w:r>
              <w:rPr>
                <w:rFonts w:ascii="Arial" w:cs="Arial" w:eastAsia="Arial" w:hAnsi="Arial"/>
                <w:sz w:val="18"/>
                <w:szCs w:val="18"/>
                <w:color w:val="auto"/>
              </w:rPr>
              <w:t>White Marsh</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233-2202</w:t>
            </w:r>
          </w:p>
        </w:tc>
        <w:tc>
          <w:tcPr>
            <w:tcW w:w="498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3340" w:type="dxa"/>
            <w:vAlign w:val="bottom"/>
          </w:tcPr>
          <w:p>
            <w:pPr>
              <w:ind w:left="1620"/>
              <w:spacing w:after="0"/>
              <w:rPr>
                <w:sz w:val="20"/>
                <w:szCs w:val="20"/>
                <w:color w:val="auto"/>
              </w:rPr>
            </w:pPr>
            <w:r>
              <w:rPr>
                <w:rFonts w:ascii="Arial" w:cs="Arial" w:eastAsia="Arial" w:hAnsi="Arial"/>
                <w:sz w:val="18"/>
                <w:szCs w:val="18"/>
                <w:color w:val="auto"/>
              </w:rPr>
              <w:t>White Marsh</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400-3603</w:t>
            </w:r>
          </w:p>
        </w:tc>
        <w:tc>
          <w:tcPr>
            <w:tcW w:w="4980" w:type="dxa"/>
            <w:vAlign w:val="bottom"/>
            <w:gridSpan w:val="2"/>
          </w:tcPr>
          <w:p>
            <w:pPr>
              <w:spacing w:after="0"/>
              <w:rPr>
                <w:sz w:val="20"/>
                <w:szCs w:val="20"/>
                <w:color w:val="auto"/>
              </w:rPr>
            </w:pPr>
            <w:r>
              <w:rPr>
                <w:rFonts w:ascii="Arial" w:cs="Arial" w:eastAsia="Arial" w:hAnsi="Arial"/>
                <w:sz w:val="18"/>
                <w:szCs w:val="18"/>
                <w:color w:val="auto"/>
              </w:rPr>
              <w:t>Pentagon Row</w:t>
            </w:r>
          </w:p>
        </w:tc>
        <w:tc>
          <w:tcPr>
            <w:tcW w:w="3340" w:type="dxa"/>
            <w:vAlign w:val="bottom"/>
          </w:tcPr>
          <w:p>
            <w:pPr>
              <w:ind w:left="1620"/>
              <w:spacing w:after="0"/>
              <w:rPr>
                <w:sz w:val="20"/>
                <w:szCs w:val="20"/>
                <w:color w:val="auto"/>
              </w:rPr>
            </w:pPr>
            <w:r>
              <w:rPr>
                <w:rFonts w:ascii="Arial" w:cs="Arial" w:eastAsia="Arial" w:hAnsi="Arial"/>
                <w:sz w:val="18"/>
                <w:szCs w:val="18"/>
                <w:color w:val="auto"/>
              </w:rPr>
              <w:t>Arlington</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490-1490</w:t>
            </w:r>
          </w:p>
        </w:tc>
        <w:tc>
          <w:tcPr>
            <w:tcW w:w="4980" w:type="dxa"/>
            <w:vAlign w:val="bottom"/>
            <w:gridSpan w:val="2"/>
          </w:tcPr>
          <w:p>
            <w:pPr>
              <w:spacing w:after="0"/>
              <w:rPr>
                <w:sz w:val="20"/>
                <w:szCs w:val="20"/>
                <w:color w:val="auto"/>
              </w:rPr>
            </w:pPr>
            <w:r>
              <w:rPr>
                <w:rFonts w:ascii="Arial" w:cs="Arial" w:eastAsia="Arial" w:hAnsi="Arial"/>
                <w:sz w:val="18"/>
                <w:szCs w:val="18"/>
                <w:color w:val="auto"/>
              </w:rPr>
              <w:t>Mount Vernon Shopping Center</w:t>
            </w:r>
          </w:p>
        </w:tc>
        <w:tc>
          <w:tcPr>
            <w:tcW w:w="3340" w:type="dxa"/>
            <w:vAlign w:val="bottom"/>
          </w:tcPr>
          <w:p>
            <w:pPr>
              <w:ind w:left="1620"/>
              <w:spacing w:after="0"/>
              <w:rPr>
                <w:sz w:val="20"/>
                <w:szCs w:val="20"/>
                <w:color w:val="auto"/>
              </w:rPr>
            </w:pPr>
            <w:r>
              <w:rPr>
                <w:rFonts w:ascii="Arial" w:cs="Arial" w:eastAsia="Arial" w:hAnsi="Arial"/>
                <w:sz w:val="18"/>
                <w:szCs w:val="18"/>
                <w:color w:val="auto"/>
              </w:rPr>
              <w:t>Alexandria</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500-1047</w:t>
            </w:r>
          </w:p>
        </w:tc>
        <w:tc>
          <w:tcPr>
            <w:tcW w:w="498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3340" w:type="dxa"/>
            <w:vAlign w:val="bottom"/>
          </w:tcPr>
          <w:p>
            <w:pPr>
              <w:ind w:left="1620"/>
              <w:spacing w:after="0"/>
              <w:rPr>
                <w:sz w:val="20"/>
                <w:szCs w:val="20"/>
                <w:color w:val="auto"/>
              </w:rPr>
            </w:pPr>
            <w:r>
              <w:rPr>
                <w:rFonts w:ascii="Arial" w:cs="Arial" w:eastAsia="Arial" w:hAnsi="Arial"/>
                <w:sz w:val="18"/>
                <w:szCs w:val="18"/>
                <w:color w:val="auto"/>
              </w:rPr>
              <w:t>Brick</w:t>
            </w:r>
          </w:p>
        </w:tc>
        <w:tc>
          <w:tcPr>
            <w:tcW w:w="960" w:type="dxa"/>
            <w:vAlign w:val="bottom"/>
          </w:tcPr>
          <w:p>
            <w:pPr>
              <w:ind w:left="680"/>
              <w:spacing w:after="0"/>
              <w:rPr>
                <w:sz w:val="20"/>
                <w:szCs w:val="20"/>
                <w:color w:val="auto"/>
              </w:rPr>
            </w:pPr>
            <w:r>
              <w:rPr>
                <w:rFonts w:ascii="Arial" w:cs="Arial" w:eastAsia="Arial" w:hAnsi="Arial"/>
                <w:sz w:val="18"/>
                <w:szCs w:val="18"/>
                <w:color w:val="auto"/>
              </w:rPr>
              <w:t>NJ</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500-1313</w:t>
            </w:r>
          </w:p>
        </w:tc>
        <w:tc>
          <w:tcPr>
            <w:tcW w:w="498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3340" w:type="dxa"/>
            <w:vAlign w:val="bottom"/>
          </w:tcPr>
          <w:p>
            <w:pPr>
              <w:ind w:left="1620"/>
              <w:spacing w:after="0"/>
              <w:rPr>
                <w:sz w:val="20"/>
                <w:szCs w:val="20"/>
                <w:color w:val="auto"/>
              </w:rPr>
            </w:pPr>
            <w:r>
              <w:rPr>
                <w:rFonts w:ascii="Arial" w:cs="Arial" w:eastAsia="Arial" w:hAnsi="Arial"/>
                <w:sz w:val="18"/>
                <w:szCs w:val="18"/>
                <w:color w:val="auto"/>
              </w:rPr>
              <w:t>Hauppauge</w:t>
            </w:r>
          </w:p>
        </w:tc>
        <w:tc>
          <w:tcPr>
            <w:tcW w:w="960" w:type="dxa"/>
            <w:vAlign w:val="bottom"/>
          </w:tcPr>
          <w:p>
            <w:pPr>
              <w:ind w:left="680"/>
              <w:spacing w:after="0"/>
              <w:rPr>
                <w:sz w:val="20"/>
                <w:szCs w:val="20"/>
                <w:color w:val="auto"/>
              </w:rPr>
            </w:pPr>
            <w:r>
              <w:rPr>
                <w:rFonts w:ascii="Arial" w:cs="Arial" w:eastAsia="Arial" w:hAnsi="Arial"/>
                <w:sz w:val="18"/>
                <w:szCs w:val="18"/>
                <w:color w:val="auto"/>
              </w:rPr>
              <w:t>NY</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500-1315</w:t>
            </w:r>
          </w:p>
        </w:tc>
        <w:tc>
          <w:tcPr>
            <w:tcW w:w="4980" w:type="dxa"/>
            <w:vAlign w:val="bottom"/>
            <w:gridSpan w:val="2"/>
          </w:tcPr>
          <w:p>
            <w:pPr>
              <w:spacing w:after="0"/>
              <w:rPr>
                <w:sz w:val="20"/>
                <w:szCs w:val="20"/>
                <w:color w:val="auto"/>
              </w:rPr>
            </w:pPr>
            <w:r>
              <w:rPr>
                <w:rFonts w:ascii="Arial" w:cs="Arial" w:eastAsia="Arial" w:hAnsi="Arial"/>
                <w:sz w:val="18"/>
                <w:szCs w:val="18"/>
                <w:color w:val="auto"/>
              </w:rPr>
              <w:t>Idylwood Plaza</w:t>
            </w:r>
          </w:p>
        </w:tc>
        <w:tc>
          <w:tcPr>
            <w:tcW w:w="3340" w:type="dxa"/>
            <w:vAlign w:val="bottom"/>
          </w:tcPr>
          <w:p>
            <w:pPr>
              <w:ind w:left="1620"/>
              <w:spacing w:after="0"/>
              <w:rPr>
                <w:sz w:val="20"/>
                <w:szCs w:val="20"/>
                <w:color w:val="auto"/>
              </w:rPr>
            </w:pPr>
            <w:r>
              <w:rPr>
                <w:rFonts w:ascii="Arial" w:cs="Arial" w:eastAsia="Arial" w:hAnsi="Arial"/>
                <w:sz w:val="18"/>
                <w:szCs w:val="18"/>
                <w:color w:val="auto"/>
              </w:rPr>
              <w:t>Falls Church</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500-1442</w:t>
            </w:r>
          </w:p>
        </w:tc>
        <w:tc>
          <w:tcPr>
            <w:tcW w:w="4980" w:type="dxa"/>
            <w:vAlign w:val="bottom"/>
            <w:gridSpan w:val="2"/>
          </w:tcPr>
          <w:p>
            <w:pPr>
              <w:spacing w:after="0"/>
              <w:rPr>
                <w:sz w:val="20"/>
                <w:szCs w:val="20"/>
                <w:color w:val="auto"/>
              </w:rPr>
            </w:pPr>
            <w:r>
              <w:rPr>
                <w:rFonts w:ascii="Arial" w:cs="Arial" w:eastAsia="Arial" w:hAnsi="Arial"/>
                <w:sz w:val="18"/>
                <w:szCs w:val="18"/>
                <w:color w:val="auto"/>
              </w:rPr>
              <w:t>Lawrence Park Shopping Center</w:t>
            </w:r>
          </w:p>
        </w:tc>
        <w:tc>
          <w:tcPr>
            <w:tcW w:w="3340" w:type="dxa"/>
            <w:vAlign w:val="bottom"/>
          </w:tcPr>
          <w:p>
            <w:pPr>
              <w:ind w:left="1620"/>
              <w:spacing w:after="0"/>
              <w:rPr>
                <w:sz w:val="20"/>
                <w:szCs w:val="20"/>
                <w:color w:val="auto"/>
              </w:rPr>
            </w:pPr>
            <w:r>
              <w:rPr>
                <w:rFonts w:ascii="Arial" w:cs="Arial" w:eastAsia="Arial" w:hAnsi="Arial"/>
                <w:sz w:val="18"/>
                <w:szCs w:val="18"/>
                <w:color w:val="auto"/>
              </w:rPr>
              <w:t>Broomall</w:t>
            </w:r>
          </w:p>
        </w:tc>
        <w:tc>
          <w:tcPr>
            <w:tcW w:w="960" w:type="dxa"/>
            <w:vAlign w:val="bottom"/>
          </w:tcPr>
          <w:p>
            <w:pPr>
              <w:ind w:left="680"/>
              <w:spacing w:after="0"/>
              <w:rPr>
                <w:sz w:val="20"/>
                <w:szCs w:val="20"/>
                <w:color w:val="auto"/>
              </w:rPr>
            </w:pPr>
            <w:r>
              <w:rPr>
                <w:rFonts w:ascii="Arial" w:cs="Arial" w:eastAsia="Arial" w:hAnsi="Arial"/>
                <w:sz w:val="18"/>
                <w:szCs w:val="18"/>
                <w:color w:val="auto"/>
              </w:rPr>
              <w:t>PA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500-1444</w:t>
            </w:r>
          </w:p>
        </w:tc>
        <w:tc>
          <w:tcPr>
            <w:tcW w:w="4980" w:type="dxa"/>
            <w:vAlign w:val="bottom"/>
            <w:gridSpan w:val="2"/>
          </w:tcPr>
          <w:p>
            <w:pPr>
              <w:spacing w:after="0"/>
              <w:rPr>
                <w:sz w:val="20"/>
                <w:szCs w:val="20"/>
                <w:color w:val="auto"/>
              </w:rPr>
            </w:pPr>
            <w:r>
              <w:rPr>
                <w:rFonts w:ascii="Arial" w:cs="Arial" w:eastAsia="Arial" w:hAnsi="Arial"/>
                <w:sz w:val="18"/>
                <w:szCs w:val="18"/>
                <w:color w:val="auto"/>
              </w:rPr>
              <w:t>Loehmann’s-Link Office Bld</w:t>
            </w:r>
          </w:p>
        </w:tc>
        <w:tc>
          <w:tcPr>
            <w:tcW w:w="3340" w:type="dxa"/>
            <w:vAlign w:val="bottom"/>
          </w:tcPr>
          <w:p>
            <w:pPr>
              <w:ind w:left="1620"/>
              <w:spacing w:after="0"/>
              <w:rPr>
                <w:sz w:val="20"/>
                <w:szCs w:val="20"/>
                <w:color w:val="auto"/>
              </w:rPr>
            </w:pPr>
            <w:r>
              <w:rPr>
                <w:rFonts w:ascii="Arial" w:cs="Arial" w:eastAsia="Arial" w:hAnsi="Arial"/>
                <w:sz w:val="18"/>
                <w:szCs w:val="18"/>
                <w:color w:val="auto"/>
              </w:rPr>
              <w:t>Fairfax</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500-1445</w:t>
            </w:r>
          </w:p>
        </w:tc>
        <w:tc>
          <w:tcPr>
            <w:tcW w:w="4980" w:type="dxa"/>
            <w:vAlign w:val="bottom"/>
            <w:gridSpan w:val="2"/>
          </w:tcPr>
          <w:p>
            <w:pPr>
              <w:spacing w:after="0"/>
              <w:rPr>
                <w:sz w:val="20"/>
                <w:szCs w:val="20"/>
                <w:color w:val="auto"/>
              </w:rPr>
            </w:pPr>
            <w:r>
              <w:rPr>
                <w:rFonts w:ascii="Arial" w:cs="Arial" w:eastAsia="Arial" w:hAnsi="Arial"/>
                <w:sz w:val="18"/>
                <w:szCs w:val="18"/>
                <w:color w:val="auto"/>
              </w:rPr>
              <w:t>Loehmann’s Link Shopping Ctr</w:t>
            </w:r>
          </w:p>
        </w:tc>
        <w:tc>
          <w:tcPr>
            <w:tcW w:w="3340" w:type="dxa"/>
            <w:vAlign w:val="bottom"/>
          </w:tcPr>
          <w:p>
            <w:pPr>
              <w:ind w:left="1620"/>
              <w:spacing w:after="0"/>
              <w:rPr>
                <w:sz w:val="20"/>
                <w:szCs w:val="20"/>
                <w:color w:val="auto"/>
              </w:rPr>
            </w:pPr>
            <w:r>
              <w:rPr>
                <w:rFonts w:ascii="Arial" w:cs="Arial" w:eastAsia="Arial" w:hAnsi="Arial"/>
                <w:sz w:val="18"/>
                <w:szCs w:val="18"/>
                <w:color w:val="auto"/>
              </w:rPr>
              <w:t>Fairfax</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500-1446</w:t>
            </w:r>
          </w:p>
        </w:tc>
        <w:tc>
          <w:tcPr>
            <w:tcW w:w="4980" w:type="dxa"/>
            <w:vAlign w:val="bottom"/>
            <w:gridSpan w:val="2"/>
          </w:tcPr>
          <w:p>
            <w:pPr>
              <w:spacing w:after="0"/>
              <w:rPr>
                <w:sz w:val="20"/>
                <w:szCs w:val="20"/>
                <w:color w:val="auto"/>
              </w:rPr>
            </w:pPr>
            <w:r>
              <w:rPr>
                <w:rFonts w:ascii="Arial" w:cs="Arial" w:eastAsia="Arial" w:hAnsi="Arial"/>
                <w:sz w:val="18"/>
                <w:szCs w:val="18"/>
                <w:color w:val="auto"/>
              </w:rPr>
              <w:t>Loehmann’s Redstone Office Bld</w:t>
            </w:r>
          </w:p>
        </w:tc>
        <w:tc>
          <w:tcPr>
            <w:tcW w:w="3340" w:type="dxa"/>
            <w:vAlign w:val="bottom"/>
          </w:tcPr>
          <w:p>
            <w:pPr>
              <w:ind w:left="1620"/>
              <w:spacing w:after="0"/>
              <w:rPr>
                <w:sz w:val="20"/>
                <w:szCs w:val="20"/>
                <w:color w:val="auto"/>
              </w:rPr>
            </w:pPr>
            <w:r>
              <w:rPr>
                <w:rFonts w:ascii="Arial" w:cs="Arial" w:eastAsia="Arial" w:hAnsi="Arial"/>
                <w:sz w:val="18"/>
                <w:szCs w:val="18"/>
                <w:color w:val="auto"/>
              </w:rPr>
              <w:t>Fairfax</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500-1447</w:t>
            </w:r>
          </w:p>
        </w:tc>
        <w:tc>
          <w:tcPr>
            <w:tcW w:w="4980" w:type="dxa"/>
            <w:vAlign w:val="bottom"/>
            <w:gridSpan w:val="2"/>
          </w:tcPr>
          <w:p>
            <w:pPr>
              <w:spacing w:after="0"/>
              <w:rPr>
                <w:sz w:val="20"/>
                <w:szCs w:val="20"/>
                <w:color w:val="auto"/>
              </w:rPr>
            </w:pPr>
            <w:r>
              <w:rPr>
                <w:rFonts w:ascii="Arial" w:cs="Arial" w:eastAsia="Arial" w:hAnsi="Arial"/>
                <w:sz w:val="18"/>
                <w:szCs w:val="18"/>
                <w:color w:val="auto"/>
              </w:rPr>
              <w:t>Loehmann’s Redstone Shop Ctr</w:t>
            </w:r>
          </w:p>
        </w:tc>
        <w:tc>
          <w:tcPr>
            <w:tcW w:w="3340" w:type="dxa"/>
            <w:vAlign w:val="bottom"/>
          </w:tcPr>
          <w:p>
            <w:pPr>
              <w:ind w:left="1620"/>
              <w:spacing w:after="0"/>
              <w:rPr>
                <w:sz w:val="20"/>
                <w:szCs w:val="20"/>
                <w:color w:val="auto"/>
              </w:rPr>
            </w:pPr>
            <w:r>
              <w:rPr>
                <w:rFonts w:ascii="Arial" w:cs="Arial" w:eastAsia="Arial" w:hAnsi="Arial"/>
                <w:sz w:val="18"/>
                <w:szCs w:val="18"/>
                <w:color w:val="auto"/>
              </w:rPr>
              <w:t>Fairfax</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500-1470</w:t>
            </w:r>
          </w:p>
        </w:tc>
        <w:tc>
          <w:tcPr>
            <w:tcW w:w="4980" w:type="dxa"/>
            <w:vAlign w:val="bottom"/>
            <w:gridSpan w:val="2"/>
          </w:tcPr>
          <w:p>
            <w:pPr>
              <w:spacing w:after="0"/>
              <w:rPr>
                <w:sz w:val="20"/>
                <w:szCs w:val="20"/>
                <w:color w:val="auto"/>
              </w:rPr>
            </w:pPr>
            <w:r>
              <w:rPr>
                <w:rFonts w:ascii="Arial" w:cs="Arial" w:eastAsia="Arial" w:hAnsi="Arial"/>
                <w:sz w:val="18"/>
                <w:szCs w:val="18"/>
                <w:color w:val="auto"/>
              </w:rPr>
              <w:t>Melville Mall</w:t>
            </w:r>
          </w:p>
        </w:tc>
        <w:tc>
          <w:tcPr>
            <w:tcW w:w="3340" w:type="dxa"/>
            <w:vAlign w:val="bottom"/>
          </w:tcPr>
          <w:p>
            <w:pPr>
              <w:ind w:left="1620"/>
              <w:spacing w:after="0"/>
              <w:rPr>
                <w:sz w:val="20"/>
                <w:szCs w:val="20"/>
                <w:color w:val="auto"/>
              </w:rPr>
            </w:pPr>
            <w:r>
              <w:rPr>
                <w:rFonts w:ascii="Arial" w:cs="Arial" w:eastAsia="Arial" w:hAnsi="Arial"/>
                <w:sz w:val="18"/>
                <w:szCs w:val="18"/>
                <w:color w:val="auto"/>
              </w:rPr>
              <w:t>Huntington</w:t>
            </w:r>
          </w:p>
        </w:tc>
        <w:tc>
          <w:tcPr>
            <w:tcW w:w="960" w:type="dxa"/>
            <w:vAlign w:val="bottom"/>
          </w:tcPr>
          <w:p>
            <w:pPr>
              <w:ind w:left="680"/>
              <w:spacing w:after="0"/>
              <w:rPr>
                <w:sz w:val="20"/>
                <w:szCs w:val="20"/>
                <w:color w:val="auto"/>
              </w:rPr>
            </w:pPr>
            <w:r>
              <w:rPr>
                <w:rFonts w:ascii="Arial" w:cs="Arial" w:eastAsia="Arial" w:hAnsi="Arial"/>
                <w:sz w:val="18"/>
                <w:szCs w:val="18"/>
                <w:color w:val="auto"/>
              </w:rPr>
              <w:t>NY</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500-1881</w:t>
            </w:r>
          </w:p>
        </w:tc>
        <w:tc>
          <w:tcPr>
            <w:tcW w:w="4980" w:type="dxa"/>
            <w:vAlign w:val="bottom"/>
            <w:gridSpan w:val="2"/>
          </w:tcPr>
          <w:p>
            <w:pPr>
              <w:spacing w:after="0"/>
              <w:rPr>
                <w:sz w:val="20"/>
                <w:szCs w:val="20"/>
                <w:color w:val="auto"/>
              </w:rPr>
            </w:pPr>
            <w:r>
              <w:rPr>
                <w:rFonts w:ascii="Arial" w:cs="Arial" w:eastAsia="Arial" w:hAnsi="Arial"/>
                <w:sz w:val="18"/>
                <w:szCs w:val="18"/>
                <w:color w:val="auto"/>
              </w:rPr>
              <w:t>Wildwood Shopping Center</w:t>
            </w:r>
          </w:p>
        </w:tc>
        <w:tc>
          <w:tcPr>
            <w:tcW w:w="3340" w:type="dxa"/>
            <w:vAlign w:val="bottom"/>
          </w:tcPr>
          <w:p>
            <w:pPr>
              <w:ind w:left="1620"/>
              <w:spacing w:after="0"/>
              <w:rPr>
                <w:sz w:val="20"/>
                <w:szCs w:val="20"/>
                <w:color w:val="auto"/>
              </w:rPr>
            </w:pPr>
            <w:r>
              <w:rPr>
                <w:rFonts w:ascii="Arial" w:cs="Arial" w:eastAsia="Arial" w:hAnsi="Arial"/>
                <w:sz w:val="18"/>
                <w:szCs w:val="18"/>
                <w:color w:val="auto"/>
              </w:rPr>
              <w:t>Bethesda</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500-1900</w:t>
            </w:r>
          </w:p>
        </w:tc>
        <w:tc>
          <w:tcPr>
            <w:tcW w:w="4980" w:type="dxa"/>
            <w:vAlign w:val="bottom"/>
            <w:gridSpan w:val="2"/>
          </w:tcPr>
          <w:p>
            <w:pPr>
              <w:spacing w:after="0"/>
              <w:rPr>
                <w:sz w:val="20"/>
                <w:szCs w:val="20"/>
                <w:color w:val="auto"/>
              </w:rPr>
            </w:pPr>
            <w:r>
              <w:rPr>
                <w:rFonts w:ascii="Arial" w:cs="Arial" w:eastAsia="Arial" w:hAnsi="Arial"/>
                <w:sz w:val="18"/>
                <w:szCs w:val="18"/>
                <w:color w:val="auto"/>
              </w:rPr>
              <w:t>Wynnewood Shopping Center</w:t>
            </w:r>
          </w:p>
        </w:tc>
        <w:tc>
          <w:tcPr>
            <w:tcW w:w="3340" w:type="dxa"/>
            <w:vAlign w:val="bottom"/>
          </w:tcPr>
          <w:p>
            <w:pPr>
              <w:ind w:left="1620"/>
              <w:spacing w:after="0"/>
              <w:rPr>
                <w:sz w:val="20"/>
                <w:szCs w:val="20"/>
                <w:color w:val="auto"/>
              </w:rPr>
            </w:pPr>
            <w:r>
              <w:rPr>
                <w:rFonts w:ascii="Arial" w:cs="Arial" w:eastAsia="Arial" w:hAnsi="Arial"/>
                <w:sz w:val="18"/>
                <w:szCs w:val="18"/>
                <w:color w:val="auto"/>
              </w:rPr>
              <w:t>Wynnewood</w:t>
            </w:r>
          </w:p>
        </w:tc>
        <w:tc>
          <w:tcPr>
            <w:tcW w:w="960" w:type="dxa"/>
            <w:vAlign w:val="bottom"/>
          </w:tcPr>
          <w:p>
            <w:pPr>
              <w:ind w:left="680"/>
              <w:spacing w:after="0"/>
              <w:rPr>
                <w:sz w:val="20"/>
                <w:szCs w:val="20"/>
                <w:color w:val="auto"/>
              </w:rPr>
            </w:pPr>
            <w:r>
              <w:rPr>
                <w:rFonts w:ascii="Arial" w:cs="Arial" w:eastAsia="Arial" w:hAnsi="Arial"/>
                <w:sz w:val="18"/>
                <w:szCs w:val="18"/>
                <w:color w:val="auto"/>
              </w:rPr>
              <w:t>PA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500-2070</w:t>
            </w:r>
          </w:p>
        </w:tc>
        <w:tc>
          <w:tcPr>
            <w:tcW w:w="4980" w:type="dxa"/>
            <w:vAlign w:val="bottom"/>
            <w:gridSpan w:val="2"/>
          </w:tcPr>
          <w:p>
            <w:pPr>
              <w:spacing w:after="0"/>
              <w:rPr>
                <w:sz w:val="20"/>
                <w:szCs w:val="20"/>
                <w:color w:val="auto"/>
              </w:rPr>
            </w:pPr>
            <w:r>
              <w:rPr>
                <w:rFonts w:ascii="Arial" w:cs="Arial" w:eastAsia="Arial" w:hAnsi="Arial"/>
                <w:sz w:val="18"/>
                <w:szCs w:val="18"/>
                <w:color w:val="auto"/>
              </w:rPr>
              <w:t>Barracks Road</w:t>
            </w:r>
          </w:p>
        </w:tc>
        <w:tc>
          <w:tcPr>
            <w:tcW w:w="3340" w:type="dxa"/>
            <w:vAlign w:val="bottom"/>
          </w:tcPr>
          <w:p>
            <w:pPr>
              <w:ind w:left="1620"/>
              <w:spacing w:after="0"/>
              <w:rPr>
                <w:sz w:val="20"/>
                <w:szCs w:val="20"/>
                <w:color w:val="auto"/>
              </w:rPr>
            </w:pPr>
            <w:r>
              <w:rPr>
                <w:rFonts w:ascii="Arial" w:cs="Arial" w:eastAsia="Arial" w:hAnsi="Arial"/>
                <w:sz w:val="18"/>
                <w:szCs w:val="18"/>
                <w:color w:val="auto"/>
              </w:rPr>
              <w:t>Charlottesville</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191-1096</w:t>
            </w:r>
          </w:p>
        </w:tc>
        <w:tc>
          <w:tcPr>
            <w:tcW w:w="498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3340" w:type="dxa"/>
            <w:vAlign w:val="bottom"/>
          </w:tcPr>
          <w:p>
            <w:pPr>
              <w:ind w:left="1620"/>
              <w:spacing w:after="0"/>
              <w:rPr>
                <w:sz w:val="20"/>
                <w:szCs w:val="20"/>
                <w:color w:val="auto"/>
              </w:rPr>
            </w:pPr>
            <w:r>
              <w:rPr>
                <w:rFonts w:ascii="Arial" w:cs="Arial" w:eastAsia="Arial" w:hAnsi="Arial"/>
                <w:sz w:val="18"/>
                <w:szCs w:val="18"/>
                <w:color w:val="auto"/>
              </w:rPr>
              <w:t>San Ramon</w:t>
            </w:r>
          </w:p>
        </w:tc>
        <w:tc>
          <w:tcPr>
            <w:tcW w:w="960" w:type="dxa"/>
            <w:vAlign w:val="bottom"/>
          </w:tcPr>
          <w:p>
            <w:pPr>
              <w:ind w:left="68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211-2110</w:t>
            </w:r>
          </w:p>
        </w:tc>
        <w:tc>
          <w:tcPr>
            <w:tcW w:w="4980" w:type="dxa"/>
            <w:vAlign w:val="bottom"/>
            <w:gridSpan w:val="2"/>
          </w:tcPr>
          <w:p>
            <w:pPr>
              <w:spacing w:after="0"/>
              <w:rPr>
                <w:sz w:val="20"/>
                <w:szCs w:val="20"/>
                <w:color w:val="auto"/>
              </w:rPr>
            </w:pPr>
            <w:r>
              <w:rPr>
                <w:rFonts w:ascii="Arial" w:cs="Arial" w:eastAsia="Arial" w:hAnsi="Arial"/>
                <w:sz w:val="18"/>
                <w:szCs w:val="18"/>
                <w:color w:val="auto"/>
              </w:rPr>
              <w:t>Chelsea Commons (Condominium Unit 1 only)</w:t>
            </w:r>
          </w:p>
        </w:tc>
        <w:tc>
          <w:tcPr>
            <w:tcW w:w="3340" w:type="dxa"/>
            <w:vAlign w:val="bottom"/>
          </w:tcPr>
          <w:p>
            <w:pPr>
              <w:ind w:left="1620"/>
              <w:spacing w:after="0"/>
              <w:rPr>
                <w:sz w:val="20"/>
                <w:szCs w:val="20"/>
                <w:color w:val="auto"/>
              </w:rPr>
            </w:pPr>
            <w:r>
              <w:rPr>
                <w:rFonts w:ascii="Arial" w:cs="Arial" w:eastAsia="Arial" w:hAnsi="Arial"/>
                <w:sz w:val="18"/>
                <w:szCs w:val="18"/>
                <w:color w:val="auto"/>
              </w:rPr>
              <w:t>Chelsea</w:t>
            </w:r>
          </w:p>
        </w:tc>
        <w:tc>
          <w:tcPr>
            <w:tcW w:w="960" w:type="dxa"/>
            <w:vAlign w:val="bottom"/>
          </w:tcPr>
          <w:p>
            <w:pPr>
              <w:ind w:left="680"/>
              <w:spacing w:after="0"/>
              <w:rPr>
                <w:sz w:val="20"/>
                <w:szCs w:val="20"/>
                <w:color w:val="auto"/>
              </w:rPr>
            </w:pPr>
            <w:r>
              <w:rPr>
                <w:rFonts w:ascii="Arial" w:cs="Arial" w:eastAsia="Arial" w:hAnsi="Arial"/>
                <w:sz w:val="18"/>
                <w:szCs w:val="18"/>
                <w:color w:val="auto"/>
                <w:w w:val="96"/>
              </w:rPr>
              <w:t>MA</w:t>
            </w:r>
          </w:p>
        </w:tc>
      </w:tr>
      <w:tr>
        <w:trPr>
          <w:trHeight w:val="222"/>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192-1722</w:t>
            </w:r>
          </w:p>
        </w:tc>
        <w:tc>
          <w:tcPr>
            <w:tcW w:w="4980" w:type="dxa"/>
            <w:vAlign w:val="bottom"/>
            <w:gridSpan w:val="2"/>
          </w:tcPr>
          <w:p>
            <w:pPr>
              <w:spacing w:after="0"/>
              <w:rPr>
                <w:sz w:val="20"/>
                <w:szCs w:val="20"/>
                <w:color w:val="auto"/>
              </w:rPr>
            </w:pPr>
            <w:r>
              <w:rPr>
                <w:rFonts w:ascii="Arial" w:cs="Arial" w:eastAsia="Arial" w:hAnsi="Arial"/>
                <w:sz w:val="18"/>
                <w:szCs w:val="18"/>
                <w:color w:val="auto"/>
              </w:rPr>
              <w:t>Shoppers’ World</w:t>
            </w:r>
          </w:p>
        </w:tc>
        <w:tc>
          <w:tcPr>
            <w:tcW w:w="3340" w:type="dxa"/>
            <w:vAlign w:val="bottom"/>
          </w:tcPr>
          <w:p>
            <w:pPr>
              <w:ind w:left="1620"/>
              <w:spacing w:after="0"/>
              <w:rPr>
                <w:sz w:val="20"/>
                <w:szCs w:val="20"/>
                <w:color w:val="auto"/>
              </w:rPr>
            </w:pPr>
            <w:r>
              <w:rPr>
                <w:rFonts w:ascii="Arial" w:cs="Arial" w:eastAsia="Arial" w:hAnsi="Arial"/>
                <w:sz w:val="18"/>
                <w:szCs w:val="18"/>
                <w:color w:val="auto"/>
              </w:rPr>
              <w:t>Charlottesville</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bl>
    <w:p>
      <w:pPr>
        <w:spacing w:after="0" w:line="7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Unconsolidated JV Properties</w:t>
            </w:r>
          </w:p>
        </w:tc>
        <w:tc>
          <w:tcPr>
            <w:tcW w:w="39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8"/>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801-8010</w:t>
            </w: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Plaza del Mercado</w:t>
            </w:r>
          </w:p>
        </w:tc>
        <w:tc>
          <w:tcPr>
            <w:tcW w:w="2180" w:type="dxa"/>
            <w:vAlign w:val="bottom"/>
          </w:tcPr>
          <w:p>
            <w:pPr>
              <w:spacing w:after="0"/>
              <w:rPr>
                <w:sz w:val="19"/>
                <w:szCs w:val="19"/>
                <w:color w:val="auto"/>
              </w:rPr>
            </w:pPr>
          </w:p>
        </w:tc>
        <w:tc>
          <w:tcPr>
            <w:tcW w:w="3900" w:type="dxa"/>
            <w:vAlign w:val="bottom"/>
          </w:tcPr>
          <w:p>
            <w:pPr>
              <w:ind w:left="2180"/>
              <w:spacing w:after="0"/>
              <w:rPr>
                <w:sz w:val="20"/>
                <w:szCs w:val="20"/>
                <w:color w:val="auto"/>
              </w:rPr>
            </w:pPr>
            <w:r>
              <w:rPr>
                <w:rFonts w:ascii="Arial" w:cs="Arial" w:eastAsia="Arial" w:hAnsi="Arial"/>
                <w:sz w:val="18"/>
                <w:szCs w:val="18"/>
                <w:color w:val="auto"/>
              </w:rPr>
              <w:t>Silver Spring</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802-8020</w:t>
            </w:r>
          </w:p>
        </w:tc>
        <w:tc>
          <w:tcPr>
            <w:tcW w:w="442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3900" w:type="dxa"/>
            <w:vAlign w:val="bottom"/>
          </w:tcPr>
          <w:p>
            <w:pPr>
              <w:ind w:left="2180"/>
              <w:spacing w:after="0"/>
              <w:rPr>
                <w:sz w:val="20"/>
                <w:szCs w:val="20"/>
                <w:color w:val="auto"/>
              </w:rPr>
            </w:pPr>
            <w:r>
              <w:rPr>
                <w:rFonts w:ascii="Arial" w:cs="Arial" w:eastAsia="Arial" w:hAnsi="Arial"/>
                <w:sz w:val="18"/>
                <w:szCs w:val="18"/>
                <w:color w:val="auto"/>
              </w:rPr>
              <w:t>Bridgewater</w:t>
            </w:r>
          </w:p>
        </w:tc>
        <w:tc>
          <w:tcPr>
            <w:tcW w:w="960" w:type="dxa"/>
            <w:vAlign w:val="bottom"/>
          </w:tcPr>
          <w:p>
            <w:pPr>
              <w:ind w:left="680"/>
              <w:spacing w:after="0"/>
              <w:rPr>
                <w:sz w:val="20"/>
                <w:szCs w:val="20"/>
                <w:color w:val="auto"/>
              </w:rPr>
            </w:pPr>
            <w:r>
              <w:rPr>
                <w:rFonts w:ascii="Arial" w:cs="Arial" w:eastAsia="Arial" w:hAnsi="Arial"/>
                <w:sz w:val="18"/>
                <w:szCs w:val="18"/>
                <w:color w:val="auto"/>
                <w:w w:val="96"/>
              </w:rPr>
              <w:t>MA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803-8030</w:t>
            </w:r>
          </w:p>
        </w:tc>
        <w:tc>
          <w:tcPr>
            <w:tcW w:w="4420" w:type="dxa"/>
            <w:vAlign w:val="bottom"/>
            <w:gridSpan w:val="2"/>
          </w:tcPr>
          <w:p>
            <w:pPr>
              <w:spacing w:after="0"/>
              <w:rPr>
                <w:sz w:val="20"/>
                <w:szCs w:val="20"/>
                <w:color w:val="auto"/>
              </w:rPr>
            </w:pPr>
            <w:r>
              <w:rPr>
                <w:rFonts w:ascii="Arial" w:cs="Arial" w:eastAsia="Arial" w:hAnsi="Arial"/>
                <w:sz w:val="18"/>
                <w:szCs w:val="18"/>
                <w:color w:val="auto"/>
              </w:rPr>
              <w:t>Pleasant Shops</w:t>
            </w:r>
          </w:p>
        </w:tc>
        <w:tc>
          <w:tcPr>
            <w:tcW w:w="3900" w:type="dxa"/>
            <w:vAlign w:val="bottom"/>
          </w:tcPr>
          <w:p>
            <w:pPr>
              <w:ind w:left="2180"/>
              <w:spacing w:after="0"/>
              <w:rPr>
                <w:sz w:val="20"/>
                <w:szCs w:val="20"/>
                <w:color w:val="auto"/>
              </w:rPr>
            </w:pPr>
            <w:r>
              <w:rPr>
                <w:rFonts w:ascii="Arial" w:cs="Arial" w:eastAsia="Arial" w:hAnsi="Arial"/>
                <w:sz w:val="18"/>
                <w:szCs w:val="18"/>
                <w:color w:val="auto"/>
              </w:rPr>
              <w:t>Weymouth</w:t>
            </w:r>
          </w:p>
        </w:tc>
        <w:tc>
          <w:tcPr>
            <w:tcW w:w="960" w:type="dxa"/>
            <w:vAlign w:val="bottom"/>
          </w:tcPr>
          <w:p>
            <w:pPr>
              <w:ind w:left="680"/>
              <w:spacing w:after="0"/>
              <w:rPr>
                <w:sz w:val="20"/>
                <w:szCs w:val="20"/>
                <w:color w:val="auto"/>
              </w:rPr>
            </w:pPr>
            <w:r>
              <w:rPr>
                <w:rFonts w:ascii="Arial" w:cs="Arial" w:eastAsia="Arial" w:hAnsi="Arial"/>
                <w:sz w:val="18"/>
                <w:szCs w:val="18"/>
                <w:color w:val="auto"/>
                <w:w w:val="96"/>
              </w:rPr>
              <w:t>MA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804-8040</w:t>
            </w:r>
          </w:p>
        </w:tc>
        <w:tc>
          <w:tcPr>
            <w:tcW w:w="4420" w:type="dxa"/>
            <w:vAlign w:val="bottom"/>
            <w:gridSpan w:val="2"/>
          </w:tcPr>
          <w:p>
            <w:pPr>
              <w:spacing w:after="0"/>
              <w:rPr>
                <w:sz w:val="20"/>
                <w:szCs w:val="20"/>
                <w:color w:val="auto"/>
              </w:rPr>
            </w:pPr>
            <w:r>
              <w:rPr>
                <w:rFonts w:ascii="Arial" w:cs="Arial" w:eastAsia="Arial" w:hAnsi="Arial"/>
                <w:sz w:val="18"/>
                <w:szCs w:val="18"/>
                <w:color w:val="auto"/>
              </w:rPr>
              <w:t>Atlantic Plaza</w:t>
            </w:r>
          </w:p>
        </w:tc>
        <w:tc>
          <w:tcPr>
            <w:tcW w:w="3900" w:type="dxa"/>
            <w:vAlign w:val="bottom"/>
          </w:tcPr>
          <w:p>
            <w:pPr>
              <w:ind w:left="2180"/>
              <w:spacing w:after="0"/>
              <w:rPr>
                <w:sz w:val="20"/>
                <w:szCs w:val="20"/>
                <w:color w:val="auto"/>
              </w:rPr>
            </w:pPr>
            <w:r>
              <w:rPr>
                <w:rFonts w:ascii="Arial" w:cs="Arial" w:eastAsia="Arial" w:hAnsi="Arial"/>
                <w:sz w:val="18"/>
                <w:szCs w:val="18"/>
                <w:color w:val="auto"/>
              </w:rPr>
              <w:t>North Reading</w:t>
            </w:r>
          </w:p>
        </w:tc>
        <w:tc>
          <w:tcPr>
            <w:tcW w:w="960" w:type="dxa"/>
            <w:vAlign w:val="bottom"/>
          </w:tcPr>
          <w:p>
            <w:pPr>
              <w:ind w:left="680"/>
              <w:spacing w:after="0"/>
              <w:rPr>
                <w:sz w:val="20"/>
                <w:szCs w:val="20"/>
                <w:color w:val="auto"/>
              </w:rPr>
            </w:pPr>
            <w:r>
              <w:rPr>
                <w:rFonts w:ascii="Arial" w:cs="Arial" w:eastAsia="Arial" w:hAnsi="Arial"/>
                <w:sz w:val="18"/>
                <w:szCs w:val="18"/>
                <w:color w:val="auto"/>
                <w:w w:val="96"/>
              </w:rPr>
              <w:t>MA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805-8050</w:t>
            </w:r>
          </w:p>
        </w:tc>
        <w:tc>
          <w:tcPr>
            <w:tcW w:w="442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3900" w:type="dxa"/>
            <w:vAlign w:val="bottom"/>
          </w:tcPr>
          <w:p>
            <w:pPr>
              <w:ind w:left="2180"/>
              <w:spacing w:after="0"/>
              <w:rPr>
                <w:sz w:val="20"/>
                <w:szCs w:val="20"/>
                <w:color w:val="auto"/>
              </w:rPr>
            </w:pPr>
            <w:r>
              <w:rPr>
                <w:rFonts w:ascii="Arial" w:cs="Arial" w:eastAsia="Arial" w:hAnsi="Arial"/>
                <w:sz w:val="18"/>
                <w:szCs w:val="18"/>
                <w:color w:val="auto"/>
              </w:rPr>
              <w:t>Huntington</w:t>
            </w:r>
          </w:p>
        </w:tc>
        <w:tc>
          <w:tcPr>
            <w:tcW w:w="960" w:type="dxa"/>
            <w:vAlign w:val="bottom"/>
          </w:tcPr>
          <w:p>
            <w:pPr>
              <w:ind w:left="680"/>
              <w:spacing w:after="0"/>
              <w:rPr>
                <w:sz w:val="20"/>
                <w:szCs w:val="20"/>
                <w:color w:val="auto"/>
              </w:rPr>
            </w:pPr>
            <w:r>
              <w:rPr>
                <w:rFonts w:ascii="Arial" w:cs="Arial" w:eastAsia="Arial" w:hAnsi="Arial"/>
                <w:sz w:val="18"/>
                <w:szCs w:val="18"/>
                <w:color w:val="auto"/>
              </w:rPr>
              <w:t>NY</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806-8060</w:t>
            </w:r>
          </w:p>
        </w:tc>
        <w:tc>
          <w:tcPr>
            <w:tcW w:w="4420" w:type="dxa"/>
            <w:vAlign w:val="bottom"/>
            <w:gridSpan w:val="2"/>
          </w:tcPr>
          <w:p>
            <w:pPr>
              <w:spacing w:after="0"/>
              <w:rPr>
                <w:sz w:val="20"/>
                <w:szCs w:val="20"/>
                <w:color w:val="auto"/>
              </w:rPr>
            </w:pPr>
            <w:r>
              <w:rPr>
                <w:rFonts w:ascii="Arial" w:cs="Arial" w:eastAsia="Arial" w:hAnsi="Arial"/>
                <w:sz w:val="18"/>
                <w:szCs w:val="18"/>
                <w:color w:val="auto"/>
              </w:rPr>
              <w:t>Barcroft Plaza</w:t>
            </w:r>
          </w:p>
        </w:tc>
        <w:tc>
          <w:tcPr>
            <w:tcW w:w="3900" w:type="dxa"/>
            <w:vAlign w:val="bottom"/>
          </w:tcPr>
          <w:p>
            <w:pPr>
              <w:ind w:left="2180"/>
              <w:spacing w:after="0"/>
              <w:rPr>
                <w:sz w:val="20"/>
                <w:szCs w:val="20"/>
                <w:color w:val="auto"/>
              </w:rPr>
            </w:pPr>
            <w:r>
              <w:rPr>
                <w:rFonts w:ascii="Arial" w:cs="Arial" w:eastAsia="Arial" w:hAnsi="Arial"/>
                <w:sz w:val="18"/>
                <w:szCs w:val="18"/>
                <w:color w:val="auto"/>
              </w:rPr>
              <w:t>Falls Church</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16"/>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806-8061</w:t>
            </w:r>
          </w:p>
        </w:tc>
        <w:tc>
          <w:tcPr>
            <w:tcW w:w="4420" w:type="dxa"/>
            <w:vAlign w:val="bottom"/>
            <w:gridSpan w:val="2"/>
          </w:tcPr>
          <w:p>
            <w:pPr>
              <w:spacing w:after="0"/>
              <w:rPr>
                <w:sz w:val="20"/>
                <w:szCs w:val="20"/>
                <w:color w:val="auto"/>
              </w:rPr>
            </w:pPr>
            <w:r>
              <w:rPr>
                <w:rFonts w:ascii="Arial" w:cs="Arial" w:eastAsia="Arial" w:hAnsi="Arial"/>
                <w:sz w:val="18"/>
                <w:szCs w:val="18"/>
                <w:color w:val="auto"/>
              </w:rPr>
              <w:t>Lake Barcroft</w:t>
            </w:r>
          </w:p>
        </w:tc>
        <w:tc>
          <w:tcPr>
            <w:tcW w:w="3900" w:type="dxa"/>
            <w:vAlign w:val="bottom"/>
          </w:tcPr>
          <w:p>
            <w:pPr>
              <w:ind w:left="2180"/>
              <w:spacing w:after="0"/>
              <w:rPr>
                <w:sz w:val="20"/>
                <w:szCs w:val="20"/>
                <w:color w:val="auto"/>
              </w:rPr>
            </w:pPr>
            <w:r>
              <w:rPr>
                <w:rFonts w:ascii="Arial" w:cs="Arial" w:eastAsia="Arial" w:hAnsi="Arial"/>
                <w:sz w:val="18"/>
                <w:szCs w:val="18"/>
                <w:color w:val="auto"/>
              </w:rPr>
              <w:t>Falls Church</w:t>
            </w:r>
          </w:p>
        </w:tc>
        <w:tc>
          <w:tcPr>
            <w:tcW w:w="960" w:type="dxa"/>
            <w:vAlign w:val="bottom"/>
          </w:tcPr>
          <w:p>
            <w:pPr>
              <w:ind w:left="680"/>
              <w:spacing w:after="0"/>
              <w:rPr>
                <w:sz w:val="20"/>
                <w:szCs w:val="20"/>
                <w:color w:val="auto"/>
              </w:rPr>
            </w:pPr>
            <w:r>
              <w:rPr>
                <w:rFonts w:ascii="Arial" w:cs="Arial" w:eastAsia="Arial" w:hAnsi="Arial"/>
                <w:sz w:val="18"/>
                <w:szCs w:val="18"/>
                <w:color w:val="auto"/>
              </w:rPr>
              <w:t>VA</w:t>
            </w:r>
          </w:p>
        </w:tc>
      </w:tr>
      <w:tr>
        <w:trPr>
          <w:trHeight w:val="222"/>
        </w:trPr>
        <w:tc>
          <w:tcPr>
            <w:tcW w:w="880" w:type="dxa"/>
            <w:vAlign w:val="bottom"/>
          </w:tcPr>
          <w:p>
            <w:pPr>
              <w:jc w:val="right"/>
              <w:ind w:right="112"/>
              <w:spacing w:after="0"/>
              <w:rPr>
                <w:sz w:val="20"/>
                <w:szCs w:val="20"/>
                <w:color w:val="auto"/>
              </w:rPr>
            </w:pPr>
            <w:r>
              <w:rPr>
                <w:rFonts w:ascii="Arial" w:cs="Arial" w:eastAsia="Arial" w:hAnsi="Arial"/>
                <w:sz w:val="18"/>
                <w:szCs w:val="18"/>
                <w:color w:val="auto"/>
                <w:w w:val="86"/>
              </w:rPr>
              <w:t>807-8070</w:t>
            </w:r>
          </w:p>
        </w:tc>
        <w:tc>
          <w:tcPr>
            <w:tcW w:w="4420" w:type="dxa"/>
            <w:vAlign w:val="bottom"/>
            <w:gridSpan w:val="2"/>
          </w:tcPr>
          <w:p>
            <w:pPr>
              <w:spacing w:after="0"/>
              <w:rPr>
                <w:sz w:val="20"/>
                <w:szCs w:val="20"/>
                <w:color w:val="auto"/>
              </w:rPr>
            </w:pPr>
            <w:r>
              <w:rPr>
                <w:rFonts w:ascii="Arial" w:cs="Arial" w:eastAsia="Arial" w:hAnsi="Arial"/>
                <w:sz w:val="18"/>
                <w:szCs w:val="18"/>
                <w:color w:val="auto"/>
              </w:rPr>
              <w:t>Free State</w:t>
            </w:r>
          </w:p>
        </w:tc>
        <w:tc>
          <w:tcPr>
            <w:tcW w:w="3900" w:type="dxa"/>
            <w:vAlign w:val="bottom"/>
          </w:tcPr>
          <w:p>
            <w:pPr>
              <w:ind w:left="2180"/>
              <w:spacing w:after="0"/>
              <w:rPr>
                <w:sz w:val="20"/>
                <w:szCs w:val="20"/>
                <w:color w:val="auto"/>
              </w:rPr>
            </w:pPr>
            <w:r>
              <w:rPr>
                <w:rFonts w:ascii="Arial" w:cs="Arial" w:eastAsia="Arial" w:hAnsi="Arial"/>
                <w:sz w:val="18"/>
                <w:szCs w:val="18"/>
                <w:color w:val="auto"/>
              </w:rPr>
              <w:t>Bowie</w:t>
            </w:r>
          </w:p>
        </w:tc>
        <w:tc>
          <w:tcPr>
            <w:tcW w:w="960" w:type="dxa"/>
            <w:vAlign w:val="bottom"/>
          </w:tcPr>
          <w:p>
            <w:pPr>
              <w:ind w:left="680"/>
              <w:spacing w:after="0"/>
              <w:rPr>
                <w:sz w:val="20"/>
                <w:szCs w:val="20"/>
                <w:color w:val="auto"/>
              </w:rPr>
            </w:pPr>
            <w:r>
              <w:rPr>
                <w:rFonts w:ascii="Arial" w:cs="Arial" w:eastAsia="Arial" w:hAnsi="Arial"/>
                <w:sz w:val="18"/>
                <w:szCs w:val="18"/>
                <w:color w:val="auto"/>
                <w:w w:val="92"/>
              </w:rPr>
              <w:t>MD</w:t>
            </w:r>
          </w:p>
        </w:tc>
      </w:tr>
    </w:tbl>
    <w:p>
      <w:pPr>
        <w:spacing w:after="0" w:line="14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0880"/>
          </w:cols>
          <w:pgMar w:left="240" w:top="274" w:right="77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Stated</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Balance as of</w:t>
            </w:r>
          </w:p>
        </w:tc>
        <w:tc>
          <w:tcPr>
            <w:tcW w:w="340" w:type="dxa"/>
            <w:vAlign w:val="bottom"/>
          </w:tcPr>
          <w:p>
            <w:pPr>
              <w:spacing w:after="0"/>
              <w:rPr>
                <w:sz w:val="12"/>
                <w:szCs w:val="12"/>
                <w:color w:val="auto"/>
              </w:rPr>
            </w:pPr>
          </w:p>
        </w:tc>
        <w:tc>
          <w:tcPr>
            <w:tcW w:w="330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maturity date</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Sept. 30, 2011</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Sept. 30, 2011</w:t>
            </w:r>
          </w:p>
        </w:tc>
        <w:tc>
          <w:tcPr>
            <w:tcW w:w="34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40" w:type="dxa"/>
            <w:vAlign w:val="bottom"/>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Mortgages Payable (a)</w:t>
            </w:r>
          </w:p>
        </w:tc>
        <w:tc>
          <w:tcPr>
            <w:tcW w:w="2040" w:type="dxa"/>
            <w:vAlign w:val="bottom"/>
            <w:tcBorders>
              <w:bottom w:val="single" w:sz="8" w:color="CCEEFF"/>
            </w:tcBorders>
            <w:gridSpan w:val="3"/>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07/01/12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Bethesda Row</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01/01/13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5.37%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19,993</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ING USA Annuity and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Genworth Life and Annuity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White Marsh Plaza (b)</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04/01/13</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6.04%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9,360</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Nationwide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08/11/13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20,065</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Idylwood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16,345</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Loehmann’s Plaza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36,776</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52,794</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Melville Mall (c)</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09/01/14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5.25%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22,515</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TransAmerica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01/01/15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56,909</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Teachers Insurance and Annuity Assoc.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Barracks Road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39,215</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Lawrence Park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27,796</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Wynnewood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28,327</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28,929</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Rollingwood Apartments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05/01/19</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5.54%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23,322</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FannieMae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01/31/21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Genworth Life Ins. Co. of 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Mount Vernon (d)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04/15/28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5.66%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10,652</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Thrivent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01/15/31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5.36%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Northwest, 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484,966</w:t>
            </w: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Various (e)</w:t>
            </w:r>
          </w:p>
        </w:tc>
        <w:tc>
          <w:tcPr>
            <w:tcW w:w="1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Various through 2013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Revolving credit facility (f)</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07/06/15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LIBOR + 1.15%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 (g)</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10/01/16</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0.16%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178,232</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40" w:type="dxa"/>
            <w:vAlign w:val="bottom"/>
            <w:gridSpan w:val="7"/>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6.00% notes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07/15/12</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6.00%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5.95% notes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08/15/14</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06/01/16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6.20% notes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01/15/17</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6.20%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5.90% notes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04/01/20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7.48% debentures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08/15/26</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7.48%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29,200</w:t>
            </w: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08/01/27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1,004,200</w:t>
            </w: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Letter of Credit</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i w:val="1"/>
                <w:iCs w:val="1"/>
                <w:color w:val="auto"/>
              </w:rPr>
              <w:t>Beneficiary</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City of Sommerville, Massachusetts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City of Escondido Promenade Project</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9,740</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Commonwealth of Massachusetts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w:t>
            </w: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Rockville Town Square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9/1/2061</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6.300%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The Mayor and Council of Rockville, 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Lancaster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4/1/2077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Manheim Associates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tcPr>
          <w:p>
            <w:pPr>
              <w:ind w:left="420"/>
              <w:spacing w:after="0"/>
              <w:rPr>
                <w:sz w:val="20"/>
                <w:szCs w:val="20"/>
                <w:color w:val="auto"/>
              </w:rPr>
            </w:pPr>
            <w:r>
              <w:rPr>
                <w:rFonts w:ascii="Arial" w:cs="Arial" w:eastAsia="Arial" w:hAnsi="Arial"/>
                <w:sz w:val="18"/>
                <w:szCs w:val="18"/>
                <w:color w:val="auto"/>
              </w:rPr>
              <w:t>Mercer Mall</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9/30/2028</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47,638</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Mercer Mall Property Group,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Village at Shirlington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8/1/2106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3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Dominion Realty, L.P.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63,455</w:t>
            </w:r>
          </w:p>
        </w:tc>
        <w:tc>
          <w:tcPr>
            <w:tcW w:w="3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460" w:right="140" w:hanging="452"/>
        <w:spacing w:after="0" w:line="286"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Mortgage loans do not include our 30% share ($17.2 million) of the $57.4 million debt of the partnership with a discretionary fund created and advised by ING Clarion Partners. It also excludes the $11.8 million mortgage loans on our Newbury Street Partnership for which we are the lender.</w:t>
      </w:r>
    </w:p>
    <w:p>
      <w:pPr>
        <w:ind w:left="460" w:right="32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60" w:right="24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hanging="452"/>
        <w:spacing w:after="0"/>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interest rate of 3.32% represents the weighted average interest rate for three unsecured fixed rate notes payable. These notes mature between April 1,</w:t>
      </w:r>
    </w:p>
    <w:p>
      <w:pPr>
        <w:sectPr>
          <w:pgSz w:w="11900" w:h="16838" w:orient="portrait"/>
          <w:cols w:equalWidth="0" w:num="1">
            <w:col w:w="11420"/>
          </w:cols>
          <w:pgMar w:left="240" w:top="274" w:right="239" w:bottom="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t>2012 and January 31, 2013.</w:t>
      </w:r>
    </w:p>
    <w:p>
      <w:pPr>
        <w:spacing w:after="0" w:line="15" w:lineRule="exact"/>
        <w:rPr>
          <w:sz w:val="20"/>
          <w:szCs w:val="20"/>
          <w:color w:val="auto"/>
        </w:rPr>
      </w:pPr>
    </w:p>
    <w:p>
      <w:pPr>
        <w:jc w:val="both"/>
        <w:ind w:left="460" w:right="4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for the three and nine months ended September 30, 2011 was $219.0 million and $265.0 million, respectively. The weighted average effective interest rate on borrowings under our revolving credit facility, before amortization of debt fees, was 1.31% and 0.89% for the three and nine months ended September 30, 2011, respectively.</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90" w:lineRule="exact"/>
        <w:rPr>
          <w:sz w:val="20"/>
          <w:szCs w:val="20"/>
          <w:color w:val="auto"/>
        </w:rPr>
      </w:pPr>
    </w:p>
    <w:p>
      <w:pPr>
        <w:ind w:right="160" w:firstLine="8"/>
        <w:spacing w:after="0" w:line="259" w:lineRule="auto"/>
        <w:tabs>
          <w:tab w:leader="none" w:pos="1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Redevelopment Bonds - in connection with current redevelopment projects, local governmental authorities typcially require deposting a bond to secure performance on work on public infrastructure. If we fail to perform the work or perform faulty work, we may be obligated to pay on these bonds. The amount outstanding under these bonds as of August 31, 2011 is $2,014,592.</w:t>
      </w:r>
    </w:p>
    <w:p>
      <w:pPr>
        <w:sectPr>
          <w:pgSz w:w="11900" w:h="16838" w:orient="portrait"/>
          <w:cols w:equalWidth="0" w:num="1">
            <w:col w:w="11260"/>
          </w:cols>
          <w:pgMar w:left="240" w:top="131" w:right="399" w:bottom="1440" w:gutter="0" w:footer="0" w:header="0"/>
        </w:sectPr>
      </w:pPr>
    </w:p>
    <w:bookmarkStart w:id="124" w:name="page125"/>
    <w:bookmarkEnd w:id="124"/>
    <w:p>
      <w:pPr>
        <w:jc w:val="center"/>
        <w:ind w:right="-12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6.1(i)</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3080" w:type="dxa"/>
            <w:vAlign w:val="bottom"/>
          </w:tcPr>
          <w:p>
            <w:pPr>
              <w:spacing w:after="0"/>
              <w:rPr>
                <w:sz w:val="14"/>
                <w:szCs w:val="14"/>
                <w:color w:val="auto"/>
              </w:rPr>
            </w:pPr>
          </w:p>
        </w:tc>
      </w:tr>
      <w:tr>
        <w:trPr>
          <w:trHeight w:val="149"/>
        </w:trPr>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Multifamily/</w:t>
            </w:r>
          </w:p>
        </w:tc>
        <w:tc>
          <w:tcPr>
            <w:tcW w:w="308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5"/>
                <w:szCs w:val="15"/>
                <w:color w:val="auto"/>
              </w:rPr>
            </w:pPr>
          </w:p>
        </w:tc>
        <w:tc>
          <w:tcPr>
            <w:tcW w:w="3080" w:type="dxa"/>
            <w:vAlign w:val="bottom"/>
          </w:tcPr>
          <w:p>
            <w:pPr>
              <w:ind w:left="128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5"/>
                <w:szCs w:val="15"/>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3080" w:type="dxa"/>
            <w:vAlign w:val="bottom"/>
          </w:tcPr>
          <w:p>
            <w:pPr>
              <w:ind w:left="72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2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010-1002</w:t>
            </w: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Andorra Shopping Center</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Philadelphia</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030-1080</w:t>
            </w:r>
          </w:p>
        </w:tc>
        <w:tc>
          <w:tcPr>
            <w:tcW w:w="3080" w:type="dxa"/>
            <w:vAlign w:val="bottom"/>
          </w:tcPr>
          <w:p>
            <w:pPr>
              <w:spacing w:after="0"/>
              <w:rPr>
                <w:sz w:val="20"/>
                <w:szCs w:val="20"/>
                <w:color w:val="auto"/>
              </w:rPr>
            </w:pPr>
            <w:r>
              <w:rPr>
                <w:rFonts w:ascii="Arial" w:cs="Arial" w:eastAsia="Arial" w:hAnsi="Arial"/>
                <w:sz w:val="18"/>
                <w:szCs w:val="18"/>
                <w:color w:val="auto"/>
              </w:rPr>
              <w:t>Congressional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Non-Controlled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030-1081</w:t>
            </w:r>
          </w:p>
        </w:tc>
        <w:tc>
          <w:tcPr>
            <w:tcW w:w="308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Non-Controlled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040-1240</w:t>
            </w:r>
          </w:p>
        </w:tc>
        <w:tc>
          <w:tcPr>
            <w:tcW w:w="3080" w:type="dxa"/>
            <w:vAlign w:val="bottom"/>
          </w:tcPr>
          <w:p>
            <w:pPr>
              <w:spacing w:after="0"/>
              <w:rPr>
                <w:sz w:val="20"/>
                <w:szCs w:val="20"/>
                <w:color w:val="auto"/>
              </w:rPr>
            </w:pPr>
            <w:r>
              <w:rPr>
                <w:rFonts w:ascii="Arial" w:cs="Arial" w:eastAsia="Arial" w:hAnsi="Arial"/>
                <w:sz w:val="18"/>
                <w:szCs w:val="18"/>
                <w:color w:val="auto"/>
              </w:rPr>
              <w:t>Governor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Glen Burnie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080-1600</w:t>
            </w:r>
          </w:p>
        </w:tc>
        <w:tc>
          <w:tcPr>
            <w:tcW w:w="3080" w:type="dxa"/>
            <w:vAlign w:val="bottom"/>
          </w:tcPr>
          <w:p>
            <w:pPr>
              <w:spacing w:after="0"/>
              <w:rPr>
                <w:sz w:val="20"/>
                <w:szCs w:val="20"/>
                <w:color w:val="auto"/>
              </w:rPr>
            </w:pPr>
            <w:r>
              <w:rPr>
                <w:rFonts w:ascii="Arial" w:cs="Arial" w:eastAsia="Arial" w:hAnsi="Arial"/>
                <w:sz w:val="18"/>
                <w:szCs w:val="18"/>
                <w:color w:val="auto"/>
              </w:rPr>
              <w:t>Perring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Baltimore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80"/>
              <w:spacing w:after="0"/>
              <w:rPr>
                <w:sz w:val="20"/>
                <w:szCs w:val="20"/>
                <w:color w:val="auto"/>
              </w:rPr>
            </w:pPr>
            <w:r>
              <w:rPr>
                <w:rFonts w:ascii="Arial" w:cs="Arial" w:eastAsia="Arial" w:hAnsi="Arial"/>
                <w:sz w:val="18"/>
                <w:szCs w:val="18"/>
                <w:color w:val="auto"/>
              </w:rPr>
              <w:t>090-1190</w:t>
            </w:r>
          </w:p>
        </w:tc>
        <w:tc>
          <w:tcPr>
            <w:tcW w:w="3080" w:type="dxa"/>
            <w:vAlign w:val="bottom"/>
          </w:tcPr>
          <w:p>
            <w:pPr>
              <w:spacing w:after="0"/>
              <w:rPr>
                <w:sz w:val="20"/>
                <w:szCs w:val="20"/>
                <w:color w:val="auto"/>
              </w:rPr>
            </w:pPr>
            <w:r>
              <w:rPr>
                <w:rFonts w:ascii="Arial" w:cs="Arial" w:eastAsia="Arial" w:hAnsi="Arial"/>
                <w:sz w:val="18"/>
                <w:szCs w:val="18"/>
                <w:color w:val="auto"/>
              </w:rPr>
              <w:t>Escondido Promenade</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Escondido</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Non-Controlled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100-1630  Santana Row Bld 1-Retail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100-1632  Santana Row Bld 1B-Retail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100-1634  Santana Row Bld 1C-Retail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100-1636  Santana Row Bld 2-Retail/Off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100-1638  Santana Row Bld 3-Retail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100-1642  Santana Row Bld 4-Retail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100-1644  Santana Row Bld 5-Retail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100-1645  Santana Row Bld 5-Hotel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100-1646  Santana Row Bld 6A-Retail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100-1650  Santana Row Bld 7-Retail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100-1652  Santana Row Bld 8A-Retail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100-1662  Santana Row Bld 11A-Retail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100-1668  Santana Row Bld 13/15 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100-1674  Santana Row Bld K-Retail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100-1648  Santana Row Bld 6B-Residential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100-1651  Santana Row Bld 7-Residential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100-1653  Santana Row Bld 8A-Residential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100-1654  Santana Row Bld 8B-Residential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Development</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100-1663  Santana Row Bld 11A-Res/Office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100-1669  Santana Row Bld 13/15 Res/Off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100-1692  Santana Row Bld 6B Residential [2]</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80"/>
              <w:spacing w:after="0"/>
              <w:rPr>
                <w:sz w:val="20"/>
                <w:szCs w:val="20"/>
                <w:color w:val="auto"/>
              </w:rPr>
            </w:pPr>
            <w:r>
              <w:rPr>
                <w:rFonts w:ascii="Arial" w:cs="Arial" w:eastAsia="Arial" w:hAnsi="Arial"/>
                <w:sz w:val="18"/>
                <w:szCs w:val="18"/>
                <w:color w:val="auto"/>
              </w:rPr>
              <w:t>110-1605</w:t>
            </w:r>
          </w:p>
        </w:tc>
        <w:tc>
          <w:tcPr>
            <w:tcW w:w="3080" w:type="dxa"/>
            <w:vAlign w:val="bottom"/>
          </w:tcPr>
          <w:p>
            <w:pPr>
              <w:spacing w:after="0"/>
              <w:rPr>
                <w:sz w:val="20"/>
                <w:szCs w:val="20"/>
                <w:color w:val="auto"/>
              </w:rPr>
            </w:pPr>
            <w:r>
              <w:rPr>
                <w:rFonts w:ascii="Arial" w:cs="Arial" w:eastAsia="Arial" w:hAnsi="Arial"/>
                <w:sz w:val="18"/>
                <w:szCs w:val="18"/>
                <w:color w:val="auto"/>
              </w:rPr>
              <w:t>Pike 7</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Tysons Corner</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130-1215</w:t>
            </w:r>
          </w:p>
        </w:tc>
        <w:tc>
          <w:tcPr>
            <w:tcW w:w="3080" w:type="dxa"/>
            <w:vAlign w:val="bottom"/>
          </w:tcPr>
          <w:p>
            <w:pPr>
              <w:spacing w:after="0"/>
              <w:rPr>
                <w:sz w:val="20"/>
                <w:szCs w:val="20"/>
                <w:color w:val="auto"/>
              </w:rPr>
            </w:pPr>
            <w:r>
              <w:rPr>
                <w:rFonts w:ascii="Arial" w:cs="Arial" w:eastAsia="Arial" w:hAnsi="Arial"/>
                <w:sz w:val="18"/>
                <w:szCs w:val="18"/>
                <w:color w:val="auto"/>
              </w:rPr>
              <w:t>Federal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2960" w:type="dxa"/>
            <w:vAlign w:val="bottom"/>
          </w:tcPr>
          <w:p>
            <w:pPr>
              <w:spacing w:after="0"/>
              <w:rPr>
                <w:sz w:val="14"/>
                <w:szCs w:val="14"/>
                <w:color w:val="auto"/>
              </w:rPr>
            </w:pPr>
          </w:p>
        </w:tc>
      </w:tr>
      <w:tr>
        <w:trPr>
          <w:trHeight w:val="149"/>
        </w:trPr>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Multifamily/</w:t>
            </w:r>
          </w:p>
        </w:tc>
        <w:tc>
          <w:tcPr>
            <w:tcW w:w="296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5"/>
                <w:szCs w:val="15"/>
                <w:color w:val="auto"/>
              </w:rPr>
            </w:pPr>
          </w:p>
        </w:tc>
        <w:tc>
          <w:tcPr>
            <w:tcW w:w="3060" w:type="dxa"/>
            <w:vAlign w:val="bottom"/>
            <w:gridSpan w:val="2"/>
          </w:tcPr>
          <w:p>
            <w:pPr>
              <w:ind w:left="1220"/>
              <w:spacing w:after="0"/>
              <w:rPr>
                <w:sz w:val="20"/>
                <w:szCs w:val="20"/>
                <w:color w:val="auto"/>
              </w:rPr>
            </w:pPr>
            <w:r>
              <w:rPr>
                <w:rFonts w:ascii="Arial" w:cs="Arial" w:eastAsia="Arial" w:hAnsi="Arial"/>
                <w:sz w:val="14"/>
                <w:szCs w:val="14"/>
                <w:b w:val="1"/>
                <w:bCs w:val="1"/>
                <w:color w:val="auto"/>
              </w:rPr>
              <w:t>Property</w:t>
            </w:r>
          </w:p>
        </w:tc>
        <w:tc>
          <w:tcPr>
            <w:tcW w:w="1360" w:type="dxa"/>
            <w:vAlign w:val="bottom"/>
          </w:tcPr>
          <w:p>
            <w:pPr>
              <w:ind w:left="560"/>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2960" w:type="dxa"/>
            <w:vAlign w:val="bottom"/>
          </w:tcPr>
          <w:p>
            <w:pPr>
              <w:ind w:left="66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w w:val="94"/>
              </w:rPr>
              <w:t>150-1477</w:t>
            </w: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Mercer Mall - H&amp;H BBQ</w:t>
            </w: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Lawrenceville</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NJ</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151-1478</w:t>
            </w:r>
          </w:p>
        </w:tc>
        <w:tc>
          <w:tcPr>
            <w:tcW w:w="3060" w:type="dxa"/>
            <w:vAlign w:val="bottom"/>
            <w:gridSpan w:val="2"/>
          </w:tcPr>
          <w:p>
            <w:pPr>
              <w:spacing w:after="0"/>
              <w:rPr>
                <w:sz w:val="20"/>
                <w:szCs w:val="20"/>
                <w:color w:val="auto"/>
              </w:rPr>
            </w:pPr>
            <w:r>
              <w:rPr>
                <w:rFonts w:ascii="Arial" w:cs="Arial" w:eastAsia="Arial" w:hAnsi="Arial"/>
                <w:sz w:val="18"/>
                <w:szCs w:val="18"/>
                <w:color w:val="auto"/>
              </w:rPr>
              <w:t>FR Mercer Mall, LLC (H&amp;H BBQ)</w:t>
            </w:r>
          </w:p>
        </w:tc>
        <w:tc>
          <w:tcPr>
            <w:tcW w:w="1360" w:type="dxa"/>
            <w:vAlign w:val="bottom"/>
          </w:tcPr>
          <w:p>
            <w:pPr>
              <w:spacing w:after="0"/>
              <w:rPr>
                <w:sz w:val="20"/>
                <w:szCs w:val="20"/>
                <w:color w:val="auto"/>
              </w:rPr>
            </w:pPr>
            <w:r>
              <w:rPr>
                <w:rFonts w:ascii="Arial" w:cs="Arial" w:eastAsia="Arial" w:hAnsi="Arial"/>
                <w:sz w:val="18"/>
                <w:szCs w:val="18"/>
                <w:color w:val="auto"/>
              </w:rPr>
              <w:t>Lawrenceville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NJ</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160-1800</w:t>
            </w:r>
          </w:p>
        </w:tc>
        <w:tc>
          <w:tcPr>
            <w:tcW w:w="3060" w:type="dxa"/>
            <w:vAlign w:val="bottom"/>
            <w:gridSpan w:val="2"/>
          </w:tcPr>
          <w:p>
            <w:pPr>
              <w:spacing w:after="0"/>
              <w:rPr>
                <w:sz w:val="20"/>
                <w:szCs w:val="20"/>
                <w:color w:val="auto"/>
              </w:rPr>
            </w:pPr>
            <w:r>
              <w:rPr>
                <w:rFonts w:ascii="Arial" w:cs="Arial" w:eastAsia="Arial" w:hAnsi="Arial"/>
                <w:sz w:val="18"/>
                <w:szCs w:val="18"/>
                <w:color w:val="auto"/>
              </w:rPr>
              <w:t>Westgate Mall</w:t>
            </w:r>
          </w:p>
        </w:tc>
        <w:tc>
          <w:tcPr>
            <w:tcW w:w="1360" w:type="dxa"/>
            <w:vAlign w:val="bottom"/>
          </w:tcPr>
          <w:p>
            <w:pPr>
              <w:spacing w:after="0"/>
              <w:rPr>
                <w:sz w:val="20"/>
                <w:szCs w:val="20"/>
                <w:color w:val="auto"/>
              </w:rPr>
            </w:pPr>
            <w:r>
              <w:rPr>
                <w:rFonts w:ascii="Arial" w:cs="Arial" w:eastAsia="Arial" w:hAnsi="Arial"/>
                <w:sz w:val="18"/>
                <w:szCs w:val="18"/>
                <w:color w:val="auto"/>
              </w:rPr>
              <w:t>San Jose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170-1730</w:t>
            </w:r>
          </w:p>
        </w:tc>
        <w:tc>
          <w:tcPr>
            <w:tcW w:w="3060" w:type="dxa"/>
            <w:vAlign w:val="bottom"/>
            <w:gridSpan w:val="2"/>
          </w:tcPr>
          <w:p>
            <w:pPr>
              <w:spacing w:after="0"/>
              <w:rPr>
                <w:sz w:val="20"/>
                <w:szCs w:val="20"/>
                <w:color w:val="auto"/>
              </w:rPr>
            </w:pPr>
            <w:r>
              <w:rPr>
                <w:rFonts w:ascii="Arial" w:cs="Arial" w:eastAsia="Arial" w:hAnsi="Arial"/>
                <w:sz w:val="18"/>
                <w:szCs w:val="18"/>
                <w:color w:val="auto"/>
              </w:rPr>
              <w:t>Assembly Sq Dev(Foley, Sturtevant,</w:t>
            </w:r>
          </w:p>
        </w:tc>
        <w:tc>
          <w:tcPr>
            <w:tcW w:w="1360" w:type="dxa"/>
            <w:vAlign w:val="bottom"/>
          </w:tcPr>
          <w:p>
            <w:pPr>
              <w:spacing w:after="0"/>
              <w:rPr>
                <w:sz w:val="20"/>
                <w:szCs w:val="20"/>
                <w:color w:val="auto"/>
              </w:rPr>
            </w:pPr>
            <w:r>
              <w:rPr>
                <w:rFonts w:ascii="Arial" w:cs="Arial" w:eastAsia="Arial" w:hAnsi="Arial"/>
                <w:sz w:val="18"/>
                <w:szCs w:val="18"/>
                <w:color w:val="auto"/>
              </w:rPr>
              <w:t>Somerville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Development</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Amerigas Land)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180-1008</w:t>
            </w:r>
          </w:p>
        </w:tc>
        <w:tc>
          <w:tcPr>
            <w:tcW w:w="3060" w:type="dxa"/>
            <w:vAlign w:val="bottom"/>
            <w:gridSpan w:val="2"/>
          </w:tcPr>
          <w:p>
            <w:pPr>
              <w:spacing w:after="0"/>
              <w:rPr>
                <w:sz w:val="20"/>
                <w:szCs w:val="20"/>
                <w:color w:val="auto"/>
              </w:rPr>
            </w:pPr>
            <w:r>
              <w:rPr>
                <w:rFonts w:ascii="Arial" w:cs="Arial" w:eastAsia="Arial" w:hAnsi="Arial"/>
                <w:sz w:val="18"/>
                <w:szCs w:val="18"/>
                <w:color w:val="auto"/>
              </w:rPr>
              <w:t>Assembly Square</w:t>
            </w:r>
          </w:p>
        </w:tc>
        <w:tc>
          <w:tcPr>
            <w:tcW w:w="1360" w:type="dxa"/>
            <w:vAlign w:val="bottom"/>
          </w:tcPr>
          <w:p>
            <w:pPr>
              <w:spacing w:after="0"/>
              <w:rPr>
                <w:sz w:val="20"/>
                <w:szCs w:val="20"/>
                <w:color w:val="auto"/>
              </w:rPr>
            </w:pPr>
            <w:r>
              <w:rPr>
                <w:rFonts w:ascii="Arial" w:cs="Arial" w:eastAsia="Arial" w:hAnsi="Arial"/>
                <w:sz w:val="18"/>
                <w:szCs w:val="18"/>
                <w:color w:val="auto"/>
              </w:rPr>
              <w:t>Somerville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194-1940</w:t>
            </w:r>
          </w:p>
        </w:tc>
        <w:tc>
          <w:tcPr>
            <w:tcW w:w="3060" w:type="dxa"/>
            <w:vAlign w:val="bottom"/>
            <w:gridSpan w:val="2"/>
          </w:tcPr>
          <w:p>
            <w:pPr>
              <w:spacing w:after="0"/>
              <w:rPr>
                <w:sz w:val="20"/>
                <w:szCs w:val="20"/>
                <w:color w:val="auto"/>
              </w:rPr>
            </w:pPr>
            <w:r>
              <w:rPr>
                <w:rFonts w:ascii="Arial" w:cs="Arial" w:eastAsia="Arial" w:hAnsi="Arial"/>
                <w:sz w:val="18"/>
                <w:szCs w:val="18"/>
                <w:color w:val="auto"/>
              </w:rPr>
              <w:t>Del Mar Village</w:t>
            </w:r>
          </w:p>
        </w:tc>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195-1950</w:t>
            </w:r>
          </w:p>
        </w:tc>
        <w:tc>
          <w:tcPr>
            <w:tcW w:w="3060" w:type="dxa"/>
            <w:vAlign w:val="bottom"/>
            <w:gridSpan w:val="2"/>
          </w:tcPr>
          <w:p>
            <w:pPr>
              <w:spacing w:after="0"/>
              <w:rPr>
                <w:sz w:val="20"/>
                <w:szCs w:val="20"/>
                <w:color w:val="auto"/>
              </w:rPr>
            </w:pPr>
            <w:r>
              <w:rPr>
                <w:rFonts w:ascii="Arial" w:cs="Arial" w:eastAsia="Arial" w:hAnsi="Arial"/>
                <w:sz w:val="18"/>
                <w:szCs w:val="18"/>
                <w:color w:val="auto"/>
              </w:rPr>
              <w:t>7015 Beracasa Way (Office)</w:t>
            </w:r>
          </w:p>
        </w:tc>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195-1953</w:t>
            </w:r>
          </w:p>
        </w:tc>
        <w:tc>
          <w:tcPr>
            <w:tcW w:w="3060" w:type="dxa"/>
            <w:vAlign w:val="bottom"/>
            <w:gridSpan w:val="2"/>
          </w:tcPr>
          <w:p>
            <w:pPr>
              <w:spacing w:after="0"/>
              <w:rPr>
                <w:sz w:val="20"/>
                <w:szCs w:val="20"/>
                <w:color w:val="auto"/>
              </w:rPr>
            </w:pPr>
            <w:r>
              <w:rPr>
                <w:rFonts w:ascii="Arial" w:cs="Arial" w:eastAsia="Arial" w:hAnsi="Arial"/>
                <w:sz w:val="18"/>
                <w:szCs w:val="18"/>
                <w:color w:val="auto"/>
              </w:rPr>
              <w:t>7045 Beracasa Way (Blockbuster)</w:t>
            </w:r>
          </w:p>
        </w:tc>
        <w:tc>
          <w:tcPr>
            <w:tcW w:w="1360" w:type="dxa"/>
            <w:vAlign w:val="bottom"/>
          </w:tcPr>
          <w:p>
            <w:pPr>
              <w:spacing w:after="0"/>
              <w:rPr>
                <w:sz w:val="20"/>
                <w:szCs w:val="20"/>
                <w:color w:val="auto"/>
              </w:rPr>
            </w:pPr>
            <w:r>
              <w:rPr>
                <w:rFonts w:ascii="Arial" w:cs="Arial" w:eastAsia="Arial" w:hAnsi="Arial"/>
                <w:sz w:val="18"/>
                <w:szCs w:val="18"/>
                <w:color w:val="auto"/>
              </w:rPr>
              <w:t>Boca Raton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197-1970</w:t>
            </w:r>
          </w:p>
        </w:tc>
        <w:tc>
          <w:tcPr>
            <w:tcW w:w="3060" w:type="dxa"/>
            <w:vAlign w:val="bottom"/>
            <w:gridSpan w:val="2"/>
          </w:tcPr>
          <w:p>
            <w:pPr>
              <w:spacing w:after="0"/>
              <w:rPr>
                <w:sz w:val="20"/>
                <w:szCs w:val="20"/>
                <w:color w:val="auto"/>
              </w:rPr>
            </w:pPr>
            <w:r>
              <w:rPr>
                <w:rFonts w:ascii="Arial" w:cs="Arial" w:eastAsia="Arial" w:hAnsi="Arial"/>
                <w:sz w:val="18"/>
                <w:szCs w:val="18"/>
                <w:color w:val="auto"/>
              </w:rPr>
              <w:t>Huntington Square</w:t>
            </w:r>
          </w:p>
        </w:tc>
        <w:tc>
          <w:tcPr>
            <w:tcW w:w="1360" w:type="dxa"/>
            <w:vAlign w:val="bottom"/>
          </w:tcPr>
          <w:p>
            <w:pPr>
              <w:spacing w:after="0"/>
              <w:rPr>
                <w:sz w:val="20"/>
                <w:szCs w:val="20"/>
                <w:color w:val="auto"/>
              </w:rPr>
            </w:pPr>
            <w:r>
              <w:rPr>
                <w:rFonts w:ascii="Arial" w:cs="Arial" w:eastAsia="Arial" w:hAnsi="Arial"/>
                <w:sz w:val="18"/>
                <w:szCs w:val="18"/>
                <w:color w:val="auto"/>
              </w:rPr>
              <w:t>East Northport</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w w:val="94"/>
              </w:rPr>
              <w:t>Owned pursuant to a ground lease that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expires May 11, 2079.</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198-1980</w:t>
            </w:r>
          </w:p>
        </w:tc>
        <w:tc>
          <w:tcPr>
            <w:tcW w:w="3060" w:type="dxa"/>
            <w:vAlign w:val="bottom"/>
            <w:gridSpan w:val="2"/>
          </w:tcPr>
          <w:p>
            <w:pPr>
              <w:spacing w:after="0"/>
              <w:rPr>
                <w:sz w:val="20"/>
                <w:szCs w:val="20"/>
                <w:color w:val="auto"/>
              </w:rPr>
            </w:pPr>
            <w:r>
              <w:rPr>
                <w:rFonts w:ascii="Arial" w:cs="Arial" w:eastAsia="Arial" w:hAnsi="Arial"/>
                <w:sz w:val="18"/>
                <w:szCs w:val="18"/>
                <w:color w:val="auto"/>
              </w:rPr>
              <w:t>Tower Shops</w:t>
            </w:r>
          </w:p>
        </w:tc>
        <w:tc>
          <w:tcPr>
            <w:tcW w:w="1360" w:type="dxa"/>
            <w:vAlign w:val="bottom"/>
          </w:tcPr>
          <w:p>
            <w:pPr>
              <w:spacing w:after="0"/>
              <w:rPr>
                <w:sz w:val="20"/>
                <w:szCs w:val="20"/>
                <w:color w:val="auto"/>
              </w:rPr>
            </w:pPr>
            <w:r>
              <w:rPr>
                <w:rFonts w:ascii="Arial" w:cs="Arial" w:eastAsia="Arial" w:hAnsi="Arial"/>
                <w:sz w:val="18"/>
                <w:szCs w:val="18"/>
                <w:color w:val="auto"/>
              </w:rPr>
              <w:t>Davie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209-2090</w:t>
            </w:r>
          </w:p>
        </w:tc>
        <w:tc>
          <w:tcPr>
            <w:tcW w:w="3060" w:type="dxa"/>
            <w:vAlign w:val="bottom"/>
            <w:gridSpan w:val="2"/>
          </w:tcPr>
          <w:p>
            <w:pPr>
              <w:spacing w:after="0"/>
              <w:rPr>
                <w:sz w:val="20"/>
                <w:szCs w:val="20"/>
                <w:color w:val="auto"/>
              </w:rPr>
            </w:pPr>
            <w:r>
              <w:rPr>
                <w:rFonts w:ascii="Arial" w:cs="Arial" w:eastAsia="Arial" w:hAnsi="Arial"/>
                <w:sz w:val="18"/>
                <w:szCs w:val="18"/>
                <w:color w:val="auto"/>
              </w:rPr>
              <w:t>Chelsea Commons III</w:t>
            </w:r>
          </w:p>
        </w:tc>
        <w:tc>
          <w:tcPr>
            <w:tcW w:w="1360" w:type="dxa"/>
            <w:vAlign w:val="bottom"/>
          </w:tcPr>
          <w:p>
            <w:pPr>
              <w:spacing w:after="0"/>
              <w:rPr>
                <w:sz w:val="20"/>
                <w:szCs w:val="20"/>
                <w:color w:val="auto"/>
              </w:rPr>
            </w:pPr>
            <w:r>
              <w:rPr>
                <w:rFonts w:ascii="Arial" w:cs="Arial" w:eastAsia="Arial" w:hAnsi="Arial"/>
                <w:sz w:val="18"/>
                <w:szCs w:val="18"/>
                <w:color w:val="auto"/>
              </w:rPr>
              <w:t>Chelsea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210-2100</w:t>
            </w:r>
          </w:p>
        </w:tc>
        <w:tc>
          <w:tcPr>
            <w:tcW w:w="3060" w:type="dxa"/>
            <w:vAlign w:val="bottom"/>
            <w:gridSpan w:val="2"/>
          </w:tcPr>
          <w:p>
            <w:pPr>
              <w:spacing w:after="0"/>
              <w:rPr>
                <w:sz w:val="20"/>
                <w:szCs w:val="20"/>
                <w:color w:val="auto"/>
              </w:rPr>
            </w:pPr>
            <w:r>
              <w:rPr>
                <w:rFonts w:ascii="Arial" w:cs="Arial" w:eastAsia="Arial" w:hAnsi="Arial"/>
                <w:sz w:val="18"/>
                <w:szCs w:val="18"/>
                <w:color w:val="auto"/>
              </w:rPr>
              <w:t>Linden Square</w:t>
            </w:r>
          </w:p>
        </w:tc>
        <w:tc>
          <w:tcPr>
            <w:tcW w:w="1360" w:type="dxa"/>
            <w:vAlign w:val="bottom"/>
          </w:tcPr>
          <w:p>
            <w:pPr>
              <w:spacing w:after="0"/>
              <w:rPr>
                <w:sz w:val="20"/>
                <w:szCs w:val="20"/>
                <w:color w:val="auto"/>
              </w:rPr>
            </w:pPr>
            <w:r>
              <w:rPr>
                <w:rFonts w:ascii="Arial" w:cs="Arial" w:eastAsia="Arial" w:hAnsi="Arial"/>
                <w:sz w:val="18"/>
                <w:szCs w:val="18"/>
                <w:color w:val="auto"/>
              </w:rPr>
              <w:t>Wellesley</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211-2111</w:t>
            </w:r>
          </w:p>
        </w:tc>
        <w:tc>
          <w:tcPr>
            <w:tcW w:w="3060" w:type="dxa"/>
            <w:vAlign w:val="bottom"/>
            <w:gridSpan w:val="2"/>
          </w:tcPr>
          <w:p>
            <w:pPr>
              <w:spacing w:after="0"/>
              <w:rPr>
                <w:sz w:val="20"/>
                <w:szCs w:val="20"/>
                <w:color w:val="auto"/>
              </w:rPr>
            </w:pPr>
            <w:r>
              <w:rPr>
                <w:rFonts w:ascii="Arial" w:cs="Arial" w:eastAsia="Arial" w:hAnsi="Arial"/>
                <w:sz w:val="18"/>
                <w:szCs w:val="18"/>
                <w:color w:val="auto"/>
                <w:w w:val="96"/>
              </w:rPr>
              <w:t>Chelsea - 1020 Revere Beach Parkway</w:t>
            </w:r>
          </w:p>
        </w:tc>
        <w:tc>
          <w:tcPr>
            <w:tcW w:w="1360" w:type="dxa"/>
            <w:vAlign w:val="bottom"/>
          </w:tcPr>
          <w:p>
            <w:pPr>
              <w:spacing w:after="0"/>
              <w:rPr>
                <w:sz w:val="20"/>
                <w:szCs w:val="20"/>
                <w:color w:val="auto"/>
              </w:rPr>
            </w:pPr>
            <w:r>
              <w:rPr>
                <w:rFonts w:ascii="Arial" w:cs="Arial" w:eastAsia="Arial" w:hAnsi="Arial"/>
                <w:sz w:val="18"/>
                <w:szCs w:val="18"/>
                <w:color w:val="auto"/>
              </w:rPr>
              <w:t>Chelsea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213-2130</w:t>
            </w:r>
          </w:p>
        </w:tc>
        <w:tc>
          <w:tcPr>
            <w:tcW w:w="3060" w:type="dxa"/>
            <w:vAlign w:val="bottom"/>
            <w:gridSpan w:val="2"/>
          </w:tcPr>
          <w:p>
            <w:pPr>
              <w:spacing w:after="0"/>
              <w:rPr>
                <w:sz w:val="20"/>
                <w:szCs w:val="20"/>
                <w:color w:val="auto"/>
              </w:rPr>
            </w:pPr>
            <w:r>
              <w:rPr>
                <w:rFonts w:ascii="Arial" w:cs="Arial" w:eastAsia="Arial" w:hAnsi="Arial"/>
                <w:sz w:val="18"/>
                <w:szCs w:val="18"/>
                <w:color w:val="auto"/>
              </w:rPr>
              <w:t>North Dartmouth</w:t>
            </w:r>
          </w:p>
        </w:tc>
        <w:tc>
          <w:tcPr>
            <w:tcW w:w="1360" w:type="dxa"/>
            <w:vAlign w:val="bottom"/>
          </w:tcPr>
          <w:p>
            <w:pPr>
              <w:spacing w:after="0"/>
              <w:rPr>
                <w:sz w:val="20"/>
                <w:szCs w:val="20"/>
                <w:color w:val="auto"/>
              </w:rPr>
            </w:pPr>
            <w:r>
              <w:rPr>
                <w:rFonts w:ascii="Arial" w:cs="Arial" w:eastAsia="Arial" w:hAnsi="Arial"/>
                <w:sz w:val="18"/>
                <w:szCs w:val="18"/>
                <w:color w:val="auto"/>
              </w:rPr>
              <w:t>North Dartmouth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220-2200</w:t>
            </w:r>
          </w:p>
        </w:tc>
        <w:tc>
          <w:tcPr>
            <w:tcW w:w="3060" w:type="dxa"/>
            <w:vAlign w:val="bottom"/>
            <w:gridSpan w:val="2"/>
          </w:tcPr>
          <w:p>
            <w:pPr>
              <w:spacing w:after="0"/>
              <w:rPr>
                <w:sz w:val="20"/>
                <w:szCs w:val="20"/>
                <w:color w:val="auto"/>
              </w:rPr>
            </w:pPr>
            <w:r>
              <w:rPr>
                <w:rFonts w:ascii="Arial" w:cs="Arial" w:eastAsia="Arial" w:hAnsi="Arial"/>
                <w:sz w:val="18"/>
                <w:szCs w:val="18"/>
                <w:color w:val="auto"/>
              </w:rPr>
              <w:t>White Marsh Ground Leases</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222-2220</w:t>
            </w:r>
          </w:p>
        </w:tc>
        <w:tc>
          <w:tcPr>
            <w:tcW w:w="3060" w:type="dxa"/>
            <w:vAlign w:val="bottom"/>
            <w:gridSpan w:val="2"/>
          </w:tcPr>
          <w:p>
            <w:pPr>
              <w:spacing w:after="0"/>
              <w:rPr>
                <w:sz w:val="20"/>
                <w:szCs w:val="20"/>
                <w:color w:val="auto"/>
              </w:rPr>
            </w:pPr>
            <w:r>
              <w:rPr>
                <w:rFonts w:ascii="Arial" w:cs="Arial" w:eastAsia="Arial" w:hAnsi="Arial"/>
                <w:sz w:val="18"/>
                <w:szCs w:val="18"/>
                <w:color w:val="auto"/>
              </w:rPr>
              <w:t>Byron Station (White Marsh Other)</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223-2230</w:t>
            </w:r>
          </w:p>
        </w:tc>
        <w:tc>
          <w:tcPr>
            <w:tcW w:w="3060" w:type="dxa"/>
            <w:vAlign w:val="bottom"/>
            <w:gridSpan w:val="2"/>
          </w:tcPr>
          <w:p>
            <w:pPr>
              <w:spacing w:after="0"/>
              <w:rPr>
                <w:sz w:val="20"/>
                <w:szCs w:val="20"/>
                <w:color w:val="auto"/>
              </w:rPr>
            </w:pPr>
            <w:r>
              <w:rPr>
                <w:rFonts w:ascii="Arial" w:cs="Arial" w:eastAsia="Arial" w:hAnsi="Arial"/>
                <w:sz w:val="18"/>
                <w:szCs w:val="18"/>
                <w:color w:val="auto"/>
              </w:rPr>
              <w:t>Fairfield Inn (Hotel Ground Lease)</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224-2240</w:t>
            </w:r>
          </w:p>
        </w:tc>
        <w:tc>
          <w:tcPr>
            <w:tcW w:w="3060" w:type="dxa"/>
            <w:vAlign w:val="bottom"/>
            <w:gridSpan w:val="2"/>
          </w:tcPr>
          <w:p>
            <w:pPr>
              <w:spacing w:after="0"/>
              <w:rPr>
                <w:sz w:val="20"/>
                <w:szCs w:val="20"/>
                <w:color w:val="auto"/>
              </w:rPr>
            </w:pPr>
            <w:r>
              <w:rPr>
                <w:rFonts w:ascii="Arial" w:cs="Arial" w:eastAsia="Arial" w:hAnsi="Arial"/>
                <w:sz w:val="18"/>
                <w:szCs w:val="18"/>
                <w:color w:val="auto"/>
              </w:rPr>
              <w:t>Shoppes at Nottingham Sq II</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228-2280</w:t>
            </w:r>
          </w:p>
        </w:tc>
        <w:tc>
          <w:tcPr>
            <w:tcW w:w="3060" w:type="dxa"/>
            <w:vAlign w:val="bottom"/>
            <w:gridSpan w:val="2"/>
          </w:tcPr>
          <w:p>
            <w:pPr>
              <w:spacing w:after="0"/>
              <w:rPr>
                <w:sz w:val="20"/>
                <w:szCs w:val="20"/>
                <w:color w:val="auto"/>
              </w:rPr>
            </w:pPr>
            <w:r>
              <w:rPr>
                <w:rFonts w:ascii="Arial" w:cs="Arial" w:eastAsia="Arial" w:hAnsi="Arial"/>
                <w:sz w:val="18"/>
                <w:szCs w:val="18"/>
                <w:color w:val="auto"/>
              </w:rPr>
              <w:t>Shopes at Nottingham Sq I</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229-2290</w:t>
            </w:r>
          </w:p>
        </w:tc>
        <w:tc>
          <w:tcPr>
            <w:tcW w:w="3060" w:type="dxa"/>
            <w:vAlign w:val="bottom"/>
            <w:gridSpan w:val="2"/>
          </w:tcPr>
          <w:p>
            <w:pPr>
              <w:spacing w:after="0"/>
              <w:rPr>
                <w:sz w:val="20"/>
                <w:szCs w:val="20"/>
                <w:color w:val="auto"/>
              </w:rPr>
            </w:pPr>
            <w:r>
              <w:rPr>
                <w:rFonts w:ascii="Arial" w:cs="Arial" w:eastAsia="Arial" w:hAnsi="Arial"/>
                <w:sz w:val="18"/>
                <w:szCs w:val="18"/>
                <w:color w:val="auto"/>
              </w:rPr>
              <w:t>RPBT Ground Leases - Nottingham</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229-2291</w:t>
            </w:r>
          </w:p>
        </w:tc>
        <w:tc>
          <w:tcPr>
            <w:tcW w:w="3060" w:type="dxa"/>
            <w:vAlign w:val="bottom"/>
            <w:gridSpan w:val="2"/>
          </w:tcPr>
          <w:p>
            <w:pPr>
              <w:spacing w:after="0"/>
              <w:rPr>
                <w:sz w:val="20"/>
                <w:szCs w:val="20"/>
                <w:color w:val="auto"/>
              </w:rPr>
            </w:pPr>
            <w:r>
              <w:rPr>
                <w:rFonts w:ascii="Arial" w:cs="Arial" w:eastAsia="Arial" w:hAnsi="Arial"/>
                <w:sz w:val="18"/>
                <w:szCs w:val="18"/>
                <w:color w:val="auto"/>
              </w:rPr>
              <w:t>The Avenue - Parking</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230-2300</w:t>
            </w:r>
          </w:p>
        </w:tc>
        <w:tc>
          <w:tcPr>
            <w:tcW w:w="3060" w:type="dxa"/>
            <w:vAlign w:val="bottom"/>
            <w:gridSpan w:val="2"/>
          </w:tcPr>
          <w:p>
            <w:pPr>
              <w:spacing w:after="0"/>
              <w:rPr>
                <w:sz w:val="20"/>
                <w:szCs w:val="20"/>
                <w:color w:val="auto"/>
              </w:rPr>
            </w:pPr>
            <w:r>
              <w:rPr>
                <w:rFonts w:ascii="Arial" w:cs="Arial" w:eastAsia="Arial" w:hAnsi="Arial"/>
                <w:sz w:val="18"/>
                <w:szCs w:val="18"/>
                <w:color w:val="auto"/>
              </w:rPr>
              <w:t>Panera Bread - Nottingham</w:t>
            </w:r>
          </w:p>
        </w:tc>
        <w:tc>
          <w:tcPr>
            <w:tcW w:w="1360" w:type="dxa"/>
            <w:vAlign w:val="bottom"/>
          </w:tcPr>
          <w:p>
            <w:pPr>
              <w:spacing w:after="0"/>
              <w:rPr>
                <w:sz w:val="20"/>
                <w:szCs w:val="20"/>
                <w:color w:val="auto"/>
              </w:rPr>
            </w:pPr>
            <w:r>
              <w:rPr>
                <w:rFonts w:ascii="Arial" w:cs="Arial" w:eastAsia="Arial" w:hAnsi="Arial"/>
                <w:sz w:val="18"/>
                <w:szCs w:val="18"/>
                <w:color w:val="auto"/>
              </w:rPr>
              <w:t>White Marsh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400-1019</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Shops W W 1-Arl East</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Multifamily</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(residential) [3]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400-1020</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Shops W W 1-Arl East</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(retail) [3]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400-1021</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Shops W W 2 [3]</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400-1022</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Offices W W 2 [3]</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400-1023</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Shops W W 3 [3]</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400-1024</w:t>
            </w:r>
          </w:p>
        </w:tc>
        <w:tc>
          <w:tcPr>
            <w:tcW w:w="3060" w:type="dxa"/>
            <w:vAlign w:val="bottom"/>
            <w:gridSpan w:val="2"/>
          </w:tcPr>
          <w:p>
            <w:pPr>
              <w:spacing w:after="0"/>
              <w:rPr>
                <w:sz w:val="20"/>
                <w:szCs w:val="20"/>
                <w:color w:val="auto"/>
              </w:rPr>
            </w:pPr>
            <w:r>
              <w:rPr>
                <w:rFonts w:ascii="Arial" w:cs="Arial" w:eastAsia="Arial" w:hAnsi="Arial"/>
                <w:sz w:val="18"/>
                <w:szCs w:val="18"/>
                <w:color w:val="auto"/>
              </w:rPr>
              <w:t>Bethesda Ave Shops W W 4 [3]</w:t>
            </w:r>
          </w:p>
        </w:tc>
        <w:tc>
          <w:tcPr>
            <w:tcW w:w="1360" w:type="dxa"/>
            <w:vAlign w:val="bottom"/>
          </w:tcPr>
          <w:p>
            <w:pPr>
              <w:spacing w:after="0"/>
              <w:rPr>
                <w:sz w:val="20"/>
                <w:szCs w:val="20"/>
                <w:color w:val="auto"/>
              </w:rPr>
            </w:pPr>
            <w:r>
              <w:rPr>
                <w:rFonts w:ascii="Arial" w:cs="Arial" w:eastAsia="Arial" w:hAnsi="Arial"/>
                <w:sz w:val="18"/>
                <w:szCs w:val="18"/>
                <w:color w:val="auto"/>
              </w:rPr>
              <w:t>Bethesda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3080" w:type="dxa"/>
            <w:vAlign w:val="bottom"/>
          </w:tcPr>
          <w:p>
            <w:pPr>
              <w:spacing w:after="0"/>
              <w:rPr>
                <w:sz w:val="14"/>
                <w:szCs w:val="14"/>
                <w:color w:val="auto"/>
              </w:rPr>
            </w:pPr>
          </w:p>
        </w:tc>
      </w:tr>
      <w:tr>
        <w:trPr>
          <w:trHeight w:val="149"/>
        </w:trPr>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Multifamily/</w:t>
            </w:r>
          </w:p>
        </w:tc>
        <w:tc>
          <w:tcPr>
            <w:tcW w:w="308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5"/>
                <w:szCs w:val="15"/>
                <w:color w:val="auto"/>
              </w:rPr>
            </w:pPr>
          </w:p>
        </w:tc>
        <w:tc>
          <w:tcPr>
            <w:tcW w:w="3080" w:type="dxa"/>
            <w:vAlign w:val="bottom"/>
          </w:tcPr>
          <w:p>
            <w:pPr>
              <w:ind w:left="128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5"/>
                <w:szCs w:val="15"/>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3080" w:type="dxa"/>
            <w:vAlign w:val="bottom"/>
          </w:tcPr>
          <w:p>
            <w:pPr>
              <w:ind w:left="72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2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400-1025</w:t>
            </w: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Bethesda Ave Offices W W 4 [3]</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Bethesda</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Office</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400-1026  Bethesda Ave Shops W W 5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400-1027  Bethesda Ave Offices W W 5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400-1028  Bethesda Ave Shops II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Leasehold for a small portion of the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property terminates 12/31/25 with</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obligation of FRIT, as tenant, to purchase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the property on that date.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400-1029  Bethesda Ave Shops III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400-1030  Bethesda Ave Shops Ravengard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400-1031  Bethesda Ave Shops Parking Lot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400-1032  4900 Hampden Lane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400-1033  Bethesda Ave. Office Ravengard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400-3031  Elm Street-Retail (Bethesda)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400-3032</w:t>
            </w:r>
          </w:p>
        </w:tc>
        <w:tc>
          <w:tcPr>
            <w:tcW w:w="3080" w:type="dxa"/>
            <w:vAlign w:val="bottom"/>
          </w:tcPr>
          <w:p>
            <w:pPr>
              <w:spacing w:after="0"/>
              <w:rPr>
                <w:sz w:val="20"/>
                <w:szCs w:val="20"/>
                <w:color w:val="auto"/>
              </w:rPr>
            </w:pPr>
            <w:r>
              <w:rPr>
                <w:rFonts w:ascii="Arial" w:cs="Arial" w:eastAsia="Arial" w:hAnsi="Arial"/>
                <w:sz w:val="18"/>
                <w:szCs w:val="18"/>
                <w:color w:val="auto"/>
              </w:rPr>
              <w:t>Kilbane/Jaffe Parcels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400-3033  Elm Street - Office (Bethesda)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400-3034</w:t>
            </w:r>
          </w:p>
        </w:tc>
        <w:tc>
          <w:tcPr>
            <w:tcW w:w="3080" w:type="dxa"/>
            <w:vAlign w:val="bottom"/>
          </w:tcPr>
          <w:p>
            <w:pPr>
              <w:spacing w:after="0"/>
              <w:rPr>
                <w:sz w:val="20"/>
                <w:szCs w:val="20"/>
                <w:color w:val="auto"/>
              </w:rPr>
            </w:pPr>
            <w:r>
              <w:rPr>
                <w:rFonts w:ascii="Arial" w:cs="Arial" w:eastAsia="Arial" w:hAnsi="Arial"/>
                <w:sz w:val="18"/>
                <w:szCs w:val="18"/>
                <w:color w:val="auto"/>
              </w:rPr>
              <w:t>Woodmont East-Retail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400-3035</w:t>
            </w:r>
          </w:p>
        </w:tc>
        <w:tc>
          <w:tcPr>
            <w:tcW w:w="3080" w:type="dxa"/>
            <w:vAlign w:val="bottom"/>
          </w:tcPr>
          <w:p>
            <w:pPr>
              <w:spacing w:after="0"/>
              <w:rPr>
                <w:sz w:val="20"/>
                <w:szCs w:val="20"/>
                <w:color w:val="auto"/>
              </w:rPr>
            </w:pPr>
            <w:r>
              <w:rPr>
                <w:rFonts w:ascii="Arial" w:cs="Arial" w:eastAsia="Arial" w:hAnsi="Arial"/>
                <w:sz w:val="18"/>
                <w:szCs w:val="18"/>
                <w:color w:val="auto"/>
              </w:rPr>
              <w:t>Woodmont East - Offices [3]</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400-1910</w:t>
            </w:r>
          </w:p>
        </w:tc>
        <w:tc>
          <w:tcPr>
            <w:tcW w:w="3080" w:type="dxa"/>
            <w:vAlign w:val="bottom"/>
          </w:tcPr>
          <w:p>
            <w:pPr>
              <w:spacing w:after="0"/>
              <w:rPr>
                <w:sz w:val="20"/>
                <w:szCs w:val="20"/>
                <w:color w:val="auto"/>
              </w:rPr>
            </w:pPr>
            <w:r>
              <w:rPr>
                <w:rFonts w:ascii="Arial" w:cs="Arial" w:eastAsia="Arial" w:hAnsi="Arial"/>
                <w:sz w:val="18"/>
                <w:szCs w:val="18"/>
                <w:color w:val="auto"/>
              </w:rPr>
              <w:t>Rockville Town Square</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400-3101  205 Greenwich Ave (Saks)</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Greenwich</w:t>
            </w:r>
          </w:p>
        </w:tc>
        <w:tc>
          <w:tcPr>
            <w:tcW w:w="380" w:type="dxa"/>
            <w:vAlign w:val="bottom"/>
            <w:gridSpan w:val="2"/>
          </w:tcPr>
          <w:p>
            <w:pPr>
              <w:spacing w:after="0"/>
              <w:rPr>
                <w:sz w:val="20"/>
                <w:szCs w:val="20"/>
                <w:color w:val="auto"/>
              </w:rPr>
            </w:pPr>
            <w:r>
              <w:rPr>
                <w:rFonts w:ascii="Arial" w:cs="Arial" w:eastAsia="Arial" w:hAnsi="Arial"/>
                <w:sz w:val="18"/>
                <w:szCs w:val="18"/>
                <w:color w:val="auto"/>
              </w:rPr>
              <w:t>CT</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400-3400  Fresh Meadows (Kohls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400-3401  Fresh Meadows (Filene’s Ctr)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400-3402  Fresh Meadows (73rd Ave Strip)</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400-3403  Fresh Meadows (69th Ave Strip)</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80" w:type="dxa"/>
            <w:vAlign w:val="bottom"/>
            <w:gridSpan w:val="2"/>
          </w:tcPr>
          <w:p>
            <w:pPr>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400-3500  150 Post Street (SF)</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 Francisco</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400-3525  1344 3rd Street (Santa Monica)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80" w:type="dxa"/>
            <w:vAlign w:val="bottom"/>
            <w:gridSpan w:val="2"/>
          </w:tcPr>
          <w:p>
            <w:pPr>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400-3600  Sam’s Park &amp; Shop</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380" w:type="dxa"/>
            <w:vAlign w:val="bottom"/>
            <w:gridSpan w:val="2"/>
          </w:tcPr>
          <w:p>
            <w:pPr>
              <w:spacing w:after="0"/>
              <w:rPr>
                <w:sz w:val="20"/>
                <w:szCs w:val="20"/>
                <w:color w:val="auto"/>
              </w:rPr>
            </w:pPr>
            <w:r>
              <w:rPr>
                <w:rFonts w:ascii="Arial" w:cs="Arial" w:eastAsia="Arial" w:hAnsi="Arial"/>
                <w:sz w:val="18"/>
                <w:szCs w:val="18"/>
                <w:color w:val="auto"/>
              </w:rPr>
              <w:t>DC</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400-3601</w:t>
            </w:r>
          </w:p>
        </w:tc>
        <w:tc>
          <w:tcPr>
            <w:tcW w:w="308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Arlington</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400-3602</w:t>
            </w:r>
          </w:p>
        </w:tc>
        <w:tc>
          <w:tcPr>
            <w:tcW w:w="308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Arlington</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400-3604</w:t>
            </w:r>
          </w:p>
        </w:tc>
        <w:tc>
          <w:tcPr>
            <w:tcW w:w="3080" w:type="dxa"/>
            <w:vAlign w:val="bottom"/>
          </w:tcPr>
          <w:p>
            <w:pPr>
              <w:spacing w:after="0"/>
              <w:rPr>
                <w:sz w:val="20"/>
                <w:szCs w:val="20"/>
                <w:color w:val="auto"/>
              </w:rPr>
            </w:pPr>
            <w:r>
              <w:rPr>
                <w:rFonts w:ascii="Arial" w:cs="Arial" w:eastAsia="Arial" w:hAnsi="Arial"/>
                <w:sz w:val="18"/>
                <w:szCs w:val="18"/>
                <w:color w:val="auto"/>
              </w:rPr>
              <w:t>Friendship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380" w:type="dxa"/>
            <w:vAlign w:val="bottom"/>
            <w:gridSpan w:val="2"/>
          </w:tcPr>
          <w:p>
            <w:pPr>
              <w:spacing w:after="0"/>
              <w:rPr>
                <w:sz w:val="20"/>
                <w:szCs w:val="20"/>
                <w:color w:val="auto"/>
              </w:rPr>
            </w:pPr>
            <w:r>
              <w:rPr>
                <w:rFonts w:ascii="Arial" w:cs="Arial" w:eastAsia="Arial" w:hAnsi="Arial"/>
                <w:sz w:val="18"/>
                <w:szCs w:val="18"/>
                <w:color w:val="auto"/>
              </w:rPr>
              <w:t>DC</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2960" w:type="dxa"/>
            <w:vAlign w:val="bottom"/>
          </w:tcPr>
          <w:p>
            <w:pPr>
              <w:spacing w:after="0"/>
              <w:rPr>
                <w:sz w:val="14"/>
                <w:szCs w:val="14"/>
                <w:color w:val="auto"/>
              </w:rPr>
            </w:pPr>
          </w:p>
        </w:tc>
      </w:tr>
      <w:tr>
        <w:trPr>
          <w:trHeight w:val="149"/>
        </w:trPr>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Multifamily/</w:t>
            </w:r>
          </w:p>
        </w:tc>
        <w:tc>
          <w:tcPr>
            <w:tcW w:w="296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5"/>
                <w:szCs w:val="15"/>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Property</w:t>
            </w:r>
          </w:p>
        </w:tc>
        <w:tc>
          <w:tcPr>
            <w:tcW w:w="1240" w:type="dxa"/>
            <w:vAlign w:val="bottom"/>
          </w:tcPr>
          <w:p>
            <w:pPr>
              <w:ind w:left="50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5"/>
                <w:szCs w:val="15"/>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2960" w:type="dxa"/>
            <w:vAlign w:val="bottom"/>
          </w:tcPr>
          <w:p>
            <w:pPr>
              <w:ind w:left="66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6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420-4300</w:t>
            </w: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14 N Fair Oaks (Pasadena)</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Pasadena</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CA</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420-4500   643-653 5th Ave (S D)</w:t>
            </w:r>
          </w:p>
        </w:tc>
        <w:tc>
          <w:tcPr>
            <w:tcW w:w="1240" w:type="dxa"/>
            <w:vAlign w:val="bottom"/>
          </w:tcPr>
          <w:p>
            <w:pPr>
              <w:spacing w:after="0"/>
              <w:rPr>
                <w:sz w:val="20"/>
                <w:szCs w:val="20"/>
                <w:color w:val="auto"/>
              </w:rPr>
            </w:pPr>
            <w:r>
              <w:rPr>
                <w:rFonts w:ascii="Arial" w:cs="Arial" w:eastAsia="Arial" w:hAnsi="Arial"/>
                <w:sz w:val="18"/>
                <w:szCs w:val="18"/>
                <w:color w:val="auto"/>
              </w:rPr>
              <w:t>San Diego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420-4502   665 5th Ave (S D)</w:t>
            </w:r>
          </w:p>
        </w:tc>
        <w:tc>
          <w:tcPr>
            <w:tcW w:w="1240" w:type="dxa"/>
            <w:vAlign w:val="bottom"/>
          </w:tcPr>
          <w:p>
            <w:pPr>
              <w:spacing w:after="0"/>
              <w:rPr>
                <w:sz w:val="20"/>
                <w:szCs w:val="20"/>
                <w:color w:val="auto"/>
              </w:rPr>
            </w:pPr>
            <w:r>
              <w:rPr>
                <w:rFonts w:ascii="Arial" w:cs="Arial" w:eastAsia="Arial" w:hAnsi="Arial"/>
                <w:sz w:val="18"/>
                <w:szCs w:val="18"/>
                <w:color w:val="auto"/>
              </w:rPr>
              <w:t>San Diego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420-4503   825-831 5th Ave (S D)</w:t>
            </w:r>
          </w:p>
        </w:tc>
        <w:tc>
          <w:tcPr>
            <w:tcW w:w="1240" w:type="dxa"/>
            <w:vAlign w:val="bottom"/>
          </w:tcPr>
          <w:p>
            <w:pPr>
              <w:spacing w:after="0"/>
              <w:rPr>
                <w:sz w:val="20"/>
                <w:szCs w:val="20"/>
                <w:color w:val="auto"/>
              </w:rPr>
            </w:pPr>
            <w:r>
              <w:rPr>
                <w:rFonts w:ascii="Arial" w:cs="Arial" w:eastAsia="Arial" w:hAnsi="Arial"/>
                <w:sz w:val="18"/>
                <w:szCs w:val="18"/>
                <w:color w:val="auto"/>
              </w:rPr>
              <w:t>San Diego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420-4700   301 Arizona/1251-1253 3rd Street</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420-4702   1225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420-4704   1337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420-4705   1343-1349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421-4701   1202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422-4706   1222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423-4200   1221-1227 Hermosa Ave (Hermosa)</w:t>
            </w:r>
          </w:p>
        </w:tc>
        <w:tc>
          <w:tcPr>
            <w:tcW w:w="1240" w:type="dxa"/>
            <w:vAlign w:val="bottom"/>
          </w:tcPr>
          <w:p>
            <w:pPr>
              <w:spacing w:after="0"/>
              <w:rPr>
                <w:sz w:val="20"/>
                <w:szCs w:val="20"/>
                <w:color w:val="auto"/>
              </w:rPr>
            </w:pPr>
            <w:r>
              <w:rPr>
                <w:rFonts w:ascii="Arial" w:cs="Arial" w:eastAsia="Arial" w:hAnsi="Arial"/>
                <w:sz w:val="18"/>
                <w:szCs w:val="18"/>
                <w:color w:val="auto"/>
                <w:w w:val="94"/>
              </w:rPr>
              <w:t>Hermosa Beach</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423-4707   1232-1240 3rd Street (Santa Monica)</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424-4301</w:t>
            </w:r>
          </w:p>
        </w:tc>
        <w:tc>
          <w:tcPr>
            <w:tcW w:w="3200" w:type="dxa"/>
            <w:vAlign w:val="bottom"/>
            <w:gridSpan w:val="2"/>
          </w:tcPr>
          <w:p>
            <w:pPr>
              <w:spacing w:after="0"/>
              <w:rPr>
                <w:sz w:val="20"/>
                <w:szCs w:val="20"/>
                <w:color w:val="auto"/>
              </w:rPr>
            </w:pPr>
            <w:r>
              <w:rPr>
                <w:rFonts w:ascii="Arial" w:cs="Arial" w:eastAsia="Arial" w:hAnsi="Arial"/>
                <w:sz w:val="18"/>
                <w:szCs w:val="18"/>
                <w:color w:val="auto"/>
              </w:rPr>
              <w:t>140-168 W Colorado</w:t>
            </w:r>
          </w:p>
        </w:tc>
        <w:tc>
          <w:tcPr>
            <w:tcW w:w="1240" w:type="dxa"/>
            <w:vAlign w:val="bottom"/>
          </w:tcPr>
          <w:p>
            <w:pPr>
              <w:spacing w:after="0"/>
              <w:rPr>
                <w:sz w:val="20"/>
                <w:szCs w:val="20"/>
                <w:color w:val="auto"/>
              </w:rPr>
            </w:pPr>
            <w:r>
              <w:rPr>
                <w:rFonts w:ascii="Arial" w:cs="Arial" w:eastAsia="Arial" w:hAnsi="Arial"/>
                <w:sz w:val="18"/>
                <w:szCs w:val="18"/>
                <w:color w:val="auto"/>
              </w:rPr>
              <w:t>Pasadena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Ground lease expires 10/31/2016</w:t>
            </w:r>
          </w:p>
        </w:tc>
      </w:tr>
      <w:tr>
        <w:trPr>
          <w:trHeight w:val="216"/>
        </w:trPr>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(Tanner Mkt)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8"/>
              </w:rPr>
              <w:t>(including option) and parking ground</w:t>
            </w:r>
          </w:p>
        </w:tc>
      </w:tr>
      <w:tr>
        <w:trPr>
          <w:trHeight w:val="216"/>
        </w:trPr>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8"/>
              </w:rPr>
              <w:t>lease expires 12/15/2014 (no option).</w:t>
            </w:r>
          </w:p>
        </w:tc>
      </w:tr>
      <w:tr>
        <w:trPr>
          <w:trHeight w:val="216"/>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425-4225</w:t>
            </w:r>
          </w:p>
        </w:tc>
        <w:tc>
          <w:tcPr>
            <w:tcW w:w="3200" w:type="dxa"/>
            <w:vAlign w:val="bottom"/>
            <w:gridSpan w:val="2"/>
          </w:tcPr>
          <w:p>
            <w:pPr>
              <w:spacing w:after="0"/>
              <w:rPr>
                <w:sz w:val="20"/>
                <w:szCs w:val="20"/>
                <w:color w:val="auto"/>
              </w:rPr>
            </w:pPr>
            <w:r>
              <w:rPr>
                <w:rFonts w:ascii="Arial" w:cs="Arial" w:eastAsia="Arial" w:hAnsi="Arial"/>
                <w:sz w:val="18"/>
                <w:szCs w:val="18"/>
                <w:color w:val="auto"/>
              </w:rPr>
              <w:t>Galaxy Bldg - Hollywood</w:t>
            </w:r>
          </w:p>
        </w:tc>
        <w:tc>
          <w:tcPr>
            <w:tcW w:w="1240" w:type="dxa"/>
            <w:vAlign w:val="bottom"/>
          </w:tcPr>
          <w:p>
            <w:pPr>
              <w:spacing w:after="0"/>
              <w:rPr>
                <w:sz w:val="20"/>
                <w:szCs w:val="20"/>
                <w:color w:val="auto"/>
              </w:rPr>
            </w:pPr>
            <w:r>
              <w:rPr>
                <w:rFonts w:ascii="Arial" w:cs="Arial" w:eastAsia="Arial" w:hAnsi="Arial"/>
                <w:sz w:val="18"/>
                <w:szCs w:val="18"/>
                <w:color w:val="auto"/>
              </w:rPr>
              <w:t>Hollywood</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Non-Controlled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425-4226   7001 Hollywood Blvd (Peterson)</w:t>
            </w:r>
          </w:p>
        </w:tc>
        <w:tc>
          <w:tcPr>
            <w:tcW w:w="1240" w:type="dxa"/>
            <w:vAlign w:val="bottom"/>
          </w:tcPr>
          <w:p>
            <w:pPr>
              <w:spacing w:after="0"/>
              <w:rPr>
                <w:sz w:val="20"/>
                <w:szCs w:val="20"/>
                <w:color w:val="auto"/>
              </w:rPr>
            </w:pPr>
            <w:r>
              <w:rPr>
                <w:rFonts w:ascii="Arial" w:cs="Arial" w:eastAsia="Arial" w:hAnsi="Arial"/>
                <w:sz w:val="18"/>
                <w:szCs w:val="18"/>
                <w:color w:val="auto"/>
              </w:rPr>
              <w:t>Hollywood</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Non-Controlled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428-4708</w:t>
            </w:r>
          </w:p>
        </w:tc>
        <w:tc>
          <w:tcPr>
            <w:tcW w:w="3200" w:type="dxa"/>
            <w:vAlign w:val="bottom"/>
            <w:gridSpan w:val="2"/>
          </w:tcPr>
          <w:p>
            <w:pPr>
              <w:spacing w:after="0"/>
              <w:rPr>
                <w:sz w:val="20"/>
                <w:szCs w:val="20"/>
                <w:color w:val="auto"/>
              </w:rPr>
            </w:pPr>
            <w:r>
              <w:rPr>
                <w:rFonts w:ascii="Arial" w:cs="Arial" w:eastAsia="Arial" w:hAnsi="Arial"/>
                <w:sz w:val="18"/>
                <w:szCs w:val="18"/>
                <w:color w:val="auto"/>
              </w:rPr>
              <w:t>214 Wilshire (SM)</w:t>
            </w:r>
          </w:p>
        </w:tc>
        <w:tc>
          <w:tcPr>
            <w:tcW w:w="1240" w:type="dxa"/>
            <w:vAlign w:val="bottom"/>
          </w:tcPr>
          <w:p>
            <w:pPr>
              <w:spacing w:after="0"/>
              <w:rPr>
                <w:sz w:val="20"/>
                <w:szCs w:val="20"/>
                <w:color w:val="auto"/>
              </w:rPr>
            </w:pPr>
            <w:r>
              <w:rPr>
                <w:rFonts w:ascii="Arial" w:cs="Arial" w:eastAsia="Arial" w:hAnsi="Arial"/>
                <w:sz w:val="18"/>
                <w:szCs w:val="18"/>
                <w:color w:val="auto"/>
              </w:rPr>
              <w:t>Santa Monica</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60" w:type="dxa"/>
            <w:vAlign w:val="bottom"/>
            <w:gridSpan w:val="2"/>
          </w:tcPr>
          <w:p>
            <w:pPr>
              <w:ind w:left="80"/>
              <w:spacing w:after="0"/>
              <w:rPr>
                <w:sz w:val="20"/>
                <w:szCs w:val="20"/>
                <w:color w:val="auto"/>
              </w:rPr>
            </w:pPr>
            <w:r>
              <w:rPr>
                <w:rFonts w:ascii="Arial" w:cs="Arial" w:eastAsia="Arial" w:hAnsi="Arial"/>
                <w:sz w:val="18"/>
                <w:szCs w:val="18"/>
                <w:color w:val="auto"/>
              </w:rPr>
              <w:t>440-5002</w:t>
            </w:r>
          </w:p>
        </w:tc>
        <w:tc>
          <w:tcPr>
            <w:tcW w:w="3200" w:type="dxa"/>
            <w:vAlign w:val="bottom"/>
            <w:gridSpan w:val="2"/>
          </w:tcPr>
          <w:p>
            <w:pPr>
              <w:spacing w:after="0"/>
              <w:rPr>
                <w:sz w:val="20"/>
                <w:szCs w:val="20"/>
                <w:color w:val="auto"/>
              </w:rPr>
            </w:pPr>
            <w:r>
              <w:rPr>
                <w:rFonts w:ascii="Arial" w:cs="Arial" w:eastAsia="Arial" w:hAnsi="Arial"/>
                <w:sz w:val="18"/>
                <w:szCs w:val="18"/>
                <w:color w:val="auto"/>
              </w:rPr>
              <w:t>108-22 Queens Blvd</w:t>
            </w:r>
          </w:p>
        </w:tc>
        <w:tc>
          <w:tcPr>
            <w:tcW w:w="1240" w:type="dxa"/>
            <w:vAlign w:val="bottom"/>
          </w:tcPr>
          <w:p>
            <w:pPr>
              <w:spacing w:after="0"/>
              <w:rPr>
                <w:sz w:val="20"/>
                <w:szCs w:val="20"/>
                <w:color w:val="auto"/>
              </w:rPr>
            </w:pPr>
            <w:r>
              <w:rPr>
                <w:rFonts w:ascii="Arial" w:cs="Arial" w:eastAsia="Arial" w:hAnsi="Arial"/>
                <w:sz w:val="18"/>
                <w:szCs w:val="18"/>
                <w:color w:val="auto"/>
              </w:rPr>
              <w:t>Forest Hills</w:t>
            </w: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(Midway Th)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450-5500   Old Town Center (Los Gatos)</w:t>
            </w:r>
          </w:p>
        </w:tc>
        <w:tc>
          <w:tcPr>
            <w:tcW w:w="1240" w:type="dxa"/>
            <w:vAlign w:val="bottom"/>
          </w:tcPr>
          <w:p>
            <w:pPr>
              <w:spacing w:after="0"/>
              <w:rPr>
                <w:sz w:val="20"/>
                <w:szCs w:val="20"/>
                <w:color w:val="auto"/>
              </w:rPr>
            </w:pPr>
            <w:r>
              <w:rPr>
                <w:rFonts w:ascii="Arial" w:cs="Arial" w:eastAsia="Arial" w:hAnsi="Arial"/>
                <w:sz w:val="18"/>
                <w:szCs w:val="18"/>
                <w:color w:val="auto"/>
              </w:rPr>
              <w:t>Los Gatos</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451-5601   301-303 E Houston St (Vogue)</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451-5602   225-233 E Houston St (Schaum)</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451-5603   St. Mary’s &amp; E. Houston</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(W Hotel)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451-5606   111 Jefferson St (Pkg Lot)</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451-5607   300-302 E Houston St (Walgreen)</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451-5608   221-223 E Houston St (Court Bl)</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451-5609   219 E Houston St (Carl)</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451-5610   311-315 E Houston St (Kress)</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4160" w:type="dxa"/>
            <w:vAlign w:val="bottom"/>
            <w:gridSpan w:val="4"/>
          </w:tcPr>
          <w:p>
            <w:pPr>
              <w:ind w:left="80"/>
              <w:spacing w:after="0"/>
              <w:rPr>
                <w:sz w:val="20"/>
                <w:szCs w:val="20"/>
                <w:color w:val="auto"/>
              </w:rPr>
            </w:pPr>
            <w:r>
              <w:rPr>
                <w:rFonts w:ascii="Arial" w:cs="Arial" w:eastAsia="Arial" w:hAnsi="Arial"/>
                <w:sz w:val="18"/>
                <w:szCs w:val="18"/>
                <w:color w:val="auto"/>
              </w:rPr>
              <w:t>451-5611   306-308 E Houston St (Stuart)</w:t>
            </w:r>
          </w:p>
        </w:tc>
        <w:tc>
          <w:tcPr>
            <w:tcW w:w="1240" w:type="dxa"/>
            <w:vAlign w:val="bottom"/>
          </w:tcPr>
          <w:p>
            <w:pPr>
              <w:spacing w:after="0"/>
              <w:rPr>
                <w:sz w:val="20"/>
                <w:szCs w:val="20"/>
                <w:color w:val="auto"/>
              </w:rPr>
            </w:pPr>
            <w:r>
              <w:rPr>
                <w:rFonts w:ascii="Arial" w:cs="Arial" w:eastAsia="Arial" w:hAnsi="Arial"/>
                <w:sz w:val="18"/>
                <w:szCs w:val="18"/>
                <w:color w:val="auto"/>
              </w:rPr>
              <w:t>San Antonio</w:t>
            </w:r>
          </w:p>
        </w:tc>
        <w:tc>
          <w:tcPr>
            <w:tcW w:w="460" w:type="dxa"/>
            <w:vAlign w:val="bottom"/>
            <w:gridSpan w:val="3"/>
          </w:tcPr>
          <w:p>
            <w:pPr>
              <w:jc w:val="center"/>
              <w:ind w:right="20"/>
              <w:spacing w:after="0"/>
              <w:rPr>
                <w:sz w:val="20"/>
                <w:szCs w:val="20"/>
                <w:color w:val="auto"/>
              </w:rPr>
            </w:pPr>
            <w:r>
              <w:rPr>
                <w:rFonts w:ascii="Arial" w:cs="Arial" w:eastAsia="Arial" w:hAnsi="Arial"/>
                <w:sz w:val="18"/>
                <w:szCs w:val="18"/>
                <w:color w:val="auto"/>
              </w:rPr>
              <w:t>TX</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2960" w:type="dxa"/>
            <w:vAlign w:val="bottom"/>
          </w:tcPr>
          <w:p>
            <w:pPr>
              <w:spacing w:after="0"/>
              <w:rPr>
                <w:sz w:val="14"/>
                <w:szCs w:val="14"/>
                <w:color w:val="auto"/>
              </w:rPr>
            </w:pPr>
          </w:p>
        </w:tc>
      </w:tr>
      <w:tr>
        <w:trPr>
          <w:trHeight w:val="149"/>
        </w:trPr>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Multifamily/</w:t>
            </w:r>
          </w:p>
        </w:tc>
        <w:tc>
          <w:tcPr>
            <w:tcW w:w="296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5"/>
                <w:szCs w:val="15"/>
                <w:color w:val="auto"/>
              </w:rPr>
            </w:pPr>
          </w:p>
        </w:tc>
        <w:tc>
          <w:tcPr>
            <w:tcW w:w="3180" w:type="dxa"/>
            <w:vAlign w:val="bottom"/>
            <w:gridSpan w:val="2"/>
          </w:tcPr>
          <w:p>
            <w:pPr>
              <w:ind w:left="1280"/>
              <w:spacing w:after="0"/>
              <w:rPr>
                <w:sz w:val="20"/>
                <w:szCs w:val="20"/>
                <w:color w:val="auto"/>
              </w:rPr>
            </w:pPr>
            <w:r>
              <w:rPr>
                <w:rFonts w:ascii="Arial" w:cs="Arial" w:eastAsia="Arial" w:hAnsi="Arial"/>
                <w:sz w:val="14"/>
                <w:szCs w:val="14"/>
                <w:b w:val="1"/>
                <w:bCs w:val="1"/>
                <w:color w:val="auto"/>
              </w:rPr>
              <w:t>Property</w:t>
            </w:r>
          </w:p>
        </w:tc>
        <w:tc>
          <w:tcPr>
            <w:tcW w:w="1240" w:type="dxa"/>
            <w:vAlign w:val="bottom"/>
          </w:tcPr>
          <w:p>
            <w:pPr>
              <w:ind w:left="500"/>
              <w:spacing w:after="0"/>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2960" w:type="dxa"/>
            <w:vAlign w:val="bottom"/>
          </w:tcPr>
          <w:p>
            <w:pPr>
              <w:ind w:left="66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490-1085</w:t>
            </w: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Courthouse Center</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Controlled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490-1400</w:t>
            </w:r>
          </w:p>
        </w:tc>
        <w:tc>
          <w:tcPr>
            <w:tcW w:w="3180" w:type="dxa"/>
            <w:vAlign w:val="bottom"/>
            <w:gridSpan w:val="2"/>
          </w:tcPr>
          <w:p>
            <w:pPr>
              <w:spacing w:after="0"/>
              <w:rPr>
                <w:sz w:val="20"/>
                <w:szCs w:val="20"/>
                <w:color w:val="auto"/>
              </w:rPr>
            </w:pPr>
            <w:r>
              <w:rPr>
                <w:rFonts w:ascii="Arial" w:cs="Arial" w:eastAsia="Arial" w:hAnsi="Arial"/>
                <w:sz w:val="18"/>
                <w:szCs w:val="18"/>
                <w:color w:val="auto"/>
              </w:rPr>
              <w:t>Kings Court</w:t>
            </w:r>
          </w:p>
        </w:tc>
        <w:tc>
          <w:tcPr>
            <w:tcW w:w="1240" w:type="dxa"/>
            <w:vAlign w:val="bottom"/>
          </w:tcPr>
          <w:p>
            <w:pPr>
              <w:spacing w:after="0"/>
              <w:rPr>
                <w:sz w:val="20"/>
                <w:szCs w:val="20"/>
                <w:color w:val="auto"/>
              </w:rPr>
            </w:pPr>
            <w:r>
              <w:rPr>
                <w:rFonts w:ascii="Arial" w:cs="Arial" w:eastAsia="Arial" w:hAnsi="Arial"/>
                <w:sz w:val="18"/>
                <w:szCs w:val="18"/>
                <w:color w:val="auto"/>
              </w:rPr>
              <w:t>Los Gatos</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w w:val="99"/>
              </w:rPr>
              <w:t>Owned pursuant to ground lease that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expires 7/31/2024.</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490-1720</w:t>
            </w:r>
          </w:p>
        </w:tc>
        <w:tc>
          <w:tcPr>
            <w:tcW w:w="3180" w:type="dxa"/>
            <w:vAlign w:val="bottom"/>
            <w:gridSpan w:val="2"/>
          </w:tcPr>
          <w:p>
            <w:pPr>
              <w:spacing w:after="0"/>
              <w:rPr>
                <w:sz w:val="20"/>
                <w:szCs w:val="20"/>
                <w:color w:val="auto"/>
              </w:rPr>
            </w:pPr>
            <w:r>
              <w:rPr>
                <w:rFonts w:ascii="Arial" w:cs="Arial" w:eastAsia="Arial" w:hAnsi="Arial"/>
                <w:sz w:val="18"/>
                <w:szCs w:val="18"/>
                <w:color w:val="auto"/>
              </w:rPr>
              <w:t>South Valley</w:t>
            </w:r>
          </w:p>
        </w:tc>
        <w:tc>
          <w:tcPr>
            <w:tcW w:w="1240" w:type="dxa"/>
            <w:vAlign w:val="bottom"/>
          </w:tcPr>
          <w:p>
            <w:pPr>
              <w:spacing w:after="0"/>
              <w:rPr>
                <w:sz w:val="20"/>
                <w:szCs w:val="20"/>
                <w:color w:val="auto"/>
              </w:rPr>
            </w:pPr>
            <w:r>
              <w:rPr>
                <w:rFonts w:ascii="Arial" w:cs="Arial" w:eastAsia="Arial" w:hAnsi="Arial"/>
                <w:sz w:val="18"/>
                <w:szCs w:val="18"/>
                <w:color w:val="auto"/>
              </w:rPr>
              <w:t>Alexandria</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Controlled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500-1010  Bala Cynwyd Shopping Center</w:t>
            </w:r>
          </w:p>
        </w:tc>
        <w:tc>
          <w:tcPr>
            <w:tcW w:w="1240" w:type="dxa"/>
            <w:vAlign w:val="bottom"/>
          </w:tcPr>
          <w:p>
            <w:pPr>
              <w:spacing w:after="0"/>
              <w:rPr>
                <w:sz w:val="20"/>
                <w:szCs w:val="20"/>
                <w:color w:val="auto"/>
              </w:rPr>
            </w:pPr>
            <w:r>
              <w:rPr>
                <w:rFonts w:ascii="Arial" w:cs="Arial" w:eastAsia="Arial" w:hAnsi="Arial"/>
                <w:sz w:val="18"/>
                <w:szCs w:val="18"/>
                <w:color w:val="auto"/>
              </w:rPr>
              <w:t>Bala Cynwyd</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500-1050</w:t>
            </w:r>
          </w:p>
        </w:tc>
        <w:tc>
          <w:tcPr>
            <w:tcW w:w="3180" w:type="dxa"/>
            <w:vAlign w:val="bottom"/>
            <w:gridSpan w:val="2"/>
          </w:tcPr>
          <w:p>
            <w:pPr>
              <w:spacing w:after="0"/>
              <w:rPr>
                <w:sz w:val="20"/>
                <w:szCs w:val="20"/>
                <w:color w:val="auto"/>
              </w:rPr>
            </w:pPr>
            <w:r>
              <w:rPr>
                <w:rFonts w:ascii="Arial" w:cs="Arial" w:eastAsia="Arial" w:hAnsi="Arial"/>
                <w:sz w:val="18"/>
                <w:szCs w:val="18"/>
                <w:color w:val="auto"/>
              </w:rPr>
              <w:t>Bristol Plaza</w:t>
            </w:r>
          </w:p>
        </w:tc>
        <w:tc>
          <w:tcPr>
            <w:tcW w:w="1240" w:type="dxa"/>
            <w:vAlign w:val="bottom"/>
          </w:tcPr>
          <w:p>
            <w:pPr>
              <w:spacing w:after="0"/>
              <w:rPr>
                <w:sz w:val="20"/>
                <w:szCs w:val="20"/>
                <w:color w:val="auto"/>
              </w:rPr>
            </w:pPr>
            <w:r>
              <w:rPr>
                <w:rFonts w:ascii="Arial" w:cs="Arial" w:eastAsia="Arial" w:hAnsi="Arial"/>
                <w:sz w:val="18"/>
                <w:szCs w:val="18"/>
                <w:color w:val="auto"/>
              </w:rPr>
              <w:t>Bristol</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CT</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500-1090</w:t>
            </w:r>
          </w:p>
        </w:tc>
        <w:tc>
          <w:tcPr>
            <w:tcW w:w="3180" w:type="dxa"/>
            <w:vAlign w:val="bottom"/>
            <w:gridSpan w:val="2"/>
          </w:tcPr>
          <w:p>
            <w:pPr>
              <w:spacing w:after="0"/>
              <w:rPr>
                <w:sz w:val="20"/>
                <w:szCs w:val="20"/>
                <w:color w:val="auto"/>
              </w:rPr>
            </w:pPr>
            <w:r>
              <w:rPr>
                <w:rFonts w:ascii="Arial" w:cs="Arial" w:eastAsia="Arial" w:hAnsi="Arial"/>
                <w:sz w:val="18"/>
                <w:szCs w:val="18"/>
                <w:color w:val="auto"/>
              </w:rPr>
              <w:t>Crossroads Shopping Center</w:t>
            </w:r>
          </w:p>
        </w:tc>
        <w:tc>
          <w:tcPr>
            <w:tcW w:w="1240" w:type="dxa"/>
            <w:vAlign w:val="bottom"/>
          </w:tcPr>
          <w:p>
            <w:pPr>
              <w:spacing w:after="0"/>
              <w:rPr>
                <w:sz w:val="20"/>
                <w:szCs w:val="20"/>
                <w:color w:val="auto"/>
              </w:rPr>
            </w:pPr>
            <w:r>
              <w:rPr>
                <w:rFonts w:ascii="Arial" w:cs="Arial" w:eastAsia="Arial" w:hAnsi="Arial"/>
                <w:sz w:val="18"/>
                <w:szCs w:val="18"/>
                <w:color w:val="auto"/>
              </w:rPr>
              <w:t>Highland Park</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IL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500-1097</w:t>
            </w:r>
          </w:p>
        </w:tc>
        <w:tc>
          <w:tcPr>
            <w:tcW w:w="3180" w:type="dxa"/>
            <w:vAlign w:val="bottom"/>
            <w:gridSpan w:val="2"/>
          </w:tcPr>
          <w:p>
            <w:pPr>
              <w:spacing w:after="0"/>
              <w:rPr>
                <w:sz w:val="20"/>
                <w:szCs w:val="20"/>
                <w:color w:val="auto"/>
              </w:rPr>
            </w:pPr>
            <w:r>
              <w:rPr>
                <w:rFonts w:ascii="Arial" w:cs="Arial" w:eastAsia="Arial" w:hAnsi="Arial"/>
                <w:sz w:val="18"/>
                <w:szCs w:val="18"/>
                <w:color w:val="auto"/>
              </w:rPr>
              <w:t>Crow Canyon Crest</w:t>
            </w:r>
          </w:p>
        </w:tc>
        <w:tc>
          <w:tcPr>
            <w:tcW w:w="1240" w:type="dxa"/>
            <w:vAlign w:val="bottom"/>
          </w:tcPr>
          <w:p>
            <w:pPr>
              <w:spacing w:after="0"/>
              <w:rPr>
                <w:sz w:val="20"/>
                <w:szCs w:val="20"/>
                <w:color w:val="auto"/>
              </w:rPr>
            </w:pPr>
            <w:r>
              <w:rPr>
                <w:rFonts w:ascii="Arial" w:cs="Arial" w:eastAsia="Arial" w:hAnsi="Arial"/>
                <w:sz w:val="18"/>
                <w:szCs w:val="18"/>
                <w:color w:val="auto"/>
              </w:rPr>
              <w:t>San Ramon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CA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80"/>
              <w:spacing w:after="0"/>
              <w:rPr>
                <w:sz w:val="20"/>
                <w:szCs w:val="20"/>
                <w:color w:val="auto"/>
              </w:rPr>
            </w:pPr>
            <w:r>
              <w:rPr>
                <w:rFonts w:ascii="Arial" w:cs="Arial" w:eastAsia="Arial" w:hAnsi="Arial"/>
                <w:sz w:val="18"/>
                <w:szCs w:val="18"/>
                <w:color w:val="auto"/>
              </w:rPr>
              <w:t>500-1125</w:t>
            </w:r>
          </w:p>
        </w:tc>
        <w:tc>
          <w:tcPr>
            <w:tcW w:w="3180" w:type="dxa"/>
            <w:vAlign w:val="bottom"/>
            <w:gridSpan w:val="2"/>
          </w:tcPr>
          <w:p>
            <w:pPr>
              <w:spacing w:after="0"/>
              <w:rPr>
                <w:sz w:val="20"/>
                <w:szCs w:val="20"/>
                <w:color w:val="auto"/>
              </w:rPr>
            </w:pPr>
            <w:r>
              <w:rPr>
                <w:rFonts w:ascii="Arial" w:cs="Arial" w:eastAsia="Arial" w:hAnsi="Arial"/>
                <w:sz w:val="18"/>
                <w:szCs w:val="18"/>
                <w:color w:val="auto"/>
              </w:rPr>
              <w:t>Dedham Plaza</w:t>
            </w:r>
          </w:p>
        </w:tc>
        <w:tc>
          <w:tcPr>
            <w:tcW w:w="1240" w:type="dxa"/>
            <w:vAlign w:val="bottom"/>
          </w:tcPr>
          <w:p>
            <w:pPr>
              <w:spacing w:after="0"/>
              <w:rPr>
                <w:sz w:val="20"/>
                <w:szCs w:val="20"/>
                <w:color w:val="auto"/>
              </w:rPr>
            </w:pPr>
            <w:r>
              <w:rPr>
                <w:rFonts w:ascii="Arial" w:cs="Arial" w:eastAsia="Arial" w:hAnsi="Arial"/>
                <w:sz w:val="18"/>
                <w:szCs w:val="18"/>
                <w:color w:val="auto"/>
              </w:rPr>
              <w:t>Dedham</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80"/>
              <w:spacing w:after="0"/>
              <w:rPr>
                <w:sz w:val="20"/>
                <w:szCs w:val="20"/>
                <w:color w:val="auto"/>
              </w:rPr>
            </w:pPr>
            <w:r>
              <w:rPr>
                <w:rFonts w:ascii="Arial" w:cs="Arial" w:eastAsia="Arial" w:hAnsi="Arial"/>
                <w:sz w:val="18"/>
                <w:szCs w:val="18"/>
                <w:color w:val="auto"/>
              </w:rPr>
              <w:t>500-1160</w:t>
            </w:r>
          </w:p>
        </w:tc>
        <w:tc>
          <w:tcPr>
            <w:tcW w:w="3180" w:type="dxa"/>
            <w:vAlign w:val="bottom"/>
            <w:gridSpan w:val="2"/>
          </w:tcPr>
          <w:p>
            <w:pPr>
              <w:spacing w:after="0"/>
              <w:rPr>
                <w:sz w:val="20"/>
                <w:szCs w:val="20"/>
                <w:color w:val="auto"/>
              </w:rPr>
            </w:pPr>
            <w:r>
              <w:rPr>
                <w:rFonts w:ascii="Arial" w:cs="Arial" w:eastAsia="Arial" w:hAnsi="Arial"/>
                <w:sz w:val="18"/>
                <w:szCs w:val="18"/>
                <w:color w:val="auto"/>
              </w:rPr>
              <w:t>Eastgate Shopping Center</w:t>
            </w:r>
          </w:p>
        </w:tc>
        <w:tc>
          <w:tcPr>
            <w:tcW w:w="1240" w:type="dxa"/>
            <w:vAlign w:val="bottom"/>
          </w:tcPr>
          <w:p>
            <w:pPr>
              <w:spacing w:after="0"/>
              <w:rPr>
                <w:sz w:val="20"/>
                <w:szCs w:val="20"/>
                <w:color w:val="auto"/>
              </w:rPr>
            </w:pPr>
            <w:r>
              <w:rPr>
                <w:rFonts w:ascii="Arial" w:cs="Arial" w:eastAsia="Arial" w:hAnsi="Arial"/>
                <w:sz w:val="18"/>
                <w:szCs w:val="18"/>
                <w:color w:val="auto"/>
              </w:rPr>
              <w:t>Chapel Hill</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NC</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80"/>
              <w:spacing w:after="0"/>
              <w:rPr>
                <w:sz w:val="20"/>
                <w:szCs w:val="20"/>
                <w:color w:val="auto"/>
              </w:rPr>
            </w:pPr>
            <w:r>
              <w:rPr>
                <w:rFonts w:ascii="Arial" w:cs="Arial" w:eastAsia="Arial" w:hAnsi="Arial"/>
                <w:sz w:val="18"/>
                <w:szCs w:val="18"/>
                <w:color w:val="auto"/>
              </w:rPr>
              <w:t>500-1180  Ellisburg Circle Shopping Center</w:t>
            </w:r>
          </w:p>
        </w:tc>
        <w:tc>
          <w:tcPr>
            <w:tcW w:w="1240" w:type="dxa"/>
            <w:vAlign w:val="bottom"/>
          </w:tcPr>
          <w:p>
            <w:pPr>
              <w:spacing w:after="0"/>
              <w:rPr>
                <w:sz w:val="20"/>
                <w:szCs w:val="20"/>
                <w:color w:val="auto"/>
              </w:rPr>
            </w:pPr>
            <w:r>
              <w:rPr>
                <w:rFonts w:ascii="Arial" w:cs="Arial" w:eastAsia="Arial" w:hAnsi="Arial"/>
                <w:sz w:val="18"/>
                <w:szCs w:val="18"/>
                <w:color w:val="auto"/>
              </w:rPr>
              <w:t>Cherry Hill</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NJ</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500-1200  Falls Plaza Shopping Center</w:t>
            </w:r>
          </w:p>
        </w:tc>
        <w:tc>
          <w:tcPr>
            <w:tcW w:w="1240" w:type="dxa"/>
            <w:vAlign w:val="bottom"/>
          </w:tcPr>
          <w:p>
            <w:pPr>
              <w:spacing w:after="0"/>
              <w:rPr>
                <w:sz w:val="20"/>
                <w:szCs w:val="20"/>
                <w:color w:val="auto"/>
              </w:rPr>
            </w:pPr>
            <w:r>
              <w:rPr>
                <w:rFonts w:ascii="Arial" w:cs="Arial" w:eastAsia="Arial" w:hAnsi="Arial"/>
                <w:sz w:val="18"/>
                <w:szCs w:val="18"/>
                <w:color w:val="auto"/>
              </w:rPr>
              <w:t>Falls Church</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500-1202</w:t>
            </w:r>
          </w:p>
        </w:tc>
        <w:tc>
          <w:tcPr>
            <w:tcW w:w="3180" w:type="dxa"/>
            <w:vAlign w:val="bottom"/>
            <w:gridSpan w:val="2"/>
          </w:tcPr>
          <w:p>
            <w:pPr>
              <w:spacing w:after="0"/>
              <w:rPr>
                <w:sz w:val="20"/>
                <w:szCs w:val="20"/>
                <w:color w:val="auto"/>
              </w:rPr>
            </w:pPr>
            <w:r>
              <w:rPr>
                <w:rFonts w:ascii="Arial" w:cs="Arial" w:eastAsia="Arial" w:hAnsi="Arial"/>
                <w:sz w:val="18"/>
                <w:szCs w:val="18"/>
                <w:color w:val="auto"/>
              </w:rPr>
              <w:t>Flourtown Shopping Center</w:t>
            </w:r>
          </w:p>
        </w:tc>
        <w:tc>
          <w:tcPr>
            <w:tcW w:w="1240" w:type="dxa"/>
            <w:vAlign w:val="bottom"/>
          </w:tcPr>
          <w:p>
            <w:pPr>
              <w:spacing w:after="0"/>
              <w:rPr>
                <w:sz w:val="20"/>
                <w:szCs w:val="20"/>
                <w:color w:val="auto"/>
              </w:rPr>
            </w:pPr>
            <w:r>
              <w:rPr>
                <w:rFonts w:ascii="Arial" w:cs="Arial" w:eastAsia="Arial" w:hAnsi="Arial"/>
                <w:sz w:val="18"/>
                <w:szCs w:val="18"/>
                <w:color w:val="auto"/>
              </w:rPr>
              <w:t>Flourtown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500-1217  Finley Square Shopping Center</w:t>
            </w:r>
          </w:p>
        </w:tc>
        <w:tc>
          <w:tcPr>
            <w:tcW w:w="1240" w:type="dxa"/>
            <w:vAlign w:val="bottom"/>
          </w:tcPr>
          <w:p>
            <w:pPr>
              <w:spacing w:after="0"/>
              <w:rPr>
                <w:sz w:val="20"/>
                <w:szCs w:val="20"/>
                <w:color w:val="auto"/>
              </w:rPr>
            </w:pPr>
            <w:r>
              <w:rPr>
                <w:rFonts w:ascii="Arial" w:cs="Arial" w:eastAsia="Arial" w:hAnsi="Arial"/>
                <w:sz w:val="18"/>
                <w:szCs w:val="18"/>
                <w:color w:val="auto"/>
                <w:w w:val="97"/>
              </w:rPr>
              <w:t>Downers Grove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IL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500-1220</w:t>
            </w:r>
          </w:p>
        </w:tc>
        <w:tc>
          <w:tcPr>
            <w:tcW w:w="3180" w:type="dxa"/>
            <w:vAlign w:val="bottom"/>
            <w:gridSpan w:val="2"/>
          </w:tcPr>
          <w:p>
            <w:pPr>
              <w:spacing w:after="0"/>
              <w:rPr>
                <w:sz w:val="20"/>
                <w:szCs w:val="20"/>
                <w:color w:val="auto"/>
              </w:rPr>
            </w:pPr>
            <w:r>
              <w:rPr>
                <w:rFonts w:ascii="Arial" w:cs="Arial" w:eastAsia="Arial" w:hAnsi="Arial"/>
                <w:sz w:val="18"/>
                <w:szCs w:val="18"/>
                <w:color w:val="auto"/>
              </w:rPr>
              <w:t>Gratiot Plaza</w:t>
            </w:r>
          </w:p>
        </w:tc>
        <w:tc>
          <w:tcPr>
            <w:tcW w:w="1240" w:type="dxa"/>
            <w:vAlign w:val="bottom"/>
          </w:tcPr>
          <w:p>
            <w:pPr>
              <w:spacing w:after="0"/>
              <w:rPr>
                <w:sz w:val="20"/>
                <w:szCs w:val="20"/>
                <w:color w:val="auto"/>
              </w:rPr>
            </w:pPr>
            <w:r>
              <w:rPr>
                <w:rFonts w:ascii="Arial" w:cs="Arial" w:eastAsia="Arial" w:hAnsi="Arial"/>
                <w:sz w:val="18"/>
                <w:szCs w:val="18"/>
                <w:color w:val="auto"/>
              </w:rPr>
              <w:t>Roseville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MI</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500-1235  Gaithersburg Square Shopping Center</w:t>
            </w:r>
          </w:p>
        </w:tc>
        <w:tc>
          <w:tcPr>
            <w:tcW w:w="1240" w:type="dxa"/>
            <w:vAlign w:val="bottom"/>
          </w:tcPr>
          <w:p>
            <w:pPr>
              <w:spacing w:after="0"/>
              <w:rPr>
                <w:sz w:val="20"/>
                <w:szCs w:val="20"/>
                <w:color w:val="auto"/>
              </w:rPr>
            </w:pPr>
            <w:r>
              <w:rPr>
                <w:rFonts w:ascii="Arial" w:cs="Arial" w:eastAsia="Arial" w:hAnsi="Arial"/>
                <w:sz w:val="18"/>
                <w:szCs w:val="18"/>
                <w:color w:val="auto"/>
              </w:rPr>
              <w:t>Gaithersburg</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500-1236  Gaithersburg Square Office Bld</w:t>
            </w:r>
          </w:p>
        </w:tc>
        <w:tc>
          <w:tcPr>
            <w:tcW w:w="1240" w:type="dxa"/>
            <w:vAlign w:val="bottom"/>
          </w:tcPr>
          <w:p>
            <w:pPr>
              <w:spacing w:after="0"/>
              <w:rPr>
                <w:sz w:val="20"/>
                <w:szCs w:val="20"/>
                <w:color w:val="auto"/>
              </w:rPr>
            </w:pPr>
            <w:r>
              <w:rPr>
                <w:rFonts w:ascii="Arial" w:cs="Arial" w:eastAsia="Arial" w:hAnsi="Arial"/>
                <w:sz w:val="18"/>
                <w:szCs w:val="18"/>
                <w:color w:val="auto"/>
              </w:rPr>
              <w:t>Gaithersburg</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500-1245  Garden Market Shopping Center</w:t>
            </w:r>
          </w:p>
        </w:tc>
        <w:tc>
          <w:tcPr>
            <w:tcW w:w="1240" w:type="dxa"/>
            <w:vAlign w:val="bottom"/>
          </w:tcPr>
          <w:p>
            <w:pPr>
              <w:spacing w:after="0"/>
              <w:rPr>
                <w:sz w:val="20"/>
                <w:szCs w:val="20"/>
                <w:color w:val="auto"/>
              </w:rPr>
            </w:pPr>
            <w:r>
              <w:rPr>
                <w:rFonts w:ascii="Arial" w:cs="Arial" w:eastAsia="Arial" w:hAnsi="Arial"/>
                <w:sz w:val="18"/>
                <w:szCs w:val="18"/>
                <w:color w:val="auto"/>
                <w:w w:val="91"/>
              </w:rPr>
              <w:t>Western Springs</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IL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500-1326</w:t>
            </w:r>
          </w:p>
        </w:tc>
        <w:tc>
          <w:tcPr>
            <w:tcW w:w="3180" w:type="dxa"/>
            <w:vAlign w:val="bottom"/>
            <w:gridSpan w:val="2"/>
          </w:tcPr>
          <w:p>
            <w:pPr>
              <w:spacing w:after="0"/>
              <w:rPr>
                <w:sz w:val="20"/>
                <w:szCs w:val="20"/>
                <w:color w:val="auto"/>
              </w:rPr>
            </w:pPr>
            <w:r>
              <w:rPr>
                <w:rFonts w:ascii="Arial" w:cs="Arial" w:eastAsia="Arial" w:hAnsi="Arial"/>
                <w:sz w:val="18"/>
                <w:szCs w:val="18"/>
                <w:color w:val="auto"/>
              </w:rPr>
              <w:t>Huntington Shopping Center</w:t>
            </w:r>
          </w:p>
        </w:tc>
        <w:tc>
          <w:tcPr>
            <w:tcW w:w="1240" w:type="dxa"/>
            <w:vAlign w:val="bottom"/>
          </w:tcPr>
          <w:p>
            <w:pPr>
              <w:spacing w:after="0"/>
              <w:rPr>
                <w:sz w:val="20"/>
                <w:szCs w:val="20"/>
                <w:color w:val="auto"/>
              </w:rPr>
            </w:pPr>
            <w:r>
              <w:rPr>
                <w:rFonts w:ascii="Arial" w:cs="Arial" w:eastAsia="Arial" w:hAnsi="Arial"/>
                <w:sz w:val="18"/>
                <w:szCs w:val="18"/>
                <w:color w:val="auto"/>
              </w:rPr>
              <w:t>Huntington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NY</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500-1440</w:t>
            </w:r>
          </w:p>
        </w:tc>
        <w:tc>
          <w:tcPr>
            <w:tcW w:w="3180" w:type="dxa"/>
            <w:vAlign w:val="bottom"/>
            <w:gridSpan w:val="2"/>
          </w:tcPr>
          <w:p>
            <w:pPr>
              <w:spacing w:after="0"/>
              <w:rPr>
                <w:sz w:val="20"/>
                <w:szCs w:val="20"/>
                <w:color w:val="auto"/>
              </w:rPr>
            </w:pPr>
            <w:r>
              <w:rPr>
                <w:rFonts w:ascii="Arial" w:cs="Arial" w:eastAsia="Arial" w:hAnsi="Arial"/>
                <w:sz w:val="18"/>
                <w:szCs w:val="18"/>
                <w:color w:val="auto"/>
              </w:rPr>
              <w:t>Lancaster Shopping Center</w:t>
            </w:r>
          </w:p>
        </w:tc>
        <w:tc>
          <w:tcPr>
            <w:tcW w:w="1240" w:type="dxa"/>
            <w:vAlign w:val="bottom"/>
          </w:tcPr>
          <w:p>
            <w:pPr>
              <w:spacing w:after="0"/>
              <w:rPr>
                <w:sz w:val="20"/>
                <w:szCs w:val="20"/>
                <w:color w:val="auto"/>
              </w:rPr>
            </w:pPr>
            <w:r>
              <w:rPr>
                <w:rFonts w:ascii="Arial" w:cs="Arial" w:eastAsia="Arial" w:hAnsi="Arial"/>
                <w:sz w:val="18"/>
                <w:szCs w:val="18"/>
                <w:color w:val="auto"/>
              </w:rPr>
              <w:t>Lancaster</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w w:val="87"/>
              </w:rPr>
              <w:t>Shopping center lease expires 3/27/17 but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has 12 remaining 5-year extension</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options.</w:t>
            </w:r>
          </w:p>
        </w:tc>
      </w:tr>
      <w:tr>
        <w:trPr>
          <w:trHeight w:val="216"/>
        </w:trPr>
        <w:tc>
          <w:tcPr>
            <w:tcW w:w="4120" w:type="dxa"/>
            <w:vAlign w:val="bottom"/>
            <w:gridSpan w:val="4"/>
          </w:tcPr>
          <w:p>
            <w:pPr>
              <w:ind w:left="60"/>
              <w:spacing w:after="0"/>
              <w:rPr>
                <w:sz w:val="20"/>
                <w:szCs w:val="20"/>
                <w:color w:val="auto"/>
              </w:rPr>
            </w:pPr>
            <w:r>
              <w:rPr>
                <w:rFonts w:ascii="Arial" w:cs="Arial" w:eastAsia="Arial" w:hAnsi="Arial"/>
                <w:sz w:val="18"/>
                <w:szCs w:val="18"/>
                <w:color w:val="auto"/>
              </w:rPr>
              <w:t>500-1441  Langhorne Square S C</w:t>
            </w:r>
          </w:p>
        </w:tc>
        <w:tc>
          <w:tcPr>
            <w:tcW w:w="1240" w:type="dxa"/>
            <w:vAlign w:val="bottom"/>
          </w:tcPr>
          <w:p>
            <w:pPr>
              <w:spacing w:after="0"/>
              <w:rPr>
                <w:sz w:val="20"/>
                <w:szCs w:val="20"/>
                <w:color w:val="auto"/>
              </w:rPr>
            </w:pPr>
            <w:r>
              <w:rPr>
                <w:rFonts w:ascii="Arial" w:cs="Arial" w:eastAsia="Arial" w:hAnsi="Arial"/>
                <w:sz w:val="18"/>
                <w:szCs w:val="18"/>
                <w:color w:val="auto"/>
              </w:rPr>
              <w:t>Levittown</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500-1443</w:t>
            </w:r>
          </w:p>
        </w:tc>
        <w:tc>
          <w:tcPr>
            <w:tcW w:w="3180" w:type="dxa"/>
            <w:vAlign w:val="bottom"/>
            <w:gridSpan w:val="2"/>
          </w:tcPr>
          <w:p>
            <w:pPr>
              <w:spacing w:after="0"/>
              <w:rPr>
                <w:sz w:val="20"/>
                <w:szCs w:val="20"/>
                <w:color w:val="auto"/>
              </w:rPr>
            </w:pPr>
            <w:r>
              <w:rPr>
                <w:rFonts w:ascii="Arial" w:cs="Arial" w:eastAsia="Arial" w:hAnsi="Arial"/>
                <w:sz w:val="18"/>
                <w:szCs w:val="18"/>
                <w:color w:val="auto"/>
              </w:rPr>
              <w:t>Laurel Shopping Center</w:t>
            </w:r>
          </w:p>
        </w:tc>
        <w:tc>
          <w:tcPr>
            <w:tcW w:w="1240" w:type="dxa"/>
            <w:vAlign w:val="bottom"/>
          </w:tcPr>
          <w:p>
            <w:pPr>
              <w:spacing w:after="0"/>
              <w:rPr>
                <w:sz w:val="20"/>
                <w:szCs w:val="20"/>
                <w:color w:val="auto"/>
              </w:rPr>
            </w:pPr>
            <w:r>
              <w:rPr>
                <w:rFonts w:ascii="Arial" w:cs="Arial" w:eastAsia="Arial" w:hAnsi="Arial"/>
                <w:sz w:val="18"/>
                <w:szCs w:val="18"/>
                <w:color w:val="auto"/>
              </w:rPr>
              <w:t>Laurel</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500-1475</w:t>
            </w:r>
          </w:p>
        </w:tc>
        <w:tc>
          <w:tcPr>
            <w:tcW w:w="3180" w:type="dxa"/>
            <w:vAlign w:val="bottom"/>
            <w:gridSpan w:val="2"/>
          </w:tcPr>
          <w:p>
            <w:pPr>
              <w:spacing w:after="0"/>
              <w:rPr>
                <w:sz w:val="20"/>
                <w:szCs w:val="20"/>
                <w:color w:val="auto"/>
              </w:rPr>
            </w:pPr>
            <w:r>
              <w:rPr>
                <w:rFonts w:ascii="Arial" w:cs="Arial" w:eastAsia="Arial" w:hAnsi="Arial"/>
                <w:sz w:val="18"/>
                <w:szCs w:val="18"/>
                <w:color w:val="auto"/>
              </w:rPr>
              <w:t>Mercer Mall</w:t>
            </w:r>
          </w:p>
        </w:tc>
        <w:tc>
          <w:tcPr>
            <w:tcW w:w="1240" w:type="dxa"/>
            <w:vAlign w:val="bottom"/>
          </w:tcPr>
          <w:p>
            <w:pPr>
              <w:spacing w:after="0"/>
              <w:rPr>
                <w:sz w:val="20"/>
                <w:szCs w:val="20"/>
                <w:color w:val="auto"/>
              </w:rPr>
            </w:pPr>
            <w:r>
              <w:rPr>
                <w:rFonts w:ascii="Arial" w:cs="Arial" w:eastAsia="Arial" w:hAnsi="Arial"/>
                <w:sz w:val="18"/>
                <w:szCs w:val="18"/>
                <w:color w:val="auto"/>
              </w:rPr>
              <w:t>Lawrenceville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NJ</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w w:val="99"/>
              </w:rPr>
              <w:t>Owned pursuant to ground lease that</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3"/>
              </w:rPr>
              <w:t>expires 9/30/2028 with an option for the</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89"/>
              </w:rPr>
              <w:t>tenant to purchase the property at a fixed</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price.</w:t>
            </w:r>
          </w:p>
        </w:tc>
      </w:tr>
      <w:tr>
        <w:trPr>
          <w:trHeight w:val="222"/>
        </w:trPr>
        <w:tc>
          <w:tcPr>
            <w:tcW w:w="940" w:type="dxa"/>
            <w:vAlign w:val="bottom"/>
            <w:gridSpan w:val="2"/>
          </w:tcPr>
          <w:p>
            <w:pPr>
              <w:ind w:left="60"/>
              <w:spacing w:after="0"/>
              <w:rPr>
                <w:sz w:val="20"/>
                <w:szCs w:val="20"/>
                <w:color w:val="auto"/>
              </w:rPr>
            </w:pPr>
            <w:r>
              <w:rPr>
                <w:rFonts w:ascii="Arial" w:cs="Arial" w:eastAsia="Arial" w:hAnsi="Arial"/>
                <w:sz w:val="18"/>
                <w:szCs w:val="18"/>
                <w:color w:val="auto"/>
              </w:rPr>
              <w:t>500-1476</w:t>
            </w:r>
          </w:p>
        </w:tc>
        <w:tc>
          <w:tcPr>
            <w:tcW w:w="3180" w:type="dxa"/>
            <w:vAlign w:val="bottom"/>
            <w:gridSpan w:val="2"/>
          </w:tcPr>
          <w:p>
            <w:pPr>
              <w:spacing w:after="0"/>
              <w:rPr>
                <w:sz w:val="20"/>
                <w:szCs w:val="20"/>
                <w:color w:val="auto"/>
              </w:rPr>
            </w:pPr>
            <w:r>
              <w:rPr>
                <w:rFonts w:ascii="Arial" w:cs="Arial" w:eastAsia="Arial" w:hAnsi="Arial"/>
                <w:sz w:val="18"/>
                <w:szCs w:val="18"/>
                <w:color w:val="auto"/>
              </w:rPr>
              <w:t>Mercer Mall - Loupinski/Moore</w:t>
            </w:r>
          </w:p>
        </w:tc>
        <w:tc>
          <w:tcPr>
            <w:tcW w:w="1240" w:type="dxa"/>
            <w:vAlign w:val="bottom"/>
          </w:tcPr>
          <w:p>
            <w:pPr>
              <w:spacing w:after="0"/>
              <w:rPr>
                <w:sz w:val="20"/>
                <w:szCs w:val="20"/>
                <w:color w:val="auto"/>
              </w:rPr>
            </w:pPr>
            <w:r>
              <w:rPr>
                <w:rFonts w:ascii="Arial" w:cs="Arial" w:eastAsia="Arial" w:hAnsi="Arial"/>
                <w:sz w:val="18"/>
                <w:szCs w:val="18"/>
                <w:color w:val="auto"/>
              </w:rPr>
              <w:t>Lawrenceville</w:t>
            </w: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NJ</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2960" w:type="dxa"/>
            <w:vAlign w:val="bottom"/>
          </w:tcPr>
          <w:p>
            <w:pPr>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420"/>
          </w:cols>
          <w:pgMar w:left="240" w:top="27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14,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Retail/Office/</w:t>
            </w:r>
          </w:p>
        </w:tc>
        <w:tc>
          <w:tcPr>
            <w:tcW w:w="3080" w:type="dxa"/>
            <w:vAlign w:val="bottom"/>
          </w:tcPr>
          <w:p>
            <w:pPr>
              <w:spacing w:after="0"/>
              <w:rPr>
                <w:sz w:val="14"/>
                <w:szCs w:val="14"/>
                <w:color w:val="auto"/>
              </w:rPr>
            </w:pPr>
          </w:p>
        </w:tc>
      </w:tr>
      <w:tr>
        <w:trPr>
          <w:trHeight w:val="149"/>
        </w:trPr>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Property</w:t>
            </w: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Multifamily/</w:t>
            </w:r>
          </w:p>
        </w:tc>
        <w:tc>
          <w:tcPr>
            <w:tcW w:w="3080" w:type="dxa"/>
            <w:vAlign w:val="bottom"/>
          </w:tcPr>
          <w:p>
            <w:pPr>
              <w:spacing w:after="0"/>
              <w:rPr>
                <w:sz w:val="12"/>
                <w:szCs w:val="12"/>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5"/>
                <w:szCs w:val="15"/>
                <w:color w:val="auto"/>
              </w:rPr>
            </w:pPr>
          </w:p>
        </w:tc>
        <w:tc>
          <w:tcPr>
            <w:tcW w:w="3080" w:type="dxa"/>
            <w:vAlign w:val="bottom"/>
          </w:tcPr>
          <w:p>
            <w:pPr>
              <w:ind w:left="128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5"/>
                <w:szCs w:val="15"/>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City</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ST</w:t>
            </w:r>
          </w:p>
        </w:tc>
        <w:tc>
          <w:tcPr>
            <w:tcW w:w="1260" w:type="dxa"/>
            <w:vAlign w:val="bottom"/>
          </w:tcPr>
          <w:p>
            <w:pPr>
              <w:ind w:left="48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Development [1]</w:t>
            </w:r>
          </w:p>
        </w:tc>
        <w:tc>
          <w:tcPr>
            <w:tcW w:w="3080" w:type="dxa"/>
            <w:vAlign w:val="bottom"/>
          </w:tcPr>
          <w:p>
            <w:pPr>
              <w:ind w:left="720"/>
              <w:spacing w:after="0"/>
              <w:rPr>
                <w:sz w:val="20"/>
                <w:szCs w:val="20"/>
                <w:color w:val="auto"/>
              </w:rPr>
            </w:pPr>
            <w:r>
              <w:rPr>
                <w:rFonts w:ascii="Arial" w:cs="Arial" w:eastAsia="Arial" w:hAnsi="Arial"/>
                <w:sz w:val="14"/>
                <w:szCs w:val="14"/>
                <w:b w:val="1"/>
                <w:bCs w:val="1"/>
                <w:color w:val="auto"/>
              </w:rPr>
              <w:t>Eligible Property Exceptions</w:t>
            </w:r>
          </w:p>
        </w:tc>
      </w:tr>
      <w:tr>
        <w:trPr>
          <w:trHeight w:val="195"/>
        </w:trPr>
        <w:tc>
          <w:tcPr>
            <w:tcW w:w="92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500-1480</w:t>
            </w: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Mid-Pike Plaza</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Rockville</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MD</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Wholly Owned</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500-1500  Town Center of New Britain</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New Britain</w:t>
            </w:r>
          </w:p>
        </w:tc>
        <w:tc>
          <w:tcPr>
            <w:tcW w:w="380" w:type="dxa"/>
            <w:vAlign w:val="bottom"/>
            <w:gridSpan w:val="2"/>
          </w:tcPr>
          <w:p>
            <w:pPr>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500-1520</w:t>
            </w:r>
          </w:p>
        </w:tc>
        <w:tc>
          <w:tcPr>
            <w:tcW w:w="3080" w:type="dxa"/>
            <w:vAlign w:val="bottom"/>
          </w:tcPr>
          <w:p>
            <w:pPr>
              <w:spacing w:after="0"/>
              <w:rPr>
                <w:sz w:val="20"/>
                <w:szCs w:val="20"/>
                <w:color w:val="auto"/>
              </w:rPr>
            </w:pPr>
            <w:r>
              <w:rPr>
                <w:rFonts w:ascii="Arial" w:cs="Arial" w:eastAsia="Arial" w:hAnsi="Arial"/>
                <w:sz w:val="18"/>
                <w:szCs w:val="18"/>
                <w:color w:val="auto"/>
              </w:rPr>
              <w:t>Northeast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Philadelphia</w:t>
            </w:r>
          </w:p>
        </w:tc>
        <w:tc>
          <w:tcPr>
            <w:tcW w:w="380" w:type="dxa"/>
            <w:vAlign w:val="bottom"/>
            <w:gridSpan w:val="2"/>
          </w:tcPr>
          <w:p>
            <w:pPr>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500-1525</w:t>
            </w:r>
          </w:p>
        </w:tc>
        <w:tc>
          <w:tcPr>
            <w:tcW w:w="3080" w:type="dxa"/>
            <w:vAlign w:val="bottom"/>
          </w:tcPr>
          <w:p>
            <w:pPr>
              <w:spacing w:after="0"/>
              <w:rPr>
                <w:sz w:val="20"/>
                <w:szCs w:val="20"/>
                <w:color w:val="auto"/>
              </w:rPr>
            </w:pPr>
            <w:r>
              <w:rPr>
                <w:rFonts w:ascii="Arial" w:cs="Arial" w:eastAsia="Arial" w:hAnsi="Arial"/>
                <w:sz w:val="18"/>
                <w:szCs w:val="18"/>
                <w:color w:val="auto"/>
              </w:rPr>
              <w:t>North Lake Commons</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Lake Zurich</w:t>
            </w:r>
          </w:p>
        </w:tc>
        <w:tc>
          <w:tcPr>
            <w:tcW w:w="380" w:type="dxa"/>
            <w:vAlign w:val="bottom"/>
            <w:gridSpan w:val="2"/>
          </w:tcPr>
          <w:p>
            <w:pPr>
              <w:spacing w:after="0"/>
              <w:rPr>
                <w:sz w:val="20"/>
                <w:szCs w:val="20"/>
                <w:color w:val="auto"/>
              </w:rPr>
            </w:pPr>
            <w:r>
              <w:rPr>
                <w:rFonts w:ascii="Arial" w:cs="Arial" w:eastAsia="Arial" w:hAnsi="Arial"/>
                <w:sz w:val="18"/>
                <w:szCs w:val="18"/>
                <w:color w:val="auto"/>
              </w:rPr>
              <w:t>IL</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500-1560  Old Keene Mill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500-1580  Pan Am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Fairfax</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500-1610</w:t>
            </w:r>
          </w:p>
        </w:tc>
        <w:tc>
          <w:tcPr>
            <w:tcW w:w="3080" w:type="dxa"/>
            <w:vAlign w:val="bottom"/>
          </w:tcPr>
          <w:p>
            <w:pPr>
              <w:spacing w:after="0"/>
              <w:rPr>
                <w:sz w:val="20"/>
                <w:szCs w:val="20"/>
                <w:color w:val="auto"/>
              </w:rPr>
            </w:pPr>
            <w:r>
              <w:rPr>
                <w:rFonts w:ascii="Arial" w:cs="Arial" w:eastAsia="Arial" w:hAnsi="Arial"/>
                <w:sz w:val="18"/>
                <w:szCs w:val="18"/>
                <w:color w:val="auto"/>
              </w:rPr>
              <w:t>Queen Anne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Norwell</w:t>
            </w:r>
          </w:p>
        </w:tc>
        <w:tc>
          <w:tcPr>
            <w:tcW w:w="380" w:type="dxa"/>
            <w:vAlign w:val="bottom"/>
            <w:gridSpan w:val="2"/>
          </w:tcPr>
          <w:p>
            <w:pPr>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500-1625  Quince Orchard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500-1626  Quince Orchard Office Building</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80" w:type="dxa"/>
            <w:vAlign w:val="bottom"/>
            <w:gridSpan w:val="2"/>
          </w:tcPr>
          <w:p>
            <w:pPr>
              <w:spacing w:after="0"/>
              <w:rPr>
                <w:sz w:val="20"/>
                <w:szCs w:val="20"/>
                <w:color w:val="auto"/>
              </w:rPr>
            </w:pPr>
            <w:r>
              <w:rPr>
                <w:rFonts w:ascii="Arial" w:cs="Arial" w:eastAsia="Arial" w:hAnsi="Arial"/>
                <w:sz w:val="18"/>
                <w:szCs w:val="18"/>
                <w:color w:val="auto"/>
              </w:rPr>
              <w:t>MD</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Office</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500-1627</w:t>
            </w:r>
          </w:p>
        </w:tc>
        <w:tc>
          <w:tcPr>
            <w:tcW w:w="3080" w:type="dxa"/>
            <w:vAlign w:val="bottom"/>
          </w:tcPr>
          <w:p>
            <w:pPr>
              <w:spacing w:after="0"/>
              <w:rPr>
                <w:sz w:val="20"/>
                <w:szCs w:val="20"/>
                <w:color w:val="auto"/>
              </w:rPr>
            </w:pPr>
            <w:r>
              <w:rPr>
                <w:rFonts w:ascii="Arial" w:cs="Arial" w:eastAsia="Arial" w:hAnsi="Arial"/>
                <w:sz w:val="18"/>
                <w:szCs w:val="18"/>
                <w:color w:val="auto"/>
              </w:rPr>
              <w:t>7700 Richmond Highway</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Alexandria</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500-1700</w:t>
            </w:r>
          </w:p>
        </w:tc>
        <w:tc>
          <w:tcPr>
            <w:tcW w:w="3080" w:type="dxa"/>
            <w:vAlign w:val="bottom"/>
          </w:tcPr>
          <w:p>
            <w:pPr>
              <w:spacing w:after="0"/>
              <w:rPr>
                <w:sz w:val="20"/>
                <w:szCs w:val="20"/>
                <w:color w:val="auto"/>
              </w:rPr>
            </w:pPr>
            <w:r>
              <w:rPr>
                <w:rFonts w:ascii="Arial" w:cs="Arial" w:eastAsia="Arial" w:hAnsi="Arial"/>
                <w:sz w:val="18"/>
                <w:szCs w:val="18"/>
                <w:color w:val="auto"/>
              </w:rPr>
              <w:t>Saugus Plaza</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Saugus</w:t>
            </w:r>
          </w:p>
        </w:tc>
        <w:tc>
          <w:tcPr>
            <w:tcW w:w="380" w:type="dxa"/>
            <w:vAlign w:val="bottom"/>
            <w:gridSpan w:val="2"/>
          </w:tcPr>
          <w:p>
            <w:pPr>
              <w:spacing w:after="0"/>
              <w:rPr>
                <w:sz w:val="20"/>
                <w:szCs w:val="20"/>
                <w:color w:val="auto"/>
              </w:rPr>
            </w:pPr>
            <w:r>
              <w:rPr>
                <w:rFonts w:ascii="Arial" w:cs="Arial" w:eastAsia="Arial" w:hAnsi="Arial"/>
                <w:sz w:val="18"/>
                <w:szCs w:val="18"/>
                <w:color w:val="auto"/>
              </w:rPr>
              <w:t>MA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500-1750</w:t>
            </w:r>
          </w:p>
        </w:tc>
        <w:tc>
          <w:tcPr>
            <w:tcW w:w="3080" w:type="dxa"/>
            <w:vAlign w:val="bottom"/>
          </w:tcPr>
          <w:p>
            <w:pPr>
              <w:spacing w:after="0"/>
              <w:rPr>
                <w:sz w:val="20"/>
                <w:szCs w:val="20"/>
                <w:color w:val="auto"/>
              </w:rPr>
            </w:pPr>
            <w:r>
              <w:rPr>
                <w:rFonts w:ascii="Arial" w:cs="Arial" w:eastAsia="Arial" w:hAnsi="Arial"/>
                <w:sz w:val="18"/>
                <w:szCs w:val="18"/>
                <w:color w:val="auto"/>
              </w:rPr>
              <w:t>Tower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500-1761</w:t>
            </w:r>
          </w:p>
        </w:tc>
        <w:tc>
          <w:tcPr>
            <w:tcW w:w="3080" w:type="dxa"/>
            <w:vAlign w:val="bottom"/>
          </w:tcPr>
          <w:p>
            <w:pPr>
              <w:spacing w:after="0"/>
              <w:rPr>
                <w:sz w:val="20"/>
                <w:szCs w:val="20"/>
                <w:color w:val="auto"/>
              </w:rPr>
            </w:pPr>
            <w:r>
              <w:rPr>
                <w:rFonts w:ascii="Arial" w:cs="Arial" w:eastAsia="Arial" w:hAnsi="Arial"/>
                <w:sz w:val="18"/>
                <w:szCs w:val="18"/>
                <w:color w:val="auto"/>
              </w:rPr>
              <w:t>Troy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Parsippany-</w:t>
            </w:r>
          </w:p>
        </w:tc>
        <w:tc>
          <w:tcPr>
            <w:tcW w:w="380" w:type="dxa"/>
            <w:vAlign w:val="bottom"/>
            <w:gridSpan w:val="2"/>
          </w:tcPr>
          <w:p>
            <w:pPr>
              <w:spacing w:after="0"/>
              <w:rPr>
                <w:sz w:val="20"/>
                <w:szCs w:val="20"/>
                <w:color w:val="auto"/>
              </w:rPr>
            </w:pPr>
            <w:r>
              <w:rPr>
                <w:rFonts w:ascii="Arial" w:cs="Arial" w:eastAsia="Arial" w:hAnsi="Arial"/>
                <w:sz w:val="18"/>
                <w:szCs w:val="18"/>
                <w:color w:val="auto"/>
              </w:rPr>
              <w:t>NJ</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Troy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500-1763  Tysons Station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Falls Church</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920" w:type="dxa"/>
            <w:vAlign w:val="bottom"/>
            <w:gridSpan w:val="2"/>
          </w:tcPr>
          <w:p>
            <w:pPr>
              <w:ind w:left="60"/>
              <w:spacing w:after="0"/>
              <w:rPr>
                <w:sz w:val="20"/>
                <w:szCs w:val="20"/>
                <w:color w:val="auto"/>
              </w:rPr>
            </w:pPr>
            <w:r>
              <w:rPr>
                <w:rFonts w:ascii="Arial" w:cs="Arial" w:eastAsia="Arial" w:hAnsi="Arial"/>
                <w:sz w:val="18"/>
                <w:szCs w:val="18"/>
                <w:color w:val="auto"/>
              </w:rPr>
              <w:t>500-1880</w:t>
            </w:r>
          </w:p>
        </w:tc>
        <w:tc>
          <w:tcPr>
            <w:tcW w:w="3080" w:type="dxa"/>
            <w:vAlign w:val="bottom"/>
          </w:tcPr>
          <w:p>
            <w:pPr>
              <w:spacing w:after="0"/>
              <w:rPr>
                <w:sz w:val="20"/>
                <w:szCs w:val="20"/>
                <w:color w:val="auto"/>
              </w:rPr>
            </w:pPr>
            <w:r>
              <w:rPr>
                <w:rFonts w:ascii="Arial" w:cs="Arial" w:eastAsia="Arial" w:hAnsi="Arial"/>
                <w:sz w:val="18"/>
                <w:szCs w:val="18"/>
                <w:color w:val="auto"/>
              </w:rPr>
              <w:t>Falls Plaza - East</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Falls Church</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500-1883  The Shops at Willow Lawn</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Richmond</w:t>
            </w:r>
          </w:p>
        </w:tc>
        <w:tc>
          <w:tcPr>
            <w:tcW w:w="380" w:type="dxa"/>
            <w:vAlign w:val="bottom"/>
            <w:gridSpan w:val="2"/>
          </w:tcPr>
          <w:p>
            <w:pPr>
              <w:spacing w:after="0"/>
              <w:rPr>
                <w:sz w:val="20"/>
                <w:szCs w:val="20"/>
                <w:color w:val="auto"/>
              </w:rPr>
            </w:pPr>
            <w:r>
              <w:rPr>
                <w:rFonts w:ascii="Arial" w:cs="Arial" w:eastAsia="Arial" w:hAnsi="Arial"/>
                <w:sz w:val="18"/>
                <w:szCs w:val="18"/>
                <w:color w:val="auto"/>
              </w:rPr>
              <w:t>VA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r>
        <w:trPr>
          <w:trHeight w:val="222"/>
        </w:trPr>
        <w:tc>
          <w:tcPr>
            <w:tcW w:w="4000" w:type="dxa"/>
            <w:vAlign w:val="bottom"/>
            <w:gridSpan w:val="3"/>
          </w:tcPr>
          <w:p>
            <w:pPr>
              <w:ind w:left="60"/>
              <w:spacing w:after="0"/>
              <w:rPr>
                <w:sz w:val="20"/>
                <w:szCs w:val="20"/>
                <w:color w:val="auto"/>
              </w:rPr>
            </w:pPr>
            <w:r>
              <w:rPr>
                <w:rFonts w:ascii="Arial" w:cs="Arial" w:eastAsia="Arial" w:hAnsi="Arial"/>
                <w:sz w:val="18"/>
                <w:szCs w:val="18"/>
                <w:color w:val="auto"/>
              </w:rPr>
              <w:t>500-1889  Willow Grove Shopping Center</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Willow Grove</w:t>
            </w:r>
          </w:p>
        </w:tc>
        <w:tc>
          <w:tcPr>
            <w:tcW w:w="380" w:type="dxa"/>
            <w:vAlign w:val="bottom"/>
            <w:gridSpan w:val="2"/>
          </w:tcPr>
          <w:p>
            <w:pPr>
              <w:spacing w:after="0"/>
              <w:rPr>
                <w:sz w:val="20"/>
                <w:szCs w:val="20"/>
                <w:color w:val="auto"/>
              </w:rPr>
            </w:pPr>
            <w:r>
              <w:rPr>
                <w:rFonts w:ascii="Arial" w:cs="Arial" w:eastAsia="Arial" w:hAnsi="Arial"/>
                <w:sz w:val="18"/>
                <w:szCs w:val="18"/>
                <w:color w:val="auto"/>
              </w:rPr>
              <w:t>PA</w:t>
            </w:r>
          </w:p>
        </w:tc>
        <w:tc>
          <w:tcPr>
            <w:tcW w:w="1260" w:type="dxa"/>
            <w:vAlign w:val="bottom"/>
          </w:tcPr>
          <w:p>
            <w:pPr>
              <w:spacing w:after="0"/>
              <w:rPr>
                <w:sz w:val="20"/>
                <w:szCs w:val="20"/>
                <w:color w:val="auto"/>
              </w:rPr>
            </w:pPr>
            <w:r>
              <w:rPr>
                <w:rFonts w:ascii="Arial" w:cs="Arial" w:eastAsia="Arial" w:hAnsi="Arial"/>
                <w:sz w:val="18"/>
                <w:szCs w:val="18"/>
                <w:color w:val="auto"/>
              </w:rPr>
              <w:t>Wholly Owned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Retail</w:t>
            </w:r>
          </w:p>
        </w:tc>
        <w:tc>
          <w:tcPr>
            <w:tcW w:w="3080" w:type="dxa"/>
            <w:vAlign w:val="bottom"/>
          </w:tcPr>
          <w:p>
            <w:pPr>
              <w:spacing w:after="0"/>
              <w:rPr>
                <w:sz w:val="20"/>
                <w:szCs w:val="20"/>
                <w:color w:val="auto"/>
              </w:rPr>
            </w:pPr>
            <w:r>
              <w:rPr>
                <w:rFonts w:ascii="Arial" w:cs="Arial" w:eastAsia="Arial" w:hAnsi="Arial"/>
                <w:sz w:val="18"/>
                <w:szCs w:val="18"/>
                <w:color w:val="auto"/>
              </w:rPr>
              <w:t>None</w:t>
            </w:r>
          </w:p>
        </w:tc>
      </w:tr>
    </w:tbl>
    <w:p>
      <w:pPr>
        <w:spacing w:after="0" w:line="19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Use shown is predominant use.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Santana Row also constitutes a mixed-use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Bethesda Row also constitutes a mixed-use property.</w:t>
      </w:r>
    </w:p>
    <w:p>
      <w:pPr>
        <w:sectPr>
          <w:pgSz w:w="11900" w:h="16838" w:orient="portrait"/>
          <w:cols w:equalWidth="0" w:num="1">
            <w:col w:w="11420"/>
          </w:cols>
          <w:pgMar w:left="240" w:top="274" w:right="23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ASSIGNMENT AND ASSUMPTION AGREEMENT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This Assignment and Assumption Agreement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0"/>
          <w:szCs w:val="10"/>
          <w:color w:val="auto"/>
        </w:rPr>
        <w:t>1</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0"/>
          <w:szCs w:val="10"/>
          <w:color w:val="auto"/>
        </w:rPr>
        <w:t>2</w:t>
      </w:r>
      <w:r>
        <w:rPr>
          <w:rFonts w:ascii="Arial" w:cs="Arial" w:eastAsia="Arial" w:hAnsi="Arial"/>
          <w:sz w:val="16"/>
          <w:szCs w:val="16"/>
          <w:color w:val="auto"/>
        </w:rPr>
        <w:t xml:space="preserve"> hereunder are several and not joint.]</w:t>
      </w:r>
      <w:r>
        <w:rPr>
          <w:rFonts w:ascii="Arial" w:cs="Arial" w:eastAsia="Arial" w:hAnsi="Arial"/>
          <w:sz w:val="10"/>
          <w:szCs w:val="10"/>
          <w:color w:val="auto"/>
        </w:rPr>
        <w:t>3</w:t>
      </w:r>
      <w:r>
        <w:rPr>
          <w:rFonts w:ascii="Arial" w:cs="Arial" w:eastAsia="Arial" w:hAnsi="Arial"/>
          <w:sz w:val="16"/>
          <w:szCs w:val="16"/>
          <w:color w:val="auto"/>
        </w:rPr>
        <w:t xml:space="preserve">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69"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Assignor[s]: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-13970</wp:posOffset>
            </wp:positionV>
            <wp:extent cx="11430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122555</wp:posOffset>
            </wp:positionV>
            <wp:extent cx="11430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 Select as appropriate.</w:t>
      </w:r>
    </w:p>
    <w:p>
      <w:pPr>
        <w:spacing w:after="0"/>
        <w:rPr>
          <w:sz w:val="20"/>
          <w:szCs w:val="20"/>
          <w:color w:val="auto"/>
        </w:rPr>
      </w:pPr>
      <w:r>
        <w:rPr>
          <w:rFonts w:ascii="Arial" w:cs="Arial" w:eastAsia="Arial" w:hAnsi="Arial"/>
          <w:sz w:val="18"/>
          <w:szCs w:val="18"/>
          <w:color w:val="auto"/>
        </w:rPr>
        <w:t>Include bracketed language if there are either multiple Assignors or multiple Assignees.</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A-1</w:t>
      </w:r>
    </w:p>
    <w:p>
      <w:pPr>
        <w:sectPr>
          <w:pgSz w:w="11900" w:h="16838" w:orient="portrait"/>
          <w:cols w:equalWidth="0" w:num="2">
            <w:col w:w="60" w:space="400"/>
            <w:col w:w="10900"/>
          </w:cols>
          <w:pgMar w:left="240" w:top="280" w:right="29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5"/>
          </w:tcPr>
          <w:p>
            <w:pPr>
              <w:spacing w:after="0"/>
              <w:rPr>
                <w:sz w:val="20"/>
                <w:szCs w:val="20"/>
                <w:color w:val="auto"/>
              </w:rPr>
            </w:pPr>
            <w:r>
              <w:rPr>
                <w:rFonts w:ascii="Arial" w:cs="Arial" w:eastAsia="Arial" w:hAnsi="Arial"/>
                <w:sz w:val="18"/>
                <w:szCs w:val="18"/>
                <w:color w:val="auto"/>
              </w:rPr>
              <w:t>[Assignor [is] [is not] a Defaulting Lender]</w:t>
            </w: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Assignee[s]:</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auto"/>
            </w:tcBorders>
            <w:gridSpan w:val="3"/>
          </w:tcPr>
          <w:p>
            <w:pPr>
              <w:spacing w:after="0"/>
              <w:rPr>
                <w:sz w:val="17"/>
                <w:szCs w:val="17"/>
                <w:color w:val="auto"/>
              </w:rPr>
            </w:pPr>
          </w:p>
        </w:tc>
        <w:tc>
          <w:tcPr>
            <w:tcW w:w="43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gridSpan w:val="8"/>
          </w:tcPr>
          <w:p>
            <w:pPr>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Borrower:</w:t>
            </w:r>
          </w:p>
        </w:tc>
        <w:tc>
          <w:tcPr>
            <w:tcW w:w="8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Arial" w:cs="Arial" w:eastAsia="Arial" w:hAnsi="Arial"/>
                <w:sz w:val="18"/>
                <w:szCs w:val="18"/>
                <w:color w:val="auto"/>
              </w:rPr>
              <w:t>Federal Realty Investment Trust</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Administrative Agent:</w:t>
            </w:r>
          </w:p>
        </w:tc>
        <w:tc>
          <w:tcPr>
            <w:tcW w:w="80" w:type="dxa"/>
            <w:vAlign w:val="bottom"/>
          </w:tcPr>
          <w:p>
            <w:pPr>
              <w:spacing w:after="0"/>
              <w:rPr>
                <w:sz w:val="24"/>
                <w:szCs w:val="24"/>
                <w:color w:val="auto"/>
              </w:rPr>
            </w:pPr>
          </w:p>
        </w:tc>
        <w:tc>
          <w:tcPr>
            <w:tcW w:w="8040" w:type="dxa"/>
            <w:vAlign w:val="bottom"/>
            <w:gridSpan w:val="10"/>
          </w:tcPr>
          <w:p>
            <w:pPr>
              <w:spacing w:after="0"/>
              <w:rPr>
                <w:sz w:val="20"/>
                <w:szCs w:val="20"/>
                <w:color w:val="auto"/>
              </w:rPr>
            </w:pPr>
            <w:r>
              <w:rPr>
                <w:rFonts w:ascii="Arial" w:cs="Arial" w:eastAsia="Arial" w:hAnsi="Arial"/>
                <w:sz w:val="18"/>
                <w:szCs w:val="18"/>
                <w:color w:val="auto"/>
              </w:rPr>
              <w:t>PNC Bank, National Association, as the Administrative Agent under the Credit Agreement</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Credit Agreement:</w:t>
            </w:r>
          </w:p>
        </w:tc>
        <w:tc>
          <w:tcPr>
            <w:tcW w:w="80" w:type="dxa"/>
            <w:vAlign w:val="bottom"/>
          </w:tcPr>
          <w:p>
            <w:pPr>
              <w:spacing w:after="0"/>
              <w:rPr>
                <w:sz w:val="24"/>
                <w:szCs w:val="24"/>
                <w:color w:val="auto"/>
              </w:rPr>
            </w:pPr>
          </w:p>
        </w:tc>
        <w:tc>
          <w:tcPr>
            <w:tcW w:w="9000" w:type="dxa"/>
            <w:vAlign w:val="bottom"/>
            <w:gridSpan w:val="12"/>
          </w:tcPr>
          <w:p>
            <w:pPr>
              <w:spacing w:after="0"/>
              <w:rPr>
                <w:sz w:val="20"/>
                <w:szCs w:val="20"/>
                <w:color w:val="auto"/>
              </w:rPr>
            </w:pPr>
            <w:r>
              <w:rPr>
                <w:rFonts w:ascii="Arial" w:cs="Arial" w:eastAsia="Arial" w:hAnsi="Arial"/>
                <w:sz w:val="18"/>
                <w:szCs w:val="18"/>
                <w:color w:val="auto"/>
                <w:w w:val="93"/>
              </w:rPr>
              <w:t>That certain Term Loan Agreement dated as of November 22, 2011, by and among Federal Realty Investment Trust,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0" w:type="dxa"/>
            <w:vAlign w:val="bottom"/>
            <w:gridSpan w:val="12"/>
          </w:tcPr>
          <w:p>
            <w:pPr>
              <w:spacing w:after="0"/>
              <w:rPr>
                <w:sz w:val="20"/>
                <w:szCs w:val="20"/>
                <w:color w:val="auto"/>
              </w:rPr>
            </w:pPr>
            <w:r>
              <w:rPr>
                <w:rFonts w:ascii="Arial" w:cs="Arial" w:eastAsia="Arial" w:hAnsi="Arial"/>
                <w:sz w:val="18"/>
                <w:szCs w:val="18"/>
                <w:color w:val="auto"/>
                <w:w w:val="90"/>
              </w:rPr>
              <w:t>financial institutions party thereto and their permitted assignees under Section 12.6 thereof, PNC Bank, National Association,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0" w:type="dxa"/>
            <w:vAlign w:val="bottom"/>
            <w:gridSpan w:val="12"/>
          </w:tcPr>
          <w:p>
            <w:pPr>
              <w:spacing w:after="0"/>
              <w:rPr>
                <w:sz w:val="20"/>
                <w:szCs w:val="20"/>
                <w:color w:val="auto"/>
              </w:rPr>
            </w:pPr>
            <w:r>
              <w:rPr>
                <w:rFonts w:ascii="Arial" w:cs="Arial" w:eastAsia="Arial" w:hAnsi="Arial"/>
                <w:sz w:val="18"/>
                <w:szCs w:val="18"/>
                <w:color w:val="auto"/>
                <w:w w:val="91"/>
              </w:rPr>
              <w:t>as Administrative Agent, Capital One, N.A., as Syndication Agent, PNC Capital Markets LLC and Capital One, N.A., as Joint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0" w:type="dxa"/>
            <w:vAlign w:val="bottom"/>
            <w:gridSpan w:val="12"/>
          </w:tcPr>
          <w:p>
            <w:pPr>
              <w:spacing w:after="0"/>
              <w:rPr>
                <w:sz w:val="20"/>
                <w:szCs w:val="20"/>
                <w:color w:val="auto"/>
              </w:rPr>
            </w:pPr>
            <w:r>
              <w:rPr>
                <w:rFonts w:ascii="Arial" w:cs="Arial" w:eastAsia="Arial" w:hAnsi="Arial"/>
                <w:sz w:val="18"/>
                <w:szCs w:val="18"/>
                <w:color w:val="auto"/>
                <w:w w:val="97"/>
              </w:rPr>
              <w:t>Lead Arrangers and Joint Book Runners and each of Regions Bank and SunTrust Bank, as a Documentation Agent</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Assigned Interest[s]: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color w:val="auto"/>
                <w:w w:val="90"/>
              </w:rPr>
              <w:t>Amount of</w:t>
            </w:r>
          </w:p>
        </w:tc>
        <w:tc>
          <w:tcPr>
            <w:tcW w:w="960" w:type="dxa"/>
            <w:vAlign w:val="bottom"/>
            <w:gridSpan w:val="2"/>
          </w:tcPr>
          <w:p>
            <w:pPr>
              <w:jc w:val="center"/>
              <w:ind w:right="112"/>
              <w:spacing w:after="0"/>
              <w:rPr>
                <w:sz w:val="20"/>
                <w:szCs w:val="20"/>
                <w:color w:val="auto"/>
              </w:rPr>
            </w:pPr>
            <w:r>
              <w:rPr>
                <w:rFonts w:ascii="Arial" w:cs="Arial" w:eastAsia="Arial" w:hAnsi="Arial"/>
                <w:sz w:val="14"/>
                <w:szCs w:val="14"/>
                <w:color w:val="auto"/>
                <w:w w:val="83"/>
              </w:rPr>
              <w:t>Percentage</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1112"/>
              <w:spacing w:after="0"/>
              <w:rPr>
                <w:sz w:val="20"/>
                <w:szCs w:val="20"/>
                <w:color w:val="auto"/>
              </w:rPr>
            </w:pPr>
            <w:r>
              <w:rPr>
                <w:rFonts w:ascii="Arial" w:cs="Arial" w:eastAsia="Arial" w:hAnsi="Arial"/>
                <w:sz w:val="14"/>
                <w:szCs w:val="14"/>
                <w:color w:val="auto"/>
                <w:w w:val="96"/>
              </w:rPr>
              <w:t>Facility</w:t>
            </w:r>
          </w:p>
        </w:tc>
        <w:tc>
          <w:tcPr>
            <w:tcW w:w="40" w:type="dxa"/>
            <w:vAlign w:val="bottom"/>
          </w:tcPr>
          <w:p>
            <w:pPr>
              <w:spacing w:after="0"/>
              <w:rPr>
                <w:sz w:val="12"/>
                <w:szCs w:val="12"/>
                <w:color w:val="auto"/>
              </w:rPr>
            </w:pPr>
          </w:p>
        </w:tc>
        <w:tc>
          <w:tcPr>
            <w:tcW w:w="2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Aggregate Amount of</w:t>
            </w:r>
          </w:p>
        </w:tc>
        <w:tc>
          <w:tcPr>
            <w:tcW w:w="1880" w:type="dxa"/>
            <w:vAlign w:val="bottom"/>
            <w:gridSpan w:val="2"/>
          </w:tcPr>
          <w:p>
            <w:pPr>
              <w:spacing w:after="0" w:line="149" w:lineRule="exact"/>
              <w:rPr>
                <w:sz w:val="20"/>
                <w:szCs w:val="20"/>
                <w:color w:val="auto"/>
              </w:rPr>
            </w:pPr>
            <w:r>
              <w:rPr>
                <w:rFonts w:ascii="Arial" w:cs="Arial" w:eastAsia="Arial" w:hAnsi="Arial"/>
                <w:sz w:val="14"/>
                <w:szCs w:val="14"/>
                <w:color w:val="auto"/>
              </w:rPr>
              <w:t>Commitment/</w:t>
            </w:r>
          </w:p>
        </w:tc>
        <w:tc>
          <w:tcPr>
            <w:tcW w:w="960" w:type="dxa"/>
            <w:vAlign w:val="bottom"/>
            <w:gridSpan w:val="2"/>
          </w:tcPr>
          <w:p>
            <w:pPr>
              <w:jc w:val="center"/>
              <w:ind w:right="112"/>
              <w:spacing w:after="0" w:line="149" w:lineRule="exact"/>
              <w:rPr>
                <w:sz w:val="20"/>
                <w:szCs w:val="20"/>
                <w:color w:val="auto"/>
              </w:rPr>
            </w:pPr>
            <w:r>
              <w:rPr>
                <w:rFonts w:ascii="Arial" w:cs="Arial" w:eastAsia="Arial" w:hAnsi="Arial"/>
                <w:sz w:val="14"/>
                <w:szCs w:val="14"/>
                <w:color w:val="auto"/>
                <w:w w:val="87"/>
              </w:rPr>
              <w:t>Assigned of</w:t>
            </w:r>
          </w:p>
        </w:tc>
        <w:tc>
          <w:tcPr>
            <w:tcW w:w="0" w:type="dxa"/>
            <w:vAlign w:val="bottom"/>
          </w:tcPr>
          <w:p>
            <w:pPr>
              <w:spacing w:after="0"/>
              <w:rPr>
                <w:sz w:val="1"/>
                <w:szCs w:val="1"/>
                <w:color w:val="auto"/>
              </w:rPr>
            </w:pPr>
          </w:p>
        </w:tc>
      </w:tr>
      <w:tr>
        <w:trPr>
          <w:trHeight w:val="132"/>
        </w:trPr>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340" w:type="dxa"/>
            <w:vAlign w:val="bottom"/>
            <w:gridSpan w:val="2"/>
          </w:tcPr>
          <w:p>
            <w:pPr>
              <w:jc w:val="center"/>
              <w:ind w:right="1140"/>
              <w:spacing w:after="0" w:line="133" w:lineRule="exact"/>
              <w:rPr>
                <w:sz w:val="20"/>
                <w:szCs w:val="20"/>
                <w:color w:val="auto"/>
              </w:rPr>
            </w:pPr>
            <w:r>
              <w:rPr>
                <w:rFonts w:ascii="Arial" w:cs="Arial" w:eastAsia="Arial" w:hAnsi="Arial"/>
                <w:sz w:val="14"/>
                <w:szCs w:val="14"/>
                <w:color w:val="auto"/>
                <w:w w:val="88"/>
              </w:rPr>
              <w:t>Commitment/Loans</w:t>
            </w:r>
          </w:p>
        </w:tc>
        <w:tc>
          <w:tcPr>
            <w:tcW w:w="1880" w:type="dxa"/>
            <w:vAlign w:val="bottom"/>
            <w:gridSpan w:val="2"/>
          </w:tcPr>
          <w:p>
            <w:pPr>
              <w:jc w:val="center"/>
              <w:ind w:right="1180"/>
              <w:spacing w:after="0" w:line="133" w:lineRule="exact"/>
              <w:rPr>
                <w:sz w:val="20"/>
                <w:szCs w:val="20"/>
                <w:color w:val="auto"/>
              </w:rPr>
            </w:pPr>
            <w:r>
              <w:rPr>
                <w:rFonts w:ascii="Arial" w:cs="Arial" w:eastAsia="Arial" w:hAnsi="Arial"/>
                <w:sz w:val="14"/>
                <w:szCs w:val="14"/>
                <w:color w:val="auto"/>
                <w:w w:val="89"/>
              </w:rPr>
              <w:t>Loans</w:t>
            </w:r>
          </w:p>
        </w:tc>
        <w:tc>
          <w:tcPr>
            <w:tcW w:w="960" w:type="dxa"/>
            <w:vAlign w:val="bottom"/>
            <w:gridSpan w:val="2"/>
          </w:tcPr>
          <w:p>
            <w:pPr>
              <w:jc w:val="center"/>
              <w:ind w:right="112"/>
              <w:spacing w:after="0" w:line="133" w:lineRule="exact"/>
              <w:rPr>
                <w:sz w:val="20"/>
                <w:szCs w:val="20"/>
                <w:color w:val="auto"/>
              </w:rPr>
            </w:pPr>
            <w:r>
              <w:rPr>
                <w:rFonts w:ascii="Arial" w:cs="Arial" w:eastAsia="Arial" w:hAnsi="Arial"/>
                <w:sz w:val="14"/>
                <w:szCs w:val="14"/>
                <w:color w:val="auto"/>
                <w:w w:val="91"/>
              </w:rPr>
              <w:t>Commitment/</w:t>
            </w:r>
          </w:p>
        </w:tc>
        <w:tc>
          <w:tcPr>
            <w:tcW w:w="0" w:type="dxa"/>
            <w:vAlign w:val="bottom"/>
          </w:tcPr>
          <w:p>
            <w:pPr>
              <w:spacing w:after="0"/>
              <w:rPr>
                <w:sz w:val="1"/>
                <w:szCs w:val="1"/>
                <w:color w:val="auto"/>
              </w:rPr>
            </w:pPr>
          </w:p>
        </w:tc>
      </w:tr>
      <w:tr>
        <w:trPr>
          <w:trHeight w:val="169"/>
        </w:trPr>
        <w:tc>
          <w:tcPr>
            <w:tcW w:w="2340" w:type="dxa"/>
            <w:vAlign w:val="bottom"/>
            <w:gridSpan w:val="3"/>
          </w:tcPr>
          <w:p>
            <w:pPr>
              <w:spacing w:after="0"/>
              <w:rPr>
                <w:sz w:val="20"/>
                <w:szCs w:val="20"/>
                <w:color w:val="auto"/>
              </w:rPr>
            </w:pPr>
            <w:r>
              <w:rPr>
                <w:rFonts w:ascii="Arial" w:cs="Arial" w:eastAsia="Arial" w:hAnsi="Arial"/>
                <w:sz w:val="14"/>
                <w:szCs w:val="14"/>
                <w:color w:val="auto"/>
              </w:rPr>
              <w:t>Assignor[s]</w:t>
            </w:r>
          </w:p>
        </w:tc>
        <w:tc>
          <w:tcPr>
            <w:tcW w:w="640" w:type="dxa"/>
            <w:vAlign w:val="bottom"/>
            <w:gridSpan w:val="2"/>
          </w:tcPr>
          <w:p>
            <w:pPr>
              <w:spacing w:after="0"/>
              <w:rPr>
                <w:sz w:val="20"/>
                <w:szCs w:val="20"/>
                <w:color w:val="auto"/>
              </w:rPr>
            </w:pPr>
            <w:r>
              <w:rPr>
                <w:rFonts w:ascii="Arial" w:cs="Arial" w:eastAsia="Arial" w:hAnsi="Arial"/>
                <w:sz w:val="14"/>
                <w:szCs w:val="14"/>
                <w:color w:val="auto"/>
                <w:w w:val="85"/>
              </w:rPr>
              <w:t>Assignee[s]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center"/>
              <w:ind w:right="1092"/>
              <w:spacing w:after="0" w:line="162" w:lineRule="exact"/>
              <w:rPr>
                <w:sz w:val="20"/>
                <w:szCs w:val="20"/>
                <w:color w:val="auto"/>
              </w:rPr>
            </w:pPr>
            <w:r>
              <w:rPr>
                <w:rFonts w:ascii="Arial" w:cs="Arial" w:eastAsia="Arial" w:hAnsi="Arial"/>
                <w:sz w:val="12"/>
                <w:szCs w:val="12"/>
                <w:color w:val="auto"/>
                <w:w w:val="99"/>
              </w:rPr>
              <w:t>Assigned</w:t>
            </w:r>
            <w:r>
              <w:rPr>
                <w:rFonts w:ascii="Arial" w:cs="Arial" w:eastAsia="Arial" w:hAnsi="Arial"/>
                <w:sz w:val="18"/>
                <w:szCs w:val="18"/>
                <w:color w:val="auto"/>
                <w:w w:val="99"/>
                <w:vertAlign w:val="superscript"/>
              </w:rPr>
              <w:t>4</w:t>
            </w:r>
          </w:p>
        </w:tc>
        <w:tc>
          <w:tcPr>
            <w:tcW w:w="40" w:type="dxa"/>
            <w:vAlign w:val="bottom"/>
          </w:tcPr>
          <w:p>
            <w:pPr>
              <w:spacing w:after="0"/>
              <w:rPr>
                <w:sz w:val="14"/>
                <w:szCs w:val="14"/>
                <w:color w:val="auto"/>
              </w:rPr>
            </w:pPr>
          </w:p>
        </w:tc>
        <w:tc>
          <w:tcPr>
            <w:tcW w:w="2340" w:type="dxa"/>
            <w:vAlign w:val="bottom"/>
            <w:gridSpan w:val="2"/>
          </w:tcPr>
          <w:p>
            <w:pPr>
              <w:jc w:val="center"/>
              <w:ind w:right="1140"/>
              <w:spacing w:after="0"/>
              <w:rPr>
                <w:sz w:val="20"/>
                <w:szCs w:val="20"/>
                <w:color w:val="auto"/>
              </w:rPr>
            </w:pPr>
            <w:r>
              <w:rPr>
                <w:rFonts w:ascii="Arial" w:cs="Arial" w:eastAsia="Arial" w:hAnsi="Arial"/>
                <w:sz w:val="14"/>
                <w:szCs w:val="14"/>
                <w:color w:val="auto"/>
                <w:w w:val="90"/>
              </w:rPr>
              <w:t>for all Lenders</w:t>
            </w: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color w:val="auto"/>
                <w:w w:val="86"/>
              </w:rPr>
              <w:t>Assigned</w:t>
            </w:r>
          </w:p>
        </w:tc>
        <w:tc>
          <w:tcPr>
            <w:tcW w:w="960" w:type="dxa"/>
            <w:vAlign w:val="bottom"/>
            <w:gridSpan w:val="2"/>
          </w:tcPr>
          <w:p>
            <w:pPr>
              <w:jc w:val="center"/>
              <w:ind w:right="112"/>
              <w:spacing w:after="0"/>
              <w:rPr>
                <w:sz w:val="20"/>
                <w:szCs w:val="20"/>
                <w:color w:val="auto"/>
              </w:rPr>
            </w:pPr>
            <w:r>
              <w:rPr>
                <w:rFonts w:ascii="Arial" w:cs="Arial" w:eastAsia="Arial" w:hAnsi="Arial"/>
                <w:sz w:val="14"/>
                <w:szCs w:val="14"/>
                <w:color w:val="auto"/>
                <w:w w:val="83"/>
              </w:rPr>
              <w:t>Loans</w:t>
            </w:r>
          </w:p>
        </w:tc>
        <w:tc>
          <w:tcPr>
            <w:tcW w:w="0" w:type="dxa"/>
            <w:vAlign w:val="bottom"/>
          </w:tcPr>
          <w:p>
            <w:pPr>
              <w:spacing w:after="0"/>
              <w:rPr>
                <w:sz w:val="1"/>
                <w:szCs w:val="1"/>
                <w:color w:val="auto"/>
              </w:rPr>
            </w:pPr>
          </w:p>
        </w:tc>
      </w:tr>
      <w:tr>
        <w:trPr>
          <w:trHeight w:val="216"/>
        </w:trPr>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7"/>
        </w:trPr>
        <w:tc>
          <w:tcPr>
            <w:tcW w:w="220" w:type="dxa"/>
            <w:vAlign w:val="bottom"/>
          </w:tcPr>
          <w:p>
            <w:pPr>
              <w:spacing w:after="0"/>
              <w:rPr>
                <w:sz w:val="20"/>
                <w:szCs w:val="20"/>
                <w:color w:val="auto"/>
              </w:rPr>
            </w:pPr>
            <w:r>
              <w:rPr>
                <w:rFonts w:ascii="Arial" w:cs="Arial" w:eastAsia="Arial" w:hAnsi="Arial"/>
                <w:sz w:val="18"/>
                <w:szCs w:val="18"/>
                <w:color w:val="auto"/>
                <w:w w:val="99"/>
              </w:rPr>
              <w:t>[7.</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Trade Date: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77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Arial" w:cs="Arial" w:eastAsia="Arial" w:hAnsi="Arial"/>
                <w:sz w:val="18"/>
                <w:szCs w:val="18"/>
                <w:color w:val="auto"/>
                <w:w w:val="90"/>
              </w:rPr>
              <w:t>[Page break]</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Fill in the appropriate terminology for the types of facilities under the Credit Agreement that are being assigned under this Assignment.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1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w:t>
      </w:r>
    </w:p>
    <w:p>
      <w:pPr>
        <w:sectPr>
          <w:pgSz w:w="11900" w:h="16838" w:orient="portrait"/>
          <w:cols w:equalWidth="0" w:num="2">
            <w:col w:w="60" w:space="400"/>
            <w:col w:w="10960"/>
          </w:cols>
          <w:pgMar w:left="240" w:top="280" w:right="239" w:bottom="1440" w:gutter="0" w:footer="0" w:header="0"/>
          <w:type w:val="continuous"/>
        </w:sectPr>
      </w:pPr>
    </w:p>
    <w:bookmarkStart w:id="133" w:name="page134"/>
    <w:bookmarkEnd w:id="13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 20 [TO BE INSERTED BY ADMINISTRATIVE AGENT AND WHICH SHALL BE THE EFFECTIVE DATE OF RECORDATION OF TRANSFER IN THE REGISTER THEREFOR.]</w:t>
      </w:r>
    </w:p>
    <w:p>
      <w:pPr>
        <w:sectPr>
          <w:pgSz w:w="11900" w:h="16838" w:orient="portrait"/>
          <w:cols w:equalWidth="0" w:num="1">
            <w:col w:w="10480"/>
          </w:cols>
          <w:pgMar w:left="240" w:top="280" w:right="117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terms set forth in this Assignment and Assumption are hereby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ASSIGNOR[S]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[NAME OF ASSIGNOR]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2521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[NAME OF ASSIGNOR]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25215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ASSIGNEE[S]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[NAME OF ASSIGNEE]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25215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[NAME OF ASSIGNEE]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25215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140" w:space="720"/>
            <w:col w:w="3620"/>
          </w:cols>
          <w:pgMar w:left="240" w:top="280" w:right="117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1"/>
          <w:szCs w:val="11"/>
          <w:color w:val="auto"/>
        </w:rPr>
        <w:t>6</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PNC BANK, NATIONAL ASSOCIATION,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if the consent of the Borrower is required by the terms of the Credit Agreement.</w:t>
      </w:r>
    </w:p>
    <w:p>
      <w:pPr>
        <w:spacing w:after="0" w:line="17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A-4</w:t>
      </w:r>
    </w:p>
    <w:p>
      <w:pPr>
        <w:sectPr>
          <w:pgSz w:w="11900" w:h="16838" w:orient="portrait"/>
          <w:cols w:equalWidth="0" w:num="2">
            <w:col w:w="60" w:space="400"/>
            <w:col w:w="9759"/>
          </w:cols>
          <w:pgMar w:left="240" w:top="280"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Assignor[s]</w:t>
      </w:r>
      <w:r>
        <w:rPr>
          <w:rFonts w:ascii="Arial" w:cs="Arial" w:eastAsia="Arial" w:hAnsi="Arial"/>
          <w:sz w:val="16"/>
          <w:szCs w:val="16"/>
          <w:color w:val="auto"/>
        </w:rPr>
        <w:t>. [The][Each] Assignor (a) represents and warrants that (i) it is the legal and beneficial owner of [the][the relevant] Assigned Interest,</w:t>
      </w:r>
    </w:p>
    <w:p>
      <w:pPr>
        <w:spacing w:after="0" w:line="38" w:lineRule="exact"/>
        <w:rPr>
          <w:sz w:val="20"/>
          <w:szCs w:val="20"/>
          <w:color w:val="auto"/>
        </w:rPr>
      </w:pPr>
    </w:p>
    <w:p>
      <w:pPr>
        <w:ind w:right="80" w:firstLine="8"/>
        <w:spacing w:after="0" w:line="281" w:lineRule="auto"/>
        <w:tabs>
          <w:tab w:leader="none" w:pos="25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w:t>
      </w:r>
    </w:p>
    <w:p>
      <w:pPr>
        <w:spacing w:after="0" w:line="3" w:lineRule="exact"/>
        <w:rPr>
          <w:rFonts w:ascii="Arial" w:cs="Arial" w:eastAsia="Arial" w:hAnsi="Arial"/>
          <w:sz w:val="16"/>
          <w:szCs w:val="16"/>
          <w:color w:val="auto"/>
        </w:rPr>
      </w:pPr>
    </w:p>
    <w:p>
      <w:pPr>
        <w:ind w:right="40" w:firstLine="8"/>
        <w:spacing w:after="0" w:line="261" w:lineRule="auto"/>
        <w:tabs>
          <w:tab w:leader="none" w:pos="29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performance or observance by the Borrower, any of its Subsidiaries or Affiliates or any other Person of any of their respective obligations under any Loan Document.</w:t>
      </w:r>
    </w:p>
    <w:p>
      <w:pPr>
        <w:spacing w:after="0" w:line="138"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Assignee[s]</w:t>
      </w:r>
      <w:r>
        <w:rPr>
          <w:rFonts w:ascii="Arial" w:cs="Arial" w:eastAsia="Arial" w:hAnsi="Arial"/>
          <w:sz w:val="15"/>
          <w:szCs w:val="15"/>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as defined in the Credit Agreement (subject to such consents, if any, as may be required under </w:t>
      </w:r>
      <w:r>
        <w:rPr>
          <w:rFonts w:ascii="Arial" w:cs="Arial" w:eastAsia="Arial" w:hAnsi="Arial"/>
          <w:sz w:val="15"/>
          <w:szCs w:val="15"/>
          <w:u w:val="single" w:color="auto"/>
          <w:color w:val="auto"/>
        </w:rPr>
        <w:t>Section 12.6(b)</w:t>
      </w:r>
      <w:r>
        <w:rPr>
          <w:rFonts w:ascii="Arial" w:cs="Arial" w:eastAsia="Arial" w:hAnsi="Arial"/>
          <w:sz w:val="15"/>
          <w:szCs w:val="15"/>
          <w:color w:val="auto"/>
        </w:rPr>
        <w:t xml:space="preserve"> of the Credit Agreement), (iii) from and after the Effective Date specified for this Assignment and Assumption,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8.2</w:t>
      </w:r>
      <w:r>
        <w:rPr>
          <w:rFonts w:ascii="Arial" w:cs="Arial" w:eastAsia="Arial" w:hAnsi="Arial"/>
          <w:sz w:val="15"/>
          <w:szCs w:val="15"/>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the Assignor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w:t>
      </w:r>
    </w:p>
    <w:p>
      <w:pPr>
        <w:spacing w:after="0" w:line="3" w:lineRule="exact"/>
        <w:rPr>
          <w:sz w:val="20"/>
          <w:szCs w:val="20"/>
          <w:color w:val="auto"/>
        </w:rPr>
      </w:pPr>
    </w:p>
    <w:p>
      <w:pPr>
        <w:ind w:right="60" w:firstLine="8"/>
        <w:spacing w:after="0" w:line="281" w:lineRule="auto"/>
        <w:tabs>
          <w:tab w:leader="none" w:pos="2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will perform in accordance with their terms all of the obligations which by the terms of the Loan Documents are required to be performed by it as a Lender.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136" w:name="page137"/>
    <w:bookmarkEnd w:id="136"/>
    <w:p>
      <w:pPr>
        <w:ind w:left="-60" w:right="220" w:firstLine="464"/>
        <w:spacing w:after="0" w:line="298" w:lineRule="auto"/>
        <w:tabs>
          <w:tab w:leader="none" w:pos="57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 Effective Date. The Assignor[s] and the Assignee[s] shall make all appropriate adjustments in payments by the Administrative Agent for periods prior to such Effective Date or with respect to the making of this assignment directly between themselves.</w:t>
      </w:r>
    </w:p>
    <w:p>
      <w:pPr>
        <w:spacing w:after="0" w:line="112" w:lineRule="exact"/>
        <w:rPr>
          <w:rFonts w:ascii="Arial" w:cs="Arial" w:eastAsia="Arial" w:hAnsi="Arial"/>
          <w:sz w:val="16"/>
          <w:szCs w:val="16"/>
          <w:color w:val="auto"/>
        </w:rPr>
      </w:pPr>
    </w:p>
    <w:p>
      <w:pPr>
        <w:ind w:left="-60" w:firstLine="464"/>
        <w:spacing w:after="0" w:line="255" w:lineRule="auto"/>
        <w:tabs>
          <w:tab w:leader="none" w:pos="57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300" w:top="280" w:right="2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GUARANTY dated as of November , 2011, is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PNC BANK, NATIONAL ASSOCIATION, in its capacity as Administrative Agent (together with its successors and permitted assigns, the “Administrative Agent”) for the Lenders (as defined herein) under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(collectively, the “Lenders”), the Administrative Agent, Capital One, N.A., as Syndication Agent, PNC Capital Markets LLC and Capital One, N.A., as Joint Lead Arrangers and Joint Book Runners, and each of Regions Bank and SunTrust Bank, as a Documentation Agent, for the benefit of itself and the Lenders (the Administrative Agent and the Lenders, each individually a “Guarantied Party” and collectively, the “Guarantied Parties”).</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pursuant to the Credit Agreement,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Lenders through their collective efforts;</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WHEREAS, each Guarantor acknowledges that it will receive direct and indirect benefits from the Administrative Agent and the Lenders making such financial accommodations available to the Borrower under the Credit Agreement and, accordingly, each Guarantor is willing to guarantee the Borrower’s obligations to the Administrative Agent and the Lenders on the terms and conditions contained herein; and</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Lenders making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hereby absolutely, irrevocably and unconditionally guaranties the due and punctual payment and performance when due, whether at stated maturity, by acceleration or otherwise, of all of the following (collectively referred to as the “Guarantied Obligations”): (a) all indebtedness, liabilities, obligations, covenants and duties owing by the Borrower to the Administrative Agent or any other Guarantied Party under or in connection with the Credit Agreement and any other Loan Document, including without limitation, the repayment of all principal of the Loans and the payment of all interest, Fees, charges, reasonable attorneys’ fees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138" w:name="page139"/>
    <w:bookmarkEnd w:id="13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amounts payable to the Administrative Agent or any other Guarantied Party thereunder or in connection therewith (including, to the extent permitted by Applicable Law, interest, Fees and other amounts that would accrue and become due after the filing of a case or other proceeding under the Bankruptcy Code (as defined below) or other similar Applicable Law but for the commencement of such case or proceeding, whether or not such amounts are allowed or allowable in whole or in part in such case or proceeding); (b) any and all extensions, renewals, modifications, amendments or substitutions of the foregoing; (c) all other Obligations; and (d) all reasonable out-of-pocket costs and expenses, including, without limitation, reasonable attorneys’ fees and disbursements for which the Borrower is responsible under Section 12.2. of the Credit Agreement.</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Guaranty of Payment and Not of Collection</w:t>
      </w:r>
      <w:r>
        <w:rPr>
          <w:rFonts w:ascii="Arial" w:cs="Arial" w:eastAsia="Arial" w:hAnsi="Arial"/>
          <w:sz w:val="18"/>
          <w:szCs w:val="18"/>
          <w:color w:val="auto"/>
        </w:rPr>
        <w:t>. This Guaranty is a guaranty of payment, and not of collection, and a debt of each Guarantor for its own account. Accordingly, none of the Administrative Agent or the other Guarantied Parties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if any, held by the Administrative Agent or any other Guarantied Party which may secure any of the Guarantied Obligations.</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Administrative Agent or the other Guarantied Parties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20" w:lineRule="exact"/>
        <w:rPr>
          <w:sz w:val="20"/>
          <w:szCs w:val="20"/>
          <w:color w:val="auto"/>
        </w:rPr>
      </w:pPr>
    </w:p>
    <w:p>
      <w:pPr>
        <w:ind w:right="420" w:firstLine="464"/>
        <w:spacing w:after="0" w:line="332"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280" w:right="279" w:bottom="1440" w:gutter="0" w:footer="0" w:header="0"/>
        </w:sectPr>
      </w:pPr>
    </w:p>
    <w:bookmarkStart w:id="139" w:name="page140"/>
    <w:bookmarkEnd w:id="139"/>
    <w:p>
      <w:pPr>
        <w:ind w:right="20" w:firstLine="464"/>
        <w:spacing w:after="0" w:line="268"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furnishing to the Administrative Agent or the other Guarantied Parties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200" w:firstLine="464"/>
        <w:spacing w:after="0" w:line="268" w:lineRule="auto"/>
        <w:tabs>
          <w:tab w:leader="none" w:pos="6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right="48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nonperfection or impairment of any security interest, if any, or other Lien on any collateral, if any, securing in any way any of the Guarantied Obligations;</w:t>
      </w:r>
    </w:p>
    <w:p>
      <w:pPr>
        <w:spacing w:after="0" w:line="131" w:lineRule="exact"/>
        <w:rPr>
          <w:rFonts w:ascii="Arial" w:cs="Arial" w:eastAsia="Arial" w:hAnsi="Arial"/>
          <w:sz w:val="18"/>
          <w:szCs w:val="18"/>
          <w:color w:val="auto"/>
        </w:rPr>
      </w:pPr>
    </w:p>
    <w:p>
      <w:pPr>
        <w:ind w:right="92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Administrative Agent or the other Guarantied Parties,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Borrower or any other Loan Party;</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statement, representation or warranty made or deemed made by or on behalf of the Borrower, any Guarantor or any other Loan Party under any Loan Document, or any amendment hereto or thereto, proves to have been incorrect or misleading in any respect; or</w:t>
      </w:r>
    </w:p>
    <w:p>
      <w:pPr>
        <w:spacing w:after="0" w:line="131" w:lineRule="exact"/>
        <w:rPr>
          <w:rFonts w:ascii="Arial" w:cs="Arial" w:eastAsia="Arial" w:hAnsi="Arial"/>
          <w:sz w:val="18"/>
          <w:szCs w:val="18"/>
          <w:color w:val="auto"/>
        </w:rPr>
      </w:pPr>
    </w:p>
    <w:p>
      <w:pPr>
        <w:ind w:right="140" w:firstLine="464"/>
        <w:spacing w:after="0" w:line="370" w:lineRule="auto"/>
        <w:tabs>
          <w:tab w:leader="none" w:pos="66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other circumstance which might otherwise constitute a defense available to, or a discharge of, a Guarantor hereunder (other than indefeasible payment and performance in full in cash or release or termination of the obligations of any Guarantor hereunder pursuant to the terms of the Credit Agreement).</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Action with Respect to Guarantied Obligations</w:t>
      </w:r>
      <w:r>
        <w:rPr>
          <w:rFonts w:ascii="Arial" w:cs="Arial" w:eastAsia="Arial" w:hAnsi="Arial"/>
          <w:sz w:val="15"/>
          <w:szCs w:val="15"/>
          <w:color w:val="auto"/>
        </w:rPr>
        <w:t>. The Administrative Agent and the other Guarantied Parties may, at any time and from time to time, without the consent of, or notice to, any Guarantor, and without discharging any Guarantor from its obligations hereunder, take any 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w:t>
      </w:r>
    </w:p>
    <w:p>
      <w:pPr>
        <w:spacing w:after="0" w:line="3" w:lineRule="exact"/>
        <w:rPr>
          <w:sz w:val="20"/>
          <w:szCs w:val="20"/>
          <w:color w:val="auto"/>
        </w:rPr>
      </w:pPr>
    </w:p>
    <w:p>
      <w:pPr>
        <w:ind w:right="200" w:firstLine="8"/>
        <w:spacing w:after="0" w:line="261"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amend, modify, alter or supplement the Credit Agreement or any other Loan Document; (c) sell, exchange, release or otherwise deal with all, or any part, of 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140" w:name="page141"/>
    <w:bookmarkEnd w:id="140"/>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securing any of the Guarantied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Administrative Agent and the other Guarantied Parties shall elect.</w:t>
      </w:r>
    </w:p>
    <w:p>
      <w:pPr>
        <w:spacing w:after="0" w:line="88"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makes to the Administrative Agent and the other Guarantied Parties all of the representations and warranties made by the Borrower with respect to or in any way relating to such Guarantor in the Credit Agreement and the other Loan Documents, as if the same were set forth herein in full.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Inability to Accelerate Loan</w:t>
      </w:r>
      <w:r>
        <w:rPr>
          <w:rFonts w:ascii="Arial" w:cs="Arial" w:eastAsia="Arial" w:hAnsi="Arial"/>
          <w:sz w:val="18"/>
          <w:szCs w:val="18"/>
          <w:color w:val="auto"/>
        </w:rPr>
        <w:t>. If the Administrative Agent and/or the other Guarantied Parties are prevented under Applicable Law or otherwise from demanding or accelerating payment of any of the Guarantied Obligations by reason of any automatic stay or otherwise, the Administrative Agent and/or the other Guarantied Parties shall be entitled to receive from each Guarantor, upon demand therefor, the sums which otherwise would have been due had such demand or acceleration occurred.</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Reinstatement of Guarantied Obligations</w:t>
      </w:r>
      <w:r>
        <w:rPr>
          <w:rFonts w:ascii="Arial" w:cs="Arial" w:eastAsia="Arial" w:hAnsi="Arial"/>
          <w:sz w:val="16"/>
          <w:szCs w:val="16"/>
          <w:color w:val="auto"/>
        </w:rPr>
        <w:t>. If a claim is ever made on the Administrative Agent or any of the other Guarantied Parties for repayment or recovery of any amount or amounts received in payment or on account of any of the Guarantied Obligations, and the Administrative Agent or such other Guarantied Party repays all or part of said amount by reason of (a) any judgment, decree or order of any court or administrative body of competent jurisdiction, or (b) any settlement or compromise of any such claim effected by the Administrative Agent or such other Guarantied Party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Administrative Agent or such other Guarantied Party for the amounts so repaid or recovered to the same extent as if such amount had never originally been paid to the Administrative Agent or such other Guarantied Party.</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Subrogation</w:t>
      </w:r>
      <w:r>
        <w:rPr>
          <w:rFonts w:ascii="Arial" w:cs="Arial" w:eastAsia="Arial" w:hAnsi="Arial"/>
          <w:sz w:val="18"/>
          <w:szCs w:val="18"/>
          <w:color w:val="auto"/>
        </w:rPr>
        <w:t>. Upon the making by any Guarantor of any payment hereunder for the account of the Borrower, such Guarantor shall be subrogated to the rights of the payee against the Borrower; provided, however, that such Guarantor shall not enforce any right or receive any payment by way of subrogation or otherwise take any action in respect of any other claim or cause of action such Guarantor may have against the Borrower arising by reason of any payment or performance by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141" w:name="page142"/>
    <w:bookmarkEnd w:id="141"/>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Administrative Agent and the other Guarantied Parties and shall forthwith pay such amount to the Administrative Agent to be credited and applied against the Guarantied Obligations, whether matured or unmatured, in accordance with the terms of the Credit Agreement or to be held by the Administrative Agent as collateral security for any Guarantied Obligations existing.</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Payments Free and Clear</w:t>
      </w:r>
      <w:r>
        <w:rPr>
          <w:rFonts w:ascii="Arial" w:cs="Arial" w:eastAsia="Arial" w:hAnsi="Arial"/>
          <w:sz w:val="16"/>
          <w:szCs w:val="16"/>
          <w:color w:val="auto"/>
        </w:rPr>
        <w:t>. All sums payable by each Guarantor hereunder, whether of principal, interest, Fees, expenses, premiums or otherwise, shall be paid in full, without set-off or counterclaim or any deduction or withholding whatsoever (including any Taxes, subject to Section 3.10. of the Credit Agreement) and if any Guarantor is required by Applicable Law or by a Governmental Authority to make any such deduction or withholding, such Guarantor shall pay to the Administrative Agent and the other Guarantied Parties such additional amount as will result in the receipt by the Administrative Agent and the other Guarantied Parties of the full amount payable hereunder had such deduction or withholding not occurred or been required.</w:t>
      </w:r>
    </w:p>
    <w:p>
      <w:pPr>
        <w:spacing w:after="0" w:line="11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Administrative Agent, each Lender and any of their respective Affiliates, at any time while an Event of Default exists, without any prior notice to such Guarantor or to any other Person, any such notice being hereby expressly waived, but in the case of a Lender or an Affiliate of a Lender subject to receipt of the prior written consent of the Administrative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of their respective Affiliates,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Administrative Agent and the other Guarantied Parties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paid in full in cash.</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Administrative Agent and the other Guarantied Parties that in any Proceeding, such Guarantor’s maximum obligation hereunder shall equal, but not exceed, the maximum amount which would not otherwise cause the obligations of such Guarantor hereunder (or any other obligations of such Guarantor to the Administrative Agent and the other Guarantied Parties) to be avoidable or unenforceable against such Guarantor in such Proceeding as a result of Applicable Law, including without limitation, (a) Section 548 of the Bankruptcy Code and (b) any state fraudulent transfer or fraudulent conveyance act or statute applied in such Proceeding, whether by virtue of Section 544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142" w:name="page143"/>
    <w:bookmarkEnd w:id="14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Bankruptcy Code or otherwise. The Applicable Laws under which the possible avoidance or unenforceability of the obligations of such Guarantor hereunder (or any other obligations of such Guarantor to the Administrative Agent and the other Guarantied Parties)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Administrative Agent and the other Guarantied Parties), to be subject to avoidance under the Avoidance Provisions. This Section is intended solely to preserve the rights of the Administrative Agent and the other Guarantied Parties hereunder to the maximum extent that would not cause the obligations of any Guarantor hereunder to be subject to avoidance under the Avoidance Provisions, and no Guarantor or any other Person shall have any right or claim under this Section as against the Administrative Agent and the other Guarantied Parties that would not otherwise be available to such Person under the Avoidance Provisions.</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Information</w:t>
      </w:r>
      <w:r>
        <w:rPr>
          <w:rFonts w:ascii="Arial" w:cs="Arial" w:eastAsia="Arial" w:hAnsi="Arial"/>
          <w:sz w:val="16"/>
          <w:szCs w:val="16"/>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neither the Administrative Agent nor any of the other Guarantied Parties shall have any duty whatsoever to advise any Guarantor of information regarding such circumstances or risks.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SHALL BE GOVERNED BY, AND CONSTRUED IN ACCORDANCE WITH, THE LAWS OF THE STATE OF NEW YORK APPLICABLE TO CONTRACTS EXECUTED, AND TO BE FULLY PERFORMED, IN SUCH STATE.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90" w:lineRule="exact"/>
        <w:rPr>
          <w:sz w:val="20"/>
          <w:szCs w:val="20"/>
          <w:color w:val="auto"/>
        </w:rPr>
      </w:pPr>
    </w:p>
    <w:p>
      <w:pPr>
        <w:ind w:right="60" w:firstLine="464"/>
        <w:spacing w:after="0" w:line="289"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ANY GUARANTOR, THE ADMINISTRATIVE AGENT OR ANY OF THE LENDERS WOULD BE BASED ON DIFFICULT AND COMPLEX ISSUES OF LAW AND FACT AND WOULD RESULT IN DELAY AND EXPENSE TO THE PARTIES. ACCORDINGLY, TO THE EXTENT PERMITTED BY APPLICABLE LAW, EACH OF THE LENDERS, THE ADMINISTRATIVE AGENT AND EACH GUARANTOR HEREBY WAIVES ITS RIGHT TO A TRIAL BY JURY IN ANY ACTION OR PROCEEDING OF ANY KIND OR NATURE IN ANY COURT OR TRIBUNAL IN WHICH AN ACTION MAY BE COMMENCED BY OR AGAINST ANY PARTY HERETO ARISING OUT OF THIS GUARANTY OR ANY OTHER LOAN DOCUMENT OR BY REASON OF ANY OTHER SUIT, CAUSE OF ACTION OR DISPUTE WHATSOEVER BETWEEN OR AMONG ANY GUARANTOR, THE ADMINISTRATIVE AGENT OR ANY OF THE LENDERS OF ANY KIND OR NATURE RELATING TO ANY OF THE LOAN DOCUMENTS.</w:t>
      </w:r>
    </w:p>
    <w:p>
      <w:pPr>
        <w:spacing w:after="0" w:line="118"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GUARANTORS, THE ADMINISTRATIVE AGENT AND EACH LENDER HEREBY AGREES THE FEDERAL DISTRICT COURT OF THE SOUTHERN DISTRICT OF NEW YORK AND ANY STATE COURT LOCATED IN THE BOROUGH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80" w:right="259" w:bottom="1440" w:gutter="0" w:footer="0" w:header="0"/>
        </w:sectPr>
      </w:pPr>
    </w:p>
    <w:bookmarkStart w:id="143" w:name="page144"/>
    <w:bookmarkEnd w:id="143"/>
    <w:p>
      <w:pPr>
        <w:ind w:right="1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MANHATTAN, NEW YORK, NEW YORK SHALL HAVE JURISDICTION TO HEAR AND DETERMINE ANY CLAIMS OR DISPUTES BETWEEN OR AMONG ANY GUARANTOR, THE ADMINISTRATIVE AGENT OR ANY OF THE LENDERS, PERTAINING DIRECTLY OR INDIRECTLY TO THIS GUARANTY OR ANY OTHER LOAN DOCUMENT OR TO ANY MATTER ARISING HEREFROM OR THEREFROM. EACH GUARANTOR AND EACH OF THE GUARANTIED PARTIES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ANY PARTY OR THE ENFORCEMENT BY ANY PARTY OF ANY JUDGMENT OBTAINED IN SUCH FORUM IN ANY OTHER APPROPRIATE JURISDICTION.</w:t>
      </w:r>
    </w:p>
    <w:p>
      <w:pPr>
        <w:spacing w:after="0" w:line="150" w:lineRule="exact"/>
        <w:rPr>
          <w:sz w:val="20"/>
          <w:szCs w:val="20"/>
          <w:color w:val="auto"/>
        </w:rPr>
      </w:pPr>
    </w:p>
    <w:p>
      <w:pPr>
        <w:ind w:right="60" w:firstLine="464"/>
        <w:spacing w:after="0" w:line="30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Loan Accounts</w:t>
      </w:r>
      <w:r>
        <w:rPr>
          <w:rFonts w:ascii="Arial" w:cs="Arial" w:eastAsia="Arial" w:hAnsi="Arial"/>
          <w:sz w:val="16"/>
          <w:szCs w:val="16"/>
          <w:color w:val="auto"/>
        </w:rPr>
        <w:t>. The Administrative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Administrative Agent or any Lender to maintain such books and accounts shall not in any way relieve or discharge any Guarantor of any of its obligations hereunder.</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Remedies</w:t>
      </w:r>
      <w:r>
        <w:rPr>
          <w:rFonts w:ascii="Arial" w:cs="Arial" w:eastAsia="Arial" w:hAnsi="Arial"/>
          <w:sz w:val="18"/>
          <w:szCs w:val="18"/>
          <w:color w:val="auto"/>
        </w:rPr>
        <w:t>. No delay or failure on the part of the Administrative Agent or any of the other Guarantied Parties in the exercise of any right or remedy it may have against any Guarantor hereunder or otherwise shall operate as a waiver thereof, and no single or partial exercise by the Administrative Agent or any of the other Guarantied Parties of any such right or remedy shall preclude any other or further exercise thereof or the exercise of any other such right or remedy.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Termination</w:t>
      </w:r>
      <w:r>
        <w:rPr>
          <w:rFonts w:ascii="Arial" w:cs="Arial" w:eastAsia="Arial" w:hAnsi="Arial"/>
          <w:sz w:val="16"/>
          <w:szCs w:val="16"/>
          <w:color w:val="auto"/>
        </w:rPr>
        <w:t>. This Guaranty shall remain in full force and effect with respect to each Guarantor until payment in full in cash of the Guarantied Obligations and the other Obligations, the termination or expiration of all of the Lenders’ and the Administrative Agent’s obligations to make loans or other financial accommodations or extensions of credit to the Borrower, and the termination or cancellation of the Credit Agreement in accordance with its terms.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Each reference herein to the Administrative Agent or the other Guarantied Parties shall be deemed to include such Person’s respective successors and assigns (including, but not limited to, any holder of the Guarantied Obligations) in whose favor the provisions of this Guaranty also shall inure, and each reference herein to each Guarantor shall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80" w:right="259" w:bottom="1440" w:gutter="0" w:footer="0" w:header="0"/>
        </w:sectPr>
      </w:pPr>
    </w:p>
    <w:bookmarkStart w:id="144" w:name="page145"/>
    <w:bookmarkEnd w:id="144"/>
    <w:p>
      <w:pPr>
        <w:jc w:val="both"/>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w:t>
      </w:r>
    </w:p>
    <w:p>
      <w:pPr>
        <w:spacing w:after="0" w:line="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Section 12.9. of the Credit Agreement, each Guarantor hereby consents to the delivery by the Administrative Agent or any Lender to any Eligible Assignee or Participant (or any prospective Eligible Assignee or Participant) of any financial or other information regarding the Borrower or any Guarantor. No Guarantor may assign or transfer its rights or obligations hereunder to any Person without the prior written consent of the Administrative Agent and all other Guarantied Parties and any such assignment or other transfer to which the Administrative Agent and all of the other Guarantied Parties have not so consented shall be null and void.</w:t>
      </w:r>
    </w:p>
    <w:p>
      <w:pPr>
        <w:spacing w:after="0" w:line="145"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a writing signed by the Requisite Lenders (or all of the Lenders if required under the terms of the Credit Agreement), the Administrative Agent and each Guarantor.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Administrative Agent at the Principal Office, not later than 1:00 p.m. Eastern time on the date of demand therefor.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hereunder shall be in writing (including facsimile transmission or similar writing) and shall be given (a) to each Guarantor at its address set forth below its signature hereto, (b) to the Administrative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or (iii) if hand delivered, when delivered; provided, however, that any notice of a change of address for notices shall not be effective until received.</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 xml:space="preserve">Section 28. </w:t>
      </w:r>
      <w:r>
        <w:rPr>
          <w:rFonts w:ascii="Arial" w:cs="Arial" w:eastAsia="Arial" w:hAnsi="Arial"/>
          <w:sz w:val="15"/>
          <w:szCs w:val="15"/>
          <w:u w:val="single" w:color="auto"/>
          <w:color w:val="auto"/>
        </w:rPr>
        <w:t>Limitation of Liability</w:t>
      </w:r>
      <w:r>
        <w:rPr>
          <w:rFonts w:ascii="Arial" w:cs="Arial" w:eastAsia="Arial" w:hAnsi="Arial"/>
          <w:sz w:val="15"/>
          <w:szCs w:val="15"/>
          <w:color w:val="auto"/>
        </w:rPr>
        <w:t>. Neither the Administrative Agent nor any of the other Guarantied Parties, nor any Affiliate, officer, director, employee, attorney, or agent of the Administrative Agent or any of the other Guarantied Parties, shall have any liability with respect to, and each Guarantor hereby waives, releases, and agrees not to sue any of them upon, any claim for any special, indirect, incidental, or consequential damages suffered or incurred by a Guarantor 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80" w:right="239" w:bottom="1440" w:gutter="0" w:footer="0" w:header="0"/>
        </w:sectPr>
      </w:pPr>
    </w:p>
    <w:bookmarkStart w:id="145" w:name="page146"/>
    <w:bookmarkEnd w:id="14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Administrative Agent or any of the other Guarantied Parties or any of the Administrative Agent’s or of any other Guarantied Parties’, officers, directors, employees, attorneys, or agents for punitive damages in respect of any claim in connection with, arising out of, or in any way related to, this Guaranty, the Credit Agreement or any of the other Loan Documents, or any of the transactions contemplated by the Credit Agreement or financed thereby.</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Electronic Delivery of Certain Information</w:t>
      </w:r>
      <w:r>
        <w:rPr>
          <w:rFonts w:ascii="Arial" w:cs="Arial" w:eastAsia="Arial" w:hAnsi="Arial"/>
          <w:sz w:val="18"/>
          <w:szCs w:val="18"/>
          <w:color w:val="auto"/>
        </w:rPr>
        <w:t>. Each Guarantor acknowledges and agrees that information regarding the Guarantor may be delivered electronically pursuant to Section 8.5.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w:t>
      </w:r>
    </w:p>
    <w:p>
      <w:pPr>
        <w:spacing w:after="0" w:line="38" w:lineRule="exact"/>
        <w:rPr>
          <w:sz w:val="20"/>
          <w:szCs w:val="20"/>
          <w:color w:val="auto"/>
        </w:rPr>
      </w:pPr>
    </w:p>
    <w:p>
      <w:pPr>
        <w:ind w:firstLine="8"/>
        <w:spacing w:after="0" w:line="287" w:lineRule="auto"/>
        <w:tabs>
          <w:tab w:leader="none" w:pos="25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 its consent to, approval of or acquiescence in any of the foregoing; or (x) any corporate action shall be taken by any Guarantor for the purpose of effecting any of the foregoing.</w:t>
      </w:r>
    </w:p>
    <w:p>
      <w:pPr>
        <w:spacing w:after="0" w:line="124" w:lineRule="exact"/>
        <w:rPr>
          <w:sz w:val="20"/>
          <w:szCs w:val="20"/>
          <w:color w:val="auto"/>
        </w:rPr>
      </w:pPr>
    </w:p>
    <w:p>
      <w:pPr>
        <w:ind w:left="4820" w:right="2400" w:hanging="4356"/>
        <w:spacing w:after="0" w:line="430" w:lineRule="auto"/>
        <w:tabs>
          <w:tab w:leader="none" w:pos="70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B-9</w:t>
      </w:r>
    </w:p>
    <w:p>
      <w:pPr>
        <w:sectPr>
          <w:pgSz w:w="11900" w:h="16838" w:orient="portrait"/>
          <w:cols w:equalWidth="0" w:num="1">
            <w:col w:w="11400"/>
          </w:cols>
          <w:pgMar w:left="240" w:top="280" w:right="25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Telecopy Number: (301) 998-3715</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Telephone Number: (301) 998-8100</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9759"/>
          </w:cols>
          <w:pgMar w:left="700" w:top="280"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ACCESSION AGREEMENT</w:t>
      </w:r>
    </w:p>
    <w:p>
      <w:pPr>
        <w:spacing w:after="0" w:line="171" w:lineRule="exact"/>
        <w:rPr>
          <w:sz w:val="20"/>
          <w:szCs w:val="20"/>
          <w:color w:val="auto"/>
        </w:rPr>
      </w:pPr>
    </w:p>
    <w:p>
      <w:pPr>
        <w:ind w:left="460"/>
        <w:spacing w:after="0"/>
        <w:tabs>
          <w:tab w:leader="none" w:pos="4360" w:val="left"/>
          <w:tab w:leader="none" w:pos="4800" w:val="left"/>
          <w:tab w:leader="none" w:pos="7640" w:val="left"/>
          <w:tab w:leader="none" w:pos="8720" w:val="left"/>
        </w:tabs>
        <w:rPr>
          <w:sz w:val="20"/>
          <w:szCs w:val="20"/>
          <w:color w:val="auto"/>
        </w:rPr>
      </w:pPr>
      <w:r>
        <w:rPr>
          <w:rFonts w:ascii="Arial" w:cs="Arial" w:eastAsia="Arial" w:hAnsi="Arial"/>
          <w:sz w:val="18"/>
          <w:szCs w:val="18"/>
          <w:color w:val="auto"/>
        </w:rPr>
        <w:t>THIS ACCESSION AGREEMENT dated as of</w:t>
      </w:r>
      <w:r>
        <w:rPr>
          <w:sz w:val="20"/>
          <w:szCs w:val="20"/>
          <w:color w:val="auto"/>
        </w:rPr>
        <w:tab/>
      </w:r>
      <w:r>
        <w:rPr>
          <w:rFonts w:ascii="Arial" w:cs="Arial" w:eastAsia="Arial" w:hAnsi="Arial"/>
          <w:sz w:val="18"/>
          <w:szCs w:val="18"/>
          <w:color w:val="auto"/>
        </w:rPr>
        <w:t>, 20</w:t>
        <w:tab/>
        <w:t>, executed and delivered by</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“New Guarantor”), in favor of</w:t>
      </w:r>
    </w:p>
    <w:p>
      <w:pPr>
        <w:spacing w:after="0" w:line="15" w:lineRule="exact"/>
        <w:rPr>
          <w:sz w:val="20"/>
          <w:szCs w:val="20"/>
          <w:color w:val="auto"/>
        </w:rPr>
      </w:pPr>
    </w:p>
    <w:p>
      <w:pPr>
        <w:ind w:right="120" w:firstLine="8"/>
        <w:spacing w:after="0" w:line="288" w:lineRule="auto"/>
        <w:tabs>
          <w:tab w:leader="none" w:pos="23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PNC BANK, NATIONAL ASSOCIATION, in its capacity as Administrative Agent (together with its successors and permitted assigns, the “Administrative Agent”) for the Lenders (as defined herein) under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(collectively, the “Lenders”), the Administrative Agent, Capital One, N.A., as Syndication Agent, PNC Capital Markets LLC and Capital One, N.A., as Joint Lead Arrangers and Joint Book Runners, and each of Regions Bank and SunTrust Bank, as a Documentation Agent, and (b) the Lenders (the Administrative Agent and the Lenders, collectively, the “Guarantied Parties”).</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WHEREAS, pursuant to the Credit Agreement, the Administrative Agent and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Administrative Agent and the Lenders through their collective efforts;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the New Guarantor acknowledges that it will receive direct and indirect benefits from the Administrative Agent and the Lenders making such financial accommodations available to the Borrower under the Credit Agreement and, accordingly, the New Guarantor is willing to guarantee the Borrower’s obligations to the Administrative Agent and the Lenders on the terms and conditions contained herein; and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Administrative Agent and the Lenders continuing to make such financial accommodations to the Borrower.</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November , 2011 (as amended, restated, supplemented, or otherwise modified from time to time, the “Guaranty”), made by each of the Guarantors party thereto in favor of the Administrative Agent and the other Guarantied Parties and assumes all obligations of a “Guarantor” thereunder and agrees to be bound thereby, all as if the New Guarantor had been an original signatory to the Guaranty. Without limiting the generality of the foregoing, the New Guarantor hereby: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80" w:right="239" w:bottom="1440" w:gutter="0" w:footer="0" w:header="0"/>
        </w:sectPr>
      </w:pPr>
    </w:p>
    <w:bookmarkStart w:id="148" w:name="page149"/>
    <w:bookmarkEnd w:id="148"/>
    <w:p>
      <w:pPr>
        <w:ind w:right="22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irrevocably and unconditionally guarantees the due and punctual payment and performance when due, whether at stated maturity, by acceleration or otherwise, of all Guarantied Obligations (as defined in the Guaranty);</w:t>
      </w:r>
    </w:p>
    <w:p>
      <w:pPr>
        <w:spacing w:after="0" w:line="131" w:lineRule="exact"/>
        <w:rPr>
          <w:rFonts w:ascii="Arial" w:cs="Arial" w:eastAsia="Arial" w:hAnsi="Arial"/>
          <w:sz w:val="18"/>
          <w:szCs w:val="18"/>
          <w:color w:val="auto"/>
        </w:rPr>
      </w:pPr>
    </w:p>
    <w:p>
      <w:pPr>
        <w:ind w:right="480" w:firstLine="464"/>
        <w:spacing w:after="0" w:line="332"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makes to the Administrative Agent and the other Guarantied Parties as of the date hereof each of the representations and warranties contained in Section 5 of the Guaranty and agrees to be bound by each of the covenants contained in Section 6 of the Guaranty; and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ACCESSION AGREEMENT SHALL BE GOVERNED BY, AND CONSTRUED AND ENFORCED IN ACCORDANCE WITH, THE LAWS OF THE STATE OF NEW YORK APPLICABLE TO CONTRACTS EXECUTED, AND TO BE FULLY PERFORMED, IN SUCH STATE.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20"/>
          </w:cols>
          <w:pgMar w:left="240" w:top="280" w:right="339" w:bottom="1440" w:gutter="0" w:footer="0" w:header="0"/>
        </w:sectPr>
      </w:pPr>
    </w:p>
    <w:bookmarkStart w:id="149" w:name="page150"/>
    <w:bookmarkEnd w:id="14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Telecopy Number: (301) 998-3715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Number: (301) 998-8100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00"/>
          </w:cols>
          <w:pgMar w:left="240" w:top="280" w:right="4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jc w:val="center"/>
        <w:ind w:left="5020"/>
        <w:spacing w:after="0"/>
        <w:tabs>
          <w:tab w:leader="none" w:pos="200" w:val="left"/>
        </w:tabs>
        <w:rPr>
          <w:sz w:val="20"/>
          <w:szCs w:val="20"/>
          <w:color w:val="auto"/>
        </w:rPr>
      </w:pPr>
      <w:r>
        <w:rPr>
          <w:rFonts w:ascii="Arial" w:cs="Arial" w:eastAsia="Arial" w:hAnsi="Arial"/>
          <w:sz w:val="18"/>
          <w:szCs w:val="18"/>
          <w:color w:val="auto"/>
        </w:rPr>
        <w:t>November</w:t>
        <w:tab/>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Avenue</w:t>
      </w:r>
    </w:p>
    <w:p>
      <w:pPr>
        <w:spacing w:after="0" w:line="9" w:lineRule="exact"/>
        <w:rPr>
          <w:rFonts w:ascii="Arial" w:cs="Arial" w:eastAsia="Arial" w:hAnsi="Arial"/>
          <w:sz w:val="18"/>
          <w:szCs w:val="18"/>
          <w:color w:val="auto"/>
        </w:rPr>
      </w:pPr>
    </w:p>
    <w:p>
      <w:pPr>
        <w:ind w:right="9480"/>
        <w:spacing w:after="0" w:line="295" w:lineRule="auto"/>
        <w:rPr>
          <w:rFonts w:ascii="Arial" w:cs="Arial" w:eastAsia="Arial" w:hAnsi="Arial"/>
          <w:sz w:val="18"/>
          <w:szCs w:val="18"/>
          <w:color w:val="auto"/>
        </w:rPr>
      </w:pPr>
      <w:r>
        <w:rPr>
          <w:rFonts w:ascii="Arial" w:cs="Arial" w:eastAsia="Arial" w:hAnsi="Arial"/>
          <w:sz w:val="16"/>
          <w:szCs w:val="16"/>
          <w:color w:val="auto"/>
        </w:rPr>
        <w:t>P7-PFSC-04-I Pittsburgh, PA 15222 Attn: Martin Hannak Telecopier: (412) 762-8672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Reference is made to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PNC Bank, National Association (together with its successors and permitted assigns, the “Administrative Agent”), Capital One, N.A., as Syndication Agent, PNC Capital Markets LLC and Capital One, N.A., as Joint Lead Arrangers and Joint Book Runners, and each of Regions Bank and SunTrust Bank, as a Documentation Agent. Capitalized terms used herein, and not otherwise defined herein, have their respective meanings given them in the Credit Agreement.</w:t>
      </w:r>
    </w:p>
    <w:p>
      <w:pPr>
        <w:spacing w:after="0" w:line="39"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Pursuant to Section 2.1.(b) of the Credit Agreement, the Borrower hereby requests that the Lenders make Loans to the Borrower in an aggregate</w:t>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w w:val="96"/>
              </w:rPr>
              <w:t>principal amount equal to $</w:t>
            </w:r>
          </w:p>
        </w:tc>
        <w:tc>
          <w:tcPr>
            <w:tcW w:w="4820" w:type="dxa"/>
            <w:vAlign w:val="bottom"/>
          </w:tcPr>
          <w:p>
            <w:pPr>
              <w:jc w:val="right"/>
              <w:ind w:right="4512"/>
              <w:spacing w:after="0"/>
              <w:rPr>
                <w:sz w:val="20"/>
                <w:szCs w:val="20"/>
                <w:color w:val="auto"/>
              </w:rPr>
            </w:pPr>
            <w:r>
              <w:rPr>
                <w:rFonts w:ascii="Arial" w:cs="Arial" w:eastAsia="Arial" w:hAnsi="Arial"/>
                <w:sz w:val="18"/>
                <w:szCs w:val="18"/>
                <w:color w:val="auto"/>
              </w:rPr>
              <w:t>.</w:t>
            </w:r>
          </w:p>
        </w:tc>
      </w:tr>
      <w:tr>
        <w:trPr>
          <w:trHeight w:val="291"/>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88"/>
              </w:rPr>
              <w:t>The Borrower requests that such Loans be made available to the Borrower on November   , 2011.</w:t>
            </w:r>
          </w:p>
        </w:tc>
      </w:tr>
    </w:tbl>
    <w:p>
      <w:pPr>
        <w:spacing w:after="0" w:line="75"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Borrower hereby requests that such Loans be of the following Type:</w:t>
      </w:r>
    </w:p>
    <w:p>
      <w:pPr>
        <w:spacing w:after="0" w:line="15"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83" w:lineRule="exact"/>
        <w:rPr>
          <w:rFonts w:ascii="Arial" w:cs="Arial" w:eastAsia="Arial" w:hAnsi="Arial"/>
          <w:sz w:val="18"/>
          <w:szCs w:val="18"/>
          <w:color w:val="auto"/>
        </w:rPr>
      </w:pPr>
    </w:p>
    <w:p>
      <w:pPr>
        <w:ind w:left="2320" w:hanging="712"/>
        <w:spacing w:after="0"/>
        <w:tabs>
          <w:tab w:leader="none" w:pos="2320" w:val="left"/>
        </w:tabs>
        <w:numPr>
          <w:ilvl w:val="1"/>
          <w:numId w:val="121"/>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117" w:lineRule="exact"/>
        <w:rPr>
          <w:rFonts w:ascii="MS PGothic" w:cs="MS PGothic" w:eastAsia="MS PGothic" w:hAnsi="MS PGothic"/>
          <w:sz w:val="18"/>
          <w:szCs w:val="18"/>
          <w:color w:val="auto"/>
        </w:rPr>
      </w:pPr>
    </w:p>
    <w:p>
      <w:pPr>
        <w:ind w:left="2320" w:hanging="712"/>
        <w:spacing w:after="0"/>
        <w:tabs>
          <w:tab w:leader="none" w:pos="2320" w:val="left"/>
        </w:tabs>
        <w:numPr>
          <w:ilvl w:val="1"/>
          <w:numId w:val="121"/>
        </w:numPr>
        <w:rPr>
          <w:rFonts w:ascii="MS PGothic" w:cs="MS PGothic" w:eastAsia="MS PGothic" w:hAnsi="MS PGothic"/>
          <w:sz w:val="18"/>
          <w:szCs w:val="18"/>
          <w:color w:val="auto"/>
        </w:rPr>
      </w:pPr>
      <w:r>
        <w:rPr>
          <w:rFonts w:ascii="Arial" w:cs="Arial" w:eastAsia="Arial" w:hAnsi="Arial"/>
          <w:sz w:val="18"/>
          <w:szCs w:val="18"/>
          <w:color w:val="auto"/>
        </w:rPr>
        <w:t>LIBOR Loans, with an initial Interest Period for a duration of:</w:t>
      </w:r>
    </w:p>
    <w:p>
      <w:pPr>
        <w:spacing w:after="0" w:line="23" w:lineRule="exact"/>
        <w:rPr>
          <w:rFonts w:ascii="MS PGothic" w:cs="MS PGothic" w:eastAsia="MS PGothic" w:hAnsi="MS PGothic"/>
          <w:sz w:val="18"/>
          <w:szCs w:val="18"/>
          <w:color w:val="auto"/>
        </w:rPr>
      </w:pPr>
    </w:p>
    <w:p>
      <w:pPr>
        <w:ind w:left="2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[Check one box only]</w:t>
      </w:r>
    </w:p>
    <w:p>
      <w:pPr>
        <w:spacing w:after="0" w:line="103" w:lineRule="exact"/>
        <w:rPr>
          <w:sz w:val="20"/>
          <w:szCs w:val="20"/>
          <w:color w:val="auto"/>
        </w:rPr>
      </w:pPr>
    </w:p>
    <w:p>
      <w:pPr>
        <w:ind w:left="3860" w:hanging="604"/>
        <w:spacing w:after="0"/>
        <w:tabs>
          <w:tab w:leader="none" w:pos="38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one month</w:t>
      </w:r>
    </w:p>
    <w:p>
      <w:pPr>
        <w:spacing w:after="0" w:line="117" w:lineRule="exact"/>
        <w:rPr>
          <w:sz w:val="20"/>
          <w:szCs w:val="20"/>
          <w:color w:val="auto"/>
        </w:rPr>
      </w:pPr>
    </w:p>
    <w:p>
      <w:pPr>
        <w:ind w:left="3860" w:hanging="604"/>
        <w:spacing w:after="0"/>
        <w:tabs>
          <w:tab w:leader="none" w:pos="386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three months</w:t>
      </w:r>
    </w:p>
    <w:p>
      <w:pPr>
        <w:spacing w:after="0" w:line="117" w:lineRule="exact"/>
        <w:rPr>
          <w:sz w:val="20"/>
          <w:szCs w:val="20"/>
          <w:color w:val="auto"/>
        </w:rPr>
      </w:pPr>
    </w:p>
    <w:p>
      <w:pPr>
        <w:ind w:left="3860" w:hanging="604"/>
        <w:spacing w:after="0"/>
        <w:tabs>
          <w:tab w:leader="none" w:pos="386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six months</w:t>
      </w:r>
    </w:p>
    <w:p>
      <w:pPr>
        <w:spacing w:after="0" w:line="117" w:lineRule="exact"/>
        <w:rPr>
          <w:rFonts w:ascii="MS PGothic" w:cs="MS PGothic" w:eastAsia="MS PGothic" w:hAnsi="MS PGothic"/>
          <w:sz w:val="18"/>
          <w:szCs w:val="18"/>
          <w:color w:val="auto"/>
        </w:rPr>
      </w:pPr>
    </w:p>
    <w:p>
      <w:pPr>
        <w:ind w:left="3860" w:hanging="604"/>
        <w:spacing w:after="0"/>
        <w:tabs>
          <w:tab w:leader="none" w:pos="3860" w:val="left"/>
        </w:tabs>
        <w:numPr>
          <w:ilvl w:val="0"/>
          <w:numId w:val="124"/>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151" w:name="page152"/>
    <w:bookmarkEnd w:id="151"/>
    <w:p>
      <w:pPr>
        <w:ind w:left="460"/>
        <w:spacing w:after="0"/>
        <w:tabs>
          <w:tab w:leader="none" w:pos="880" w:val="left"/>
          <w:tab w:leader="none" w:pos="8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t>
      </w:r>
      <w:r>
        <w:rPr>
          <w:sz w:val="20"/>
          <w:szCs w:val="20"/>
          <w:color w:val="auto"/>
        </w:rPr>
        <w:tab/>
      </w:r>
      <w:r>
        <w:rPr>
          <w:rFonts w:ascii="Arial" w:cs="Arial" w:eastAsia="Arial" w:hAnsi="Arial"/>
          <w:sz w:val="18"/>
          <w:szCs w:val="18"/>
          <w:color w:val="auto"/>
        </w:rPr>
        <w:t>The Borrower requests that the proceeds of such Loans be made available to the Borrower by</w:t>
      </w:r>
      <w:r>
        <w:rPr>
          <w:sz w:val="20"/>
          <w:szCs w:val="20"/>
          <w:color w:val="auto"/>
        </w:rPr>
        <w:tab/>
      </w:r>
      <w:r>
        <w:rPr>
          <w:rFonts w:ascii="Arial" w:cs="Arial" w:eastAsia="Arial" w:hAnsi="Arial"/>
          <w:sz w:val="16"/>
          <w:szCs w:val="16"/>
          <w:color w:val="auto"/>
        </w:rPr>
        <w:t>..</w:t>
      </w:r>
      <w:r>
        <w:rPr>
          <w:rFonts w:ascii="Arial" w:cs="Arial" w:eastAsia="Arial" w:hAnsi="Arial"/>
          <w:sz w:val="10"/>
          <w:szCs w:val="10"/>
          <w:color w:val="auto"/>
        </w:rPr>
        <w:t>1</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Borrower hereby certifies to the Administrative Agent and the Lenders that as of the date hereof, as of the date of the making of the requested Loans, and after making such Loans, (a) no Default or Event of Default exists or shall exist;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In addition, the Borrower certifies to the Administrative Agent and the Lenders that all conditions to the making of the requested Loans contained in Article V. of the Credit Agreement will have been satisfied (or waived in accordance with the terms of the Credit Agreement) at the time such Loans are made.</w:t>
      </w:r>
    </w:p>
    <w:p>
      <w:pPr>
        <w:spacing w:after="0" w:line="1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5580" w:right="5300" w:hanging="5572"/>
        <w:spacing w:after="0" w:line="322" w:lineRule="auto"/>
        <w:tabs>
          <w:tab w:leader="none" w:pos="451" w:val="left"/>
        </w:tabs>
        <w:numPr>
          <w:ilvl w:val="0"/>
          <w:numId w:val="125"/>
        </w:numPr>
        <w:rPr>
          <w:rFonts w:ascii="Arial" w:cs="Arial" w:eastAsia="Arial" w:hAnsi="Arial"/>
          <w:sz w:val="19"/>
          <w:szCs w:val="19"/>
          <w:color w:val="auto"/>
          <w:vertAlign w:val="superscript"/>
        </w:rPr>
      </w:pPr>
      <w:r>
        <w:rPr>
          <w:rFonts w:ascii="Arial" w:cs="Arial" w:eastAsia="Arial" w:hAnsi="Arial"/>
          <w:sz w:val="15"/>
          <w:szCs w:val="15"/>
          <w:color w:val="auto"/>
        </w:rPr>
        <w:t>Indicate how the proceeds of the Loan are to be made available to the Borrower. C-2</w:t>
      </w:r>
    </w:p>
    <w:p>
      <w:pPr>
        <w:sectPr>
          <w:pgSz w:w="11900" w:h="16838" w:orient="portrait"/>
          <w:cols w:equalWidth="0" w:num="1">
            <w:col w:w="11380"/>
          </w:cols>
          <w:pgMar w:left="240" w:top="279" w:right="279" w:bottom="1440" w:gutter="0" w:footer="0" w:header="0"/>
        </w:sectPr>
      </w:pPr>
    </w:p>
    <w:bookmarkStart w:id="152" w:name="page153"/>
    <w:bookmarkEnd w:id="152"/>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Avenue</w:t>
      </w:r>
    </w:p>
    <w:p>
      <w:pPr>
        <w:spacing w:after="0" w:line="9" w:lineRule="exact"/>
        <w:rPr>
          <w:rFonts w:ascii="Arial" w:cs="Arial" w:eastAsia="Arial" w:hAnsi="Arial"/>
          <w:sz w:val="18"/>
          <w:szCs w:val="18"/>
          <w:color w:val="auto"/>
        </w:rPr>
      </w:pPr>
    </w:p>
    <w:p>
      <w:pPr>
        <w:ind w:right="9480"/>
        <w:spacing w:after="0" w:line="295" w:lineRule="auto"/>
        <w:rPr>
          <w:rFonts w:ascii="Arial" w:cs="Arial" w:eastAsia="Arial" w:hAnsi="Arial"/>
          <w:sz w:val="18"/>
          <w:szCs w:val="18"/>
          <w:color w:val="auto"/>
        </w:rPr>
      </w:pPr>
      <w:r>
        <w:rPr>
          <w:rFonts w:ascii="Arial" w:cs="Arial" w:eastAsia="Arial" w:hAnsi="Arial"/>
          <w:sz w:val="16"/>
          <w:szCs w:val="16"/>
          <w:color w:val="auto"/>
        </w:rPr>
        <w:t>P7-PFSC-04-I Pittsburgh, PA 15222 Attn: Martin Hannak Telecopier: (412) 762-8672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Reference is made to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PNC Bank, National Association (together with its successors and permitted assigns, the “Administrative Agent”), Capital One, N.A., as Syndication Agent, PNC Capital Markets LLC and Capital One, N.A., as Joint Lead Arrangers and Joint Book Runners, and each of Regions Bank and SunTrust Bank, as a Documentation Agent. Capitalized terms used herein, and not otherwise defined herein, have their respective meanings given them in the Credit Agreement.</w:t>
      </w:r>
    </w:p>
    <w:p>
      <w:pPr>
        <w:spacing w:after="0" w:line="12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Pursuant to Section 2.6. of the Credit Agreement, the Borrower hereby requests a Continuation of Loans under the Credit Agreement, and in that connection sets forth below the information relating to such Continuation as required by such Section of the Credit Agreement:</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w w:val="94"/>
              </w:rPr>
              <w:t>The requested date of such Continuation is</w:t>
            </w:r>
          </w:p>
        </w:tc>
        <w:tc>
          <w:tcPr>
            <w:tcW w:w="2440" w:type="dxa"/>
            <w:vAlign w:val="bottom"/>
          </w:tcPr>
          <w:p>
            <w:pPr>
              <w:jc w:val="right"/>
              <w:ind w:right="1572"/>
              <w:spacing w:after="0"/>
              <w:rPr>
                <w:sz w:val="20"/>
                <w:szCs w:val="20"/>
                <w:color w:val="auto"/>
              </w:rPr>
            </w:pPr>
            <w:r>
              <w:rPr>
                <w:rFonts w:ascii="Arial" w:cs="Arial" w:eastAsia="Arial" w:hAnsi="Arial"/>
                <w:sz w:val="18"/>
                <w:szCs w:val="18"/>
                <w:color w:val="auto"/>
              </w:rPr>
              <w:t>, 20  .</w:t>
            </w:r>
          </w:p>
        </w:tc>
        <w:tc>
          <w:tcPr>
            <w:tcW w:w="56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91"/>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440" w:type="dxa"/>
            <w:vAlign w:val="bottom"/>
            <w:gridSpan w:val="4"/>
          </w:tcPr>
          <w:p>
            <w:pPr>
              <w:ind w:left="160"/>
              <w:spacing w:after="0"/>
              <w:rPr>
                <w:sz w:val="20"/>
                <w:szCs w:val="20"/>
                <w:color w:val="auto"/>
              </w:rPr>
            </w:pPr>
            <w:r>
              <w:rPr>
                <w:rFonts w:ascii="Arial" w:cs="Arial" w:eastAsia="Arial" w:hAnsi="Arial"/>
                <w:sz w:val="18"/>
                <w:szCs w:val="18"/>
                <w:color w:val="auto"/>
                <w:w w:val="90"/>
              </w:rPr>
              <w:t>The aggregate principal amount of the Loans subject to the requested Continuation is $</w:t>
            </w:r>
          </w:p>
        </w:tc>
        <w:tc>
          <w:tcPr>
            <w:tcW w:w="4120" w:type="dxa"/>
            <w:vAlign w:val="bottom"/>
          </w:tcPr>
          <w:p>
            <w:pPr>
              <w:jc w:val="right"/>
              <w:spacing w:after="0"/>
              <w:rPr>
                <w:sz w:val="20"/>
                <w:szCs w:val="20"/>
                <w:color w:val="auto"/>
              </w:rPr>
            </w:pPr>
            <w:r>
              <w:rPr>
                <w:rFonts w:ascii="Arial" w:cs="Arial" w:eastAsia="Arial" w:hAnsi="Arial"/>
                <w:sz w:val="18"/>
                <w:szCs w:val="18"/>
                <w:color w:val="auto"/>
                <w:w w:val="92"/>
              </w:rPr>
              <w:t>and the portion of such principal amount subject to such</w:t>
            </w:r>
          </w:p>
        </w:tc>
      </w:tr>
      <w:tr>
        <w:trPr>
          <w:trHeight w:val="222"/>
        </w:trPr>
        <w:tc>
          <w:tcPr>
            <w:tcW w:w="28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Continuation is $</w:t>
            </w:r>
          </w:p>
        </w:tc>
        <w:tc>
          <w:tcPr>
            <w:tcW w:w="190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880" w:type="dxa"/>
            <w:vAlign w:val="bottom"/>
            <w:gridSpan w:val="3"/>
          </w:tcPr>
          <w:p>
            <w:pPr>
              <w:ind w:left="160"/>
              <w:spacing w:after="0"/>
              <w:rPr>
                <w:sz w:val="20"/>
                <w:szCs w:val="20"/>
                <w:color w:val="auto"/>
              </w:rPr>
            </w:pPr>
            <w:r>
              <w:rPr>
                <w:rFonts w:ascii="Arial" w:cs="Arial" w:eastAsia="Arial" w:hAnsi="Arial"/>
                <w:sz w:val="18"/>
                <w:szCs w:val="18"/>
                <w:color w:val="auto"/>
                <w:w w:val="92"/>
              </w:rPr>
              <w:t>The current Interest Period of the Loans subject to such Continuation ends on</w:t>
            </w:r>
          </w:p>
        </w:tc>
        <w:tc>
          <w:tcPr>
            <w:tcW w:w="4680" w:type="dxa"/>
            <w:vAlign w:val="bottom"/>
            <w:gridSpan w:val="2"/>
          </w:tcPr>
          <w:p>
            <w:pPr>
              <w:jc w:val="right"/>
              <w:ind w:right="3812"/>
              <w:spacing w:after="0"/>
              <w:rPr>
                <w:sz w:val="20"/>
                <w:szCs w:val="20"/>
                <w:color w:val="auto"/>
              </w:rPr>
            </w:pPr>
            <w:r>
              <w:rPr>
                <w:rFonts w:ascii="Arial" w:cs="Arial" w:eastAsia="Arial" w:hAnsi="Arial"/>
                <w:sz w:val="18"/>
                <w:szCs w:val="18"/>
                <w:color w:val="auto"/>
              </w:rPr>
              <w:t>, 20  .</w:t>
            </w:r>
          </w:p>
        </w:tc>
      </w:tr>
    </w:tbl>
    <w:p>
      <w:pPr>
        <w:spacing w:after="0" w:line="75"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duration of the Interest Period for the Loans or portion thereof subject to such Continuation is:</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110" w:lineRule="exact"/>
        <w:rPr>
          <w:rFonts w:ascii="Arial" w:cs="Arial" w:eastAsia="Arial" w:hAnsi="Arial"/>
          <w:sz w:val="18"/>
          <w:szCs w:val="18"/>
          <w:color w:val="auto"/>
        </w:rPr>
      </w:pPr>
    </w:p>
    <w:p>
      <w:pPr>
        <w:ind w:left="2060" w:hanging="911"/>
        <w:spacing w:after="0"/>
        <w:tabs>
          <w:tab w:leader="none" w:pos="2060" w:val="left"/>
        </w:tabs>
        <w:numPr>
          <w:ilvl w:val="1"/>
          <w:numId w:val="127"/>
        </w:numPr>
        <w:rPr>
          <w:rFonts w:ascii="MS PGothic" w:cs="MS PGothic" w:eastAsia="MS PGothic" w:hAnsi="MS PGothic"/>
          <w:sz w:val="18"/>
          <w:szCs w:val="18"/>
          <w:color w:val="auto"/>
        </w:rPr>
      </w:pPr>
      <w:r>
        <w:rPr>
          <w:rFonts w:ascii="Arial" w:cs="Arial" w:eastAsia="Arial" w:hAnsi="Arial"/>
          <w:sz w:val="18"/>
          <w:szCs w:val="18"/>
          <w:color w:val="auto"/>
        </w:rPr>
        <w:t>one month</w:t>
      </w:r>
    </w:p>
    <w:p>
      <w:pPr>
        <w:sectPr>
          <w:pgSz w:w="11900" w:h="16838" w:orient="portrait"/>
          <w:cols w:equalWidth="0" w:num="1">
            <w:col w:w="11420"/>
          </w:cols>
          <w:pgMar w:left="240" w:top="280" w:right="239" w:bottom="1440" w:gutter="0" w:footer="0" w:header="0"/>
        </w:sectPr>
      </w:pPr>
    </w:p>
    <w:p>
      <w:pPr>
        <w:spacing w:after="0" w:line="85" w:lineRule="exact"/>
        <w:rPr>
          <w:sz w:val="20"/>
          <w:szCs w:val="20"/>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three months</w:t>
      </w:r>
    </w:p>
    <w:p>
      <w:pPr>
        <w:spacing w:after="0" w:line="119" w:lineRule="exact"/>
        <w:rPr>
          <w:sz w:val="20"/>
          <w:szCs w:val="20"/>
          <w:color w:val="auto"/>
        </w:rPr>
      </w:pPr>
    </w:p>
    <w:p>
      <w:pPr>
        <w:sectPr>
          <w:pgSz w:w="11900" w:h="16838" w:orient="portrait"/>
          <w:cols w:equalWidth="0" w:num="2">
            <w:col w:w="1520" w:space="540"/>
            <w:col w:w="9360"/>
          </w:cols>
          <w:pgMar w:left="240" w:top="280" w:right="239" w:bottom="1440" w:gutter="0" w:footer="0" w:header="0"/>
          <w:type w:val="continuous"/>
        </w:sectPr>
      </w:pPr>
    </w:p>
    <w:p>
      <w:pPr>
        <w:ind w:left="1140"/>
        <w:spacing w:after="0" w:line="161" w:lineRule="exact"/>
        <w:rPr>
          <w:sz w:val="20"/>
          <w:szCs w:val="20"/>
          <w:color w:val="auto"/>
        </w:rPr>
      </w:pPr>
      <w:r>
        <w:rPr>
          <w:rFonts w:ascii="MS PGothic" w:cs="MS PGothic" w:eastAsia="MS PGothic" w:hAnsi="MS PGothic"/>
          <w:sz w:val="16"/>
          <w:szCs w:val="16"/>
          <w:color w:val="auto"/>
        </w:rPr>
        <w:t>☐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six months</w:t>
      </w:r>
    </w:p>
    <w:p>
      <w:pPr>
        <w:spacing w:after="0" w:line="108" w:lineRule="exact"/>
        <w:rPr>
          <w:sz w:val="20"/>
          <w:szCs w:val="20"/>
          <w:color w:val="auto"/>
        </w:rPr>
      </w:pPr>
    </w:p>
    <w:p>
      <w:pPr>
        <w:sectPr>
          <w:pgSz w:w="11900" w:h="16838" w:orient="portrait"/>
          <w:cols w:equalWidth="0" w:num="2">
            <w:col w:w="1520" w:space="540"/>
            <w:col w:w="9360"/>
          </w:cols>
          <w:pgMar w:left="240" w:top="280" w:right="239" w:bottom="1440" w:gutter="0" w:footer="0" w:header="0"/>
          <w:type w:val="continuous"/>
        </w:sectPr>
      </w:pPr>
    </w:p>
    <w:p>
      <w:pPr>
        <w:ind w:left="1140"/>
        <w:spacing w:after="0" w:line="161" w:lineRule="exact"/>
        <w:rPr>
          <w:sz w:val="20"/>
          <w:szCs w:val="20"/>
          <w:color w:val="auto"/>
        </w:rPr>
      </w:pPr>
      <w:r>
        <w:rPr>
          <w:rFonts w:ascii="MS PGothic" w:cs="MS PGothic" w:eastAsia="MS PGothic" w:hAnsi="MS PGothic"/>
          <w:sz w:val="16"/>
          <w:szCs w:val="16"/>
          <w:color w:val="auto"/>
        </w:rPr>
        <w:t>☐ ☐</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0" w:lineRule="exact"/>
        <w:rPr>
          <w:sz w:val="20"/>
          <w:szCs w:val="20"/>
          <w:color w:val="auto"/>
        </w:rPr>
      </w:pPr>
    </w:p>
    <w:p>
      <w:pPr>
        <w:sectPr>
          <w:pgSz w:w="11900" w:h="16838" w:orient="portrait"/>
          <w:cols w:equalWidth="0" w:num="2">
            <w:col w:w="1520" w:space="540"/>
            <w:col w:w="9360"/>
          </w:cols>
          <w:pgMar w:left="240" w:top="280" w:right="2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[Continued on next page]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80" w:right="239" w:bottom="1440" w:gutter="0" w:footer="0" w:header="0"/>
          <w:type w:val="continuous"/>
        </w:sectPr>
      </w:pPr>
    </w:p>
    <w:bookmarkStart w:id="153" w:name="page154"/>
    <w:bookmarkEnd w:id="15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certifies to the Administrative Agent and the Lenders that as of the date hereof, as of the proposed date of the requested Continuation, and after giving effect to such Continuation, (a) no Default or Event of Default exists or shall exist;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shall be considered the written confirmation of such telephone notice required by Section 2.6.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154" w:name="page155"/>
    <w:bookmarkEnd w:id="154"/>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Avenue</w:t>
      </w:r>
    </w:p>
    <w:p>
      <w:pPr>
        <w:spacing w:after="0" w:line="9" w:lineRule="exact"/>
        <w:rPr>
          <w:rFonts w:ascii="Arial" w:cs="Arial" w:eastAsia="Arial" w:hAnsi="Arial"/>
          <w:sz w:val="18"/>
          <w:szCs w:val="18"/>
          <w:color w:val="auto"/>
        </w:rPr>
      </w:pPr>
    </w:p>
    <w:p>
      <w:pPr>
        <w:ind w:right="9480"/>
        <w:spacing w:after="0" w:line="295" w:lineRule="auto"/>
        <w:rPr>
          <w:rFonts w:ascii="Arial" w:cs="Arial" w:eastAsia="Arial" w:hAnsi="Arial"/>
          <w:sz w:val="18"/>
          <w:szCs w:val="18"/>
          <w:color w:val="auto"/>
        </w:rPr>
      </w:pPr>
      <w:r>
        <w:rPr>
          <w:rFonts w:ascii="Arial" w:cs="Arial" w:eastAsia="Arial" w:hAnsi="Arial"/>
          <w:sz w:val="16"/>
          <w:szCs w:val="16"/>
          <w:color w:val="auto"/>
        </w:rPr>
        <w:t>P7-PFSC-04-I Pittsburgh, PA 15222 Attn: Martin Hannak Telecopier: (412) 762-8672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Reference is made to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PNC Bank, National Association (together with its successors and permitted assigns, the “Administrative Agent”), Capital One, N.A., as Syndication Agent, PNC Capital Markets LLC and Capital One, N.A., as Joint Lead Arrangers and Joint Book Runners, and each of Regions Bank and SunTrust Bank, as a Documentation Agent. Capitalized terms used herein, and not otherwise defined herein, have their respective meanings given them in the Credit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2.7. of the Credit Agreement, the Borrower hereby requests a Conversion of Loans of one Type into Loans of another Type under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in that connection sets forth below the information relating to such Conversion as required by such Section of the Credit Agreement:</w:t>
      </w:r>
    </w:p>
    <w:p>
      <w:pPr>
        <w:spacing w:after="0" w:line="107" w:lineRule="exact"/>
        <w:rPr>
          <w:sz w:val="20"/>
          <w:szCs w:val="20"/>
          <w:color w:val="auto"/>
        </w:rPr>
      </w:pPr>
    </w:p>
    <w:p>
      <w:pPr>
        <w:ind w:left="460"/>
        <w:spacing w:after="0"/>
        <w:tabs>
          <w:tab w:leader="none" w:pos="880" w:val="left"/>
          <w:tab w:leader="none" w:pos="4340" w:val="left"/>
          <w:tab w:leader="none" w:pos="4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requested date of such Conversion is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90"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Type of Loans to be Converted pursuant hereto is currently:</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2160" w:hanging="680"/>
        <w:spacing w:after="0"/>
        <w:tabs>
          <w:tab w:leader="none" w:pos="2160" w:val="left"/>
        </w:tabs>
        <w:numPr>
          <w:ilvl w:val="1"/>
          <w:numId w:val="129"/>
        </w:numPr>
        <w:rPr>
          <w:rFonts w:ascii="MS PGothic" w:cs="MS PGothic" w:eastAsia="MS PGothic" w:hAnsi="MS PGothic"/>
          <w:sz w:val="18"/>
          <w:szCs w:val="18"/>
          <w:color w:val="auto"/>
        </w:rPr>
      </w:pPr>
      <w:r>
        <w:rPr>
          <w:rFonts w:ascii="Arial" w:cs="Arial" w:eastAsia="Arial" w:hAnsi="Arial"/>
          <w:sz w:val="18"/>
          <w:szCs w:val="18"/>
          <w:color w:val="auto"/>
        </w:rPr>
        <w:t>Base Rate Loan</w:t>
      </w:r>
    </w:p>
    <w:p>
      <w:pPr>
        <w:spacing w:after="0" w:line="90" w:lineRule="exact"/>
        <w:rPr>
          <w:rFonts w:ascii="MS PGothic" w:cs="MS PGothic" w:eastAsia="MS PGothic" w:hAnsi="MS PGothic"/>
          <w:sz w:val="18"/>
          <w:szCs w:val="18"/>
          <w:color w:val="auto"/>
        </w:rPr>
      </w:pPr>
    </w:p>
    <w:p>
      <w:pPr>
        <w:ind w:left="2160" w:hanging="680"/>
        <w:spacing w:after="0"/>
        <w:tabs>
          <w:tab w:leader="none" w:pos="2160" w:val="left"/>
        </w:tabs>
        <w:numPr>
          <w:ilvl w:val="1"/>
          <w:numId w:val="129"/>
        </w:numPr>
        <w:rPr>
          <w:rFonts w:ascii="MS PGothic" w:cs="MS PGothic" w:eastAsia="MS PGothic" w:hAnsi="MS PGothic"/>
          <w:sz w:val="18"/>
          <w:szCs w:val="18"/>
          <w:color w:val="auto"/>
        </w:rPr>
      </w:pPr>
      <w:r>
        <w:rPr>
          <w:rFonts w:ascii="Arial" w:cs="Arial" w:eastAsia="Arial" w:hAnsi="Arial"/>
          <w:sz w:val="18"/>
          <w:szCs w:val="18"/>
          <w:color w:val="auto"/>
        </w:rPr>
        <w:t>LIBOR Loan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w w:val="90"/>
              </w:rPr>
              <w:t>The aggregate principal amount of the Loans subject to the requested Conversion is $</w:t>
            </w:r>
          </w:p>
        </w:tc>
        <w:tc>
          <w:tcPr>
            <w:tcW w:w="4120" w:type="dxa"/>
            <w:vAlign w:val="bottom"/>
          </w:tcPr>
          <w:p>
            <w:pPr>
              <w:ind w:left="180"/>
              <w:spacing w:after="0"/>
              <w:rPr>
                <w:sz w:val="20"/>
                <w:szCs w:val="20"/>
                <w:color w:val="auto"/>
              </w:rPr>
            </w:pPr>
            <w:r>
              <w:rPr>
                <w:rFonts w:ascii="Arial" w:cs="Arial" w:eastAsia="Arial" w:hAnsi="Arial"/>
                <w:sz w:val="18"/>
                <w:szCs w:val="18"/>
                <w:color w:val="auto"/>
                <w:w w:val="88"/>
              </w:rPr>
              <w:t>and the portion of such principal amount subject to such</w:t>
            </w:r>
          </w:p>
        </w:tc>
      </w:tr>
      <w:tr>
        <w:trPr>
          <w:trHeight w:val="222"/>
        </w:trPr>
        <w:tc>
          <w:tcPr>
            <w:tcW w:w="280" w:type="dxa"/>
            <w:vAlign w:val="bottom"/>
          </w:tcPr>
          <w:p>
            <w:pPr>
              <w:spacing w:after="0"/>
              <w:rPr>
                <w:sz w:val="19"/>
                <w:szCs w:val="19"/>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Conversion is $</w:t>
            </w:r>
          </w:p>
        </w:tc>
        <w:tc>
          <w:tcPr>
            <w:tcW w:w="4900" w:type="dxa"/>
            <w:vAlign w:val="bottom"/>
          </w:tcPr>
          <w:p>
            <w:pPr>
              <w:jc w:val="right"/>
              <w:ind w:right="4592"/>
              <w:spacing w:after="0"/>
              <w:rPr>
                <w:sz w:val="20"/>
                <w:szCs w:val="20"/>
                <w:color w:val="auto"/>
              </w:rPr>
            </w:pPr>
            <w:r>
              <w:rPr>
                <w:rFonts w:ascii="Arial" w:cs="Arial" w:eastAsia="Arial" w:hAnsi="Arial"/>
                <w:sz w:val="18"/>
                <w:szCs w:val="18"/>
                <w:color w:val="auto"/>
              </w:rPr>
              <w:t>.</w:t>
            </w:r>
          </w:p>
        </w:tc>
        <w:tc>
          <w:tcPr>
            <w:tcW w:w="4120" w:type="dxa"/>
            <w:vAlign w:val="bottom"/>
          </w:tcPr>
          <w:p>
            <w:pPr>
              <w:spacing w:after="0"/>
              <w:rPr>
                <w:sz w:val="19"/>
                <w:szCs w:val="19"/>
                <w:color w:val="auto"/>
              </w:rPr>
            </w:pPr>
          </w:p>
        </w:tc>
      </w:tr>
      <w:tr>
        <w:trPr>
          <w:trHeight w:val="365"/>
        </w:trPr>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900" w:type="dxa"/>
            <w:vAlign w:val="bottom"/>
          </w:tcPr>
          <w:p>
            <w:pPr>
              <w:jc w:val="right"/>
              <w:ind w:right="1152"/>
              <w:spacing w:after="0"/>
              <w:rPr>
                <w:sz w:val="20"/>
                <w:szCs w:val="20"/>
                <w:color w:val="auto"/>
              </w:rPr>
            </w:pPr>
            <w:r>
              <w:rPr>
                <w:rFonts w:ascii="Arial" w:cs="Arial" w:eastAsia="Arial" w:hAnsi="Arial"/>
                <w:sz w:val="18"/>
                <w:szCs w:val="18"/>
                <w:color w:val="auto"/>
              </w:rPr>
              <w:t>E-1</w:t>
            </w:r>
          </w:p>
        </w:tc>
        <w:tc>
          <w:tcPr>
            <w:tcW w:w="4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5" w:name="page156"/>
    <w:bookmarkEnd w:id="155"/>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such Loans to be so Converted is to be converted into Loans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2160" w:hanging="680"/>
        <w:spacing w:after="0"/>
        <w:tabs>
          <w:tab w:leader="none" w:pos="2160" w:val="left"/>
        </w:tabs>
        <w:numPr>
          <w:ilvl w:val="1"/>
          <w:numId w:val="130"/>
        </w:numPr>
        <w:rPr>
          <w:rFonts w:ascii="MS PGothic" w:cs="MS PGothic" w:eastAsia="MS PGothic" w:hAnsi="MS PGothic"/>
          <w:sz w:val="18"/>
          <w:szCs w:val="18"/>
          <w:color w:val="auto"/>
        </w:rPr>
      </w:pPr>
      <w:r>
        <w:rPr>
          <w:rFonts w:ascii="Arial" w:cs="Arial" w:eastAsia="Arial" w:hAnsi="Arial"/>
          <w:sz w:val="18"/>
          <w:szCs w:val="18"/>
          <w:color w:val="auto"/>
        </w:rPr>
        <w:t>Base Rate Loan</w:t>
      </w:r>
    </w:p>
    <w:p>
      <w:pPr>
        <w:spacing w:after="0" w:line="90" w:lineRule="exact"/>
        <w:rPr>
          <w:rFonts w:ascii="MS PGothic" w:cs="MS PGothic" w:eastAsia="MS PGothic" w:hAnsi="MS PGothic"/>
          <w:sz w:val="18"/>
          <w:szCs w:val="18"/>
          <w:color w:val="auto"/>
        </w:rPr>
      </w:pPr>
    </w:p>
    <w:p>
      <w:pPr>
        <w:ind w:left="2160" w:hanging="680"/>
        <w:spacing w:after="0"/>
        <w:tabs>
          <w:tab w:leader="none" w:pos="2160" w:val="left"/>
        </w:tabs>
        <w:numPr>
          <w:ilvl w:val="1"/>
          <w:numId w:val="130"/>
        </w:numPr>
        <w:rPr>
          <w:rFonts w:ascii="MS PGothic" w:cs="MS PGothic" w:eastAsia="MS PGothic" w:hAnsi="MS PGothic"/>
          <w:sz w:val="18"/>
          <w:szCs w:val="18"/>
          <w:color w:val="auto"/>
        </w:rPr>
      </w:pPr>
      <w:r>
        <w:rPr>
          <w:rFonts w:ascii="Arial" w:cs="Arial" w:eastAsia="Arial" w:hAnsi="Arial"/>
          <w:sz w:val="18"/>
          <w:szCs w:val="18"/>
          <w:color w:val="auto"/>
        </w:rPr>
        <w:t>LIBOR Loan, with an initial Interest Period for a duration of:</w:t>
      </w:r>
    </w:p>
    <w:p>
      <w:pPr>
        <w:spacing w:after="0" w:line="8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[Check one box only]</w:t>
      </w:r>
    </w:p>
    <w:p>
      <w:pPr>
        <w:spacing w:after="0" w:line="96" w:lineRule="exact"/>
        <w:rPr>
          <w:sz w:val="20"/>
          <w:szCs w:val="20"/>
          <w:color w:val="auto"/>
        </w:rPr>
      </w:pPr>
    </w:p>
    <w:p>
      <w:pPr>
        <w:ind w:left="2960" w:hanging="791"/>
        <w:spacing w:after="0"/>
        <w:tabs>
          <w:tab w:leader="none" w:pos="296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one month</w:t>
      </w:r>
    </w:p>
    <w:p>
      <w:pPr>
        <w:spacing w:after="0" w:line="90" w:lineRule="exact"/>
        <w:rPr>
          <w:rFonts w:ascii="MS PGothic" w:cs="MS PGothic" w:eastAsia="MS PGothic" w:hAnsi="MS PGothic"/>
          <w:sz w:val="18"/>
          <w:szCs w:val="18"/>
          <w:color w:val="auto"/>
        </w:rPr>
      </w:pPr>
    </w:p>
    <w:p>
      <w:pPr>
        <w:ind w:left="2960" w:hanging="791"/>
        <w:spacing w:after="0"/>
        <w:tabs>
          <w:tab w:leader="none" w:pos="296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three months</w:t>
      </w:r>
    </w:p>
    <w:p>
      <w:pPr>
        <w:spacing w:after="0" w:line="90" w:lineRule="exact"/>
        <w:rPr>
          <w:rFonts w:ascii="MS PGothic" w:cs="MS PGothic" w:eastAsia="MS PGothic" w:hAnsi="MS PGothic"/>
          <w:sz w:val="18"/>
          <w:szCs w:val="18"/>
          <w:color w:val="auto"/>
        </w:rPr>
      </w:pPr>
    </w:p>
    <w:p>
      <w:pPr>
        <w:ind w:left="2960" w:hanging="791"/>
        <w:spacing w:after="0"/>
        <w:tabs>
          <w:tab w:leader="none" w:pos="296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six months</w:t>
      </w:r>
    </w:p>
    <w:p>
      <w:pPr>
        <w:spacing w:after="0" w:line="90" w:lineRule="exact"/>
        <w:rPr>
          <w:sz w:val="20"/>
          <w:szCs w:val="20"/>
          <w:color w:val="auto"/>
        </w:rPr>
      </w:pPr>
    </w:p>
    <w:p>
      <w:pPr>
        <w:ind w:left="2960" w:hanging="791"/>
        <w:spacing w:after="0"/>
        <w:tabs>
          <w:tab w:leader="none" w:pos="2960" w:val="left"/>
        </w:tabs>
        <w:numPr>
          <w:ilvl w:val="0"/>
          <w:numId w:val="132"/>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Borrower hereby certifies to the Administrative Agent and the Lenders that as of the date hereof, as of the proposed date of the requested Conversion, and after giving effect to such Conversion, (a) no Default or Event of Default exists or shall exist</w:t>
      </w:r>
      <w:r>
        <w:rPr>
          <w:rFonts w:ascii="Arial" w:cs="Arial" w:eastAsia="Arial" w:hAnsi="Arial"/>
          <w:sz w:val="10"/>
          <w:szCs w:val="10"/>
          <w:color w:val="auto"/>
        </w:rPr>
        <w:t>9</w:t>
      </w:r>
      <w:r>
        <w:rPr>
          <w:rFonts w:ascii="Arial" w:cs="Arial" w:eastAsia="Arial" w:hAnsi="Arial"/>
          <w:sz w:val="16"/>
          <w:szCs w:val="16"/>
          <w:color w:val="auto"/>
        </w:rPr>
        <w:t>;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shall be considered the written confirmation of such telephone notice required by Section 2.7.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5580" w:right="4220" w:hanging="5572"/>
        <w:spacing w:after="0" w:line="387" w:lineRule="auto"/>
        <w:tabs>
          <w:tab w:leader="none" w:pos="447"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Note: A Base Rate Loan may not be converted into a LIBOR Loan if an Event of Default exists. E-2</w:t>
      </w:r>
    </w:p>
    <w:p>
      <w:pPr>
        <w:sectPr>
          <w:pgSz w:w="11900" w:h="16838" w:orient="portrait"/>
          <w:cols w:equalWidth="0" w:num="1">
            <w:col w:w="11420"/>
          </w:cols>
          <w:pgMar w:left="240" w:top="280" w:right="23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FORM OF NOTE</w:t>
      </w:r>
    </w:p>
    <w:p>
      <w:pPr>
        <w:sectPr>
          <w:pgSz w:w="11900" w:h="16838" w:orient="portrait"/>
          <w:cols w:equalWidth="0" w:num="1">
            <w:col w:w="11400"/>
          </w:cols>
          <w:pgMar w:left="240" w:top="280" w:right="25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124" w:lineRule="exact"/>
        <w:rPr>
          <w:sz w:val="20"/>
          <w:szCs w:val="20"/>
          <w:color w:val="auto"/>
        </w:rPr>
      </w:pPr>
    </w:p>
    <w:p>
      <w:pPr>
        <w:sectPr>
          <w:pgSz w:w="11900" w:h="16838" w:orient="portrait"/>
          <w:cols w:equalWidth="0" w:num="2">
            <w:col w:w="10260" w:space="720"/>
            <w:col w:w="420"/>
          </w:cols>
          <w:pgMar w:left="240" w:top="280" w:right="259" w:bottom="1440" w:gutter="0" w:footer="0" w:header="0"/>
          <w:type w:val="continuous"/>
        </w:sectPr>
      </w:pPr>
    </w:p>
    <w:p>
      <w:pPr>
        <w:ind w:right="360" w:firstLine="456"/>
        <w:spacing w:after="0" w:line="286" w:lineRule="auto"/>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 of Maryland (the “Borrower”), hereby unconditionally promises to pay to the order of (the “Lender”), in care of PNC Bank, National</w:t>
      </w:r>
    </w:p>
    <w:p>
      <w:pPr>
        <w:sectPr>
          <w:pgSz w:w="11900" w:h="16838" w:orient="portrait"/>
          <w:cols w:equalWidth="0" w:num="1">
            <w:col w:w="114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Association (together with its successors and permitted assigns, the “Administrative Agent”), at its office located at 500 1</w:t>
      </w:r>
      <w:r>
        <w:rPr>
          <w:rFonts w:ascii="Arial" w:cs="Arial" w:eastAsia="Arial" w:hAnsi="Arial"/>
          <w:sz w:val="10"/>
          <w:szCs w:val="10"/>
          <w:color w:val="auto"/>
        </w:rPr>
        <w:t>st</w:t>
      </w:r>
      <w:r>
        <w:rPr>
          <w:rFonts w:ascii="Arial" w:cs="Arial" w:eastAsia="Arial" w:hAnsi="Arial"/>
          <w:sz w:val="16"/>
          <w:szCs w:val="16"/>
          <w:color w:val="auto"/>
        </w:rPr>
        <w:t xml:space="preserve"> Avenue, Pittsburgh, Pennsylvania</w:t>
      </w:r>
    </w:p>
    <w:p>
      <w:pPr>
        <w:spacing w:after="0" w:line="39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15222, or at such other address as may be specified by the Administrative Agent to the Borrower, the principal sum of AND /100 DOLLARS ($ ), or such lesser amount as may be the then outstanding and unpaid balance of the Loan made by the Lender to the Borrower pursuant to, and in accordance with the terms of, the Credit Agreement.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Borrower further agrees to pay interest at said office, in like money, on the unpaid principal amount owing hereunder from time to time on the dates and at the rates and at the times specified in the Credit Agreement.</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Note (this “Note”) is one of the “Notes” referred to in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(the “Borrower”), the financial institutions party thereto and their permitted assignees under Section 12.6. thereof, the Administrative Agent, Capital One, N.A., as Syndication Agent, PNC Capital Markets LLC and Capital One, N.A., as Joint Lead Arrangers and Joint Book Runners, and each of Regions Bank and SunTrust Bank, as a Documentation Agent, and is subject to, and entitled to, all provisions and benefits thereof. Capitalized terms used herein and not defined herein shall have the respective meanings given to such terms in the Credit Agreement. The Credit Agreement, among other things, (a) provides for the making of the Loan by the Lender to the Borrower in the principal amount first mentioned above, (b) permits the prepayment of the Loans by the Borrower subject to certain terms and conditions and (c) provides for the acceleration of the Loans upon the occurrence of certain specified events.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280" w:right="25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and delivered this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9759"/>
          </w:cols>
          <w:pgMar w:left="700" w:top="280"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 TO THE BORROWER AND GUARANTORS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9019"/>
          </w:cols>
          <w:pgMar w:left="1440" w:top="280"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Reference is made to that certain Term Loan Agreement dated as of November 22, 2011 (as amended, restated, supplemented, or otherwise modified from time to time, the “Credit Agreement”), by and among Federal Realty Investment Trust, a real estate investment trust formed under the laws of the State of Maryland (“Borrower”), the financial institutions party thereto and their permitted assignees under Section 12.6. thereof, PNC Bank, National Association (together with its successors and permitted assigns, the “Administrative Agent”), Capital One, N.A., as Syndication Agent, PNC Capital Markets LLC and Capital One, N.A., as Joint Lead Arrangers and Joint Book Runners, and each of Regions Bank and SunTrust Bank, as a Documentation Agent. Capitalized terms used herein, and not otherwise defined herein, have their respective meanings given to them in the Credit Agreement.</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Section 8.3 of the Credit Agreement, the undersigned hereby certifies to the Administrative Agent and the Lenders, in his or her capacity as the [Chief Accounting Officer] [Chief Financial Officer] that:</w:t>
      </w:r>
    </w:p>
    <w:p>
      <w:pPr>
        <w:spacing w:after="0" w:line="132" w:lineRule="exact"/>
        <w:rPr>
          <w:sz w:val="20"/>
          <w:szCs w:val="20"/>
          <w:color w:val="auto"/>
        </w:rPr>
      </w:pPr>
    </w:p>
    <w:p>
      <w:pPr>
        <w:ind w:right="480" w:firstLine="464"/>
        <w:spacing w:after="0" w:line="268"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undersigned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740" w:firstLine="464"/>
        <w:spacing w:after="0" w:line="268"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Schedule 1 attached hereto accurately and completely sets forth the calculations required to establish compliance with Section 9.1 of the Credit Agreement on the date of the financial statements for the accounting period set forth above.</w:t>
      </w:r>
    </w:p>
    <w:p>
      <w:pPr>
        <w:spacing w:after="0" w:line="131"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on Exhibit A, attached hereto, and its nature, when it occurred and whether it is continuing and the steps being taken by the Borrower with respect to such event, condition or failure].</w:t>
      </w:r>
    </w:p>
    <w:p>
      <w:pPr>
        <w:spacing w:after="0" w:line="140" w:lineRule="exact"/>
        <w:rPr>
          <w:rFonts w:ascii="Arial" w:cs="Arial" w:eastAsia="Arial" w:hAnsi="Arial"/>
          <w:sz w:val="18"/>
          <w:szCs w:val="18"/>
          <w:color w:val="auto"/>
        </w:rPr>
      </w:pPr>
    </w:p>
    <w:p>
      <w:pPr>
        <w:ind w:firstLine="464"/>
        <w:spacing w:after="0" w:line="290" w:lineRule="auto"/>
        <w:tabs>
          <w:tab w:leader="none" w:pos="6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w:t>
      </w:r>
      <w:r>
        <w:rPr>
          <w:rFonts w:ascii="Arial" w:cs="Arial" w:eastAsia="Arial" w:hAnsi="Arial"/>
          <w:sz w:val="16"/>
          <w:szCs w:val="16"/>
          <w:i w:val="1"/>
          <w:iCs w:val="1"/>
          <w:color w:val="auto"/>
        </w:rPr>
        <w:t>[if such is not the</w:t>
      </w:r>
      <w:r>
        <w:rPr>
          <w:rFonts w:ascii="Arial" w:cs="Arial" w:eastAsia="Arial" w:hAnsi="Arial"/>
          <w:sz w:val="16"/>
          <w:szCs w:val="16"/>
          <w:color w:val="auto"/>
        </w:rPr>
        <w:t xml:space="preserve"> </w:t>
      </w:r>
      <w:r>
        <w:rPr>
          <w:rFonts w:ascii="Arial" w:cs="Arial" w:eastAsia="Arial" w:hAnsi="Arial"/>
          <w:sz w:val="16"/>
          <w:szCs w:val="16"/>
          <w:i w:val="1"/>
          <w:iCs w:val="1"/>
          <w:color w:val="auto"/>
        </w:rPr>
        <w:t>case, specify which representation or warranty is not true or correct on Exhibit A, attached hereto, and describe why that is the case]</w:t>
      </w:r>
      <w:r>
        <w:rPr>
          <w:rFonts w:ascii="Arial" w:cs="Arial" w:eastAsia="Arial" w:hAnsi="Arial"/>
          <w:sz w:val="16"/>
          <w:szCs w:val="16"/>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420"/>
          </w:cols>
          <w:pgMar w:left="240" w:top="280" w:right="2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signed this Compliance Certificate on and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9759"/>
          </w:cols>
          <w:pgMar w:left="700" w:top="280" w:right="1440" w:bottom="144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ectPr>
          <w:pgSz w:w="11900" w:h="16838" w:orient="portrait"/>
          <w:cols w:equalWidth="0" w:num="1">
            <w:col w:w="9019"/>
          </w:cols>
          <w:pgMar w:left="1440" w:top="274" w:right="1440" w:bottom="1440" w:gutter="0" w:footer="0" w:header="0"/>
        </w:sectPr>
      </w:pP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H-3</w:t>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lowerRoman"/>
      <w:start w:val="2"/>
    </w:lvl>
  </w:abstractNum>
  <w:abstractNum w:abstractNumId="2">
    <w:nsid w:val="100F8FCA"/>
    <w:multiLevelType w:val="hybridMultilevel"/>
    <w:lvl w:ilvl="0">
      <w:lvlJc w:val="left"/>
      <w:lvlText w:val="(%1)"/>
      <w:numFmt w:val="lowerLetter"/>
      <w:start w:val="5"/>
    </w:lvl>
  </w:abstractNum>
  <w:abstractNum w:abstractNumId="3">
    <w:nsid w:val="6590700B"/>
    <w:multiLevelType w:val="hybridMultilevel"/>
    <w:lvl w:ilvl="0">
      <w:lvlJc w:val="left"/>
      <w:lvlText w:val="(%1)"/>
      <w:numFmt w:val="lowerRoman"/>
      <w:start w:val="2"/>
    </w:lvl>
  </w:abstractNum>
  <w:abstractNum w:abstractNumId="4">
    <w:nsid w:val="15014ACB"/>
    <w:multiLevelType w:val="hybridMultilevel"/>
    <w:lvl w:ilvl="0">
      <w:lvlJc w:val="left"/>
      <w:lvlText w:val="(%1)"/>
      <w:numFmt w:val="lowerLetter"/>
      <w:start w:val="10"/>
    </w:lvl>
  </w:abstractNum>
  <w:abstractNum w:abstractNumId="5">
    <w:nsid w:val="5F5E7FD0"/>
    <w:multiLevelType w:val="hybridMultilevel"/>
    <w:lvl w:ilvl="0">
      <w:lvlJc w:val="left"/>
      <w:lvlText w:val="(%1)"/>
      <w:numFmt w:val="lowerRoman"/>
      <w:start w:val="2"/>
    </w:lvl>
  </w:abstractNum>
  <w:abstractNum w:abstractNumId="6">
    <w:nsid w:val="98A3148"/>
    <w:multiLevelType w:val="hybridMultilevel"/>
    <w:lvl w:ilvl="0">
      <w:lvlJc w:val="left"/>
      <w:lvlText w:val="(%1)"/>
      <w:numFmt w:val="lowerLetter"/>
      <w:start w:val="3"/>
    </w:lvl>
  </w:abstractNum>
  <w:abstractNum w:abstractNumId="7">
    <w:nsid w:val="799D0247"/>
    <w:multiLevelType w:val="hybridMultilevel"/>
    <w:lvl w:ilvl="0">
      <w:lvlJc w:val="left"/>
      <w:lvlText w:val="(%1)"/>
      <w:numFmt w:val="lowerLetter"/>
      <w:start w:val="3"/>
    </w:lvl>
    <w:lvl w:ilvl="1">
      <w:lvlJc w:val="left"/>
      <w:lvlText w:val="-"/>
      <w:numFmt w:val="bullet"/>
      <w:start w:val="1"/>
    </w:lvl>
  </w:abstractNum>
  <w:abstractNum w:abstractNumId="8">
    <w:nsid w:val="6B94764"/>
    <w:multiLevelType w:val="hybridMultilevel"/>
    <w:lvl w:ilvl="0">
      <w:lvlJc w:val="left"/>
      <w:lvlText w:val="(%1)"/>
      <w:numFmt w:val="lowerLetter"/>
      <w:start w:val="3"/>
    </w:lvl>
  </w:abstractNum>
  <w:abstractNum w:abstractNumId="9">
    <w:nsid w:val="42C296BD"/>
    <w:multiLevelType w:val="hybridMultilevel"/>
    <w:lvl w:ilvl="0">
      <w:lvlJc w:val="left"/>
      <w:lvlText w:val="(%1)"/>
      <w:numFmt w:val="lowerLetter"/>
      <w:start w:val="2"/>
    </w:lvl>
  </w:abstractNum>
  <w:abstractNum w:abstractNumId="10">
    <w:nsid w:val="168E121F"/>
    <w:multiLevelType w:val="hybridMultilevel"/>
    <w:lvl w:ilvl="0">
      <w:lvlJc w:val="left"/>
      <w:lvlText w:val="(%1)"/>
      <w:numFmt w:val="lowerRoman"/>
      <w:start w:val="1"/>
    </w:lvl>
  </w:abstractNum>
  <w:abstractNum w:abstractNumId="11">
    <w:nsid w:val="1EBA5D23"/>
    <w:multiLevelType w:val="hybridMultilevel"/>
    <w:lvl w:ilvl="0">
      <w:lvlJc w:val="left"/>
      <w:lvlText w:val="(%1)"/>
      <w:numFmt w:val="lowerLetter"/>
      <w:start w:val="5"/>
    </w:lvl>
  </w:abstractNum>
  <w:abstractNum w:abstractNumId="12">
    <w:nsid w:val="661E3F1E"/>
    <w:multiLevelType w:val="hybridMultilevel"/>
    <w:lvl w:ilvl="0">
      <w:lvlJc w:val="left"/>
      <w:lvlText w:val="(%1)"/>
      <w:numFmt w:val="lowerRoman"/>
      <w:start w:val="3"/>
    </w:lvl>
  </w:abstractNum>
  <w:abstractNum w:abstractNumId="13">
    <w:nsid w:val="5DC79EA8"/>
    <w:multiLevelType w:val="hybridMultilevel"/>
    <w:lvl w:ilvl="0">
      <w:lvlJc w:val="left"/>
      <w:lvlText w:val="(%1)"/>
      <w:numFmt w:val="lowerLetter"/>
      <w:start w:val="1"/>
    </w:lvl>
  </w:abstractNum>
  <w:abstractNum w:abstractNumId="14">
    <w:nsid w:val="540A47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
    <w:nsid w:val="7BD3EE7B"/>
    <w:multiLevelType w:val="hybridMultilevel"/>
    <w:lvl w:ilvl="0">
      <w:lvlJc w:val="left"/>
      <w:lvlText w:val="(%1)"/>
      <w:numFmt w:val="lowerRoman"/>
      <w:start w:val="2"/>
    </w:lvl>
  </w:abstractNum>
  <w:abstractNum w:abstractNumId="16">
    <w:nsid w:val="51D9C56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
    <w:nsid w:val="613EFDC5"/>
    <w:multiLevelType w:val="hybridMultilevel"/>
    <w:lvl w:ilvl="0">
      <w:lvlJc w:val="left"/>
      <w:lvlText w:val="(%1)"/>
      <w:numFmt w:val="lowerLetter"/>
      <w:start w:val="1"/>
    </w:lvl>
  </w:abstractNum>
  <w:abstractNum w:abstractNumId="18">
    <w:nsid w:val="BF72B14"/>
    <w:multiLevelType w:val="hybridMultilevel"/>
    <w:lvl w:ilvl="0">
      <w:lvlJc w:val="left"/>
      <w:lvlText w:val="(%1)"/>
      <w:numFmt w:val="lowerLetter"/>
      <w:start w:val="1"/>
    </w:lvl>
    <w:lvl w:ilvl="1">
      <w:lvlJc w:val="left"/>
      <w:lvlText w:val="-"/>
      <w:numFmt w:val="bullet"/>
      <w:start w:val="1"/>
    </w:lvl>
  </w:abstractNum>
  <w:abstractNum w:abstractNumId="19">
    <w:nsid w:val="11447B73"/>
    <w:multiLevelType w:val="hybridMultilevel"/>
    <w:lvl w:ilvl="0">
      <w:lvlJc w:val="left"/>
      <w:lvlText w:val="(%1)"/>
      <w:numFmt w:val="lowerLetter"/>
      <w:start w:val="25"/>
    </w:lvl>
  </w:abstractNum>
  <w:abstractNum w:abstractNumId="20">
    <w:nsid w:val="42963E5A"/>
    <w:multiLevelType w:val="hybridMultilevel"/>
    <w:lvl w:ilvl="0">
      <w:lvlJc w:val="left"/>
      <w:lvlText w:val="(%1)"/>
      <w:numFmt w:val="lowerLetter"/>
      <w:start w:val="1"/>
    </w:lvl>
    <w:lvl w:ilvl="1">
      <w:lvlJc w:val="left"/>
      <w:lvlText w:val="-"/>
      <w:numFmt w:val="bullet"/>
      <w:start w:val="1"/>
    </w:lvl>
  </w:abstractNum>
  <w:abstractNum w:abstractNumId="21">
    <w:nsid w:val="A0382C5"/>
    <w:multiLevelType w:val="hybridMultilevel"/>
    <w:lvl w:ilvl="0">
      <w:lvlJc w:val="left"/>
      <w:lvlText w:val="(%1)"/>
      <w:numFmt w:val="lowerLetter"/>
      <w:start w:val="2"/>
    </w:lvl>
  </w:abstractNum>
  <w:abstractNum w:abstractNumId="22">
    <w:nsid w:val="8F2B15E"/>
    <w:multiLevelType w:val="hybridMultilevel"/>
    <w:lvl w:ilvl="0">
      <w:lvlJc w:val="left"/>
      <w:lvlText w:val="(%1)"/>
      <w:numFmt w:val="lowerLetter"/>
      <w:start w:val="1"/>
    </w:lvl>
  </w:abstractNum>
  <w:abstractNum w:abstractNumId="23">
    <w:nsid w:val="1A32234B"/>
    <w:multiLevelType w:val="hybridMultilevel"/>
    <w:lvl w:ilvl="0">
      <w:lvlJc w:val="left"/>
      <w:lvlText w:val="(%1)"/>
      <w:numFmt w:val="lowerLetter"/>
      <w:start w:val="1"/>
    </w:lvl>
    <w:lvl w:ilvl="1">
      <w:lvlJc w:val="left"/>
      <w:lvlText w:val="-"/>
      <w:numFmt w:val="bullet"/>
      <w:start w:val="1"/>
    </w:lvl>
  </w:abstractNum>
  <w:abstractNum w:abstractNumId="24">
    <w:nsid w:val="3B0FD379"/>
    <w:multiLevelType w:val="hybridMultilevel"/>
    <w:lvl w:ilvl="0">
      <w:lvlJc w:val="left"/>
      <w:lvlText w:val="(%1)"/>
      <w:numFmt w:val="lowerLetter"/>
      <w:start w:val="4"/>
    </w:lvl>
  </w:abstractNum>
  <w:abstractNum w:abstractNumId="25">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
    <w:nsid w:val="4962813B"/>
    <w:multiLevelType w:val="hybridMultilevel"/>
    <w:lvl w:ilvl="0">
      <w:lvlJc w:val="left"/>
      <w:lvlText w:val="(%1)"/>
      <w:numFmt w:val="lowerLetter"/>
      <w:start w:val="22"/>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27">
    <w:nsid w:val="60B6DF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28">
    <w:nsid w:val="6A5EE64"/>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9">
    <w:nsid w:val="1433062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0">
    <w:nsid w:val="7FFFCA11"/>
    <w:multiLevelType w:val="hybridMultilevel"/>
    <w:lvl w:ilvl="0">
      <w:lvlJc w:val="left"/>
      <w:lvlText w:val="(%1)"/>
      <w:numFmt w:val="lowerLetter"/>
      <w:start w:val="4"/>
    </w:lvl>
  </w:abstractNum>
  <w:abstractNum w:abstractNumId="31">
    <w:nsid w:val="1A27709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
    <w:nsid w:val="71EA1109"/>
    <w:multiLevelType w:val="hybridMultilevel"/>
    <w:lvl w:ilvl="0">
      <w:lvlJc w:val="left"/>
      <w:lvlText w:val="(%1)"/>
      <w:numFmt w:val="decimal"/>
      <w:start w:val="30"/>
    </w:lvl>
    <w:lvl w:ilvl="1">
      <w:lvlJc w:val="left"/>
      <w:lvlText w:val="(%2)"/>
      <w:numFmt w:val="lowerLetter"/>
      <w:start w:val="2"/>
    </w:lvl>
    <w:lvl w:ilvl="2">
      <w:lvlJc w:val="left"/>
      <w:lvlText w:val="-"/>
      <w:numFmt w:val="bullet"/>
      <w:start w:val="1"/>
    </w:lvl>
  </w:abstractNum>
  <w:abstractNum w:abstractNumId="33">
    <w:nsid w:val="100F59DC"/>
    <w:multiLevelType w:val="hybridMultilevel"/>
    <w:lvl w:ilvl="0">
      <w:lvlJc w:val="left"/>
      <w:lvlText w:val="%1"/>
      <w:numFmt w:val="decimal"/>
      <w:start w:val="1"/>
    </w:lvl>
    <w:lvl w:ilvl="1">
      <w:lvlJc w:val="left"/>
      <w:lvlText w:val="(%2)"/>
      <w:numFmt w:val="lowerLetter"/>
      <w:start w:val="3"/>
    </w:lvl>
  </w:abstractNum>
  <w:abstractNum w:abstractNumId="34">
    <w:nsid w:val="7FB7E0AA"/>
    <w:multiLevelType w:val="hybridMultilevel"/>
    <w:lvl w:ilvl="0">
      <w:lvlJc w:val="left"/>
      <w:lvlText w:val="(%1)"/>
      <w:numFmt w:val="decimal"/>
      <w:start w:val="180"/>
    </w:lvl>
    <w:lvl w:ilvl="1">
      <w:lvlJc w:val="left"/>
      <w:lvlText w:val="%2"/>
      <w:numFmt w:val="lowerLetter"/>
      <w:start w:val="1"/>
    </w:lvl>
  </w:abstractNum>
  <w:abstractNum w:abstractNumId="35">
    <w:nsid w:val="6EB5BD4"/>
    <w:multiLevelType w:val="hybridMultilevel"/>
    <w:lvl w:ilvl="0">
      <w:lvlJc w:val="left"/>
      <w:lvlText w:val="(%1)"/>
      <w:numFmt w:val="lowerLetter"/>
      <w:start w:val="1"/>
    </w:lvl>
    <w:lvl w:ilvl="1">
      <w:lvlJc w:val="left"/>
      <w:lvlText w:val="-"/>
      <w:numFmt w:val="bullet"/>
      <w:start w:val="1"/>
    </w:lvl>
  </w:abstractNum>
  <w:abstractNum w:abstractNumId="36">
    <w:nsid w:val="6F6DD9AC"/>
    <w:multiLevelType w:val="hybridMultilevel"/>
    <w:lvl w:ilvl="0">
      <w:lvlJc w:val="left"/>
      <w:lvlText w:val="(%1)"/>
      <w:numFmt w:val="lowerLetter"/>
      <w:start w:val="2"/>
    </w:lvl>
  </w:abstractNum>
  <w:abstractNum w:abstractNumId="37">
    <w:nsid w:val="94211F2"/>
    <w:multiLevelType w:val="hybridMultilevel"/>
    <w:lvl w:ilvl="0">
      <w:lvlJc w:val="left"/>
      <w:lvlText w:val="(%1)"/>
      <w:numFmt w:val="lowerLetter"/>
      <w:start w:val="1"/>
    </w:lvl>
  </w:abstractNum>
  <w:abstractNum w:abstractNumId="38">
    <w:nsid w:val="885E1B"/>
    <w:multiLevelType w:val="hybridMultilevel"/>
    <w:lvl w:ilvl="0">
      <w:lvlJc w:val="left"/>
      <w:lvlText w:val="(%1)"/>
      <w:numFmt w:val="lowerLetter"/>
      <w:start w:val="1"/>
    </w:lvl>
    <w:lvl w:ilvl="1">
      <w:lvlJc w:val="left"/>
      <w:lvlText w:val="-"/>
      <w:numFmt w:val="bullet"/>
      <w:start w:val="1"/>
    </w:lvl>
  </w:abstractNum>
  <w:abstractNum w:abstractNumId="39">
    <w:nsid w:val="76272110"/>
    <w:multiLevelType w:val="hybridMultilevel"/>
    <w:lvl w:ilvl="0">
      <w:lvlJc w:val="left"/>
      <w:lvlText w:val="(%1)"/>
      <w:numFmt w:val="lowerRoman"/>
      <w:start w:val="1"/>
    </w:lvl>
  </w:abstractNum>
  <w:abstractNum w:abstractNumId="40">
    <w:nsid w:val="4C04A8A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
    <w:nsid w:val="1716703B"/>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42">
    <w:nsid w:val="14E17E3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3">
    <w:nsid w:val="3222E7CD"/>
    <w:multiLevelType w:val="hybridMultilevel"/>
    <w:lvl w:ilvl="0">
      <w:lvlJc w:val="left"/>
      <w:lvlText w:val="%1"/>
      <w:numFmt w:val="upperLetter"/>
      <w:start w:val="1"/>
    </w:lvl>
    <w:lvl w:ilvl="1">
      <w:lvlJc w:val="left"/>
      <w:lvlText w:val="(%2)"/>
      <w:numFmt w:val="lowerRoman"/>
      <w:start w:val="2"/>
    </w:lvl>
  </w:abstractNum>
  <w:abstractNum w:abstractNumId="44">
    <w:nsid w:val="74DE0EE3"/>
    <w:multiLevelType w:val="hybridMultilevel"/>
    <w:lvl w:ilvl="0">
      <w:lvlJc w:val="left"/>
      <w:lvlText w:val="(%1)"/>
      <w:numFmt w:val="upperLetter"/>
      <w:start w:val="1"/>
    </w:lvl>
    <w:lvl w:ilvl="1">
      <w:lvlJc w:val="left"/>
      <w:lvlText w:val="(%2)"/>
      <w:numFmt w:val="lowerRoman"/>
      <w:start w:val="4"/>
    </w:lvl>
  </w:abstractNum>
  <w:abstractNum w:abstractNumId="45">
    <w:nsid w:val="68EBC550"/>
    <w:multiLevelType w:val="hybridMultilevel"/>
    <w:lvl w:ilvl="0">
      <w:lvlJc w:val="left"/>
      <w:lvlText w:val="(%1)"/>
      <w:numFmt w:val="lowerLetter"/>
      <w:start w:val="1"/>
    </w:lvl>
    <w:lvl w:ilvl="1">
      <w:lvlJc w:val="left"/>
      <w:lvlText w:val="-"/>
      <w:numFmt w:val="bullet"/>
      <w:start w:val="1"/>
    </w:lvl>
  </w:abstractNum>
  <w:abstractNum w:abstractNumId="46">
    <w:nsid w:val="2DF6D648"/>
    <w:multiLevelType w:val="hybridMultilevel"/>
    <w:lvl w:ilvl="0">
      <w:lvlJc w:val="left"/>
      <w:lvlText w:val="(%1)"/>
      <w:numFmt w:val="lowerLetter"/>
      <w:start w:val="4"/>
    </w:lvl>
    <w:lvl w:ilvl="1">
      <w:lvlJc w:val="left"/>
      <w:lvlText w:val="-"/>
      <w:numFmt w:val="bullet"/>
      <w:start w:val="1"/>
    </w:lvl>
  </w:abstractNum>
  <w:abstractNum w:abstractNumId="47">
    <w:nsid w:val="46B7D447"/>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48">
    <w:nsid w:val="4A2AC315"/>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49">
    <w:nsid w:val="39EE015C"/>
    <w:multiLevelType w:val="hybridMultilevel"/>
    <w:lvl w:ilvl="0">
      <w:lvlJc w:val="left"/>
      <w:lvlText w:val="(%1)"/>
      <w:numFmt w:val="lowerLetter"/>
      <w:start w:val="14"/>
    </w:lvl>
    <w:lvl w:ilvl="1">
      <w:lvlJc w:val="left"/>
      <w:lvlText w:val="%2"/>
      <w:numFmt w:val="lowerLetter"/>
      <w:start w:val="1"/>
    </w:lvl>
    <w:lvl w:ilvl="2">
      <w:lvlJc w:val="left"/>
      <w:lvlText w:val="-"/>
      <w:numFmt w:val="bullet"/>
      <w:start w:val="1"/>
    </w:lvl>
  </w:abstractNum>
  <w:abstractNum w:abstractNumId="50">
    <w:nsid w:val="57FC4FBB"/>
    <w:multiLevelType w:val="hybridMultilevel"/>
    <w:lvl w:ilvl="0">
      <w:lvlJc w:val="left"/>
      <w:lvlText w:val="(%1)"/>
      <w:numFmt w:val="lowerLetter"/>
      <w:start w:val="16"/>
    </w:lvl>
    <w:lvl w:ilvl="1">
      <w:lvlJc w:val="left"/>
      <w:lvlText w:val="-"/>
      <w:numFmt w:val="bullet"/>
      <w:start w:val="1"/>
    </w:lvl>
  </w:abstractNum>
  <w:abstractNum w:abstractNumId="51">
    <w:nsid w:val="CC1016F"/>
    <w:multiLevelType w:val="hybridMultilevel"/>
    <w:lvl w:ilvl="0">
      <w:lvlJc w:val="left"/>
      <w:lvlText w:val="(%1)"/>
      <w:numFmt w:val="lowerLetter"/>
      <w:start w:val="23"/>
    </w:lvl>
    <w:lvl w:ilvl="1">
      <w:lvlJc w:val="left"/>
      <w:lvlText w:val="-"/>
      <w:numFmt w:val="bullet"/>
      <w:start w:val="1"/>
    </w:lvl>
  </w:abstractNum>
  <w:abstractNum w:abstractNumId="52">
    <w:nsid w:val="43F18422"/>
    <w:multiLevelType w:val="hybridMultilevel"/>
    <w:lvl w:ilvl="0">
      <w:lvlJc w:val="left"/>
      <w:lvlText w:val="(%1)"/>
      <w:numFmt w:val="lowerLetter"/>
      <w:start w:val="1"/>
    </w:lvl>
  </w:abstractNum>
  <w:abstractNum w:abstractNumId="53">
    <w:nsid w:val="60EF0119"/>
    <w:multiLevelType w:val="hybridMultilevel"/>
    <w:lvl w:ilvl="0">
      <w:lvlJc w:val="left"/>
      <w:lvlText w:val="(%1)"/>
      <w:numFmt w:val="lowerLetter"/>
      <w:start w:val="1"/>
    </w:lvl>
    <w:lvl w:ilvl="1">
      <w:lvlJc w:val="left"/>
      <w:lvlText w:val="-"/>
      <w:numFmt w:val="bullet"/>
      <w:start w:val="1"/>
    </w:lvl>
  </w:abstractNum>
  <w:abstractNum w:abstractNumId="54">
    <w:nsid w:val="26F324BA"/>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55">
    <w:nsid w:val="7F01579B"/>
    <w:multiLevelType w:val="hybridMultilevel"/>
    <w:lvl w:ilvl="0">
      <w:lvlJc w:val="left"/>
      <w:lvlText w:val="(%1)"/>
      <w:numFmt w:val="lowerLetter"/>
      <w:start w:val="9"/>
    </w:lvl>
    <w:lvl w:ilvl="1">
      <w:lvlJc w:val="left"/>
      <w:lvlText w:val="(%2)"/>
      <w:numFmt w:val="lowerLetter"/>
      <w:start w:val="18"/>
    </w:lvl>
    <w:lvl w:ilvl="2">
      <w:lvlJc w:val="left"/>
      <w:lvlText w:val="-"/>
      <w:numFmt w:val="bullet"/>
      <w:start w:val="1"/>
    </w:lvl>
  </w:abstractNum>
  <w:abstractNum w:abstractNumId="56">
    <w:nsid w:val="49DA307D"/>
    <w:multiLevelType w:val="hybridMultilevel"/>
    <w:lvl w:ilvl="0">
      <w:lvlJc w:val="left"/>
      <w:lvlText w:val="(%1)"/>
      <w:numFmt w:val="lowerLetter"/>
      <w:start w:val="19"/>
    </w:lvl>
  </w:abstractNum>
  <w:abstractNum w:abstractNumId="57">
    <w:nsid w:val="7055A5F5"/>
    <w:multiLevelType w:val="hybridMultilevel"/>
    <w:lvl w:ilvl="0">
      <w:lvlJc w:val="left"/>
      <w:lvlText w:val="(%1)"/>
      <w:numFmt w:val="lowerLetter"/>
      <w:start w:val="1"/>
    </w:lvl>
  </w:abstractNum>
  <w:abstractNum w:abstractNumId="58">
    <w:nsid w:val="5FB8370B"/>
    <w:multiLevelType w:val="hybridMultilevel"/>
    <w:lvl w:ilvl="0">
      <w:lvlJc w:val="left"/>
      <w:lvlText w:val="(%1)"/>
      <w:numFmt w:val="lowerLetter"/>
      <w:start w:val="1"/>
    </w:lvl>
    <w:lvl w:ilvl="1">
      <w:lvlJc w:val="left"/>
      <w:lvlText w:val="-"/>
      <w:numFmt w:val="bullet"/>
      <w:start w:val="1"/>
    </w:lvl>
  </w:abstractNum>
  <w:abstractNum w:abstractNumId="59">
    <w:nsid w:val="50801EE1"/>
    <w:multiLevelType w:val="hybridMultilevel"/>
    <w:lvl w:ilvl="0">
      <w:lvlJc w:val="left"/>
      <w:lvlText w:val="(%1)"/>
      <w:numFmt w:val="lowerRoman"/>
      <w:start w:val="1"/>
    </w:lvl>
  </w:abstractNum>
  <w:abstractNum w:abstractNumId="60">
    <w:nsid w:val="488AC1A"/>
    <w:multiLevelType w:val="hybridMultilevel"/>
    <w:lvl w:ilvl="0">
      <w:lvlJc w:val="left"/>
      <w:lvlText w:val="(%1)"/>
      <w:numFmt w:val="lowerLetter"/>
      <w:start w:val="22"/>
    </w:lvl>
    <w:lvl w:ilvl="1">
      <w:lvlJc w:val="left"/>
      <w:lvlText w:val="(%2)"/>
      <w:numFmt w:val="lowerLetter"/>
      <w:start w:val="8"/>
    </w:lvl>
  </w:abstractNum>
  <w:abstractNum w:abstractNumId="61">
    <w:nsid w:val="5FB8011C"/>
    <w:multiLevelType w:val="hybridMultilevel"/>
    <w:lvl w:ilvl="0">
      <w:lvlJc w:val="left"/>
      <w:lvlText w:val="(%1)"/>
      <w:numFmt w:val="lowerLetter"/>
      <w:start w:val="1"/>
    </w:lvl>
    <w:lvl w:ilvl="1">
      <w:lvlJc w:val="left"/>
      <w:lvlText w:val="-"/>
      <w:numFmt w:val="bullet"/>
      <w:start w:val="1"/>
    </w:lvl>
  </w:abstractNum>
  <w:abstractNum w:abstractNumId="62">
    <w:nsid w:val="6AA78F7F"/>
    <w:multiLevelType w:val="hybridMultilevel"/>
    <w:lvl w:ilvl="0">
      <w:lvlJc w:val="left"/>
      <w:lvlText w:val="(%1)"/>
      <w:numFmt w:val="lowerLetter"/>
      <w:start w:val="3"/>
    </w:lvl>
  </w:abstractNum>
  <w:abstractNum w:abstractNumId="63">
    <w:nsid w:val="7672BD23"/>
    <w:multiLevelType w:val="hybridMultilevel"/>
    <w:lvl w:ilvl="0">
      <w:lvlJc w:val="left"/>
      <w:lvlText w:val="%1"/>
      <w:numFmt w:val="lowerLetter"/>
      <w:start w:val="1"/>
    </w:lvl>
    <w:lvl w:ilvl="1">
      <w:lvlJc w:val="left"/>
      <w:lvlText w:val="(%2)"/>
      <w:numFmt w:val="lowerLetter"/>
      <w:start w:val="1"/>
    </w:lvl>
  </w:abstractNum>
  <w:abstractNum w:abstractNumId="64">
    <w:nsid w:val="6FC75AF8"/>
    <w:multiLevelType w:val="hybridMultilevel"/>
    <w:lvl w:ilvl="0">
      <w:lvlJc w:val="left"/>
      <w:lvlText w:val="(%1)"/>
      <w:numFmt w:val="lowerLetter"/>
      <w:start w:val="61"/>
    </w:lvl>
    <w:lvl w:ilvl="1">
      <w:lvlJc w:val="left"/>
      <w:lvlText w:val="%2"/>
      <w:numFmt w:val="lowerLetter"/>
      <w:start w:val="1"/>
    </w:lvl>
  </w:abstractNum>
  <w:abstractNum w:abstractNumId="65">
    <w:nsid w:val="6A5F7029"/>
    <w:multiLevelType w:val="hybridMultilevel"/>
    <w:lvl w:ilvl="0">
      <w:lvlJc w:val="left"/>
      <w:lvlText w:val="(%1)"/>
      <w:numFmt w:val="lowerLetter"/>
      <w:start w:val="2"/>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66">
    <w:nsid w:val="7D5E18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
      <w:numFmt w:val="bullet"/>
      <w:start w:val="1"/>
    </w:lvl>
  </w:abstractNum>
  <w:abstractNum w:abstractNumId="67">
    <w:nsid w:val="5F3534A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73A1821B"/>
    <w:multiLevelType w:val="hybridMultilevel"/>
    <w:lvl w:ilvl="0">
      <w:lvlJc w:val="left"/>
      <w:lvlText w:val="(%1)"/>
      <w:numFmt w:val="lowerLetter"/>
      <w:start w:val="3"/>
    </w:lvl>
    <w:lvl w:ilvl="1">
      <w:lvlJc w:val="left"/>
      <w:lvlText w:val="(%2)"/>
      <w:numFmt w:val="lowerLetter"/>
      <w:start w:val="9"/>
    </w:lvl>
  </w:abstractNum>
  <w:abstractNum w:abstractNumId="69">
    <w:nsid w:val="7DE67713"/>
    <w:multiLevelType w:val="hybridMultilevel"/>
    <w:lvl w:ilvl="0">
      <w:lvlJc w:val="left"/>
      <w:lvlText w:val="(%1)"/>
      <w:numFmt w:val="lowerRoman"/>
      <w:start w:val="3"/>
    </w:lvl>
  </w:abstractNum>
  <w:abstractNum w:abstractNumId="70">
    <w:nsid w:val="555C55B5"/>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71">
    <w:nsid w:val="3FA62ACA"/>
    <w:multiLevelType w:val="hybridMultilevel"/>
    <w:lvl w:ilvl="0">
      <w:lvlJc w:val="left"/>
      <w:lvlText w:val="(%1)"/>
      <w:numFmt w:val="lowerLetter"/>
      <w:start w:val="22"/>
    </w:lvl>
    <w:lvl w:ilvl="1">
      <w:lvlJc w:val="left"/>
      <w:lvlText w:val="(%2)"/>
      <w:numFmt w:val="lowerLetter"/>
      <w:start w:val="6"/>
    </w:lvl>
    <w:lvl w:ilvl="2">
      <w:lvlJc w:val="left"/>
      <w:lvlText w:val="-"/>
      <w:numFmt w:val="bullet"/>
      <w:start w:val="1"/>
    </w:lvl>
  </w:abstractNum>
  <w:abstractNum w:abstractNumId="72">
    <w:nsid w:val="14FCE74E"/>
    <w:multiLevelType w:val="hybridMultilevel"/>
    <w:lvl w:ilvl="0">
      <w:lvlJc w:val="left"/>
      <w:lvlText w:val="(%1)"/>
      <w:numFmt w:val="lowerLetter"/>
      <w:start w:val="10"/>
    </w:lvl>
    <w:lvl w:ilvl="1">
      <w:lvlJc w:val="left"/>
      <w:lvlText w:val="(%2)"/>
      <w:numFmt w:val="lowerRoman"/>
      <w:start w:val="1"/>
    </w:lvl>
  </w:abstractNum>
  <w:abstractNum w:abstractNumId="73">
    <w:nsid w:val="6A3DD3E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4">
    <w:nsid w:val="71C91298"/>
    <w:multiLevelType w:val="hybridMultilevel"/>
    <w:lvl w:ilvl="0">
      <w:lvlJc w:val="left"/>
      <w:lvlText w:val="(%1)"/>
      <w:numFmt w:val="lowerLetter"/>
      <w:start w:val="2"/>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Letter"/>
      <w:start w:val="1"/>
    </w:lvl>
    <w:lvl w:ilvl="1">
      <w:lvlJc w:val="left"/>
      <w:lvlText w:val="-"/>
      <w:numFmt w:val="bullet"/>
      <w:start w:val="1"/>
    </w:lvl>
  </w:abstractNum>
  <w:abstractNum w:abstractNumId="77">
    <w:nsid w:val="1FBFE8E0"/>
    <w:multiLevelType w:val="hybridMultilevel"/>
    <w:lvl w:ilvl="0">
      <w:lvlJc w:val="left"/>
      <w:lvlText w:val="(%1)"/>
      <w:numFmt w:val="lowerLetter"/>
      <w:start w:val="3"/>
    </w:lvl>
  </w:abstractNum>
  <w:abstractNum w:abstractNumId="78">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9">
    <w:nsid w:val="1D545C4D"/>
    <w:multiLevelType w:val="hybridMultilevel"/>
    <w:lvl w:ilvl="0">
      <w:lvlJc w:val="left"/>
      <w:lvlText w:val="(%1)"/>
      <w:numFmt w:val="lowerRoman"/>
      <w:start w:val="2"/>
    </w:lvl>
    <w:lvl w:ilvl="1">
      <w:lvlJc w:val="left"/>
      <w:lvlText w:val="(%2)"/>
      <w:numFmt w:val="upperLetter"/>
      <w:start w:val="1"/>
    </w:lvl>
  </w:abstractNum>
  <w:abstractNum w:abstractNumId="80">
    <w:nsid w:val="59ADEA3D"/>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81">
    <w:nsid w:val="288F1A34"/>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82">
    <w:nsid w:val="2A155DBC"/>
    <w:multiLevelType w:val="hybridMultilevel"/>
    <w:lvl w:ilvl="0">
      <w:lvlJc w:val="left"/>
      <w:lvlText w:val="(%1)"/>
      <w:numFmt w:val="lowerLetter"/>
      <w:start w:val="5"/>
    </w:lvl>
  </w:abstractNum>
  <w:abstractNum w:abstractNumId="83">
    <w:nsid w:val="1D9F6E5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4">
    <w:nsid w:val="97E1B4E"/>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85">
    <w:nsid w:val="51088277"/>
    <w:multiLevelType w:val="hybridMultilevel"/>
    <w:lvl w:ilvl="0">
      <w:lvlJc w:val="left"/>
      <w:lvlText w:val="%1"/>
      <w:numFmt w:val="lowerLetter"/>
      <w:start w:val="1"/>
    </w:lvl>
    <w:lvl w:ilvl="1">
      <w:lvlJc w:val="left"/>
      <w:lvlText w:val="(%2)"/>
      <w:numFmt w:val="lowerRoman"/>
      <w:start w:val="5"/>
    </w:lvl>
  </w:abstractNum>
  <w:abstractNum w:abstractNumId="86">
    <w:nsid w:val="1CA0C5FA"/>
    <w:multiLevelType w:val="hybridMultilevel"/>
    <w:lvl w:ilvl="0">
      <w:lvlJc w:val="left"/>
      <w:lvlText w:val="(%1)"/>
      <w:numFmt w:val="lowerLetter"/>
      <w:start w:val="4"/>
    </w:lvl>
    <w:lvl w:ilvl="1">
      <w:lvlJc w:val="left"/>
      <w:lvlText w:val="%2"/>
      <w:numFmt w:val="lowerRoman"/>
      <w:start w:val="1"/>
    </w:lvl>
  </w:abstractNum>
  <w:abstractNum w:abstractNumId="87">
    <w:nsid w:val="53584BCB"/>
    <w:multiLevelType w:val="hybridMultilevel"/>
    <w:lvl w:ilvl="0">
      <w:lvlJc w:val="left"/>
      <w:lvlText w:val="(%1)"/>
      <w:numFmt w:val="lowerLetter"/>
      <w:start w:val="1"/>
    </w:lvl>
  </w:abstractNum>
  <w:abstractNum w:abstractNumId="88">
    <w:nsid w:val="415E286C"/>
    <w:multiLevelType w:val="hybridMultilevel"/>
    <w:lvl w:ilvl="0">
      <w:lvlJc w:val="left"/>
      <w:lvlText w:val="(%1)"/>
      <w:numFmt w:val="lowerLetter"/>
      <w:start w:val="1"/>
    </w:lvl>
    <w:lvl w:ilvl="1">
      <w:lvlJc w:val="left"/>
      <w:lvlText w:val="-"/>
      <w:numFmt w:val="bullet"/>
      <w:start w:val="1"/>
    </w:lvl>
  </w:abstractNum>
  <w:abstractNum w:abstractNumId="89">
    <w:nsid w:val="7C58FD05"/>
    <w:multiLevelType w:val="hybridMultilevel"/>
    <w:lvl w:ilvl="0">
      <w:lvlJc w:val="left"/>
      <w:lvlText w:val="(%1)"/>
      <w:numFmt w:val="lowerLetter"/>
      <w:start w:val="2"/>
    </w:lvl>
    <w:lvl w:ilvl="1">
      <w:lvlJc w:val="left"/>
      <w:lvlText w:val="-"/>
      <w:numFmt w:val="bullet"/>
      <w:start w:val="1"/>
    </w:lvl>
  </w:abstractNum>
  <w:abstractNum w:abstractNumId="90">
    <w:nsid w:val="23D86AAC"/>
    <w:multiLevelType w:val="hybridMultilevel"/>
    <w:lvl w:ilvl="0">
      <w:lvlJc w:val="left"/>
      <w:lvlText w:val="(%1)"/>
      <w:numFmt w:val="lowerLetter"/>
      <w:start w:val="5"/>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23"/>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lowerLetter"/>
      <w:start w:val="1"/>
    </w:lvl>
  </w:abstractNum>
  <w:abstractNum w:abstractNumId="99">
    <w:nsid w:val="6C80EC70"/>
    <w:multiLevelType w:val="hybridMultilevel"/>
    <w:lvl w:ilvl="0">
      <w:lvlJc w:val="left"/>
      <w:lvlText w:val="(%1)"/>
      <w:numFmt w:val="lowerLetter"/>
      <w:start w:val="6"/>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lowerRoman"/>
      <w:start w:val="2"/>
    </w:lvl>
  </w:abstractNum>
  <w:abstractNum w:abstractNumId="105">
    <w:nsid w:val="1DF029D3"/>
    <w:multiLevelType w:val="hybridMultilevel"/>
    <w:lvl w:ilvl="0">
      <w:lvlJc w:val="left"/>
      <w:lvlText w:val="(%1)"/>
      <w:numFmt w:val="lowerRoman"/>
      <w:start w:val="4"/>
    </w:lvl>
  </w:abstractNum>
  <w:abstractNum w:abstractNumId="106">
    <w:nsid w:val="5675FF36"/>
    <w:multiLevelType w:val="hybridMultilevel"/>
    <w:lvl w:ilvl="0">
      <w:lvlJc w:val="left"/>
      <w:lvlText w:val="(%1)"/>
      <w:numFmt w:val="lowerLetter"/>
      <w:start w:val="2"/>
    </w:lvl>
  </w:abstractNum>
  <w:abstractNum w:abstractNumId="107">
    <w:nsid w:val="3DD15094"/>
    <w:multiLevelType w:val="hybridMultilevel"/>
    <w:lvl w:ilvl="0">
      <w:lvlJc w:val="left"/>
      <w:lvlText w:val="(%1)"/>
      <w:numFmt w:val="lowerLetter"/>
      <w:start w:val="35"/>
    </w:lvl>
  </w:abstractNum>
  <w:abstractNum w:abstractNumId="108">
    <w:nsid w:val="3DB012B3"/>
    <w:multiLevelType w:val="hybridMultilevel"/>
    <w:lvl w:ilvl="0">
      <w:lvlJc w:val="left"/>
      <w:lvlText w:val="%1."/>
      <w:numFmt w:val="decimal"/>
      <w:start w:val="2"/>
    </w:lvl>
  </w:abstractNum>
  <w:abstractNum w:abstractNumId="109">
    <w:nsid w:val="2708C9AF"/>
    <w:multiLevelType w:val="hybridMultilevel"/>
    <w:lvl w:ilvl="0">
      <w:lvlJc w:val="left"/>
      <w:lvlText w:val="(%1)"/>
      <w:numFmt w:val="lowerLetter"/>
      <w:start w:val="2"/>
    </w:lvl>
  </w:abstractNum>
  <w:abstractNum w:abstractNumId="110">
    <w:nsid w:val="5B25ACE2"/>
    <w:multiLevelType w:val="hybridMultilevel"/>
    <w:lvl w:ilvl="0">
      <w:lvlJc w:val="left"/>
      <w:lvlText w:val="(%1)"/>
      <w:numFmt w:val="lowerLetter"/>
      <w:start w:val="3"/>
    </w:lvl>
  </w:abstractNum>
  <w:abstractNum w:abstractNumId="111">
    <w:nsid w:val="175DFCF0"/>
    <w:multiLevelType w:val="hybridMultilevel"/>
    <w:lvl w:ilvl="0">
      <w:lvlJc w:val="left"/>
      <w:lvlText w:val="(%1)"/>
      <w:numFmt w:val="lowerLetter"/>
      <w:start w:val="2"/>
    </w:lvl>
  </w:abstractNum>
  <w:abstractNum w:abstractNumId="112">
    <w:nsid w:val="4F97E3E4"/>
    <w:multiLevelType w:val="hybridMultilevel"/>
    <w:lvl w:ilvl="0">
      <w:lvlJc w:val="left"/>
      <w:lvlText w:val="(%1)"/>
      <w:numFmt w:val="lowerLetter"/>
      <w:start w:val="1"/>
    </w:lvl>
  </w:abstractNum>
  <w:abstractNum w:abstractNumId="113">
    <w:nsid w:val="53B0A9E"/>
    <w:multiLevelType w:val="hybridMultilevel"/>
    <w:lvl w:ilvl="0">
      <w:lvlJc w:val="left"/>
      <w:lvlText w:val="(%1)"/>
      <w:numFmt w:val="lowerLetter"/>
      <w:start w:val="3"/>
    </w:lvl>
  </w:abstractNum>
  <w:abstractNum w:abstractNumId="114">
    <w:nsid w:val="34FD6B4F"/>
    <w:multiLevelType w:val="hybridMultilevel"/>
    <w:lvl w:ilvl="0">
      <w:lvlJc w:val="left"/>
      <w:lvlText w:val="(%1)"/>
      <w:numFmt w:val="lowerRoman"/>
      <w:start w:val="2"/>
    </w:lvl>
  </w:abstractNum>
  <w:abstractNum w:abstractNumId="115">
    <w:nsid w:val="5915FF32"/>
    <w:multiLevelType w:val="hybridMultilevel"/>
    <w:lvl w:ilvl="0">
      <w:lvlJc w:val="left"/>
      <w:lvlText w:val="(%1)"/>
      <w:numFmt w:val="lowerLetter"/>
      <w:start w:val="2"/>
    </w:lvl>
  </w:abstractNum>
  <w:abstractNum w:abstractNumId="116">
    <w:nsid w:val="56438D15"/>
    <w:multiLevelType w:val="hybridMultilevel"/>
    <w:lvl w:ilvl="0">
      <w:lvlJc w:val="left"/>
      <w:lvlText w:val="(%1)"/>
      <w:numFmt w:val="lowerLetter"/>
      <w:start w:val="1"/>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decimal"/>
      <w:start w:val="500"/>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3"/>
    </w:lvl>
    <w:lvl w:ilvl="1">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1"/>
      <w:numFmt w:val="bullet"/>
      <w:start w:val="1"/>
    </w:lvl>
  </w:abstractNum>
  <w:abstractNum w:abstractNumId="125">
    <w:nsid w:val="19E21BB2"/>
    <w:multiLevelType w:val="hybridMultilevel"/>
    <w:lvl w:ilvl="0">
      <w:lvlJc w:val="left"/>
      <w:lvlText w:val="%1"/>
      <w:numFmt w:val="decimal"/>
      <w:start w:val="500"/>
    </w:lvl>
  </w:abstractNum>
  <w:abstractNum w:abstractNumId="126">
    <w:nsid w:val="75E0858A"/>
    <w:multiLevelType w:val="hybridMultilevel"/>
    <w:lvl w:ilvl="0">
      <w:lvlJc w:val="left"/>
      <w:lvlText w:val="%1."/>
      <w:numFmt w:val="decimal"/>
      <w:start w:val="4"/>
    </w:lvl>
    <w:lvl w:ilvl="1">
      <w:lvlJc w:val="left"/>
      <w:lvlText w:val="☐☐☐"/>
      <w:numFmt w:val="bullet"/>
      <w:start w:val="1"/>
    </w:lvl>
  </w:abstractNum>
  <w:abstractNum w:abstractNumId="127">
    <w:nsid w:val="57A61A29"/>
    <w:multiLevelType w:val="hybridMultilevel"/>
    <w:lvl w:ilvl="0">
      <w:lvlJc w:val="left"/>
      <w:lvlText w:val="%1"/>
      <w:numFmt w:val="decimal"/>
      <w:start w:val="500"/>
    </w:lvl>
  </w:abstractNum>
  <w:abstractNum w:abstractNumId="128">
    <w:nsid w:val="5399C654"/>
    <w:multiLevelType w:val="hybridMultilevel"/>
    <w:lvl w:ilvl="0">
      <w:lvlJc w:val="left"/>
      <w:lvlText w:val="%1."/>
      <w:numFmt w:val="decimal"/>
      <w:start w:val="2"/>
    </w:lvl>
    <w:lvl w:ilvl="1">
      <w:lvlJc w:val="left"/>
      <w:lvlText w:val="☐☐"/>
      <w:numFmt w:val="bullet"/>
      <w:start w:val="1"/>
    </w:lvl>
  </w:abstractNum>
  <w:abstractNum w:abstractNumId="129">
    <w:nsid w:val="20EE1348"/>
    <w:multiLevelType w:val="hybridMultilevel"/>
    <w:lvl w:ilvl="0">
      <w:lvlJc w:val="left"/>
      <w:lvlText w:val="%1."/>
      <w:numFmt w:val="decimal"/>
      <w:start w:val="4"/>
    </w:lvl>
    <w:lvl w:ilvl="1">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9"/>
      <w:numFmt w:val="bullet"/>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2019-12-10T00:02:28Z</dcterms:created>
  <dcterms:modified xsi:type="dcterms:W3CDTF">2019-12-10T00:02:28Z</dcterms:modified>
</cp:coreProperties>
</file>