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p>
      <w:pPr>
        <w:spacing w:after="0" w:line="200" w:lineRule="exact"/>
        <w:rPr>
          <w:sz w:val="24"/>
          <w:szCs w:val="24"/>
          <w:color w:val="auto"/>
        </w:rPr>
      </w:pPr>
    </w:p>
    <w:p>
      <w:pPr>
        <w:spacing w:after="0" w:line="255" w:lineRule="exact"/>
        <w:rPr>
          <w:sz w:val="24"/>
          <w:szCs w:val="24"/>
          <w:color w:val="auto"/>
        </w:rPr>
      </w:pPr>
    </w:p>
    <w:p>
      <w:pPr>
        <w:ind w:left="920" w:hanging="439"/>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1340"/>
          </w:cols>
          <w:pgMar w:left="240" w:top="230" w:right="319" w:bottom="0" w:gutter="0" w:footer="0" w:header="0"/>
          <w:type w:val="continuous"/>
        </w:sectPr>
      </w:pPr>
    </w:p>
    <w:bookmarkStart w:id="1" w:name="page2"/>
    <w:bookmarkEnd w:id="1"/>
    <w:p>
      <w:pPr>
        <w:spacing w:after="0"/>
        <w:tabs>
          <w:tab w:leader="none" w:pos="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28,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Please accept our invitation to attend our Annual Meeting of Shareholders on Wednesday, May 7, 2014 at 10:00 a.m. This year’s meeting will be held at Fox Hill Club &amp; Residences, 8300 Burdette Road, Bethesda, Maryland.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business to be conducted at the meeting is described in the formal notice that follows. In addition, management will provide a review of 2013 operating results and discuss the outlook for the future. After the formal presentation, our Trustees and management will be available to answer any questions you may have.</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You may vote by mail by completing, signing and returning the enclosed proxy card. You also may vote either by telephone (1-800-PROXIES or 1-800-776-9437) or on the Internet (www.voteproxy.com) by following the instructions on your proxy card. We also encourage you to read the section titled “How may “registered” shareholders and shareholders holding Shares in “street name” elect to receive future shareholder materials electronically” included in this proxy statement. This section provides information on how to receive future shareholder materials, including proxy materials and annual reports, electronically either through e-mail or by accessing the Internet rather than by mail. These online services not only allow you to access these materials more quickly than ever before, but help us reduce printing and postage costs and be more environmentally friendly while decreasing the amount of paper delivered to your home.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and we urge you to vote by one of the three methods mentioned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on May 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20875"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875" cy="56578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148590</wp:posOffset>
            </wp:positionV>
            <wp:extent cx="1046480"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6480" cy="5575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220" w:space="720"/>
            <w:col w:w="548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MAY 7,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2014 Annual Meeting of Shareholders of Federal Realty Investment Trust (the “Trust”) will be held at Fox Hill Club &amp; Residences, 8300 Burdette Road, Bethesda, Maryland, on Wednesday, May 7, 2014, at 10:00 a.m. for the purpose of considering and acting upon the following:</w:t>
      </w:r>
    </w:p>
    <w:p>
      <w:pPr>
        <w:spacing w:after="0" w:line="4"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seven Trustees to serve until our 2015 Annual Meeting of Shareholders.</w:t>
      </w:r>
    </w:p>
    <w:p>
      <w:pPr>
        <w:spacing w:after="0" w:line="90"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2014.</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advisory vote approving the compensation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of record at the close of business on March 21, 2014 are entitled to notice of and to vote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212340" cy="651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auto"/>
        </w:rPr>
        <w:t>Your vote is important. Even if you plan to attend the meeting, please vote by completing, signing and returning the enclosed proxy card by mail, by telephone (1-800-PROXIES or 1-800-776-9437) or on the Internet (www.voteproxy.com) by following the instructions on your proxy card.</w:t>
      </w:r>
    </w:p>
    <w:p>
      <w:pPr>
        <w:spacing w:after="0" w:line="237" w:lineRule="exact"/>
        <w:rPr>
          <w:sz w:val="20"/>
          <w:szCs w:val="20"/>
          <w:color w:val="auto"/>
        </w:rPr>
      </w:pPr>
    </w:p>
    <w:p>
      <w:pPr>
        <w:jc w:val="center"/>
        <w:ind w:left="280" w:right="4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7, 2014</w:t>
      </w:r>
    </w:p>
    <w:p>
      <w:pPr>
        <w:spacing w:after="0" w:line="120" w:lineRule="exact"/>
        <w:rPr>
          <w:sz w:val="20"/>
          <w:szCs w:val="20"/>
          <w:color w:val="auto"/>
        </w:rPr>
      </w:pPr>
    </w:p>
    <w:p>
      <w:pPr>
        <w:jc w:val="center"/>
        <w:ind w:left="280"/>
        <w:spacing w:after="0" w:line="275" w:lineRule="auto"/>
        <w:rPr>
          <w:sz w:val="20"/>
          <w:szCs w:val="20"/>
          <w:color w:val="auto"/>
        </w:rPr>
      </w:pPr>
      <w:r>
        <w:rPr>
          <w:rFonts w:ascii="Arial" w:cs="Arial" w:eastAsia="Arial" w:hAnsi="Arial"/>
          <w:sz w:val="18"/>
          <w:szCs w:val="18"/>
          <w:b w:val="1"/>
          <w:bCs w:val="1"/>
          <w:color w:val="auto"/>
        </w:rPr>
        <w:t>The 2014 Proxy Statement and 2013 Annual Report to Shareholders, which includes our Annual Report on Form 10-K for the year ended December 31, 2013, are available at www.federalrealty.com.</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300" w:type="dxa"/>
            <w:vAlign w:val="bottom"/>
            <w:gridSpan w:val="11"/>
          </w:tcPr>
          <w:p>
            <w:pPr>
              <w:ind w:left="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900" w:type="dxa"/>
            <w:vAlign w:val="bottom"/>
            <w:gridSpan w:val="8"/>
            <w:vMerge w:val="restart"/>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About the Annual Meeting</w:t>
              </w:r>
            </w:hyperlink>
          </w:p>
        </w:tc>
        <w:tc>
          <w:tcPr>
            <w:tcW w:w="9140" w:type="dxa"/>
            <w:vAlign w:val="bottom"/>
            <w:gridSpan w:val="36"/>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900" w:type="dxa"/>
            <w:vAlign w:val="bottom"/>
            <w:tcBorders>
              <w:bottom w:val="single" w:sz="8" w:color="0000EE"/>
            </w:tcBorders>
            <w:gridSpan w:val="8"/>
            <w:vMerge w:val="continue"/>
          </w:tcPr>
          <w:p>
            <w:pPr>
              <w:spacing w:after="0"/>
              <w:rPr>
                <w:sz w:val="13"/>
                <w:szCs w:val="13"/>
                <w:color w:val="auto"/>
              </w:rPr>
            </w:pPr>
          </w:p>
        </w:tc>
        <w:tc>
          <w:tcPr>
            <w:tcW w:w="9140" w:type="dxa"/>
            <w:vAlign w:val="bottom"/>
            <w:gridSpan w:val="36"/>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840" w:type="dxa"/>
            <w:vAlign w:val="bottom"/>
            <w:tcBorders>
              <w:bottom w:val="single" w:sz="8" w:color="0000EE"/>
            </w:tcBorders>
            <w:gridSpan w:val="13"/>
          </w:tcPr>
          <w:p>
            <w:pPr>
              <w:spacing w:after="0"/>
              <w:rPr>
                <w:rFonts w:ascii="Arial" w:cs="Arial" w:eastAsia="Arial" w:hAnsi="Arial"/>
                <w:sz w:val="18"/>
                <w:szCs w:val="18"/>
                <w:i w:val="1"/>
                <w:iCs w:val="1"/>
                <w:color w:val="0000EE"/>
                <w:w w:val="87"/>
              </w:rPr>
            </w:pPr>
            <w:hyperlink w:anchor="page7">
              <w:r>
                <w:rPr>
                  <w:rFonts w:ascii="Arial" w:cs="Arial" w:eastAsia="Arial" w:hAnsi="Arial"/>
                  <w:sz w:val="18"/>
                  <w:szCs w:val="18"/>
                  <w:i w:val="1"/>
                  <w:iCs w:val="1"/>
                  <w:color w:val="0000EE"/>
                  <w:w w:val="87"/>
                </w:rPr>
                <w:t>Who is soliciting my vote?</w:t>
              </w:r>
            </w:hyperlink>
          </w:p>
        </w:tc>
        <w:tc>
          <w:tcPr>
            <w:tcW w:w="8740" w:type="dxa"/>
            <w:vAlign w:val="bottom"/>
            <w:gridSpan w:val="30"/>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When will the Annual Meeting take place?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080" w:type="dxa"/>
            <w:vAlign w:val="bottom"/>
            <w:tcBorders>
              <w:bottom w:val="single" w:sz="8" w:color="0000EE"/>
            </w:tcBorders>
            <w:gridSpan w:val="26"/>
          </w:tcPr>
          <w:p>
            <w:pPr>
              <w:spacing w:after="0" w:line="196" w:lineRule="exact"/>
              <w:rPr>
                <w:rFonts w:ascii="Arial" w:cs="Arial" w:eastAsia="Arial" w:hAnsi="Arial"/>
                <w:sz w:val="18"/>
                <w:szCs w:val="18"/>
                <w:i w:val="1"/>
                <w:iCs w:val="1"/>
                <w:color w:val="0000EE"/>
                <w:w w:val="87"/>
              </w:rPr>
            </w:pPr>
            <w:hyperlink w:anchor="page7">
              <w:r>
                <w:rPr>
                  <w:rFonts w:ascii="Arial" w:cs="Arial" w:eastAsia="Arial" w:hAnsi="Arial"/>
                  <w:sz w:val="18"/>
                  <w:szCs w:val="18"/>
                  <w:i w:val="1"/>
                  <w:iCs w:val="1"/>
                  <w:color w:val="0000EE"/>
                  <w:w w:val="87"/>
                </w:rPr>
                <w:t>What is the purpose of the Annual Meeting?</w:t>
              </w:r>
            </w:hyperlink>
          </w:p>
        </w:tc>
        <w:tc>
          <w:tcPr>
            <w:tcW w:w="75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40" w:type="dxa"/>
            <w:vAlign w:val="bottom"/>
            <w:tcBorders>
              <w:bottom w:val="single" w:sz="8" w:color="0000EE"/>
            </w:tcBorders>
            <w:gridSpan w:val="21"/>
          </w:tcPr>
          <w:p>
            <w:pPr>
              <w:spacing w:after="0" w:line="196" w:lineRule="exact"/>
              <w:rPr>
                <w:rFonts w:ascii="Arial" w:cs="Arial" w:eastAsia="Arial" w:hAnsi="Arial"/>
                <w:sz w:val="18"/>
                <w:szCs w:val="18"/>
                <w:i w:val="1"/>
                <w:iCs w:val="1"/>
                <w:color w:val="0000EE"/>
                <w:w w:val="86"/>
              </w:rPr>
            </w:pPr>
            <w:hyperlink w:anchor="page7">
              <w:r>
                <w:rPr>
                  <w:rFonts w:ascii="Arial" w:cs="Arial" w:eastAsia="Arial" w:hAnsi="Arial"/>
                  <w:sz w:val="18"/>
                  <w:szCs w:val="18"/>
                  <w:i w:val="1"/>
                  <w:iCs w:val="1"/>
                  <w:color w:val="0000EE"/>
                  <w:w w:val="86"/>
                </w:rPr>
                <w:t>What are the Board’s recommendations?</w:t>
              </w:r>
            </w:hyperlink>
          </w:p>
        </w:tc>
        <w:tc>
          <w:tcPr>
            <w:tcW w:w="774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Why am I receiving these proxy materials?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What is the difference between a “registered” shareholder and holding Shares in “street name?”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w w:val="95"/>
              </w:rPr>
            </w:pPr>
            <w:hyperlink w:anchor="page8">
              <w:r>
                <w:rPr>
                  <w:rFonts w:ascii="Arial" w:cs="Arial" w:eastAsia="Arial" w:hAnsi="Arial"/>
                  <w:sz w:val="18"/>
                  <w:szCs w:val="18"/>
                  <w:i w:val="1"/>
                  <w:iCs w:val="1"/>
                  <w:color w:val="0000EE"/>
                  <w:w w:val="95"/>
                </w:rPr>
                <w:t>Why did I receive a “Notice of Internet Availability of Proxy Materials” in the mail regarding the Internet availability of proxy materials instead</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5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i w:val="1"/>
                <w:iCs w:val="1"/>
                <w:color w:val="0000EE"/>
                <w:w w:val="88"/>
              </w:rPr>
            </w:pPr>
            <w:hyperlink w:anchor="page8">
              <w:r>
                <w:rPr>
                  <w:rFonts w:ascii="Arial" w:cs="Arial" w:eastAsia="Arial" w:hAnsi="Arial"/>
                  <w:sz w:val="18"/>
                  <w:szCs w:val="18"/>
                  <w:i w:val="1"/>
                  <w:iCs w:val="1"/>
                  <w:color w:val="0000EE"/>
                  <w:w w:val="88"/>
                </w:rPr>
                <w:t>of a paper copy of proxy materials?</w:t>
              </w:r>
            </w:hyperlink>
          </w:p>
        </w:tc>
        <w:tc>
          <w:tcPr>
            <w:tcW w:w="7420" w:type="dxa"/>
            <w:vAlign w:val="bottom"/>
            <w:tcBorders>
              <w:top w:val="single" w:sz="8" w:color="0000EE"/>
            </w:tcBorders>
            <w:gridSpan w:val="2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80" w:type="dxa"/>
            <w:vAlign w:val="bottom"/>
            <w:tcBorders>
              <w:bottom w:val="single" w:sz="8" w:color="0000EE"/>
            </w:tcBorders>
            <w:gridSpan w:val="32"/>
          </w:tcPr>
          <w:p>
            <w:pPr>
              <w:spacing w:after="0" w:line="196" w:lineRule="exact"/>
              <w:rPr>
                <w:rFonts w:ascii="Arial" w:cs="Arial" w:eastAsia="Arial" w:hAnsi="Arial"/>
                <w:sz w:val="18"/>
                <w:szCs w:val="18"/>
                <w:i w:val="1"/>
                <w:iCs w:val="1"/>
                <w:color w:val="0000EE"/>
                <w:w w:val="88"/>
              </w:rPr>
            </w:pPr>
            <w:hyperlink w:anchor="page8">
              <w:r>
                <w:rPr>
                  <w:rFonts w:ascii="Arial" w:cs="Arial" w:eastAsia="Arial" w:hAnsi="Arial"/>
                  <w:sz w:val="18"/>
                  <w:szCs w:val="18"/>
                  <w:i w:val="1"/>
                  <w:iCs w:val="1"/>
                  <w:color w:val="0000EE"/>
                  <w:w w:val="88"/>
                </w:rPr>
                <w:t>Can I vote my Shares by filling out and returning the Notice?</w:t>
              </w:r>
            </w:hyperlink>
          </w:p>
        </w:tc>
        <w:tc>
          <w:tcPr>
            <w:tcW w:w="63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40" w:type="dxa"/>
            <w:vAlign w:val="bottom"/>
            <w:tcBorders>
              <w:bottom w:val="single" w:sz="8" w:color="0000EE"/>
            </w:tcBorders>
            <w:gridSpan w:val="30"/>
          </w:tcPr>
          <w:p>
            <w:pPr>
              <w:spacing w:after="0" w:line="196" w:lineRule="exact"/>
              <w:rPr>
                <w:rFonts w:ascii="Arial" w:cs="Arial" w:eastAsia="Arial" w:hAnsi="Arial"/>
                <w:sz w:val="18"/>
                <w:szCs w:val="18"/>
                <w:i w:val="1"/>
                <w:iCs w:val="1"/>
                <w:color w:val="0000EE"/>
                <w:w w:val="87"/>
              </w:rPr>
            </w:pPr>
            <w:hyperlink w:anchor="page8">
              <w:r>
                <w:rPr>
                  <w:rFonts w:ascii="Arial" w:cs="Arial" w:eastAsia="Arial" w:hAnsi="Arial"/>
                  <w:sz w:val="18"/>
                  <w:szCs w:val="18"/>
                  <w:i w:val="1"/>
                  <w:iCs w:val="1"/>
                  <w:color w:val="0000EE"/>
                  <w:w w:val="87"/>
                </w:rPr>
                <w:t>Why did I receive a paper copy of the proxy materials?</w:t>
              </w:r>
            </w:hyperlink>
          </w:p>
        </w:tc>
        <w:tc>
          <w:tcPr>
            <w:tcW w:w="674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How may “registered” shareholders and shareholders holding Shares in “street name” elect to receive future shareholder materials</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080" w:type="dxa"/>
            <w:vAlign w:val="bottom"/>
            <w:tcBorders>
              <w:top w:val="single" w:sz="8" w:color="0000EE"/>
            </w:tcBorders>
            <w:gridSpan w:val="40"/>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electronically?</w:t>
              </w:r>
            </w:hyperlink>
          </w:p>
        </w:tc>
        <w:tc>
          <w:tcPr>
            <w:tcW w:w="13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Who is entitled to vote at the Annual Meeting?</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340" w:type="dxa"/>
            <w:vAlign w:val="bottom"/>
            <w:tcBorders>
              <w:bottom w:val="single" w:sz="8" w:color="0000EE"/>
            </w:tcBorders>
            <w:gridSpan w:val="33"/>
          </w:tcPr>
          <w:p>
            <w:pPr>
              <w:spacing w:after="0" w:line="196" w:lineRule="exact"/>
              <w:rPr>
                <w:rFonts w:ascii="Arial" w:cs="Arial" w:eastAsia="Arial" w:hAnsi="Arial"/>
                <w:sz w:val="18"/>
                <w:szCs w:val="18"/>
                <w:i w:val="1"/>
                <w:iCs w:val="1"/>
                <w:color w:val="0000EE"/>
                <w:w w:val="87"/>
              </w:rPr>
            </w:pPr>
            <w:hyperlink w:anchor="page9">
              <w:r>
                <w:rPr>
                  <w:rFonts w:ascii="Arial" w:cs="Arial" w:eastAsia="Arial" w:hAnsi="Arial"/>
                  <w:sz w:val="18"/>
                  <w:szCs w:val="18"/>
                  <w:i w:val="1"/>
                  <w:iCs w:val="1"/>
                  <w:color w:val="0000EE"/>
                  <w:w w:val="87"/>
                </w:rPr>
                <w:t>How many votes must be present to hold the Annual Meeting?</w:t>
              </w:r>
            </w:hyperlink>
          </w:p>
        </w:tc>
        <w:tc>
          <w:tcPr>
            <w:tcW w:w="62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How many votes do I have?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17"/>
          </w:tcPr>
          <w:p>
            <w:pPr>
              <w:spacing w:after="0" w:line="196" w:lineRule="exact"/>
              <w:rPr>
                <w:rFonts w:ascii="Arial" w:cs="Arial" w:eastAsia="Arial" w:hAnsi="Arial"/>
                <w:sz w:val="18"/>
                <w:szCs w:val="18"/>
                <w:i w:val="1"/>
                <w:iCs w:val="1"/>
                <w:color w:val="0000EE"/>
                <w:w w:val="86"/>
              </w:rPr>
            </w:pPr>
            <w:hyperlink w:anchor="page9">
              <w:r>
                <w:rPr>
                  <w:rFonts w:ascii="Arial" w:cs="Arial" w:eastAsia="Arial" w:hAnsi="Arial"/>
                  <w:sz w:val="18"/>
                  <w:szCs w:val="18"/>
                  <w:i w:val="1"/>
                  <w:iCs w:val="1"/>
                  <w:color w:val="0000EE"/>
                  <w:w w:val="86"/>
                </w:rPr>
                <w:t>What if I don’t vote my Shares?</w:t>
              </w:r>
            </w:hyperlink>
          </w:p>
        </w:tc>
        <w:tc>
          <w:tcPr>
            <w:tcW w:w="840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140" w:type="dxa"/>
            <w:vAlign w:val="bottom"/>
            <w:tcBorders>
              <w:bottom w:val="single" w:sz="8" w:color="0000EE"/>
            </w:tcBorders>
            <w:gridSpan w:val="38"/>
          </w:tcPr>
          <w:p>
            <w:pPr>
              <w:spacing w:after="0" w:line="196" w:lineRule="exact"/>
              <w:rPr>
                <w:rFonts w:ascii="Arial" w:cs="Arial" w:eastAsia="Arial" w:hAnsi="Arial"/>
                <w:sz w:val="18"/>
                <w:szCs w:val="18"/>
                <w:i w:val="1"/>
                <w:iCs w:val="1"/>
                <w:color w:val="0000EE"/>
                <w:w w:val="89"/>
              </w:rPr>
            </w:pPr>
            <w:hyperlink w:anchor="page9">
              <w:r>
                <w:rPr>
                  <w:rFonts w:ascii="Arial" w:cs="Arial" w:eastAsia="Arial" w:hAnsi="Arial"/>
                  <w:sz w:val="18"/>
                  <w:szCs w:val="18"/>
                  <w:i w:val="1"/>
                  <w:iCs w:val="1"/>
                  <w:color w:val="0000EE"/>
                  <w:w w:val="89"/>
                </w:rPr>
                <w:t>What if I return my proxy card but don’t give specific voting instructions?</w:t>
              </w:r>
            </w:hyperlink>
          </w:p>
        </w:tc>
        <w:tc>
          <w:tcPr>
            <w:tcW w:w="54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What is a proxy?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040" w:type="dxa"/>
            <w:vAlign w:val="bottom"/>
            <w:tcBorders>
              <w:bottom w:val="single" w:sz="8" w:color="0000EE"/>
            </w:tcBorders>
            <w:gridSpan w:val="25"/>
          </w:tcPr>
          <w:p>
            <w:pPr>
              <w:spacing w:after="0" w:line="196" w:lineRule="exact"/>
              <w:rPr>
                <w:rFonts w:ascii="Arial" w:cs="Arial" w:eastAsia="Arial" w:hAnsi="Arial"/>
                <w:sz w:val="18"/>
                <w:szCs w:val="18"/>
                <w:i w:val="1"/>
                <w:iCs w:val="1"/>
                <w:color w:val="0000EE"/>
                <w:w w:val="89"/>
              </w:rPr>
            </w:pPr>
            <w:hyperlink w:anchor="page9">
              <w:r>
                <w:rPr>
                  <w:rFonts w:ascii="Arial" w:cs="Arial" w:eastAsia="Arial" w:hAnsi="Arial"/>
                  <w:sz w:val="18"/>
                  <w:szCs w:val="18"/>
                  <w:i w:val="1"/>
                  <w:iCs w:val="1"/>
                  <w:color w:val="0000EE"/>
                  <w:w w:val="89"/>
                </w:rPr>
                <w:t>What if I return my proxy card but abstain?</w:t>
              </w:r>
            </w:hyperlink>
          </w:p>
        </w:tc>
        <w:tc>
          <w:tcPr>
            <w:tcW w:w="754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20" w:type="dxa"/>
            <w:vAlign w:val="bottom"/>
            <w:tcBorders>
              <w:bottom w:val="single" w:sz="8" w:color="0000EE"/>
            </w:tcBorders>
            <w:gridSpan w:val="29"/>
          </w:tcPr>
          <w:p>
            <w:pPr>
              <w:spacing w:after="0" w:line="196" w:lineRule="exact"/>
              <w:rPr>
                <w:rFonts w:ascii="Arial" w:cs="Arial" w:eastAsia="Arial" w:hAnsi="Arial"/>
                <w:sz w:val="18"/>
                <w:szCs w:val="18"/>
                <w:i w:val="1"/>
                <w:iCs w:val="1"/>
                <w:color w:val="0000EE"/>
                <w:w w:val="88"/>
              </w:rPr>
            </w:pPr>
            <w:hyperlink w:anchor="page9">
              <w:r>
                <w:rPr>
                  <w:rFonts w:ascii="Arial" w:cs="Arial" w:eastAsia="Arial" w:hAnsi="Arial"/>
                  <w:sz w:val="18"/>
                  <w:szCs w:val="18"/>
                  <w:i w:val="1"/>
                  <w:iCs w:val="1"/>
                  <w:color w:val="0000EE"/>
                  <w:w w:val="88"/>
                </w:rPr>
                <w:t>May I change my vote after I return my proxy card?</w:t>
              </w:r>
            </w:hyperlink>
          </w:p>
        </w:tc>
        <w:tc>
          <w:tcPr>
            <w:tcW w:w="69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Why did I receive more than one Notice, proxy card, voting instruction form and/or email?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35"/>
          </w:tcPr>
          <w:p>
            <w:pPr>
              <w:spacing w:after="0" w:line="196" w:lineRule="exact"/>
              <w:rPr>
                <w:rFonts w:ascii="Arial" w:cs="Arial" w:eastAsia="Arial" w:hAnsi="Arial"/>
                <w:sz w:val="18"/>
                <w:szCs w:val="18"/>
                <w:i w:val="1"/>
                <w:iCs w:val="1"/>
                <w:color w:val="0000EE"/>
                <w:w w:val="87"/>
              </w:rPr>
            </w:pPr>
            <w:hyperlink w:anchor="page10">
              <w:r>
                <w:rPr>
                  <w:rFonts w:ascii="Arial" w:cs="Arial" w:eastAsia="Arial" w:hAnsi="Arial"/>
                  <w:sz w:val="18"/>
                  <w:szCs w:val="18"/>
                  <w:i w:val="1"/>
                  <w:iCs w:val="1"/>
                  <w:color w:val="0000EE"/>
                  <w:w w:val="87"/>
                </w:rPr>
                <w:t>Are there other matters to be acted upon at the Annual Meeting?</w:t>
              </w:r>
            </w:hyperlink>
          </w:p>
        </w:tc>
        <w:tc>
          <w:tcPr>
            <w:tcW w:w="1820" w:type="dxa"/>
            <w:vAlign w:val="bottom"/>
            <w:tcBorders>
              <w:top w:val="single" w:sz="8" w:color="0000EE"/>
            </w:tcBorders>
            <w:gridSpan w:val="4"/>
          </w:tcPr>
          <w:p>
            <w:pPr>
              <w:spacing w:after="0"/>
              <w:rPr>
                <w:sz w:val="17"/>
                <w:szCs w:val="17"/>
                <w:color w:val="auto"/>
              </w:rPr>
            </w:pPr>
          </w:p>
        </w:tc>
        <w:tc>
          <w:tcPr>
            <w:tcW w:w="42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Who is paying for the solicitation of proxies?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What if I have questions about the Notice, voting or electronic delivery?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Share Ownership</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bottom w:val="single" w:sz="8" w:color="0000EE"/>
            </w:tcBorders>
            <w:gridSpan w:val="19"/>
          </w:tcPr>
          <w:p>
            <w:pPr>
              <w:spacing w:after="0" w:line="196" w:lineRule="exact"/>
              <w:rPr>
                <w:rFonts w:ascii="Arial" w:cs="Arial" w:eastAsia="Arial" w:hAnsi="Arial"/>
                <w:sz w:val="18"/>
                <w:szCs w:val="18"/>
                <w:i w:val="1"/>
                <w:iCs w:val="1"/>
                <w:color w:val="0000EE"/>
                <w:w w:val="85"/>
              </w:rPr>
            </w:pPr>
            <w:hyperlink w:anchor="page10">
              <w:r>
                <w:rPr>
                  <w:rFonts w:ascii="Arial" w:cs="Arial" w:eastAsia="Arial" w:hAnsi="Arial"/>
                  <w:sz w:val="18"/>
                  <w:szCs w:val="18"/>
                  <w:i w:val="1"/>
                  <w:iCs w:val="1"/>
                  <w:color w:val="0000EE"/>
                  <w:w w:val="85"/>
                </w:rPr>
                <w:t>Who are the largest owners of Shares?</w:t>
              </w:r>
            </w:hyperlink>
          </w:p>
        </w:tc>
        <w:tc>
          <w:tcPr>
            <w:tcW w:w="788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12">
              <w:r>
                <w:rPr>
                  <w:rFonts w:ascii="Arial" w:cs="Arial" w:eastAsia="Arial" w:hAnsi="Arial"/>
                  <w:sz w:val="18"/>
                  <w:szCs w:val="18"/>
                  <w:i w:val="1"/>
                  <w:iCs w:val="1"/>
                  <w:color w:val="0000EE"/>
                </w:rPr>
                <w:t>How many Shares do our Trustees and executive officers own?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Independence of Trustees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15">
              <w:r>
                <w:rPr>
                  <w:rFonts w:ascii="Arial" w:cs="Arial" w:eastAsia="Arial" w:hAnsi="Arial"/>
                  <w:sz w:val="18"/>
                  <w:szCs w:val="18"/>
                  <w:i w:val="1"/>
                  <w:iCs w:val="1"/>
                  <w:color w:val="0000EE"/>
                </w:rPr>
                <w:t>Board of Trustees and Board Committees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i w:val="1"/>
                <w:iCs w:val="1"/>
                <w:color w:val="0000EE"/>
                <w:w w:val="85"/>
              </w:rPr>
            </w:pPr>
            <w:hyperlink w:anchor="page15">
              <w:r>
                <w:rPr>
                  <w:rFonts w:ascii="Arial" w:cs="Arial" w:eastAsia="Arial" w:hAnsi="Arial"/>
                  <w:sz w:val="18"/>
                  <w:szCs w:val="18"/>
                  <w:i w:val="1"/>
                  <w:iCs w:val="1"/>
                  <w:color w:val="0000EE"/>
                  <w:w w:val="85"/>
                </w:rPr>
                <w:t>Board of Trustees</w:t>
              </w:r>
            </w:hyperlink>
          </w:p>
        </w:tc>
        <w:tc>
          <w:tcPr>
            <w:tcW w:w="1220" w:type="dxa"/>
            <w:vAlign w:val="bottom"/>
            <w:tcBorders>
              <w:top w:val="single" w:sz="8" w:color="0000EE"/>
            </w:tcBorders>
            <w:gridSpan w:val="12"/>
          </w:tcPr>
          <w:p>
            <w:pPr>
              <w:spacing w:after="0"/>
              <w:rPr>
                <w:sz w:val="17"/>
                <w:szCs w:val="17"/>
                <w:color w:val="auto"/>
              </w:rPr>
            </w:pPr>
          </w:p>
        </w:tc>
        <w:tc>
          <w:tcPr>
            <w:tcW w:w="770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bottom w:val="single" w:sz="8" w:color="0000EE"/>
            </w:tcBorders>
            <w:gridSpan w:val="9"/>
          </w:tcPr>
          <w:p>
            <w:pPr>
              <w:spacing w:after="0" w:line="196" w:lineRule="exact"/>
              <w:rPr>
                <w:rFonts w:ascii="Arial" w:cs="Arial" w:eastAsia="Arial" w:hAnsi="Arial"/>
                <w:sz w:val="18"/>
                <w:szCs w:val="18"/>
                <w:i w:val="1"/>
                <w:iCs w:val="1"/>
                <w:color w:val="0000EE"/>
                <w:w w:val="85"/>
              </w:rPr>
            </w:pPr>
            <w:hyperlink w:anchor="page16">
              <w:r>
                <w:rPr>
                  <w:rFonts w:ascii="Arial" w:cs="Arial" w:eastAsia="Arial" w:hAnsi="Arial"/>
                  <w:sz w:val="18"/>
                  <w:szCs w:val="18"/>
                  <w:i w:val="1"/>
                  <w:iCs w:val="1"/>
                  <w:color w:val="0000EE"/>
                  <w:w w:val="85"/>
                </w:rPr>
                <w:t>Board Committees</w:t>
              </w:r>
            </w:hyperlink>
          </w:p>
        </w:tc>
        <w:tc>
          <w:tcPr>
            <w:tcW w:w="8860" w:type="dxa"/>
            <w:vAlign w:val="bottom"/>
            <w:gridSpan w:val="3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3"/>
          </w:tcPr>
          <w:p>
            <w:pPr>
              <w:spacing w:after="0" w:line="196" w:lineRule="exact"/>
              <w:rPr>
                <w:rFonts w:ascii="Arial" w:cs="Arial" w:eastAsia="Arial" w:hAnsi="Arial"/>
                <w:sz w:val="18"/>
                <w:szCs w:val="18"/>
                <w:i w:val="1"/>
                <w:iCs w:val="1"/>
                <w:color w:val="0000EE"/>
              </w:rPr>
            </w:pPr>
            <w:hyperlink w:anchor="page16">
              <w:r>
                <w:rPr>
                  <w:rFonts w:ascii="Arial" w:cs="Arial" w:eastAsia="Arial" w:hAnsi="Arial"/>
                  <w:sz w:val="18"/>
                  <w:szCs w:val="18"/>
                  <w:i w:val="1"/>
                  <w:iCs w:val="1"/>
                  <w:color w:val="0000EE"/>
                </w:rPr>
                <w:t>Identifying individuals to stand for election as Trustees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i w:val="1"/>
                <w:iCs w:val="1"/>
                <w:color w:val="0000EE"/>
                <w:w w:val="86"/>
              </w:rPr>
            </w:pPr>
            <w:hyperlink w:anchor="page17">
              <w:r>
                <w:rPr>
                  <w:rFonts w:ascii="Arial" w:cs="Arial" w:eastAsia="Arial" w:hAnsi="Arial"/>
                  <w:sz w:val="18"/>
                  <w:szCs w:val="18"/>
                  <w:i w:val="1"/>
                  <w:iCs w:val="1"/>
                  <w:color w:val="0000EE"/>
                  <w:w w:val="86"/>
                </w:rPr>
                <w:t>Risk Management Oversight</w:t>
              </w:r>
            </w:hyperlink>
          </w:p>
        </w:tc>
        <w:tc>
          <w:tcPr>
            <w:tcW w:w="1860" w:type="dxa"/>
            <w:vAlign w:val="bottom"/>
            <w:tcBorders>
              <w:top w:val="single" w:sz="8" w:color="0000EE"/>
            </w:tcBorders>
            <w:gridSpan w:val="15"/>
          </w:tcPr>
          <w:p>
            <w:pPr>
              <w:spacing w:after="0"/>
              <w:rPr>
                <w:sz w:val="17"/>
                <w:szCs w:val="17"/>
                <w:color w:val="auto"/>
              </w:rPr>
            </w:pPr>
          </w:p>
        </w:tc>
        <w:tc>
          <w:tcPr>
            <w:tcW w:w="674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60" w:type="dxa"/>
            <w:vAlign w:val="bottom"/>
            <w:tcBorders>
              <w:bottom w:val="single" w:sz="8" w:color="0000EE"/>
            </w:tcBorders>
            <w:gridSpan w:val="8"/>
          </w:tcPr>
          <w:p>
            <w:pPr>
              <w:spacing w:after="0" w:line="196" w:lineRule="exact"/>
              <w:rPr>
                <w:rFonts w:ascii="Arial" w:cs="Arial" w:eastAsia="Arial" w:hAnsi="Arial"/>
                <w:sz w:val="18"/>
                <w:szCs w:val="18"/>
                <w:i w:val="1"/>
                <w:iCs w:val="1"/>
                <w:color w:val="0000EE"/>
                <w:w w:val="84"/>
              </w:rPr>
            </w:pPr>
            <w:hyperlink w:anchor="page18">
              <w:r>
                <w:rPr>
                  <w:rFonts w:ascii="Arial" w:cs="Arial" w:eastAsia="Arial" w:hAnsi="Arial"/>
                  <w:sz w:val="18"/>
                  <w:szCs w:val="18"/>
                  <w:i w:val="1"/>
                  <w:iCs w:val="1"/>
                  <w:color w:val="0000EE"/>
                  <w:w w:val="84"/>
                </w:rPr>
                <w:t>Trustee Compensation</w:t>
              </w:r>
            </w:hyperlink>
          </w:p>
        </w:tc>
        <w:tc>
          <w:tcPr>
            <w:tcW w:w="902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60" w:type="dxa"/>
            <w:vAlign w:val="bottom"/>
            <w:tcBorders>
              <w:bottom w:val="single" w:sz="8" w:color="0000EE"/>
            </w:tcBorders>
            <w:gridSpan w:val="18"/>
          </w:tcPr>
          <w:p>
            <w:pPr>
              <w:spacing w:after="0" w:line="196" w:lineRule="exact"/>
              <w:rPr>
                <w:rFonts w:ascii="Arial" w:cs="Arial" w:eastAsia="Arial" w:hAnsi="Arial"/>
                <w:sz w:val="18"/>
                <w:szCs w:val="18"/>
                <w:i w:val="1"/>
                <w:iCs w:val="1"/>
                <w:color w:val="0000EE"/>
                <w:w w:val="88"/>
              </w:rPr>
            </w:pPr>
            <w:hyperlink w:anchor="page19">
              <w:r>
                <w:rPr>
                  <w:rFonts w:ascii="Arial" w:cs="Arial" w:eastAsia="Arial" w:hAnsi="Arial"/>
                  <w:sz w:val="18"/>
                  <w:szCs w:val="18"/>
                  <w:i w:val="1"/>
                  <w:iCs w:val="1"/>
                  <w:color w:val="0000EE"/>
                  <w:w w:val="88"/>
                </w:rPr>
                <w:t>Communications with the Board</w:t>
              </w:r>
            </w:hyperlink>
          </w:p>
        </w:tc>
        <w:tc>
          <w:tcPr>
            <w:tcW w:w="832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0" w:type="dxa"/>
            <w:vAlign w:val="bottom"/>
            <w:tcBorders>
              <w:bottom w:val="single" w:sz="8" w:color="0000EE"/>
            </w:tcBorders>
            <w:gridSpan w:val="16"/>
          </w:tcPr>
          <w:p>
            <w:pPr>
              <w:spacing w:after="0" w:line="196" w:lineRule="exact"/>
              <w:rPr>
                <w:rFonts w:ascii="Arial" w:cs="Arial" w:eastAsia="Arial" w:hAnsi="Arial"/>
                <w:sz w:val="18"/>
                <w:szCs w:val="18"/>
                <w:i w:val="1"/>
                <w:iCs w:val="1"/>
                <w:color w:val="0000EE"/>
                <w:w w:val="87"/>
              </w:rPr>
            </w:pPr>
            <w:hyperlink w:anchor="page19">
              <w:r>
                <w:rPr>
                  <w:rFonts w:ascii="Arial" w:cs="Arial" w:eastAsia="Arial" w:hAnsi="Arial"/>
                  <w:sz w:val="18"/>
                  <w:szCs w:val="18"/>
                  <w:i w:val="1"/>
                  <w:iCs w:val="1"/>
                  <w:color w:val="0000EE"/>
                  <w:w w:val="87"/>
                </w:rPr>
                <w:t>Other Corporate Documents</w:t>
              </w:r>
            </w:hyperlink>
          </w:p>
        </w:tc>
        <w:tc>
          <w:tcPr>
            <w:tcW w:w="858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1040" w:type="dxa"/>
            <w:vAlign w:val="bottom"/>
            <w:gridSpan w:val="4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1—Election of Trustees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320" w:type="dxa"/>
            <w:vAlign w:val="bottom"/>
            <w:gridSpan w:val="5"/>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500" w:type="dxa"/>
            <w:vAlign w:val="bottom"/>
            <w:gridSpan w:val="19"/>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Report of the Audit Committee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320" w:type="dxa"/>
            <w:vAlign w:val="bottom"/>
            <w:gridSpan w:val="5"/>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2500" w:type="dxa"/>
            <w:vAlign w:val="bottom"/>
            <w:gridSpan w:val="19"/>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00" w:type="dxa"/>
            <w:vAlign w:val="bottom"/>
            <w:tcBorders>
              <w:bottom w:val="single" w:sz="8" w:color="0000EE"/>
            </w:tcBorders>
            <w:gridSpan w:val="32"/>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Relationship with Independent Registered Public Accounting Firm</w:t>
              </w:r>
            </w:hyperlink>
          </w:p>
        </w:tc>
        <w:tc>
          <w:tcPr>
            <w:tcW w:w="63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1040" w:type="dxa"/>
            <w:vAlign w:val="bottom"/>
            <w:gridSpan w:val="4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2—Ratification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5100" w:type="dxa"/>
            <w:vAlign w:val="bottom"/>
            <w:tcBorders>
              <w:top w:val="single" w:sz="8" w:color="0000EE"/>
            </w:tcBorders>
            <w:gridSpan w:val="3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Executive Officers</w:t>
              </w:r>
            </w:hyperlink>
          </w:p>
        </w:tc>
        <w:tc>
          <w:tcPr>
            <w:tcW w:w="59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28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Compensation Discussion and Analysis</w:t>
              </w:r>
            </w:hyperlink>
          </w:p>
        </w:tc>
        <w:tc>
          <w:tcPr>
            <w:tcW w:w="8240" w:type="dxa"/>
            <w:vAlign w:val="bottom"/>
            <w:gridSpan w:val="14"/>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2020" w:type="dxa"/>
            <w:vAlign w:val="bottom"/>
            <w:tcBorders>
              <w:bottom w:val="single" w:sz="8" w:color="0000EE"/>
            </w:tcBorders>
            <w:gridSpan w:val="12"/>
          </w:tcPr>
          <w:p>
            <w:pPr>
              <w:spacing w:after="0" w:line="196" w:lineRule="exact"/>
              <w:rPr>
                <w:rFonts w:ascii="Arial" w:cs="Arial" w:eastAsia="Arial" w:hAnsi="Arial"/>
                <w:sz w:val="18"/>
                <w:szCs w:val="18"/>
                <w:i w:val="1"/>
                <w:iCs w:val="1"/>
                <w:color w:val="0000EE"/>
                <w:w w:val="86"/>
              </w:rPr>
            </w:pPr>
            <w:hyperlink w:anchor="page25">
              <w:r>
                <w:rPr>
                  <w:rFonts w:ascii="Arial" w:cs="Arial" w:eastAsia="Arial" w:hAnsi="Arial"/>
                  <w:sz w:val="18"/>
                  <w:szCs w:val="18"/>
                  <w:i w:val="1"/>
                  <w:iCs w:val="1"/>
                  <w:color w:val="0000EE"/>
                  <w:w w:val="86"/>
                </w:rPr>
                <w:t>2013 Performance Summary</w:t>
              </w:r>
            </w:hyperlink>
          </w:p>
        </w:tc>
        <w:tc>
          <w:tcPr>
            <w:tcW w:w="85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Borders>
              <w:bottom w:val="single" w:sz="8" w:color="0000EE"/>
            </w:tcBorders>
            <w:gridSpan w:val="9"/>
          </w:tcPr>
          <w:p>
            <w:pPr>
              <w:spacing w:after="0" w:line="196" w:lineRule="exact"/>
              <w:rPr>
                <w:rFonts w:ascii="Arial" w:cs="Arial" w:eastAsia="Arial" w:hAnsi="Arial"/>
                <w:sz w:val="18"/>
                <w:szCs w:val="18"/>
                <w:i w:val="1"/>
                <w:iCs w:val="1"/>
                <w:color w:val="0000EE"/>
                <w:w w:val="93"/>
              </w:rPr>
            </w:pPr>
            <w:hyperlink w:anchor="page25">
              <w:r>
                <w:rPr>
                  <w:rFonts w:ascii="Arial" w:cs="Arial" w:eastAsia="Arial" w:hAnsi="Arial"/>
                  <w:sz w:val="18"/>
                  <w:szCs w:val="18"/>
                  <w:i w:val="1"/>
                  <w:iCs w:val="1"/>
                  <w:color w:val="0000EE"/>
                  <w:w w:val="93"/>
                </w:rPr>
                <w:t>Financial Highlights</w:t>
              </w:r>
            </w:hyperlink>
          </w:p>
        </w:tc>
        <w:tc>
          <w:tcPr>
            <w:tcW w:w="86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Borders>
              <w:bottom w:val="single" w:sz="8" w:color="0000EE"/>
            </w:tcBorders>
            <w:gridSpan w:val="10"/>
          </w:tcPr>
          <w:p>
            <w:pPr>
              <w:spacing w:after="0" w:line="196" w:lineRule="exact"/>
              <w:rPr>
                <w:rFonts w:ascii="Arial" w:cs="Arial" w:eastAsia="Arial" w:hAnsi="Arial"/>
                <w:sz w:val="18"/>
                <w:szCs w:val="18"/>
                <w:i w:val="1"/>
                <w:iCs w:val="1"/>
                <w:color w:val="0000EE"/>
                <w:w w:val="87"/>
              </w:rPr>
            </w:pPr>
            <w:hyperlink w:anchor="page26">
              <w:r>
                <w:rPr>
                  <w:rFonts w:ascii="Arial" w:cs="Arial" w:eastAsia="Arial" w:hAnsi="Arial"/>
                  <w:sz w:val="18"/>
                  <w:szCs w:val="18"/>
                  <w:i w:val="1"/>
                  <w:iCs w:val="1"/>
                  <w:color w:val="0000EE"/>
                  <w:w w:val="87"/>
                </w:rPr>
                <w:t>Investment Highlights</w:t>
              </w:r>
            </w:hyperlink>
          </w:p>
        </w:tc>
        <w:tc>
          <w:tcPr>
            <w:tcW w:w="862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40" w:type="dxa"/>
            <w:vAlign w:val="bottom"/>
          </w:tcPr>
          <w:p>
            <w:pPr>
              <w:spacing w:after="0"/>
              <w:rPr>
                <w:sz w:val="17"/>
                <w:szCs w:val="17"/>
                <w:color w:val="auto"/>
              </w:rPr>
            </w:pPr>
          </w:p>
        </w:tc>
        <w:tc>
          <w:tcPr>
            <w:tcW w:w="10600" w:type="dxa"/>
            <w:vAlign w:val="bottom"/>
            <w:gridSpan w:val="29"/>
          </w:tcPr>
          <w:p>
            <w:pPr>
              <w:spacing w:after="0" w:line="196" w:lineRule="exact"/>
              <w:rPr>
                <w:rFonts w:ascii="Arial" w:cs="Arial" w:eastAsia="Arial" w:hAnsi="Arial"/>
                <w:sz w:val="18"/>
                <w:szCs w:val="18"/>
                <w:i w:val="1"/>
                <w:iCs w:val="1"/>
                <w:color w:val="0000EE"/>
              </w:rPr>
            </w:pPr>
            <w:hyperlink w:anchor="page26">
              <w:r>
                <w:rPr>
                  <w:rFonts w:ascii="Arial" w:cs="Arial" w:eastAsia="Arial" w:hAnsi="Arial"/>
                  <w:sz w:val="18"/>
                  <w:szCs w:val="18"/>
                  <w:i w:val="1"/>
                  <w:iCs w:val="1"/>
                  <w:color w:val="0000EE"/>
                </w:rPr>
                <w:t>2013 Compensation 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4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i w:val="1"/>
                <w:iCs w:val="1"/>
                <w:color w:val="0000EE"/>
                <w:w w:val="88"/>
              </w:rPr>
            </w:pPr>
            <w:hyperlink w:anchor="page27">
              <w:r>
                <w:rPr>
                  <w:rFonts w:ascii="Arial" w:cs="Arial" w:eastAsia="Arial" w:hAnsi="Arial"/>
                  <w:sz w:val="18"/>
                  <w:szCs w:val="18"/>
                  <w:i w:val="1"/>
                  <w:iCs w:val="1"/>
                  <w:color w:val="0000EE"/>
                  <w:w w:val="88"/>
                </w:rPr>
                <w:t>Total Direct Compensation</w:t>
              </w:r>
            </w:hyperlink>
          </w:p>
        </w:tc>
        <w:tc>
          <w:tcPr>
            <w:tcW w:w="80" w:type="dxa"/>
            <w:vAlign w:val="bottom"/>
            <w:tcBorders>
              <w:top w:val="single" w:sz="8" w:color="0000EE"/>
            </w:tcBorders>
            <w:gridSpan w:val="2"/>
          </w:tcPr>
          <w:p>
            <w:pPr>
              <w:spacing w:after="0"/>
              <w:rPr>
                <w:sz w:val="17"/>
                <w:szCs w:val="17"/>
                <w:color w:val="auto"/>
              </w:rPr>
            </w:pPr>
          </w:p>
        </w:tc>
        <w:tc>
          <w:tcPr>
            <w:tcW w:w="862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440" w:type="dxa"/>
            <w:vAlign w:val="bottom"/>
          </w:tcPr>
          <w:p>
            <w:pPr>
              <w:spacing w:after="0"/>
              <w:rPr>
                <w:sz w:val="17"/>
                <w:szCs w:val="17"/>
                <w:color w:val="auto"/>
              </w:rPr>
            </w:pPr>
          </w:p>
        </w:tc>
        <w:tc>
          <w:tcPr>
            <w:tcW w:w="10600" w:type="dxa"/>
            <w:vAlign w:val="bottom"/>
            <w:gridSpan w:val="29"/>
          </w:tcPr>
          <w:p>
            <w:pPr>
              <w:spacing w:after="0" w:line="196" w:lineRule="exact"/>
              <w:rPr>
                <w:rFonts w:ascii="Arial" w:cs="Arial" w:eastAsia="Arial" w:hAnsi="Arial"/>
                <w:sz w:val="18"/>
                <w:szCs w:val="18"/>
                <w:i w:val="1"/>
                <w:iCs w:val="1"/>
                <w:color w:val="0000EE"/>
              </w:rPr>
            </w:pPr>
            <w:hyperlink w:anchor="page27">
              <w:r>
                <w:rPr>
                  <w:rFonts w:ascii="Arial" w:cs="Arial" w:eastAsia="Arial" w:hAnsi="Arial"/>
                  <w:sz w:val="18"/>
                  <w:szCs w:val="18"/>
                  <w:i w:val="1"/>
                  <w:iCs w:val="1"/>
                  <w:color w:val="0000EE"/>
                </w:rPr>
                <w:t>Pay For Performance Alignment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29"/>
          </w:tcPr>
          <w:p>
            <w:pPr>
              <w:spacing w:after="0" w:line="196" w:lineRule="exact"/>
              <w:rPr>
                <w:rFonts w:ascii="Arial" w:cs="Arial" w:eastAsia="Arial" w:hAnsi="Arial"/>
                <w:sz w:val="18"/>
                <w:szCs w:val="18"/>
                <w:i w:val="1"/>
                <w:iCs w:val="1"/>
                <w:color w:val="0000EE"/>
              </w:rPr>
            </w:pPr>
            <w:hyperlink w:anchor="page28">
              <w:r>
                <w:rPr>
                  <w:rFonts w:ascii="Arial" w:cs="Arial" w:eastAsia="Arial" w:hAnsi="Arial"/>
                  <w:sz w:val="18"/>
                  <w:szCs w:val="18"/>
                  <w:i w:val="1"/>
                  <w:iCs w:val="1"/>
                  <w:color w:val="0000EE"/>
                </w:rPr>
                <w:t>Compensation Philosophy and Objectives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40" w:type="dxa"/>
            <w:vAlign w:val="bottom"/>
          </w:tcPr>
          <w:p>
            <w:pPr>
              <w:spacing w:after="0"/>
              <w:rPr>
                <w:sz w:val="17"/>
                <w:szCs w:val="17"/>
                <w:color w:val="auto"/>
              </w:rPr>
            </w:pPr>
          </w:p>
        </w:tc>
        <w:tc>
          <w:tcPr>
            <w:tcW w:w="2940" w:type="dxa"/>
            <w:vAlign w:val="bottom"/>
            <w:tcBorders>
              <w:top w:val="single" w:sz="8" w:color="0000EE"/>
            </w:tcBorders>
            <w:gridSpan w:val="20"/>
          </w:tcPr>
          <w:p>
            <w:pPr>
              <w:spacing w:after="0" w:line="196" w:lineRule="exact"/>
              <w:rPr>
                <w:rFonts w:ascii="Arial" w:cs="Arial" w:eastAsia="Arial" w:hAnsi="Arial"/>
                <w:sz w:val="18"/>
                <w:szCs w:val="18"/>
                <w:i w:val="1"/>
                <w:iCs w:val="1"/>
                <w:color w:val="0000EE"/>
              </w:rPr>
            </w:pPr>
            <w:hyperlink w:anchor="page29">
              <w:r>
                <w:rPr>
                  <w:rFonts w:ascii="Arial" w:cs="Arial" w:eastAsia="Arial" w:hAnsi="Arial"/>
                  <w:sz w:val="18"/>
                  <w:szCs w:val="18"/>
                  <w:i w:val="1"/>
                  <w:iCs w:val="1"/>
                  <w:color w:val="0000EE"/>
                </w:rPr>
                <w:t>Compensation Methodology</w:t>
              </w:r>
            </w:hyperlink>
          </w:p>
        </w:tc>
        <w:tc>
          <w:tcPr>
            <w:tcW w:w="76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29"/>
          </w:tcPr>
          <w:p>
            <w:pPr>
              <w:spacing w:after="0" w:line="196" w:lineRule="exact"/>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Elements of Total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i w:val="1"/>
                <w:iCs w:val="1"/>
                <w:color w:val="0000EE"/>
                <w:w w:val="84"/>
              </w:rPr>
            </w:pPr>
            <w:hyperlink w:anchor="page30">
              <w:r>
                <w:rPr>
                  <w:rFonts w:ascii="Arial" w:cs="Arial" w:eastAsia="Arial" w:hAnsi="Arial"/>
                  <w:sz w:val="18"/>
                  <w:szCs w:val="18"/>
                  <w:i w:val="1"/>
                  <w:iCs w:val="1"/>
                  <w:color w:val="0000EE"/>
                  <w:w w:val="84"/>
                </w:rPr>
                <w:t>Base Salary</w:t>
              </w:r>
            </w:hyperlink>
          </w:p>
        </w:tc>
        <w:tc>
          <w:tcPr>
            <w:tcW w:w="1020" w:type="dxa"/>
            <w:vAlign w:val="bottom"/>
            <w:tcBorders>
              <w:top w:val="single" w:sz="8" w:color="0000EE"/>
            </w:tcBorders>
            <w:gridSpan w:val="9"/>
          </w:tcPr>
          <w:p>
            <w:pPr>
              <w:spacing w:after="0"/>
              <w:rPr>
                <w:sz w:val="17"/>
                <w:szCs w:val="17"/>
                <w:color w:val="auto"/>
              </w:rPr>
            </w:pPr>
          </w:p>
        </w:tc>
        <w:tc>
          <w:tcPr>
            <w:tcW w:w="830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i w:val="1"/>
                <w:iCs w:val="1"/>
                <w:color w:val="0000EE"/>
              </w:rPr>
            </w:pPr>
            <w:hyperlink w:anchor="page31">
              <w:r>
                <w:rPr>
                  <w:rFonts w:ascii="Arial" w:cs="Arial" w:eastAsia="Arial" w:hAnsi="Arial"/>
                  <w:sz w:val="18"/>
                  <w:szCs w:val="18"/>
                  <w:i w:val="1"/>
                  <w:iCs w:val="1"/>
                  <w:color w:val="0000EE"/>
                </w:rPr>
                <w:t>Annual Bonus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i w:val="1"/>
                <w:iCs w:val="1"/>
                <w:color w:val="0000EE"/>
              </w:rPr>
            </w:pPr>
            <w:hyperlink w:anchor="page32">
              <w:r>
                <w:rPr>
                  <w:rFonts w:ascii="Arial" w:cs="Arial" w:eastAsia="Arial" w:hAnsi="Arial"/>
                  <w:sz w:val="18"/>
                  <w:szCs w:val="18"/>
                  <w:i w:val="1"/>
                  <w:iCs w:val="1"/>
                  <w:color w:val="0000EE"/>
                </w:rPr>
                <w:t>Annual Long-Term Equity Incentive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29"/>
          </w:tcPr>
          <w:p>
            <w:pPr>
              <w:spacing w:after="0" w:line="196" w:lineRule="exact"/>
              <w:rPr>
                <w:rFonts w:ascii="Arial" w:cs="Arial" w:eastAsia="Arial" w:hAnsi="Arial"/>
                <w:sz w:val="18"/>
                <w:szCs w:val="18"/>
                <w:i w:val="1"/>
                <w:iCs w:val="1"/>
                <w:color w:val="0000EE"/>
              </w:rPr>
            </w:pPr>
            <w:hyperlink w:anchor="page34">
              <w:r>
                <w:rPr>
                  <w:rFonts w:ascii="Arial" w:cs="Arial" w:eastAsia="Arial" w:hAnsi="Arial"/>
                  <w:sz w:val="18"/>
                  <w:szCs w:val="18"/>
                  <w:i w:val="1"/>
                  <w:iCs w:val="1"/>
                  <w:color w:val="0000EE"/>
                </w:rPr>
                <w:t>Chief Executive Officer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40" w:type="dxa"/>
            <w:vAlign w:val="bottom"/>
          </w:tcPr>
          <w:p>
            <w:pPr>
              <w:spacing w:after="0"/>
              <w:rPr>
                <w:sz w:val="17"/>
                <w:szCs w:val="17"/>
                <w:color w:val="auto"/>
              </w:rPr>
            </w:pPr>
          </w:p>
        </w:tc>
        <w:tc>
          <w:tcPr>
            <w:tcW w:w="2700" w:type="dxa"/>
            <w:vAlign w:val="bottom"/>
            <w:tcBorders>
              <w:top w:val="single" w:sz="8" w:color="0000EE"/>
            </w:tcBorders>
            <w:gridSpan w:val="18"/>
          </w:tcPr>
          <w:p>
            <w:pPr>
              <w:spacing w:after="0" w:line="196" w:lineRule="exact"/>
              <w:rPr>
                <w:rFonts w:ascii="Arial" w:cs="Arial" w:eastAsia="Arial" w:hAnsi="Arial"/>
                <w:sz w:val="18"/>
                <w:szCs w:val="18"/>
                <w:i w:val="1"/>
                <w:iCs w:val="1"/>
                <w:color w:val="0000EE"/>
              </w:rPr>
            </w:pPr>
            <w:hyperlink w:anchor="page35">
              <w:r>
                <w:rPr>
                  <w:rFonts w:ascii="Arial" w:cs="Arial" w:eastAsia="Arial" w:hAnsi="Arial"/>
                  <w:sz w:val="18"/>
                  <w:szCs w:val="18"/>
                  <w:i w:val="1"/>
                  <w:iCs w:val="1"/>
                  <w:color w:val="0000EE"/>
                </w:rPr>
                <w:t>Timing of Equity Grants</w:t>
              </w:r>
            </w:hyperlink>
          </w:p>
        </w:tc>
        <w:tc>
          <w:tcPr>
            <w:tcW w:w="79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29"/>
          </w:tcPr>
          <w:p>
            <w:pPr>
              <w:spacing w:after="0" w:line="196" w:lineRule="exact"/>
              <w:rPr>
                <w:rFonts w:ascii="Arial" w:cs="Arial" w:eastAsia="Arial" w:hAnsi="Arial"/>
                <w:sz w:val="18"/>
                <w:szCs w:val="18"/>
                <w:i w:val="1"/>
                <w:iCs w:val="1"/>
                <w:color w:val="0000EE"/>
              </w:rPr>
            </w:pPr>
            <w:hyperlink w:anchor="page35">
              <w:r>
                <w:rPr>
                  <w:rFonts w:ascii="Arial" w:cs="Arial" w:eastAsia="Arial" w:hAnsi="Arial"/>
                  <w:sz w:val="18"/>
                  <w:szCs w:val="18"/>
                  <w:i w:val="1"/>
                  <w:iCs w:val="1"/>
                  <w:color w:val="0000EE"/>
                </w:rPr>
                <w:t>Termination and Change-in-Control Arrangements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680" w:type="dxa"/>
            <w:vAlign w:val="bottom"/>
            <w:tcBorders>
              <w:bottom w:val="single" w:sz="8" w:color="0000EE"/>
            </w:tcBorders>
            <w:gridSpan w:val="26"/>
          </w:tcPr>
          <w:p>
            <w:pPr>
              <w:spacing w:after="0" w:line="196" w:lineRule="exact"/>
              <w:rPr>
                <w:rFonts w:ascii="Arial" w:cs="Arial" w:eastAsia="Arial" w:hAnsi="Arial"/>
                <w:sz w:val="18"/>
                <w:szCs w:val="18"/>
                <w:i w:val="1"/>
                <w:iCs w:val="1"/>
                <w:color w:val="0000EE"/>
                <w:w w:val="89"/>
              </w:rPr>
            </w:pPr>
            <w:hyperlink w:anchor="page35">
              <w:r>
                <w:rPr>
                  <w:rFonts w:ascii="Arial" w:cs="Arial" w:eastAsia="Arial" w:hAnsi="Arial"/>
                  <w:sz w:val="18"/>
                  <w:szCs w:val="18"/>
                  <w:i w:val="1"/>
                  <w:iCs w:val="1"/>
                  <w:color w:val="0000EE"/>
                  <w:w w:val="89"/>
                </w:rPr>
                <w:t xml:space="preserve">Deductibility of Executive Compensation in Excess of </w:t>
              </w:r>
              <w:r>
                <w:rPr>
                  <w:rFonts w:ascii="Arial" w:cs="Arial" w:eastAsia="Arial" w:hAnsi="Arial"/>
                  <w:sz w:val="18"/>
                  <w:szCs w:val="18"/>
                  <w:i w:val="1"/>
                  <w:iCs w:val="1"/>
                  <w:u w:val="single" w:color="auto"/>
                  <w:color w:val="0000EE"/>
                  <w:w w:val="89"/>
                </w:rPr>
                <w:t>$</w:t>
              </w:r>
              <w:r>
                <w:rPr>
                  <w:rFonts w:ascii="Arial" w:cs="Arial" w:eastAsia="Arial" w:hAnsi="Arial"/>
                  <w:sz w:val="18"/>
                  <w:szCs w:val="18"/>
                  <w:i w:val="1"/>
                  <w:iCs w:val="1"/>
                  <w:color w:val="0000EE"/>
                  <w:w w:val="89"/>
                </w:rPr>
                <w:t>1.0 Million</w:t>
              </w:r>
            </w:hyperlink>
          </w:p>
        </w:tc>
        <w:tc>
          <w:tcPr>
            <w:tcW w:w="59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304"/>
        </w:trPr>
        <w:tc>
          <w:tcPr>
            <w:tcW w:w="24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Compensation Committee Report</w:t>
              </w:r>
            </w:hyperlink>
          </w:p>
        </w:tc>
        <w:tc>
          <w:tcPr>
            <w:tcW w:w="862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1040" w:type="dxa"/>
            <w:vAlign w:val="bottom"/>
            <w:gridSpan w:val="3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Summary Compensation Table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292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2013 Grants of Plan-Based Awards Table</w:t>
              </w:r>
            </w:hyperlink>
          </w:p>
        </w:tc>
        <w:tc>
          <w:tcPr>
            <w:tcW w:w="812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12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2013 Outstanding Equity Awards at Fiscal Year-End Table</w:t>
              </w:r>
            </w:hyperlink>
          </w:p>
        </w:tc>
        <w:tc>
          <w:tcPr>
            <w:tcW w:w="69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1040" w:type="dxa"/>
            <w:vAlign w:val="bottom"/>
            <w:gridSpan w:val="3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2013 Option Exercises and Stock Vested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316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2013 Non-Qualified Deferred Compensation</w:t>
              </w:r>
            </w:hyperlink>
          </w:p>
        </w:tc>
        <w:tc>
          <w:tcPr>
            <w:tcW w:w="788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1040" w:type="dxa"/>
            <w:vAlign w:val="bottom"/>
            <w:gridSpan w:val="3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Potential Payments on Termination of Employment and Change-in-Control</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5280" w:type="dxa"/>
            <w:vAlign w:val="bottom"/>
            <w:tcBorders>
              <w:top w:val="single" w:sz="8" w:color="0000EE"/>
            </w:tcBorders>
            <w:gridSpan w:val="2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Compensation Committee Interlocks and Insider Participation</w:t>
              </w:r>
            </w:hyperlink>
          </w:p>
        </w:tc>
        <w:tc>
          <w:tcPr>
            <w:tcW w:w="57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6"/>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3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3—Advisory Vote on the Compensation of our Named Executive Officers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27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Equity Compensation Plan Information</w:t>
              </w:r>
            </w:hyperlink>
          </w:p>
        </w:tc>
        <w:tc>
          <w:tcPr>
            <w:tcW w:w="2780" w:type="dxa"/>
            <w:vAlign w:val="bottom"/>
            <w:tcBorders>
              <w:top w:val="single" w:sz="8" w:color="0000EE"/>
            </w:tcBorders>
            <w:gridSpan w:val="14"/>
          </w:tcPr>
          <w:p>
            <w:pPr>
              <w:spacing w:after="0"/>
              <w:rPr>
                <w:sz w:val="24"/>
                <w:szCs w:val="24"/>
                <w:color w:val="auto"/>
              </w:rPr>
            </w:pPr>
          </w:p>
        </w:tc>
        <w:tc>
          <w:tcPr>
            <w:tcW w:w="5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338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Certain Relationships and Related Transactions</w:t>
              </w:r>
            </w:hyperlink>
          </w:p>
        </w:tc>
        <w:tc>
          <w:tcPr>
            <w:tcW w:w="766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spacing w:after="0"/>
              <w:rPr>
                <w:sz w:val="17"/>
                <w:szCs w:val="17"/>
                <w:color w:val="auto"/>
              </w:rPr>
            </w:pPr>
          </w:p>
        </w:tc>
        <w:tc>
          <w:tcPr>
            <w:tcW w:w="10600" w:type="dxa"/>
            <w:vAlign w:val="bottom"/>
            <w:gridSpan w:val="29"/>
          </w:tcPr>
          <w:p>
            <w:pPr>
              <w:spacing w:after="0" w:line="196" w:lineRule="exact"/>
              <w:rPr>
                <w:rFonts w:ascii="Arial" w:cs="Arial" w:eastAsia="Arial" w:hAnsi="Arial"/>
                <w:sz w:val="18"/>
                <w:szCs w:val="18"/>
                <w:i w:val="1"/>
                <w:iCs w:val="1"/>
                <w:color w:val="0000EE"/>
              </w:rPr>
            </w:pPr>
            <w:hyperlink w:anchor="page44">
              <w:r>
                <w:rPr>
                  <w:rFonts w:ascii="Arial" w:cs="Arial" w:eastAsia="Arial" w:hAnsi="Arial"/>
                  <w:sz w:val="18"/>
                  <w:szCs w:val="18"/>
                  <w:i w:val="1"/>
                  <w:iCs w:val="1"/>
                  <w:color w:val="0000EE"/>
                </w:rPr>
                <w:t>Related Party Policies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29"/>
          </w:tcPr>
          <w:p>
            <w:pPr>
              <w:spacing w:after="0" w:line="196" w:lineRule="exact"/>
              <w:rPr>
                <w:rFonts w:ascii="Arial" w:cs="Arial" w:eastAsia="Arial" w:hAnsi="Arial"/>
                <w:sz w:val="18"/>
                <w:szCs w:val="18"/>
                <w:i w:val="1"/>
                <w:iCs w:val="1"/>
                <w:color w:val="0000EE"/>
              </w:rPr>
            </w:pPr>
            <w:hyperlink w:anchor="page44">
              <w:r>
                <w:rPr>
                  <w:rFonts w:ascii="Arial" w:cs="Arial" w:eastAsia="Arial" w:hAnsi="Arial"/>
                  <w:sz w:val="18"/>
                  <w:szCs w:val="18"/>
                  <w:i w:val="1"/>
                  <w:iCs w:val="1"/>
                  <w:color w:val="0000EE"/>
                </w:rPr>
                <w:t>Related Party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3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Section 16(a) Beneficial Ownership Reporting Compliance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4160" w:type="dxa"/>
            <w:vAlign w:val="bottom"/>
            <w:tcBorders>
              <w:top w:val="single" w:sz="8" w:color="0000EE"/>
            </w:tcBorders>
            <w:gridSpan w:val="2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Annual Report</w:t>
              </w:r>
            </w:hyperlink>
          </w:p>
        </w:tc>
        <w:tc>
          <w:tcPr>
            <w:tcW w:w="68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Householding</w:t>
              </w:r>
            </w:hyperlink>
          </w:p>
        </w:tc>
        <w:tc>
          <w:tcPr>
            <w:tcW w:w="40" w:type="dxa"/>
            <w:vAlign w:val="bottom"/>
            <w:tcBorders>
              <w:top w:val="single" w:sz="8" w:color="0000EE"/>
            </w:tcBorders>
          </w:tcPr>
          <w:p>
            <w:pPr>
              <w:spacing w:after="0"/>
              <w:rPr>
                <w:sz w:val="24"/>
                <w:szCs w:val="24"/>
                <w:color w:val="auto"/>
              </w:rPr>
            </w:pPr>
          </w:p>
        </w:tc>
        <w:tc>
          <w:tcPr>
            <w:tcW w:w="10000" w:type="dxa"/>
            <w:vAlign w:val="bottom"/>
            <w:gridSpan w:val="2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1040" w:type="dxa"/>
            <w:vAlign w:val="bottom"/>
            <w:gridSpan w:val="3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Solicitation of Proxies, Shareholder Proposals and Other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1626 East Jefferson Street, Rockville, Maryland 20852</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22, 2014</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providing these proxy materials in connection with the 2014 Annual Meeting of Shareholders (“Annual Meeting”) of Federal Realty Investment Trust (the “Trust”). These materials will assist you in voting your common shares of beneficial interest of the Trust (“Shares”) by providing information on matters that will be presented at the Annual Meeting.</w:t>
      </w: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soliciting my vote?</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Board of Trustees (the “Board” or “Board of Trustees”) of the Trust is soliciting your proxy to vote on matters that will be presented at our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will the Annual Meeting take place?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will be held at 10:00 a.m. EDT, Wednesday, May 7, 2014, at Fox Hill Club &amp; Residences, 8300 Burdette Road, Bethesda, Maryland.</w:t>
      </w:r>
    </w:p>
    <w:p>
      <w:pPr>
        <w:spacing w:after="0" w:line="275" w:lineRule="exact"/>
        <w:rPr>
          <w:sz w:val="20"/>
          <w:szCs w:val="20"/>
          <w:color w:val="auto"/>
        </w:rPr>
      </w:pPr>
    </w:p>
    <w:p>
      <w:pPr>
        <w:jc w:val="center"/>
        <w:ind w:right="8080"/>
        <w:spacing w:after="0"/>
        <w:rPr>
          <w:sz w:val="20"/>
          <w:szCs w:val="20"/>
          <w:color w:val="auto"/>
        </w:rPr>
      </w:pPr>
      <w:r>
        <w:rPr>
          <w:rFonts w:ascii="Arial" w:cs="Arial" w:eastAsia="Arial" w:hAnsi="Arial"/>
          <w:sz w:val="15"/>
          <w:szCs w:val="15"/>
          <w:b w:val="1"/>
          <w:bCs w:val="1"/>
          <w:i w:val="1"/>
          <w:iCs w:val="1"/>
          <w:color w:val="auto"/>
        </w:rPr>
        <w:t>What is the purpose of the Annual Meeting?</w:t>
      </w:r>
    </w:p>
    <w:p>
      <w:pPr>
        <w:spacing w:after="0" w:line="125" w:lineRule="exact"/>
        <w:rPr>
          <w:sz w:val="20"/>
          <w:szCs w:val="20"/>
          <w:color w:val="auto"/>
        </w:rPr>
      </w:pPr>
    </w:p>
    <w:p>
      <w:pPr>
        <w:jc w:val="center"/>
        <w:ind w:right="8040"/>
        <w:spacing w:after="0"/>
        <w:rPr>
          <w:sz w:val="20"/>
          <w:szCs w:val="20"/>
          <w:color w:val="auto"/>
        </w:rPr>
      </w:pPr>
      <w:r>
        <w:rPr>
          <w:rFonts w:ascii="Arial" w:cs="Arial" w:eastAsia="Arial" w:hAnsi="Arial"/>
          <w:sz w:val="18"/>
          <w:szCs w:val="18"/>
          <w:color w:val="auto"/>
        </w:rPr>
        <w:t>To vote on the following matters: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seven Trustees to serve until our 2015 Annual Meeting of Shareholders;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2014;</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advisory vote approving the compensation of our named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Board’s recommendations?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recommends a vote:</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each of the seven Trustees to serve until our 2015 Annual Meeting;</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Grant Thornton LLP as our independent registered public accounting firm for the fiscal year ending December 31, 2014;</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the compensation of our named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or AGAINST other matters that come before the Annual Meeting, as our proxies deem advisable.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these proxy materials?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You are receiving these materials because you owned our Shares as a “registered” shareholder or you held Shares in “street name” at the close of business on the record date for the Annual Meeting.</w:t>
      </w:r>
    </w:p>
    <w:p>
      <w:pPr>
        <w:sectPr>
          <w:pgSz w:w="11900" w:h="16838" w:orient="portrait"/>
          <w:cols w:equalWidth="0" w:num="1">
            <w:col w:w="11300"/>
          </w:cols>
          <w:pgMar w:left="240" w:top="45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“registered” shareholder and holding Shares in “street name?”</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If your Shares are registered directly in your name with American Stock Transfer and Trust Company, our transfer agent, you are a “registered” shareholder. If you own Shares through a broker, bank, trust or other nominee rather than in your own name, you are the beneficial owner of the Shares, but considered to be holding the Shares in “street name.”</w:t>
      </w:r>
    </w:p>
    <w:p>
      <w:pPr>
        <w:spacing w:after="0" w:line="22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Why did I receive a “Notice of Internet Availability of Proxy Materials” in the mail regarding the Internet availability of proxy materials instead of a paper copy of proxy materials?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permitted by the Securities and Exchange Commission (“SEC”), we are furnishing proxy materials including this proxy statement and our 2013 Annual Report to Shareholders, which includes our Annual Report on Form 10-K for the year ended December 31, 2013, to our shareholders who hold their Shares in “street name” by providing access to such documents on the Internet instead of mailing printed copies. A “Notice of Internet Availability of Proxy Materials” (“Notice”) describes how to access and review our proxy materials online, how to submit your vote online and how to request a printed copy of our proxy materials. The Notice is being mailed to our shareholders who hold their Shares in “street name” on or about March 28,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vote my Shares by filling out and returning the Notice?</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No. The Notice identifies the items to be voted on at the Annual Meeting, but you cannot vote by marking the Notice and returning it. The Notice provides instructions on how to vote by (i) Internet, (ii) telephone, (iii) requesting and returning a paper proxy card or voting instruction form; or (iv) submitting a ballot in person at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a paper copy of the proxy materials?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proxy statement, the accompanying proxy card and our 2013 Annual Report to Shareholders, which includes our Annual Report on Form 10-K for the year ended December 31, 2013, are being mailed to our “registered” shareholders on or about April 1, 2014 who have not elected to receive proxy materials electronically.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may “registered” shareholders and shareholders holding Shares in “street name” elect to receive future shareholder materials electronically?</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Opting to receive all future proxy materials electronically saves us the cost of producing and mailing documents to your home or business and helps us to conserve natural resources. “Registered” shareholders who wish to receive their proxy materials electronically rather than by mail may register to do so on American Stock Transfer &amp; Trust Company’s website at </w:t>
      </w:r>
      <w:r>
        <w:rPr>
          <w:rFonts w:ascii="Arial" w:cs="Arial" w:eastAsia="Arial" w:hAnsi="Arial"/>
          <w:sz w:val="16"/>
          <w:szCs w:val="16"/>
          <w:u w:val="single" w:color="auto"/>
          <w:color w:val="auto"/>
        </w:rPr>
        <w:t>www.amstock.com</w:t>
      </w:r>
      <w:r>
        <w:rPr>
          <w:rFonts w:ascii="Arial" w:cs="Arial" w:eastAsia="Arial" w:hAnsi="Arial"/>
          <w:sz w:val="16"/>
          <w:szCs w:val="16"/>
          <w:color w:val="auto"/>
        </w:rPr>
        <w:t>. “Registered” shareholders who choose to receive future proxy materials electronically will receive an email containing links to our proxy materials. “Registered” shareholders who hold Shares in different ways (i.e., joint tenancy, trusts, custodial accounts) or in multiple accounts will need to complete this process for each account. Your election to receive your proxy materials by electronic email delivery will remain in effect for all future annual meetings until you revoke it.</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you own Shares in “street name” and wish to receive your proxy materials electronically via an email containing links to our proxy materials, you must contact your broker, bank, trust or nominee for instructions on how to receive future proxy materials in this manner. Shareholders who hold Shares in “street name” in different ways (i.e., joint tenancy, trusts, custodial accounts) or in multiple accounts will need to complete this process for each account. Your election to receive your proxy materials by electronic email delivery will remain in effect for all future annual meetings until you revoke 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Annual Meeting?</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Board established March 21, 2014 as the record date for the Annual Meeting. Holders who owned our Shares at the close of business on that date are entitled to receive notice of and may attend and vote at the Annual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Meeting or any postponements or adjournments of the meeting. We had 67,255,217 Shares outstanding on March 21,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must be present to hold the Annual Meeting?</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 quorum is required for our shareholders to conduct business at the Annual Meeting. A quorum occurs when a majority of the Shares entitled to vote at the Annual Meeting are present in person or by proxy. Properly executed proxy cards marked “for,” “against”, “withhold” or “abstain” and broker “non-votes” will be counted as present at the Annual Meeting for purposes of determining a quorum.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to each item, you are entitled to cast one vote per Share; however, as to the election of Trustees, you are entitled to cast one vote per Share for each of the seven open trustee positions. The proxy card indicates the number of Shares you owned on the record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don’t vote my Shares?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do not vote your Shares, your Shares will not be counted for purposes of determining a quorum or for determining whether the matters presented at the meeting are approved.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return my proxy card but don’t give specific voting instructions?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If you are a “registered” shareholder and you sign and return your proxy card without indicating how you want your Shares to be voted, Dawn M. Becker and James M. Taylor, Jr. will vote your Shares in accordance with the recommendations of the Board. If you own Shares in “street name,” you must give your broker, bank, trust or nominee specific instructions on how to vote your Shares with respect to Items 1 and 3. If you fail to give your broker, bank, trust or nominee specific instructions on how to vote your Shares on those matters, your vote will NOT be counted for those matters. It is important for every shareholder’s vote to be counted on these matters so we encourage you to provide your broker, bank, trust or nominee with voting instructions. If you fail to give your broker, bank, trust or nominee specific instructions on how to vote your Shares on Item 2, such broker, bank, trust or nominee will generally be able to vote on Item 2 as he, she or it determines.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proxy?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proxy is your legal designation of another person (the “proxy”) to vote your Shares on your behalf. By completing and returning the enclosed proxy card, you are giving Dawn M. Becker and James M. Taylor, Jr. the authority to vote your Shares in the manner you indicate on your proxy card.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return my proxy card but abstain?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Abstentions are counted as present for determining a quorum; however, abstentions will have no effect on any of the items to be considered at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change my vote after I return my proxy card?</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Yes. A proxy may be revoked by a “registered” shareholder at any time before it is exercised at the Annual Meeting by submitting a proxy bearing a later date or by voting in person at the Annual Meeting. If you hold your Shares in “street name,” you must contact your broker, bank, trust or other nominee to determine how to revoke your original proxy. In general, submitting a subsequent proxy executed by the party that executed the original proxy will revoke the earlier proxy.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more than one Notice, proxy card, voting instruction form and/or email?</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will receive more than one Notice, proxy card, voting instruction form or email, or any combination of these if you hold your Shares in different ways (i.e., joint tenancy, trusts, custodial accounts) or in multiple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accounts. You should provide voting instructions for all Notices, proxy cards, voting instruction forms and email links you receive.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 there other matters to be acted upon at the Annual Meeting?</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Trust does not know of any matter to be presented at the Annual Meeting other than those described in the proxy statement. If, however, other matters are properly presented for action at the Annual Meeting, Dawn M. Becker and James M. Taylor, Jr. will have the discretion to vote on such matters in accordance with their best judgment.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paying for the solicitation of proxies?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cost of this solicitation of proxies will be borne by us. In addition to the use of the mail, we may solicit proxies in person and by telephone or facsimile, and may request brokerage houses and other custodians, nominees and fiduciaries to forward soliciting materials to the beneficial owners of Shares and reimburse them for their reasonable expenses. We may also hire a proxy solicitation firm at a standard industry compensation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have questions about the Notice, voting or electronic delivery?</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Questions regarding the Notice, voting or electronic delivery should be directed to our Investor Relations Department at (800) 937-5449 or by email at </w:t>
      </w:r>
      <w:r>
        <w:rPr>
          <w:rFonts w:ascii="Arial" w:cs="Arial" w:eastAsia="Arial" w:hAnsi="Arial"/>
          <w:sz w:val="18"/>
          <w:szCs w:val="18"/>
          <w:u w:val="single" w:color="auto"/>
          <w:color w:val="auto"/>
        </w:rPr>
        <w:t>IR@federalrealty.com</w:t>
      </w:r>
      <w:r>
        <w:rPr>
          <w:rFonts w:ascii="Arial" w:cs="Arial" w:eastAsia="Arial" w:hAnsi="Arial"/>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OWNERSHIP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our records and the information reported in filings with the SEC, the following were beneficial owners of more than 5% of our Shares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21, 2014: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3480" w:type="dxa"/>
            <w:vAlign w:val="bottom"/>
          </w:tcPr>
          <w:p>
            <w:pPr>
              <w:jc w:val="right"/>
              <w:ind w:right="738"/>
              <w:spacing w:after="0"/>
              <w:rPr>
                <w:sz w:val="20"/>
                <w:szCs w:val="20"/>
                <w:color w:val="auto"/>
              </w:rPr>
            </w:pPr>
            <w:r>
              <w:rPr>
                <w:rFonts w:ascii="Arial" w:cs="Arial" w:eastAsia="Arial" w:hAnsi="Arial"/>
                <w:sz w:val="14"/>
                <w:szCs w:val="14"/>
                <w:b w:val="1"/>
                <w:bCs w:val="1"/>
                <w:color w:val="auto"/>
              </w:rPr>
              <w:t>Amount and Nature</w:t>
            </w:r>
          </w:p>
        </w:tc>
        <w:tc>
          <w:tcPr>
            <w:tcW w:w="2220" w:type="dxa"/>
            <w:vAlign w:val="bottom"/>
          </w:tcPr>
          <w:p>
            <w:pPr>
              <w:jc w:val="right"/>
              <w:ind w:right="258"/>
              <w:spacing w:after="0"/>
              <w:rPr>
                <w:sz w:val="20"/>
                <w:szCs w:val="20"/>
                <w:color w:val="auto"/>
              </w:rPr>
            </w:pPr>
            <w:r>
              <w:rPr>
                <w:rFonts w:ascii="Arial" w:cs="Arial" w:eastAsia="Arial" w:hAnsi="Arial"/>
                <w:sz w:val="14"/>
                <w:szCs w:val="14"/>
                <w:b w:val="1"/>
                <w:bCs w:val="1"/>
                <w:color w:val="auto"/>
              </w:rPr>
              <w:t>Percentage of Our</w:t>
            </w:r>
          </w:p>
        </w:tc>
        <w:tc>
          <w:tcPr>
            <w:tcW w:w="0" w:type="dxa"/>
            <w:vAlign w:val="bottom"/>
          </w:tcPr>
          <w:p>
            <w:pPr>
              <w:spacing w:after="0"/>
              <w:rPr>
                <w:sz w:val="1"/>
                <w:szCs w:val="1"/>
                <w:color w:val="auto"/>
              </w:rPr>
            </w:pPr>
          </w:p>
        </w:tc>
      </w:tr>
      <w:tr>
        <w:trPr>
          <w:trHeight w:val="175"/>
        </w:trPr>
        <w:tc>
          <w:tcPr>
            <w:tcW w:w="5720" w:type="dxa"/>
            <w:vAlign w:val="bottom"/>
            <w:gridSpan w:val="3"/>
          </w:tcPr>
          <w:p>
            <w:pPr>
              <w:spacing w:after="0"/>
              <w:rPr>
                <w:sz w:val="20"/>
                <w:szCs w:val="20"/>
                <w:color w:val="auto"/>
              </w:rPr>
            </w:pPr>
            <w:r>
              <w:rPr>
                <w:rFonts w:ascii="Arial" w:cs="Arial" w:eastAsia="Arial" w:hAnsi="Arial"/>
                <w:sz w:val="14"/>
                <w:szCs w:val="14"/>
                <w:b w:val="1"/>
                <w:bCs w:val="1"/>
                <w:color w:val="auto"/>
              </w:rPr>
              <w:t>of Beneficial Owner</w:t>
            </w:r>
          </w:p>
        </w:tc>
        <w:tc>
          <w:tcPr>
            <w:tcW w:w="3480" w:type="dxa"/>
            <w:vAlign w:val="bottom"/>
          </w:tcPr>
          <w:p>
            <w:pPr>
              <w:jc w:val="right"/>
              <w:ind w:right="618"/>
              <w:spacing w:after="0"/>
              <w:rPr>
                <w:sz w:val="20"/>
                <w:szCs w:val="20"/>
                <w:color w:val="auto"/>
              </w:rPr>
            </w:pPr>
            <w:r>
              <w:rPr>
                <w:rFonts w:ascii="Arial" w:cs="Arial" w:eastAsia="Arial" w:hAnsi="Arial"/>
                <w:sz w:val="14"/>
                <w:szCs w:val="14"/>
                <w:b w:val="1"/>
                <w:bCs w:val="1"/>
                <w:color w:val="auto"/>
              </w:rPr>
              <w:t>of Beneficial Ownership</w:t>
            </w:r>
          </w:p>
        </w:tc>
        <w:tc>
          <w:tcPr>
            <w:tcW w:w="2220" w:type="dxa"/>
            <w:vAlign w:val="bottom"/>
          </w:tcPr>
          <w:p>
            <w:pPr>
              <w:jc w:val="right"/>
              <w:ind w:right="118"/>
              <w:spacing w:after="0"/>
              <w:rPr>
                <w:sz w:val="20"/>
                <w:szCs w:val="20"/>
                <w:color w:val="auto"/>
              </w:rPr>
            </w:pPr>
            <w:r>
              <w:rPr>
                <w:rFonts w:ascii="Arial" w:cs="Arial" w:eastAsia="Arial" w:hAnsi="Arial"/>
                <w:sz w:val="14"/>
                <w:szCs w:val="14"/>
                <w:b w:val="1"/>
                <w:bCs w:val="1"/>
                <w:color w:val="auto"/>
              </w:rPr>
              <w:t>Outstanding Shares (1)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0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Vanguard Group, Inc.(2)</w:t>
            </w:r>
          </w:p>
        </w:tc>
        <w:tc>
          <w:tcPr>
            <w:tcW w:w="3480" w:type="dxa"/>
            <w:vAlign w:val="bottom"/>
            <w:tcBorders>
              <w:top w:val="single" w:sz="8" w:color="auto"/>
            </w:tcBorders>
            <w:shd w:val="clear" w:color="auto" w:fill="CCEEFF"/>
          </w:tcPr>
          <w:p>
            <w:pPr>
              <w:jc w:val="right"/>
              <w:ind w:right="618"/>
              <w:spacing w:after="0" w:line="201" w:lineRule="exact"/>
              <w:rPr>
                <w:sz w:val="20"/>
                <w:szCs w:val="20"/>
                <w:color w:val="auto"/>
              </w:rPr>
            </w:pPr>
            <w:r>
              <w:rPr>
                <w:rFonts w:ascii="Arial" w:cs="Arial" w:eastAsia="Arial" w:hAnsi="Arial"/>
                <w:sz w:val="18"/>
                <w:szCs w:val="18"/>
                <w:color w:val="auto"/>
              </w:rPr>
              <w:t>8,184,456</w:t>
            </w:r>
          </w:p>
        </w:tc>
        <w:tc>
          <w:tcPr>
            <w:tcW w:w="22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3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34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20" w:type="dxa"/>
            <w:vAlign w:val="bottom"/>
            <w:gridSpan w:val="3"/>
          </w:tcPr>
          <w:p>
            <w:pPr>
              <w:spacing w:after="0"/>
              <w:rPr>
                <w:sz w:val="20"/>
                <w:szCs w:val="20"/>
                <w:color w:val="auto"/>
              </w:rPr>
            </w:pPr>
            <w:r>
              <w:rPr>
                <w:rFonts w:ascii="Arial" w:cs="Arial" w:eastAsia="Arial" w:hAnsi="Arial"/>
                <w:sz w:val="18"/>
                <w:szCs w:val="18"/>
                <w:color w:val="auto"/>
              </w:rPr>
              <w:t>BlackRock, Inc.(3)</w:t>
            </w:r>
          </w:p>
        </w:tc>
        <w:tc>
          <w:tcPr>
            <w:tcW w:w="3480" w:type="dxa"/>
            <w:vAlign w:val="bottom"/>
          </w:tcPr>
          <w:p>
            <w:pPr>
              <w:jc w:val="right"/>
              <w:ind w:right="618"/>
              <w:spacing w:after="0"/>
              <w:rPr>
                <w:sz w:val="20"/>
                <w:szCs w:val="20"/>
                <w:color w:val="auto"/>
              </w:rPr>
            </w:pPr>
            <w:r>
              <w:rPr>
                <w:rFonts w:ascii="Arial" w:cs="Arial" w:eastAsia="Arial" w:hAnsi="Arial"/>
                <w:sz w:val="18"/>
                <w:szCs w:val="18"/>
                <w:color w:val="auto"/>
              </w:rPr>
              <w:t>6,890,868</w:t>
            </w:r>
          </w:p>
        </w:tc>
        <w:tc>
          <w:tcPr>
            <w:tcW w:w="22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gridSpan w:val="3"/>
          </w:tcPr>
          <w:p>
            <w:pPr>
              <w:spacing w:after="0"/>
              <w:rPr>
                <w:sz w:val="20"/>
                <w:szCs w:val="20"/>
                <w:color w:val="auto"/>
              </w:rPr>
            </w:pPr>
            <w:r>
              <w:rPr>
                <w:rFonts w:ascii="Arial" w:cs="Arial" w:eastAsia="Arial" w:hAnsi="Arial"/>
                <w:sz w:val="18"/>
                <w:szCs w:val="18"/>
                <w:color w:val="auto"/>
              </w:rPr>
              <w:t>New York, NY 10022</w:t>
            </w:r>
          </w:p>
        </w:tc>
        <w:tc>
          <w:tcPr>
            <w:tcW w:w="34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5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Street Corporation(4)</w:t>
            </w:r>
          </w:p>
        </w:tc>
        <w:tc>
          <w:tcPr>
            <w:tcW w:w="348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rPr>
              <w:t>4,551,939</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Street Financial Center</w:t>
            </w:r>
          </w:p>
        </w:tc>
        <w:tc>
          <w:tcPr>
            <w:tcW w:w="3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Lincoln Street</w:t>
            </w:r>
          </w:p>
        </w:tc>
        <w:tc>
          <w:tcPr>
            <w:tcW w:w="3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02111</w:t>
            </w:r>
          </w:p>
        </w:tc>
        <w:tc>
          <w:tcPr>
            <w:tcW w:w="34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20" w:type="dxa"/>
            <w:vAlign w:val="bottom"/>
            <w:gridSpan w:val="3"/>
          </w:tcPr>
          <w:p>
            <w:pPr>
              <w:spacing w:after="0"/>
              <w:rPr>
                <w:sz w:val="20"/>
                <w:szCs w:val="20"/>
                <w:color w:val="auto"/>
              </w:rPr>
            </w:pPr>
            <w:r>
              <w:rPr>
                <w:rFonts w:ascii="Arial" w:cs="Arial" w:eastAsia="Arial" w:hAnsi="Arial"/>
                <w:sz w:val="18"/>
                <w:szCs w:val="18"/>
                <w:color w:val="auto"/>
              </w:rPr>
              <w:t>Vanguard Specialized Funds – Vanguard REIT Index Fund(5)</w:t>
            </w:r>
          </w:p>
        </w:tc>
        <w:tc>
          <w:tcPr>
            <w:tcW w:w="3480" w:type="dxa"/>
            <w:vAlign w:val="bottom"/>
          </w:tcPr>
          <w:p>
            <w:pPr>
              <w:jc w:val="right"/>
              <w:ind w:right="618"/>
              <w:spacing w:after="0"/>
              <w:rPr>
                <w:sz w:val="20"/>
                <w:szCs w:val="20"/>
                <w:color w:val="auto"/>
              </w:rPr>
            </w:pPr>
            <w:r>
              <w:rPr>
                <w:rFonts w:ascii="Arial" w:cs="Arial" w:eastAsia="Arial" w:hAnsi="Arial"/>
                <w:sz w:val="18"/>
                <w:szCs w:val="18"/>
                <w:color w:val="auto"/>
              </w:rPr>
              <w:t>4,441,500</w:t>
            </w:r>
          </w:p>
        </w:tc>
        <w:tc>
          <w:tcPr>
            <w:tcW w:w="22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100 Vanguard Blvd.</w:t>
            </w:r>
          </w:p>
        </w:tc>
        <w:tc>
          <w:tcPr>
            <w:tcW w:w="3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gridSpan w:val="3"/>
          </w:tcPr>
          <w:p>
            <w:pPr>
              <w:spacing w:after="0"/>
              <w:rPr>
                <w:sz w:val="20"/>
                <w:szCs w:val="20"/>
                <w:color w:val="auto"/>
              </w:rPr>
            </w:pPr>
            <w:r>
              <w:rPr>
                <w:rFonts w:ascii="Arial" w:cs="Arial" w:eastAsia="Arial" w:hAnsi="Arial"/>
                <w:sz w:val="18"/>
                <w:szCs w:val="18"/>
                <w:color w:val="auto"/>
              </w:rPr>
              <w:t>Malvern, PA 19355</w:t>
            </w:r>
          </w:p>
        </w:tc>
        <w:tc>
          <w:tcPr>
            <w:tcW w:w="34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5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Cohen &amp; Steers, Inc.(6)</w:t>
            </w:r>
          </w:p>
        </w:tc>
        <w:tc>
          <w:tcPr>
            <w:tcW w:w="348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rPr>
              <w:t>4,126,539</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280 Park Avenue, 10</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3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34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percentage of outstanding Shares is calculated by taking the number of Shares stated in the Schedule 13G or 13G/A, as applicable, filed with the SEC divided by 67,255,217, the total number of Shares outstanding on March 21, 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12, 2014 by The Vanguard Group, Inc. The Schedule 13G/A states that The Vanguard Group, Inc., an investment advisor, has sole voting power over 142,535 Shares, shared voting power over 42,800 Shares, sole dispositive power over 8,072,620 Shares and shared dispositive power over 111,836 Shares; that Vanguard Fiduciary Trust Company, a wholly owned subsidiary of The Vanguard Group, Inc., is the beneficial owner of 36,736 Shares as a result of serving as investment manager of collective trust accounts, the voting of which it directs; and that Vanguard Investments Australia, Ltd., a wholly owned subsidiary of The Vanguard Group, Inc., is the beneficial owner of 180,899 Shares as a result of serving as investment manager of Australian investment offerings, the voting of which it directs.</w:t>
      </w:r>
    </w:p>
    <w:p>
      <w:pPr>
        <w:spacing w:after="0" w:line="1"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January 10, 2014 by BlackRock, Inc., which states BlackRock, Inc., a parent holding company, has sole voting power over 6,423,289 Shares, sole dispositive power over 6,890,868 Shares and that none of its subsidiaries owns 5% or more of Shares. The Schedule 13G/A states that BlackRock, Inc.’s subsidiaries are BlackRock (Luxembourg) S.A., BlackRock (Netherlands) B.V., BlackRock Advisors (UK) Limited, BlackRock Advisors, LLC, BlackRock Asset Management Canada Limited, BlackRock Asset Management Deutschland AG , BlackRock Asset Management Ireland Limited, BlackRock Financial Management, Inc., BlackRock Fund Advisors, BlackRock Fund Management Ireland Limited, BlackRock Fund Managers Ltd., BlackRock Institutional Trust Company, N.A., BlackRock International Limited, BlackRock Investment Management (Australia) Limited, BlackRock Investment Management (UK) Ltd., BlackRock Investment Management, LLC, BlackRock Japan Co. Ltd. and BlackRock Life Limited.</w:t>
      </w:r>
    </w:p>
    <w:p>
      <w:pPr>
        <w:spacing w:after="0" w:line="3"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February 3, 2014 by State Street Corporation, which states State Street Corporation, a parent holding company, has shared voting and dispositive power over 4,551,939 Shares. The Schedule 13G also states that State Street Corporation’s subsidiaries are State Street Global Advisors France S.A., an investment advisor, State Street Bank and Trust Company, a bank, SSGA Funds Management, Inc., an investment advisor, State Street Global Advisors Limited, an investment advisor, State Street Global Advisors Ltd., an investment advisor, State Street Global Advisors, Australia Limited, an investment advisor, State Street Global Advisors Japan Co., Ltd., an investment advisor and State Street Global Advisors, Asia Limited, an investment advisor.</w:t>
      </w:r>
    </w:p>
    <w:p>
      <w:pPr>
        <w:spacing w:after="0" w:line="4" w:lineRule="exact"/>
        <w:rPr>
          <w:rFonts w:ascii="Arial" w:cs="Arial" w:eastAsia="Arial" w:hAnsi="Arial"/>
          <w:sz w:val="16"/>
          <w:szCs w:val="16"/>
          <w:color w:val="auto"/>
        </w:rPr>
      </w:pPr>
    </w:p>
    <w:p>
      <w:pPr>
        <w:ind w:left="460" w:right="5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February 4, 2014 by Vanguard Specialized Funds – Vanguard REIT Index Fund. The Schedule 13G/A states that Vanguard Specialized Funds – Vanguard REIT Index Fund, an investment company registered under Section 8 of the Investment Company Act of 1940, has sole voting power over 4,441,500 Shares.</w:t>
      </w:r>
    </w:p>
    <w:p>
      <w:pPr>
        <w:spacing w:after="0" w:line="1" w:lineRule="exact"/>
        <w:rPr>
          <w:rFonts w:ascii="Arial" w:cs="Arial" w:eastAsia="Arial" w:hAnsi="Arial"/>
          <w:sz w:val="18"/>
          <w:szCs w:val="18"/>
          <w:color w:val="auto"/>
        </w:rPr>
      </w:pPr>
    </w:p>
    <w:p>
      <w:pPr>
        <w:ind w:left="460" w:right="40" w:hanging="452"/>
        <w:spacing w:after="0" w:line="312"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Information based on a Schedule 13G/A filed with the SEC on February 14, 2014 by Cohen &amp; Steers, Inc. and its subsidiary, Cohen &amp; Steers Capital Management, Inc. and Cohen &amp; Steers UK Limited, an entity under the control of Cohen &amp; Steers, Inc. The Schedule 13G/A states that Cohen &amp; Steers, Inc. is the parent holding company of Cohen &amp; Steers Capital Management, Inc., an investment advisor, and that Cohen &amp; Steers, Inc. controls Cohen &amp; Steers UK Limited, an investment advisor. The Schedule 13G/A also states that Cohen &amp; Steers, Inc. has sole voting power over 2,021,166 Shares and sole dispositive power over 4,126,539 Shares, Cohen &amp; Steers Capital Management, Inc., has sole voting power over 2,015,815 Shares and sole dispositive power over 4,099,745 Shares and Cohen and Steers UK Limited has sole voting power over 5,351 Shares and sole dispositive power over 26,794 Shares.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do our Trustees and executive officers own?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21, 2014, our Trustees and executive officers, both individually and collectively, beneficially owned the Shares reflected in the table below. The number of Shares shown in this table reflects beneficial ownership determined in accordance with Rule 13d-3 of the Securities Exchange Act of 1934, as amended (the “Exchange Act”) and, therefore, includes unvested Shares and Shares that have not been issued but as to which options are outstanding and may be exercised within 60 days of the date of this proxy statement. Except as noted in the footnotes that follow the table, each Trustee and executive officer has sole voting and investment power as to all Shares listed. Fractional Shares have been rounded to the nearest full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9"/>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Currently</w:t>
            </w:r>
          </w:p>
        </w:tc>
        <w:tc>
          <w:tcPr>
            <w:tcW w:w="1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Exercisable or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Unvested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r>
      <w:tr>
        <w:trPr>
          <w:trHeight w:val="149"/>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Within 60</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1"/>
        </w:trPr>
        <w:tc>
          <w:tcPr>
            <w:tcW w:w="5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Common</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Days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Owned (2)</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84,428</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20,809</w:t>
            </w:r>
          </w:p>
        </w:tc>
        <w:tc>
          <w:tcPr>
            <w:tcW w:w="13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48,144</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153,381</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Jon E. Bortz(3)</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6,556</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60"/>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78"/>
              <w:spacing w:after="0"/>
              <w:rPr>
                <w:sz w:val="20"/>
                <w:szCs w:val="20"/>
                <w:color w:val="auto"/>
              </w:rPr>
            </w:pPr>
            <w:r>
              <w:rPr>
                <w:rFonts w:ascii="Arial" w:cs="Arial" w:eastAsia="Arial" w:hAnsi="Arial"/>
                <w:sz w:val="18"/>
                <w:szCs w:val="18"/>
                <w:color w:val="auto"/>
              </w:rPr>
              <w:t>6,556</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David W. Faeder</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6,213</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6,213</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Kristin Gamble(4)</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28,351</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60"/>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78"/>
              <w:spacing w:after="0"/>
              <w:rPr>
                <w:sz w:val="20"/>
                <w:szCs w:val="20"/>
                <w:color w:val="auto"/>
              </w:rPr>
            </w:pPr>
            <w:r>
              <w:rPr>
                <w:rFonts w:ascii="Arial" w:cs="Arial" w:eastAsia="Arial" w:hAnsi="Arial"/>
                <w:sz w:val="18"/>
                <w:szCs w:val="18"/>
                <w:color w:val="auto"/>
              </w:rPr>
              <w:t>28,351</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Gail P. Steinel</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6,009</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6,009</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James M. Taylor, Jr.</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6,536</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23,017</w:t>
            </w:r>
          </w:p>
        </w:tc>
        <w:tc>
          <w:tcPr>
            <w:tcW w:w="1340" w:type="dxa"/>
            <w:vAlign w:val="bottom"/>
          </w:tcPr>
          <w:p>
            <w:pPr>
              <w:jc w:val="right"/>
              <w:ind w:right="160"/>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78"/>
              <w:spacing w:after="0"/>
              <w:rPr>
                <w:sz w:val="20"/>
                <w:szCs w:val="20"/>
                <w:color w:val="auto"/>
              </w:rPr>
            </w:pPr>
            <w:r>
              <w:rPr>
                <w:rFonts w:ascii="Arial" w:cs="Arial" w:eastAsia="Arial" w:hAnsi="Arial"/>
                <w:sz w:val="18"/>
                <w:szCs w:val="18"/>
                <w:color w:val="auto"/>
              </w:rPr>
              <w:t>29,553</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6,088</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6,088</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Joseph S. Vassalluzzo</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16,794</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60"/>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78"/>
              <w:spacing w:after="0"/>
              <w:rPr>
                <w:sz w:val="20"/>
                <w:szCs w:val="20"/>
                <w:color w:val="auto"/>
              </w:rPr>
            </w:pPr>
            <w:r>
              <w:rPr>
                <w:rFonts w:ascii="Arial" w:cs="Arial" w:eastAsia="Arial" w:hAnsi="Arial"/>
                <w:sz w:val="18"/>
                <w:szCs w:val="18"/>
                <w:color w:val="auto"/>
              </w:rPr>
              <w:t>16,794</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Donald C. Wood(5)</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193,234</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179,462</w:t>
            </w:r>
          </w:p>
        </w:tc>
        <w:tc>
          <w:tcPr>
            <w:tcW w:w="13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247,996</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620,692</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w w:val="91"/>
              </w:rPr>
              <w:t>Trustees, trustee nominees and executive officers as a group (9 individuals)</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354,209</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223,288</w:t>
            </w:r>
          </w:p>
        </w:tc>
        <w:tc>
          <w:tcPr>
            <w:tcW w:w="1340" w:type="dxa"/>
            <w:vAlign w:val="bottom"/>
          </w:tcPr>
          <w:p>
            <w:pPr>
              <w:jc w:val="right"/>
              <w:ind w:right="160"/>
              <w:spacing w:after="0"/>
              <w:rPr>
                <w:sz w:val="20"/>
                <w:szCs w:val="20"/>
                <w:color w:val="auto"/>
              </w:rPr>
            </w:pPr>
            <w:r>
              <w:rPr>
                <w:rFonts w:ascii="Arial" w:cs="Arial" w:eastAsia="Arial" w:hAnsi="Arial"/>
                <w:sz w:val="18"/>
                <w:szCs w:val="18"/>
                <w:color w:val="auto"/>
              </w:rPr>
              <w:t>296,140</w:t>
            </w:r>
          </w:p>
        </w:tc>
        <w:tc>
          <w:tcPr>
            <w:tcW w:w="1180" w:type="dxa"/>
            <w:vAlign w:val="bottom"/>
          </w:tcPr>
          <w:p>
            <w:pPr>
              <w:jc w:val="right"/>
              <w:ind w:right="178"/>
              <w:spacing w:after="0"/>
              <w:rPr>
                <w:sz w:val="20"/>
                <w:szCs w:val="20"/>
                <w:color w:val="auto"/>
              </w:rPr>
            </w:pPr>
            <w:r>
              <w:rPr>
                <w:rFonts w:ascii="Arial" w:cs="Arial" w:eastAsia="Arial" w:hAnsi="Arial"/>
                <w:sz w:val="18"/>
                <w:szCs w:val="18"/>
                <w:color w:val="auto"/>
              </w:rPr>
              <w:t>873,637</w:t>
            </w: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1626 East Jefferson Street, Rockville, MD 20852.</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outstanding Shares owned is calculated by taking the number of Shares reflected in the column titled “Total Shares Beneficially Owned” divided by 67,255,217, the total number of Shares outstanding on March 21, 2014, plus the number of options for such person or group reflected in the column titled “Options Currently Exercisable or Exercisable Within 60 Days.”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to these Shares, voting and investment power is shared with Mr. Bortz’ wife.</w:t>
      </w:r>
    </w:p>
    <w:p>
      <w:pPr>
        <w:spacing w:after="0" w:line="9"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19,335 Shares as to which Ms. Gamble shares investment power for clients. Includes 1,400 Shares as to which Ms. Gamble is a trustee of a profit sharing plan, of which Ms. Gamble has a direct interest in 581 Shares and of which 581 Shares are owned by Ms. Gamble’s husband.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53,879 Shares owned by Mr. Wood’s wife.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Trustees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Article III, Section 1 of our Bylaws provides that no more than one of our Trustees can fail to qualify as independent under the requirements of the New York Stock Exchange (“NYSE”), the SEC, our Corporate Governance Guidelines and other applicable rules and regulations. At its first quarterly meeting each calendar year, the Board reviews all relationships between us and each Trustee to determine whether each Trustee is independent under all applicable requirements. That review includes a determination of whether there are any material relationships between us and the Trustee which, in the opinion of the Board, adversely affect the Trustee’s ability to exercise independent judgment as a trustee. The Board also considers independence on an ongoing basis throughout the year if there are any changes in circumstances that could impact a Trustee’s independence.</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Board, on recommendation of the Nominating and Corporate Governance Committee, and after considering all relevant facts and circumstances, determined in each of February 2013 and February 2014 that, except for Mr. Wood, the Trust’s Chief Executive Officer, each Trustee then serving on the Board satisfied all applicable requirements to be considered independent for purposes of serving on the Board and each of its committees. In making that determination, the Board concluded that a Trustee’s position as a director of a company with which we do business does not constitute a material relationship so long as payments made by that company do not account for more than five percent (5%) of our gross revenues or more than ten percent (10%) of the gross revenues of that company. This standard is set forth in our Corporate Governance Guidelines. Further, the Board has concluded that except for Mr. Wood, who is an employee of the Trust, there are no relationships, material or otherwise, between us and any of the Trustees except as described below. All of these relationships were considered by the Board in making its determination that all Trustees other than Mr. Wood are independent. The specific relationships considered by the Board in</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making its independence determinations were the following, which includes all of those relationships described in the “Certain Relationships and Related Transactions” section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70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Affiliated Company/Position</w:t>
            </w:r>
          </w:p>
        </w:tc>
        <w:tc>
          <w:tcPr>
            <w:tcW w:w="4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Relationship</w:t>
            </w:r>
            <w:r>
              <w:rPr>
                <w:rFonts w:ascii="Arial" w:cs="Arial" w:eastAsia="Arial" w:hAnsi="Arial"/>
                <w:sz w:val="22"/>
                <w:szCs w:val="22"/>
                <w:b w:val="1"/>
                <w:bCs w:val="1"/>
                <w:color w:val="auto"/>
                <w:vertAlign w:val="superscript"/>
              </w:rPr>
              <w:t>1</w:t>
            </w:r>
          </w:p>
        </w:tc>
      </w:tr>
      <w:tr>
        <w:trPr>
          <w:trHeight w:val="201"/>
        </w:trPr>
        <w:tc>
          <w:tcPr>
            <w:tcW w:w="3400" w:type="dxa"/>
            <w:vAlign w:val="bottom"/>
          </w:tcPr>
          <w:p>
            <w:pPr>
              <w:spacing w:after="0" w:line="201" w:lineRule="exact"/>
              <w:rPr>
                <w:sz w:val="20"/>
                <w:szCs w:val="20"/>
                <w:color w:val="auto"/>
              </w:rPr>
            </w:pPr>
            <w:r>
              <w:rPr>
                <w:rFonts w:ascii="Arial" w:cs="Arial" w:eastAsia="Arial" w:hAnsi="Arial"/>
                <w:sz w:val="18"/>
                <w:szCs w:val="18"/>
                <w:color w:val="auto"/>
              </w:rPr>
              <w:t>Jon E. Bortz</w:t>
            </w:r>
          </w:p>
        </w:tc>
        <w:tc>
          <w:tcPr>
            <w:tcW w:w="5700" w:type="dxa"/>
            <w:vAlign w:val="bottom"/>
          </w:tcPr>
          <w:p>
            <w:pPr>
              <w:ind w:left="1840"/>
              <w:spacing w:after="0" w:line="201" w:lineRule="exact"/>
              <w:rPr>
                <w:sz w:val="20"/>
                <w:szCs w:val="20"/>
                <w:color w:val="auto"/>
              </w:rPr>
            </w:pPr>
            <w:r>
              <w:rPr>
                <w:rFonts w:ascii="Arial" w:cs="Arial" w:eastAsia="Arial" w:hAnsi="Arial"/>
                <w:sz w:val="18"/>
                <w:szCs w:val="18"/>
                <w:color w:val="auto"/>
              </w:rPr>
              <w:t>Chief Executive Officer and Chairman of the</w:t>
            </w:r>
          </w:p>
        </w:tc>
        <w:tc>
          <w:tcPr>
            <w:tcW w:w="232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3"/>
              </w:rPr>
              <w:t>•  In 2012 we held our 50</w:t>
            </w:r>
            <w:r>
              <w:rPr>
                <w:rFonts w:ascii="Arial" w:cs="Arial" w:eastAsia="Arial" w:hAnsi="Arial"/>
                <w:sz w:val="11"/>
                <w:szCs w:val="11"/>
                <w:color w:val="auto"/>
                <w:w w:val="93"/>
              </w:rPr>
              <w:t>th</w:t>
            </w:r>
          </w:p>
        </w:tc>
      </w:tr>
      <w:tr>
        <w:trPr>
          <w:trHeight w:val="216"/>
        </w:trPr>
        <w:tc>
          <w:tcPr>
            <w:tcW w:w="3400" w:type="dxa"/>
            <w:vAlign w:val="bottom"/>
          </w:tcPr>
          <w:p>
            <w:pPr>
              <w:spacing w:after="0"/>
              <w:rPr>
                <w:sz w:val="18"/>
                <w:szCs w:val="18"/>
                <w:color w:val="auto"/>
              </w:rPr>
            </w:pPr>
          </w:p>
        </w:tc>
        <w:tc>
          <w:tcPr>
            <w:tcW w:w="5700" w:type="dxa"/>
            <w:vAlign w:val="bottom"/>
          </w:tcPr>
          <w:p>
            <w:pPr>
              <w:ind w:left="1840"/>
              <w:spacing w:after="0"/>
              <w:rPr>
                <w:sz w:val="20"/>
                <w:szCs w:val="20"/>
                <w:color w:val="auto"/>
              </w:rPr>
            </w:pPr>
            <w:r>
              <w:rPr>
                <w:rFonts w:ascii="Arial" w:cs="Arial" w:eastAsia="Arial" w:hAnsi="Arial"/>
                <w:sz w:val="18"/>
                <w:szCs w:val="18"/>
                <w:color w:val="auto"/>
              </w:rPr>
              <w:t>Board of Trustees of Pebblebrook Hotel Trust</w:t>
            </w: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w w:val="88"/>
              </w:rPr>
              <w:t>anniversary event at a hotel</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rPr>
              <w:t>owned by Pebblebrook</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rPr>
              <w:t>Hotel Trust</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rPr>
              <w:t>•  In 2013, we held a</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w w:val="92"/>
              </w:rPr>
              <w:t>quarterly Board meeting at</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w w:val="89"/>
              </w:rPr>
              <w:t>a Pebblebrook owned hotel</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rPr>
              <w:t>and during a NAREIT</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w w:val="94"/>
              </w:rPr>
              <w:t>conference, several of our</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rPr>
              <w:t>officers stayed at a</w:t>
            </w:r>
          </w:p>
        </w:tc>
      </w:tr>
      <w:tr>
        <w:trPr>
          <w:trHeight w:val="222"/>
        </w:trPr>
        <w:tc>
          <w:tcPr>
            <w:tcW w:w="34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w w:val="96"/>
              </w:rPr>
              <w:t>Pebblebrook owned hotel</w:t>
            </w:r>
          </w:p>
        </w:tc>
      </w:tr>
      <w:tr>
        <w:trPr>
          <w:trHeight w:val="338"/>
        </w:trPr>
        <w:tc>
          <w:tcPr>
            <w:tcW w:w="3400" w:type="dxa"/>
            <w:vAlign w:val="bottom"/>
          </w:tcPr>
          <w:p>
            <w:pPr>
              <w:spacing w:after="0"/>
              <w:rPr>
                <w:sz w:val="20"/>
                <w:szCs w:val="20"/>
                <w:color w:val="auto"/>
              </w:rPr>
            </w:pPr>
            <w:r>
              <w:rPr>
                <w:rFonts w:ascii="Arial" w:cs="Arial" w:eastAsia="Arial" w:hAnsi="Arial"/>
                <w:sz w:val="18"/>
                <w:szCs w:val="18"/>
                <w:color w:val="auto"/>
              </w:rPr>
              <w:t>David W. Faeder</w:t>
            </w:r>
          </w:p>
        </w:tc>
        <w:tc>
          <w:tcPr>
            <w:tcW w:w="5700" w:type="dxa"/>
            <w:vAlign w:val="bottom"/>
          </w:tcPr>
          <w:p>
            <w:pPr>
              <w:ind w:left="1840"/>
              <w:spacing w:after="0"/>
              <w:rPr>
                <w:sz w:val="20"/>
                <w:szCs w:val="20"/>
                <w:color w:val="auto"/>
              </w:rPr>
            </w:pPr>
            <w:r>
              <w:rPr>
                <w:rFonts w:ascii="Arial" w:cs="Arial" w:eastAsia="Arial" w:hAnsi="Arial"/>
                <w:sz w:val="18"/>
                <w:szCs w:val="18"/>
                <w:color w:val="auto"/>
              </w:rPr>
              <w:t>None</w:t>
            </w:r>
          </w:p>
        </w:tc>
        <w:tc>
          <w:tcPr>
            <w:tcW w:w="420" w:type="dxa"/>
            <w:vAlign w:val="bottom"/>
          </w:tcPr>
          <w:p>
            <w:pPr>
              <w:ind w:left="340"/>
              <w:spacing w:after="0"/>
              <w:rPr>
                <w:sz w:val="20"/>
                <w:szCs w:val="20"/>
                <w:color w:val="auto"/>
              </w:rPr>
            </w:pPr>
            <w:r>
              <w:rPr>
                <w:rFonts w:ascii="Arial" w:cs="Arial" w:eastAsia="Arial" w:hAnsi="Arial"/>
                <w:sz w:val="18"/>
                <w:szCs w:val="18"/>
                <w:color w:val="auto"/>
                <w:w w:val="94"/>
              </w:rPr>
              <w:t>•</w:t>
            </w:r>
          </w:p>
        </w:tc>
        <w:tc>
          <w:tcPr>
            <w:tcW w:w="1900" w:type="dxa"/>
            <w:vAlign w:val="bottom"/>
          </w:tcPr>
          <w:p>
            <w:pPr>
              <w:ind w:left="160"/>
              <w:spacing w:after="0"/>
              <w:rPr>
                <w:sz w:val="20"/>
                <w:szCs w:val="20"/>
                <w:color w:val="auto"/>
              </w:rPr>
            </w:pPr>
            <w:r>
              <w:rPr>
                <w:rFonts w:ascii="Arial" w:cs="Arial" w:eastAsia="Arial" w:hAnsi="Arial"/>
                <w:sz w:val="18"/>
                <w:szCs w:val="18"/>
                <w:color w:val="auto"/>
              </w:rPr>
              <w:t>None</w:t>
            </w:r>
          </w:p>
        </w:tc>
      </w:tr>
      <w:tr>
        <w:trPr>
          <w:trHeight w:val="318"/>
        </w:trPr>
        <w:tc>
          <w:tcPr>
            <w:tcW w:w="3400" w:type="dxa"/>
            <w:vAlign w:val="bottom"/>
          </w:tcPr>
          <w:p>
            <w:pPr>
              <w:spacing w:after="0"/>
              <w:rPr>
                <w:sz w:val="20"/>
                <w:szCs w:val="20"/>
                <w:color w:val="auto"/>
              </w:rPr>
            </w:pPr>
            <w:r>
              <w:rPr>
                <w:rFonts w:ascii="Arial" w:cs="Arial" w:eastAsia="Arial" w:hAnsi="Arial"/>
                <w:sz w:val="18"/>
                <w:szCs w:val="18"/>
                <w:color w:val="auto"/>
              </w:rPr>
              <w:t>Kristin Gamble</w:t>
            </w:r>
          </w:p>
        </w:tc>
        <w:tc>
          <w:tcPr>
            <w:tcW w:w="5700" w:type="dxa"/>
            <w:vAlign w:val="bottom"/>
          </w:tcPr>
          <w:p>
            <w:pPr>
              <w:ind w:left="1840"/>
              <w:spacing w:after="0"/>
              <w:rPr>
                <w:sz w:val="20"/>
                <w:szCs w:val="20"/>
                <w:color w:val="auto"/>
              </w:rPr>
            </w:pPr>
            <w:r>
              <w:rPr>
                <w:rFonts w:ascii="Arial" w:cs="Arial" w:eastAsia="Arial" w:hAnsi="Arial"/>
                <w:sz w:val="18"/>
                <w:szCs w:val="18"/>
                <w:color w:val="auto"/>
              </w:rPr>
              <w:t>Director of Ethan Allen Interiors, Inc.</w:t>
            </w: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rPr>
              <w:t>•  Ethan Allen leased 1</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rPr>
              <w:t>location from us totaling</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w w:val="95"/>
              </w:rPr>
              <w:t>12,900 square feet, which</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w w:val="95"/>
              </w:rPr>
              <w:t>lease expired January 31,</w:t>
            </w:r>
          </w:p>
        </w:tc>
      </w:tr>
      <w:tr>
        <w:trPr>
          <w:trHeight w:val="222"/>
        </w:trPr>
        <w:tc>
          <w:tcPr>
            <w:tcW w:w="34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rPr>
              <w:t>2014</w:t>
            </w:r>
          </w:p>
        </w:tc>
      </w:tr>
      <w:tr>
        <w:trPr>
          <w:trHeight w:val="324"/>
        </w:trPr>
        <w:tc>
          <w:tcPr>
            <w:tcW w:w="3400" w:type="dxa"/>
            <w:vAlign w:val="bottom"/>
          </w:tcPr>
          <w:p>
            <w:pPr>
              <w:spacing w:after="0"/>
              <w:rPr>
                <w:sz w:val="20"/>
                <w:szCs w:val="20"/>
                <w:color w:val="auto"/>
              </w:rPr>
            </w:pPr>
            <w:r>
              <w:rPr>
                <w:rFonts w:ascii="Arial" w:cs="Arial" w:eastAsia="Arial" w:hAnsi="Arial"/>
                <w:sz w:val="18"/>
                <w:szCs w:val="18"/>
                <w:color w:val="auto"/>
              </w:rPr>
              <w:t>Gail P. Steinel</w:t>
            </w:r>
          </w:p>
        </w:tc>
        <w:tc>
          <w:tcPr>
            <w:tcW w:w="5700" w:type="dxa"/>
            <w:vAlign w:val="bottom"/>
          </w:tcPr>
          <w:p>
            <w:pPr>
              <w:ind w:left="1840"/>
              <w:spacing w:after="0"/>
              <w:rPr>
                <w:sz w:val="20"/>
                <w:szCs w:val="20"/>
                <w:color w:val="auto"/>
              </w:rPr>
            </w:pPr>
            <w:r>
              <w:rPr>
                <w:rFonts w:ascii="Arial" w:cs="Arial" w:eastAsia="Arial" w:hAnsi="Arial"/>
                <w:sz w:val="18"/>
                <w:szCs w:val="18"/>
                <w:color w:val="auto"/>
              </w:rPr>
              <w:t>None</w:t>
            </w:r>
          </w:p>
        </w:tc>
        <w:tc>
          <w:tcPr>
            <w:tcW w:w="420" w:type="dxa"/>
            <w:vAlign w:val="bottom"/>
          </w:tcPr>
          <w:p>
            <w:pPr>
              <w:ind w:left="340"/>
              <w:spacing w:after="0"/>
              <w:rPr>
                <w:sz w:val="20"/>
                <w:szCs w:val="20"/>
                <w:color w:val="auto"/>
              </w:rPr>
            </w:pPr>
            <w:r>
              <w:rPr>
                <w:rFonts w:ascii="Arial" w:cs="Arial" w:eastAsia="Arial" w:hAnsi="Arial"/>
                <w:sz w:val="18"/>
                <w:szCs w:val="18"/>
                <w:color w:val="auto"/>
                <w:w w:val="94"/>
              </w:rPr>
              <w:t>•</w:t>
            </w:r>
          </w:p>
        </w:tc>
        <w:tc>
          <w:tcPr>
            <w:tcW w:w="1900" w:type="dxa"/>
            <w:vAlign w:val="bottom"/>
          </w:tcPr>
          <w:p>
            <w:pPr>
              <w:ind w:left="160"/>
              <w:spacing w:after="0"/>
              <w:rPr>
                <w:sz w:val="20"/>
                <w:szCs w:val="20"/>
                <w:color w:val="auto"/>
              </w:rPr>
            </w:pPr>
            <w:r>
              <w:rPr>
                <w:rFonts w:ascii="Arial" w:cs="Arial" w:eastAsia="Arial" w:hAnsi="Arial"/>
                <w:sz w:val="18"/>
                <w:szCs w:val="18"/>
                <w:color w:val="auto"/>
              </w:rPr>
              <w:t>None</w:t>
            </w:r>
          </w:p>
        </w:tc>
      </w:tr>
      <w:tr>
        <w:trPr>
          <w:trHeight w:val="318"/>
        </w:trPr>
        <w:tc>
          <w:tcPr>
            <w:tcW w:w="3400" w:type="dxa"/>
            <w:vAlign w:val="bottom"/>
          </w:tcPr>
          <w:p>
            <w:pPr>
              <w:spacing w:after="0"/>
              <w:rPr>
                <w:sz w:val="20"/>
                <w:szCs w:val="20"/>
                <w:color w:val="auto"/>
              </w:rPr>
            </w:pPr>
            <w:r>
              <w:rPr>
                <w:rFonts w:ascii="Arial" w:cs="Arial" w:eastAsia="Arial" w:hAnsi="Arial"/>
                <w:sz w:val="18"/>
                <w:szCs w:val="18"/>
                <w:color w:val="auto"/>
              </w:rPr>
              <w:t>Warren M. Thompson</w:t>
            </w:r>
          </w:p>
        </w:tc>
        <w:tc>
          <w:tcPr>
            <w:tcW w:w="5700" w:type="dxa"/>
            <w:vAlign w:val="bottom"/>
          </w:tcPr>
          <w:p>
            <w:pPr>
              <w:ind w:left="1840"/>
              <w:spacing w:after="0"/>
              <w:rPr>
                <w:sz w:val="20"/>
                <w:szCs w:val="20"/>
                <w:color w:val="auto"/>
              </w:rPr>
            </w:pPr>
            <w:r>
              <w:rPr>
                <w:rFonts w:ascii="Arial" w:cs="Arial" w:eastAsia="Arial" w:hAnsi="Arial"/>
                <w:sz w:val="18"/>
                <w:szCs w:val="18"/>
                <w:color w:val="auto"/>
                <w:w w:val="97"/>
              </w:rPr>
              <w:t>President and Chairman of the Board of Directors</w:t>
            </w:r>
          </w:p>
        </w:tc>
        <w:tc>
          <w:tcPr>
            <w:tcW w:w="420" w:type="dxa"/>
            <w:vAlign w:val="bottom"/>
          </w:tcPr>
          <w:p>
            <w:pPr>
              <w:ind w:left="340"/>
              <w:spacing w:after="0"/>
              <w:rPr>
                <w:sz w:val="20"/>
                <w:szCs w:val="20"/>
                <w:color w:val="auto"/>
              </w:rPr>
            </w:pPr>
            <w:r>
              <w:rPr>
                <w:rFonts w:ascii="Arial" w:cs="Arial" w:eastAsia="Arial" w:hAnsi="Arial"/>
                <w:sz w:val="18"/>
                <w:szCs w:val="18"/>
                <w:color w:val="auto"/>
                <w:w w:val="94"/>
              </w:rPr>
              <w:t>•</w:t>
            </w:r>
          </w:p>
        </w:tc>
        <w:tc>
          <w:tcPr>
            <w:tcW w:w="1900" w:type="dxa"/>
            <w:vAlign w:val="bottom"/>
          </w:tcPr>
          <w:p>
            <w:pPr>
              <w:ind w:left="160"/>
              <w:spacing w:after="0"/>
              <w:rPr>
                <w:sz w:val="20"/>
                <w:szCs w:val="20"/>
                <w:color w:val="auto"/>
              </w:rPr>
            </w:pPr>
            <w:r>
              <w:rPr>
                <w:rFonts w:ascii="Arial" w:cs="Arial" w:eastAsia="Arial" w:hAnsi="Arial"/>
                <w:sz w:val="18"/>
                <w:szCs w:val="18"/>
                <w:color w:val="auto"/>
              </w:rPr>
              <w:t>Wholly owned</w:t>
            </w:r>
          </w:p>
        </w:tc>
      </w:tr>
      <w:tr>
        <w:trPr>
          <w:trHeight w:val="216"/>
        </w:trPr>
        <w:tc>
          <w:tcPr>
            <w:tcW w:w="3400" w:type="dxa"/>
            <w:vAlign w:val="bottom"/>
          </w:tcPr>
          <w:p>
            <w:pPr>
              <w:spacing w:after="0"/>
              <w:rPr>
                <w:sz w:val="18"/>
                <w:szCs w:val="18"/>
                <w:color w:val="auto"/>
              </w:rPr>
            </w:pPr>
          </w:p>
        </w:tc>
        <w:tc>
          <w:tcPr>
            <w:tcW w:w="5700" w:type="dxa"/>
            <w:vAlign w:val="bottom"/>
          </w:tcPr>
          <w:p>
            <w:pPr>
              <w:ind w:left="1840"/>
              <w:spacing w:after="0"/>
              <w:rPr>
                <w:sz w:val="20"/>
                <w:szCs w:val="20"/>
                <w:color w:val="auto"/>
              </w:rPr>
            </w:pPr>
            <w:r>
              <w:rPr>
                <w:rFonts w:ascii="Arial" w:cs="Arial" w:eastAsia="Arial" w:hAnsi="Arial"/>
                <w:sz w:val="18"/>
                <w:szCs w:val="18"/>
                <w:color w:val="auto"/>
              </w:rPr>
              <w:t>of Thompson Hospitality Corporation</w:t>
            </w: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rPr>
              <w:t>subsidiaries</w:t>
            </w:r>
          </w:p>
        </w:tc>
      </w:tr>
      <w:tr>
        <w:trPr>
          <w:trHeight w:val="222"/>
        </w:trPr>
        <w:tc>
          <w:tcPr>
            <w:tcW w:w="34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320" w:type="dxa"/>
            <w:vAlign w:val="bottom"/>
            <w:gridSpan w:val="2"/>
          </w:tcPr>
          <w:p>
            <w:pPr>
              <w:ind w:left="340"/>
              <w:spacing w:after="0"/>
              <w:rPr>
                <w:sz w:val="20"/>
                <w:szCs w:val="20"/>
                <w:color w:val="auto"/>
              </w:rPr>
            </w:pPr>
            <w:r>
              <w:rPr>
                <w:rFonts w:ascii="Arial" w:cs="Arial" w:eastAsia="Arial" w:hAnsi="Arial"/>
                <w:sz w:val="18"/>
                <w:szCs w:val="18"/>
                <w:color w:val="auto"/>
              </w:rPr>
              <w:t>of Thompson Hospitality</w:t>
            </w:r>
          </w:p>
        </w:tc>
      </w:tr>
    </w:tbl>
    <w:p>
      <w:pPr>
        <w:ind w:left="9440"/>
        <w:spacing w:after="0"/>
        <w:rPr>
          <w:sz w:val="20"/>
          <w:szCs w:val="20"/>
          <w:color w:val="auto"/>
        </w:rPr>
      </w:pPr>
      <w:r>
        <w:rPr>
          <w:rFonts w:ascii="Arial" w:cs="Arial" w:eastAsia="Arial" w:hAnsi="Arial"/>
          <w:sz w:val="18"/>
          <w:szCs w:val="18"/>
          <w:color w:val="auto"/>
        </w:rPr>
        <w:t>Corporation (collectively</w:t>
      </w:r>
    </w:p>
    <w:p>
      <w:pPr>
        <w:spacing w:after="0" w:line="9"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“THC”) lease 4 locations</w:t>
      </w:r>
    </w:p>
    <w:p>
      <w:pPr>
        <w:spacing w:after="0" w:line="9"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from us totaling 23,855</w:t>
      </w:r>
    </w:p>
    <w:p>
      <w:pPr>
        <w:spacing w:after="0" w:line="9"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square feet</w:t>
      </w:r>
    </w:p>
    <w:p>
      <w:pPr>
        <w:spacing w:after="0" w:line="9" w:lineRule="exact"/>
        <w:rPr>
          <w:sz w:val="20"/>
          <w:szCs w:val="20"/>
          <w:color w:val="auto"/>
        </w:rPr>
      </w:pPr>
    </w:p>
    <w:p>
      <w:pPr>
        <w:ind w:left="9440"/>
        <w:spacing w:after="0"/>
        <w:tabs>
          <w:tab w:leader="none" w:pos="9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2012 we entered into</w:t>
      </w:r>
    </w:p>
    <w:p>
      <w:pPr>
        <w:spacing w:after="0" w:line="9"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partnership with THC to</w:t>
      </w:r>
    </w:p>
    <w:p>
      <w:pPr>
        <w:spacing w:after="0" w:line="9"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operate the restaurant at</w:t>
      </w:r>
    </w:p>
    <w:p>
      <w:pPr>
        <w:spacing w:after="0" w:line="9"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one of these locations</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Joseph S. Vassalluzzo</w:t>
      </w:r>
      <w:r>
        <w:rPr>
          <w:sz w:val="20"/>
          <w:szCs w:val="20"/>
          <w:color w:val="auto"/>
        </w:rPr>
        <w:tab/>
      </w:r>
      <w:r>
        <w:rPr>
          <w:rFonts w:ascii="Arial" w:cs="Arial" w:eastAsia="Arial" w:hAnsi="Arial"/>
          <w:sz w:val="16"/>
          <w:szCs w:val="16"/>
          <w:color w:val="auto"/>
        </w:rPr>
        <w:t>Director of iParty Corp. (through May 2013)</w:t>
      </w: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Director of Office Depot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817245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8" w:right="100" w:firstLine="8"/>
        <w:spacing w:after="0" w:line="302" w:lineRule="auto"/>
        <w:tabs>
          <w:tab w:leader="none" w:pos="229" w:val="left"/>
        </w:tabs>
        <w:numPr>
          <w:ilvl w:val="0"/>
          <w:numId w:val="13"/>
        </w:numPr>
        <w:rPr>
          <w:rFonts w:ascii="Arial" w:cs="Arial" w:eastAsia="Arial" w:hAnsi="Arial"/>
          <w:sz w:val="15"/>
          <w:szCs w:val="15"/>
          <w:color w:val="auto"/>
        </w:rPr>
      </w:pPr>
      <w:r>
        <w:rPr>
          <w:rFonts w:ascii="Arial" w:cs="Arial" w:eastAsia="Arial" w:hAnsi="Arial"/>
          <w:sz w:val="15"/>
          <w:szCs w:val="15"/>
          <w:color w:val="auto"/>
        </w:rPr>
        <w:t>iParty leased 1 location from us totaling 8,500 square feet, which lease expired February 28, 2014</w:t>
      </w:r>
    </w:p>
    <w:p>
      <w:pPr>
        <w:spacing w:after="0" w:line="2" w:lineRule="exact"/>
        <w:rPr>
          <w:rFonts w:ascii="Arial" w:cs="Arial" w:eastAsia="Arial" w:hAnsi="Arial"/>
          <w:sz w:val="15"/>
          <w:szCs w:val="15"/>
          <w:color w:val="auto"/>
        </w:rPr>
      </w:pPr>
    </w:p>
    <w:p>
      <w:pPr>
        <w:ind w:left="-8" w:right="140" w:firstLine="8"/>
        <w:spacing w:after="0" w:line="253" w:lineRule="auto"/>
        <w:tabs>
          <w:tab w:leader="none" w:pos="2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Office Depot and its subsidiary, Office Max, collectively lease 8 locations totaling 170,572 square feet</w:t>
      </w:r>
    </w:p>
    <w:p>
      <w:pPr>
        <w:spacing w:after="0" w:line="145" w:lineRule="exact"/>
        <w:rPr>
          <w:sz w:val="20"/>
          <w:szCs w:val="20"/>
          <w:color w:val="auto"/>
        </w:rPr>
      </w:pPr>
    </w:p>
    <w:p>
      <w:pPr>
        <w:sectPr>
          <w:pgSz w:w="11900" w:h="16838" w:orient="portrait"/>
          <w:cols w:equalWidth="0" w:num="2">
            <w:col w:w="8728" w:space="720"/>
            <w:col w:w="1972"/>
          </w:cols>
          <w:pgMar w:left="240" w:top="459" w:right="239" w:bottom="1440" w:gutter="0" w:footer="0" w:header="0"/>
          <w:type w:val="continuous"/>
        </w:sectPr>
      </w:pPr>
    </w:p>
    <w:p>
      <w:pPr>
        <w:ind w:left="460" w:right="40" w:hanging="452"/>
        <w:spacing w:after="0" w:line="235" w:lineRule="auto"/>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All payments made by us and to us by our Trustees or their related companies in the last three fiscal years were less than the amounts set forth in our Corporate Governance Guidelines, the NYSE standards, the SEC regulations and other applicable rules and regulations that would cause a Trustee to fail to be considered independent.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Trustees and 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of Trustees: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Board of Trustees discharges its responsibilities through regularly scheduled meetings as well as through telephonic meetings, action by written consent and other communications with management as appropriate. During 2013, the Board of Trustees held five meetings. The non-management Trustees (all of whom are independent) held four executive sessions at the meetings that were attended by all non-management Trustees. Mr. Vassalluzzo, the Non-Executive Chairman of the Board, presided over all Board meetings as well as all executive sessions of the non-management Trustees during 2013. The Non-Executive Chairman of the Board is expected to preside over all future Board meetings and executive sessions of non-management Trustees. Since 2003, we have operated under a governance structure where the Chairman of the Board and Chief Executive Officer are separate positions held by different individuals. At its meetings in February 2013 and 2014, the Board discussed whether this structure was still the best structure for us and concluded that it was. Having the Board operate under the leadership and direction of someone independent from management provides the Board with the most appropriate mechanism to fulfill its oversight responsibilities and hold management accountable for the performance of the Trust. It also allows our Chief Executive Officer to focus his time on running our day-to-day business. The Board believes that one of the most important attributes for the Board is independence from management and that belief has been reflected in the separation of the chairman and CEO roles as well as in our Corporate Governance Guidelines which permit no more than one member of the Board to be a non-independent trustee.</w:t>
      </w:r>
    </w:p>
    <w:p>
      <w:pPr>
        <w:spacing w:after="0" w:line="12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Each of the Trustees attended at least 75% of all meetings of the Board and the Board committees on which each Trustee served during 2013. On an aggregate basis, the Trustees attended 99% of all Board and Board committee meetings on which each Trustee served in 2013. Our Corporate Governance Guidelines provide that all Trustees are expected to attend all meetings of the Board and the Board committees on which he or she serves as well as the Annual Meeting of Shareholders. All Trustees attended our 2013 Annual Meeting of Shareholders.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Committees: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Board has three standing committees which are the Audit Committee, the Compensation Committee and the Nominating and Corporate Governance Committee. Each committee operates under a written charter which is available in the Investors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Each member of these committees meets, and throughout 2013 met, the independence, experience and, with respect to the Audit Committee, the financial literacy requirements, of the NYSE, the SEC and our Corporate Governance Guidelines. The membership, primary functions and number of meetings during 2013 for each of these standing committees are described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94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Number of Meetings</w:t>
            </w:r>
          </w:p>
        </w:tc>
      </w:tr>
      <w:tr>
        <w:trPr>
          <w:trHeight w:val="161"/>
        </w:trPr>
        <w:tc>
          <w:tcPr>
            <w:tcW w:w="2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Committee Members</w:t>
            </w:r>
          </w:p>
        </w:tc>
        <w:tc>
          <w:tcPr>
            <w:tcW w:w="68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Primary Responsibilities</w:t>
            </w:r>
          </w:p>
        </w:tc>
        <w:tc>
          <w:tcPr>
            <w:tcW w:w="19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During 2013</w:t>
            </w:r>
          </w:p>
        </w:tc>
      </w:tr>
      <w:tr>
        <w:trPr>
          <w:trHeight w:val="264"/>
        </w:trPr>
        <w:tc>
          <w:tcPr>
            <w:tcW w:w="2660" w:type="dxa"/>
            <w:vAlign w:val="bottom"/>
            <w:gridSpan w:val="3"/>
          </w:tcPr>
          <w:p>
            <w:pPr>
              <w:spacing w:after="0"/>
              <w:rPr>
                <w:sz w:val="20"/>
                <w:szCs w:val="20"/>
                <w:color w:val="auto"/>
              </w:rPr>
            </w:pPr>
            <w:r>
              <w:rPr>
                <w:rFonts w:ascii="Arial" w:cs="Arial" w:eastAsia="Arial" w:hAnsi="Arial"/>
                <w:sz w:val="18"/>
                <w:szCs w:val="18"/>
                <w:color w:val="auto"/>
              </w:rPr>
              <w:t>Audit Committee:</w:t>
            </w:r>
          </w:p>
        </w:tc>
        <w:tc>
          <w:tcPr>
            <w:tcW w:w="68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3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Gail P. Steinel*</w:t>
            </w:r>
          </w:p>
        </w:tc>
        <w:tc>
          <w:tcPr>
            <w:tcW w:w="6820" w:type="dxa"/>
            <w:vAlign w:val="bottom"/>
          </w:tcPr>
          <w:p>
            <w:pPr>
              <w:ind w:left="780"/>
              <w:spacing w:after="0"/>
              <w:rPr>
                <w:sz w:val="20"/>
                <w:szCs w:val="20"/>
                <w:color w:val="auto"/>
              </w:rPr>
            </w:pPr>
            <w:r>
              <w:rPr>
                <w:rFonts w:ascii="Arial" w:cs="Arial" w:eastAsia="Arial" w:hAnsi="Arial"/>
                <w:sz w:val="18"/>
                <w:szCs w:val="18"/>
                <w:color w:val="auto"/>
                <w:w w:val="94"/>
              </w:rPr>
              <w:t>•  selecting the independent registered public accounting firm and approving and</w:t>
            </w:r>
          </w:p>
        </w:tc>
        <w:tc>
          <w:tcPr>
            <w:tcW w:w="1940" w:type="dxa"/>
            <w:vAlign w:val="bottom"/>
          </w:tcPr>
          <w:p>
            <w:pPr>
              <w:jc w:val="center"/>
              <w:ind w:right="42"/>
              <w:spacing w:after="0"/>
              <w:rPr>
                <w:sz w:val="20"/>
                <w:szCs w:val="20"/>
                <w:color w:val="auto"/>
              </w:rPr>
            </w:pPr>
            <w:r>
              <w:rPr>
                <w:rFonts w:ascii="Arial" w:cs="Arial" w:eastAsia="Arial" w:hAnsi="Arial"/>
                <w:sz w:val="18"/>
                <w:szCs w:val="18"/>
                <w:color w:val="auto"/>
                <w:w w:val="99"/>
              </w:rPr>
              <w:t>4</w:t>
            </w:r>
          </w:p>
        </w:tc>
      </w:tr>
      <w:tr>
        <w:trPr>
          <w:trHeight w:val="21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Jon E. Bortz</w:t>
            </w:r>
          </w:p>
        </w:tc>
        <w:tc>
          <w:tcPr>
            <w:tcW w:w="6820" w:type="dxa"/>
            <w:vAlign w:val="bottom"/>
          </w:tcPr>
          <w:p>
            <w:pPr>
              <w:ind w:left="1100"/>
              <w:spacing w:after="0"/>
              <w:rPr>
                <w:sz w:val="20"/>
                <w:szCs w:val="20"/>
                <w:color w:val="auto"/>
              </w:rPr>
            </w:pPr>
            <w:r>
              <w:rPr>
                <w:rFonts w:ascii="Arial" w:cs="Arial" w:eastAsia="Arial" w:hAnsi="Arial"/>
                <w:sz w:val="18"/>
                <w:szCs w:val="18"/>
                <w:color w:val="auto"/>
              </w:rPr>
              <w:t>overseeing its work;</w:t>
            </w:r>
          </w:p>
        </w:tc>
        <w:tc>
          <w:tcPr>
            <w:tcW w:w="1940" w:type="dxa"/>
            <w:vAlign w:val="bottom"/>
          </w:tcPr>
          <w:p>
            <w:pPr>
              <w:spacing w:after="0"/>
              <w:rPr>
                <w:sz w:val="18"/>
                <w:szCs w:val="18"/>
                <w:color w:val="auto"/>
              </w:rPr>
            </w:pPr>
          </w:p>
        </w:tc>
      </w:tr>
      <w:tr>
        <w:trPr>
          <w:trHeight w:val="21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David W. Faeder**</w:t>
            </w:r>
          </w:p>
        </w:tc>
        <w:tc>
          <w:tcPr>
            <w:tcW w:w="6820" w:type="dxa"/>
            <w:vAlign w:val="bottom"/>
          </w:tcPr>
          <w:p>
            <w:pPr>
              <w:ind w:left="780"/>
              <w:spacing w:after="0"/>
              <w:rPr>
                <w:sz w:val="20"/>
                <w:szCs w:val="20"/>
                <w:color w:val="auto"/>
              </w:rPr>
            </w:pPr>
            <w:r>
              <w:rPr>
                <w:rFonts w:ascii="Arial" w:cs="Arial" w:eastAsia="Arial" w:hAnsi="Arial"/>
                <w:sz w:val="18"/>
                <w:szCs w:val="18"/>
                <w:color w:val="auto"/>
              </w:rPr>
              <w:t>•  overseeing our financial reporting, including reviewing results with</w:t>
            </w:r>
          </w:p>
        </w:tc>
        <w:tc>
          <w:tcPr>
            <w:tcW w:w="1940" w:type="dxa"/>
            <w:vAlign w:val="bottom"/>
          </w:tcPr>
          <w:p>
            <w:pPr>
              <w:spacing w:after="0"/>
              <w:rPr>
                <w:sz w:val="18"/>
                <w:szCs w:val="18"/>
                <w:color w:val="auto"/>
              </w:rPr>
            </w:pPr>
          </w:p>
        </w:tc>
      </w:tr>
      <w:tr>
        <w:trPr>
          <w:trHeight w:val="21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Warren M. Thompson</w:t>
            </w:r>
          </w:p>
        </w:tc>
        <w:tc>
          <w:tcPr>
            <w:tcW w:w="6820" w:type="dxa"/>
            <w:vAlign w:val="bottom"/>
          </w:tcPr>
          <w:p>
            <w:pPr>
              <w:ind w:left="1100"/>
              <w:spacing w:after="0"/>
              <w:rPr>
                <w:sz w:val="20"/>
                <w:szCs w:val="20"/>
                <w:color w:val="auto"/>
              </w:rPr>
            </w:pPr>
            <w:r>
              <w:rPr>
                <w:rFonts w:ascii="Arial" w:cs="Arial" w:eastAsia="Arial" w:hAnsi="Arial"/>
                <w:sz w:val="18"/>
                <w:szCs w:val="18"/>
                <w:color w:val="auto"/>
                <w:w w:val="98"/>
              </w:rPr>
              <w:t>management and the independent registered public accounting firm; and</w:t>
            </w:r>
          </w:p>
        </w:tc>
        <w:tc>
          <w:tcPr>
            <w:tcW w:w="1940" w:type="dxa"/>
            <w:vAlign w:val="bottom"/>
          </w:tcPr>
          <w:p>
            <w:pPr>
              <w:spacing w:after="0"/>
              <w:rPr>
                <w:sz w:val="18"/>
                <w:szCs w:val="18"/>
                <w:color w:val="auto"/>
              </w:rPr>
            </w:pPr>
          </w:p>
        </w:tc>
      </w:tr>
      <w:tr>
        <w:trPr>
          <w:trHeight w:val="222"/>
        </w:trPr>
        <w:tc>
          <w:tcPr>
            <w:tcW w:w="1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20" w:type="dxa"/>
            <w:vAlign w:val="bottom"/>
          </w:tcPr>
          <w:p>
            <w:pPr>
              <w:ind w:left="780"/>
              <w:spacing w:after="0"/>
              <w:rPr>
                <w:sz w:val="20"/>
                <w:szCs w:val="20"/>
                <w:color w:val="auto"/>
              </w:rPr>
            </w:pPr>
            <w:r>
              <w:rPr>
                <w:rFonts w:ascii="Arial" w:cs="Arial" w:eastAsia="Arial" w:hAnsi="Arial"/>
                <w:sz w:val="18"/>
                <w:szCs w:val="18"/>
                <w:color w:val="auto"/>
              </w:rPr>
              <w:t>•  overseeing our internal systems of accounting and controls</w:t>
            </w:r>
          </w:p>
        </w:tc>
        <w:tc>
          <w:tcPr>
            <w:tcW w:w="1940" w:type="dxa"/>
            <w:vAlign w:val="bottom"/>
          </w:tcPr>
          <w:p>
            <w:pPr>
              <w:spacing w:after="0"/>
              <w:rPr>
                <w:sz w:val="19"/>
                <w:szCs w:val="19"/>
                <w:color w:val="auto"/>
              </w:rPr>
            </w:pPr>
          </w:p>
        </w:tc>
      </w:tr>
      <w:tr>
        <w:trPr>
          <w:trHeight w:val="299"/>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Compensation Committee:</w:t>
            </w:r>
          </w:p>
        </w:tc>
        <w:tc>
          <w:tcPr>
            <w:tcW w:w="7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3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David W. Faeder*</w:t>
            </w:r>
          </w:p>
        </w:tc>
        <w:tc>
          <w:tcPr>
            <w:tcW w:w="6820" w:type="dxa"/>
            <w:vAlign w:val="bottom"/>
          </w:tcPr>
          <w:p>
            <w:pPr>
              <w:ind w:left="780"/>
              <w:spacing w:after="0"/>
              <w:rPr>
                <w:sz w:val="20"/>
                <w:szCs w:val="20"/>
                <w:color w:val="auto"/>
              </w:rPr>
            </w:pPr>
            <w:r>
              <w:rPr>
                <w:rFonts w:ascii="Arial" w:cs="Arial" w:eastAsia="Arial" w:hAnsi="Arial"/>
                <w:sz w:val="18"/>
                <w:szCs w:val="18"/>
                <w:color w:val="auto"/>
              </w:rPr>
              <w:t>•  reviewing and recommending compensation for our officers;</w:t>
            </w:r>
          </w:p>
        </w:tc>
        <w:tc>
          <w:tcPr>
            <w:tcW w:w="1940" w:type="dxa"/>
            <w:vAlign w:val="bottom"/>
          </w:tcPr>
          <w:p>
            <w:pPr>
              <w:jc w:val="center"/>
              <w:ind w:right="42"/>
              <w:spacing w:after="0"/>
              <w:rPr>
                <w:sz w:val="20"/>
                <w:szCs w:val="20"/>
                <w:color w:val="auto"/>
              </w:rPr>
            </w:pPr>
            <w:r>
              <w:rPr>
                <w:rFonts w:ascii="Arial" w:cs="Arial" w:eastAsia="Arial" w:hAnsi="Arial"/>
                <w:sz w:val="18"/>
                <w:szCs w:val="18"/>
                <w:color w:val="auto"/>
                <w:w w:val="99"/>
              </w:rPr>
              <w:t>3</w:t>
            </w:r>
          </w:p>
        </w:tc>
      </w:tr>
      <w:tr>
        <w:trPr>
          <w:trHeight w:val="21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Kristin Gamble</w:t>
            </w:r>
          </w:p>
        </w:tc>
        <w:tc>
          <w:tcPr>
            <w:tcW w:w="6820" w:type="dxa"/>
            <w:vAlign w:val="bottom"/>
          </w:tcPr>
          <w:p>
            <w:pPr>
              <w:ind w:left="780"/>
              <w:spacing w:after="0"/>
              <w:rPr>
                <w:sz w:val="20"/>
                <w:szCs w:val="20"/>
                <w:color w:val="auto"/>
              </w:rPr>
            </w:pPr>
            <w:r>
              <w:rPr>
                <w:rFonts w:ascii="Arial" w:cs="Arial" w:eastAsia="Arial" w:hAnsi="Arial"/>
                <w:sz w:val="18"/>
                <w:szCs w:val="18"/>
                <w:color w:val="auto"/>
                <w:w w:val="99"/>
              </w:rPr>
              <w:t>•  administering our Amended and Restated 2001 Long-Term Incentive Plan</w:t>
            </w:r>
          </w:p>
        </w:tc>
        <w:tc>
          <w:tcPr>
            <w:tcW w:w="1940" w:type="dxa"/>
            <w:vAlign w:val="bottom"/>
          </w:tcPr>
          <w:p>
            <w:pPr>
              <w:spacing w:after="0"/>
              <w:rPr>
                <w:sz w:val="18"/>
                <w:szCs w:val="18"/>
                <w:color w:val="auto"/>
              </w:rPr>
            </w:pPr>
          </w:p>
        </w:tc>
      </w:tr>
      <w:tr>
        <w:trPr>
          <w:trHeight w:val="21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Gail P. Steinel</w:t>
            </w:r>
          </w:p>
        </w:tc>
        <w:tc>
          <w:tcPr>
            <w:tcW w:w="6820" w:type="dxa"/>
            <w:vAlign w:val="bottom"/>
          </w:tcPr>
          <w:p>
            <w:pPr>
              <w:ind w:left="1100"/>
              <w:spacing w:after="0"/>
              <w:rPr>
                <w:sz w:val="20"/>
                <w:szCs w:val="20"/>
                <w:color w:val="auto"/>
              </w:rPr>
            </w:pPr>
            <w:r>
              <w:rPr>
                <w:rFonts w:ascii="Arial" w:cs="Arial" w:eastAsia="Arial" w:hAnsi="Arial"/>
                <w:sz w:val="18"/>
                <w:szCs w:val="18"/>
                <w:color w:val="auto"/>
              </w:rPr>
              <w:t>(“2001 Plan”) and our 2010 Performance Incentive Plan (“2010 Plan”),</w:t>
            </w:r>
          </w:p>
        </w:tc>
        <w:tc>
          <w:tcPr>
            <w:tcW w:w="1940" w:type="dxa"/>
            <w:vAlign w:val="bottom"/>
          </w:tcPr>
          <w:p>
            <w:pPr>
              <w:spacing w:after="0"/>
              <w:rPr>
                <w:sz w:val="18"/>
                <w:szCs w:val="18"/>
                <w:color w:val="auto"/>
              </w:rPr>
            </w:pPr>
          </w:p>
        </w:tc>
      </w:tr>
      <w:tr>
        <w:trPr>
          <w:trHeight w:val="222"/>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Joseph Vassalluzzo</w:t>
            </w:r>
          </w:p>
        </w:tc>
        <w:tc>
          <w:tcPr>
            <w:tcW w:w="6820" w:type="dxa"/>
            <w:vAlign w:val="bottom"/>
          </w:tcPr>
          <w:p>
            <w:pPr>
              <w:ind w:left="1100"/>
              <w:spacing w:after="0"/>
              <w:rPr>
                <w:sz w:val="20"/>
                <w:szCs w:val="20"/>
                <w:color w:val="auto"/>
              </w:rPr>
            </w:pPr>
            <w:r>
              <w:rPr>
                <w:rFonts w:ascii="Arial" w:cs="Arial" w:eastAsia="Arial" w:hAnsi="Arial"/>
                <w:sz w:val="18"/>
                <w:szCs w:val="18"/>
                <w:color w:val="auto"/>
              </w:rPr>
              <w:t>including making awards under the 2010 Plan; and</w:t>
            </w:r>
          </w:p>
        </w:tc>
        <w:tc>
          <w:tcPr>
            <w:tcW w:w="1940" w:type="dxa"/>
            <w:vAlign w:val="bottom"/>
          </w:tcPr>
          <w:p>
            <w:pPr>
              <w:spacing w:after="0"/>
              <w:rPr>
                <w:sz w:val="19"/>
                <w:szCs w:val="19"/>
                <w:color w:val="auto"/>
              </w:rPr>
            </w:pPr>
          </w:p>
        </w:tc>
      </w:tr>
    </w:tbl>
    <w:p>
      <w:pPr>
        <w:ind w:left="3640" w:hanging="202"/>
        <w:spacing w:after="0"/>
        <w:tabs>
          <w:tab w:leader="none" w:pos="3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administering other benefit programs of the Trust</w:t>
      </w:r>
    </w:p>
    <w:p>
      <w:pPr>
        <w:spacing w:after="0" w:line="12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Nominating and Corporate Governance Committee:</w:t>
      </w:r>
    </w:p>
    <w:p>
      <w:pPr>
        <w:spacing w:after="0" w:line="117"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Warren M. Thompson*</w:t>
            </w:r>
          </w:p>
        </w:tc>
        <w:tc>
          <w:tcPr>
            <w:tcW w:w="800" w:type="dxa"/>
            <w:vAlign w:val="bottom"/>
          </w:tcPr>
          <w:p>
            <w:pPr>
              <w:ind w:left="680"/>
              <w:spacing w:after="0"/>
              <w:rPr>
                <w:sz w:val="20"/>
                <w:szCs w:val="20"/>
                <w:color w:val="auto"/>
              </w:rPr>
            </w:pPr>
            <w:r>
              <w:rPr>
                <w:rFonts w:ascii="Arial" w:cs="Arial" w:eastAsia="Arial" w:hAnsi="Arial"/>
                <w:sz w:val="18"/>
                <w:szCs w:val="18"/>
                <w:color w:val="auto"/>
              </w:rPr>
              <w:t>•</w:t>
            </w:r>
          </w:p>
        </w:tc>
        <w:tc>
          <w:tcPr>
            <w:tcW w:w="5960" w:type="dxa"/>
            <w:vAlign w:val="bottom"/>
          </w:tcPr>
          <w:p>
            <w:pPr>
              <w:ind w:left="80"/>
              <w:spacing w:after="0"/>
              <w:rPr>
                <w:sz w:val="20"/>
                <w:szCs w:val="20"/>
                <w:color w:val="auto"/>
              </w:rPr>
            </w:pPr>
            <w:r>
              <w:rPr>
                <w:rFonts w:ascii="Arial" w:cs="Arial" w:eastAsia="Arial" w:hAnsi="Arial"/>
                <w:sz w:val="18"/>
                <w:szCs w:val="18"/>
                <w:color w:val="auto"/>
              </w:rPr>
              <w:t>recommending individuals to stand for election to the Board;</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Jon E. Bortz</w:t>
            </w:r>
          </w:p>
        </w:tc>
        <w:tc>
          <w:tcPr>
            <w:tcW w:w="6760" w:type="dxa"/>
            <w:vAlign w:val="bottom"/>
            <w:gridSpan w:val="2"/>
          </w:tcPr>
          <w:p>
            <w:pPr>
              <w:ind w:left="680"/>
              <w:spacing w:after="0"/>
              <w:rPr>
                <w:sz w:val="20"/>
                <w:szCs w:val="20"/>
                <w:color w:val="auto"/>
              </w:rPr>
            </w:pPr>
            <w:r>
              <w:rPr>
                <w:rFonts w:ascii="Arial" w:cs="Arial" w:eastAsia="Arial" w:hAnsi="Arial"/>
                <w:sz w:val="18"/>
                <w:szCs w:val="18"/>
                <w:color w:val="auto"/>
              </w:rPr>
              <w:t>•  making recommendations regarding committee memberships; and</w:t>
            </w:r>
          </w:p>
        </w:tc>
        <w:tc>
          <w:tcPr>
            <w:tcW w:w="92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Kristin Gamble</w:t>
            </w:r>
          </w:p>
        </w:tc>
        <w:tc>
          <w:tcPr>
            <w:tcW w:w="800" w:type="dxa"/>
            <w:vAlign w:val="bottom"/>
          </w:tcPr>
          <w:p>
            <w:pPr>
              <w:ind w:left="680"/>
              <w:spacing w:after="0"/>
              <w:rPr>
                <w:sz w:val="20"/>
                <w:szCs w:val="20"/>
                <w:color w:val="auto"/>
              </w:rPr>
            </w:pPr>
            <w:r>
              <w:rPr>
                <w:rFonts w:ascii="Arial" w:cs="Arial" w:eastAsia="Arial" w:hAnsi="Arial"/>
                <w:sz w:val="18"/>
                <w:szCs w:val="18"/>
                <w:color w:val="auto"/>
              </w:rPr>
              <w:t>•</w:t>
            </w:r>
          </w:p>
        </w:tc>
        <w:tc>
          <w:tcPr>
            <w:tcW w:w="5960" w:type="dxa"/>
            <w:vAlign w:val="bottom"/>
          </w:tcPr>
          <w:p>
            <w:pPr>
              <w:ind w:left="80"/>
              <w:spacing w:after="0"/>
              <w:rPr>
                <w:sz w:val="20"/>
                <w:szCs w:val="20"/>
                <w:color w:val="auto"/>
              </w:rPr>
            </w:pPr>
            <w:r>
              <w:rPr>
                <w:rFonts w:ascii="Arial" w:cs="Arial" w:eastAsia="Arial" w:hAnsi="Arial"/>
                <w:sz w:val="18"/>
                <w:szCs w:val="18"/>
                <w:color w:val="auto"/>
              </w:rPr>
              <w:t>overseeing our corporate governance policies and procedures, including</w:t>
            </w:r>
          </w:p>
        </w:tc>
        <w:tc>
          <w:tcPr>
            <w:tcW w:w="920" w:type="dxa"/>
            <w:vAlign w:val="bottom"/>
          </w:tcPr>
          <w:p>
            <w:pPr>
              <w:spacing w:after="0"/>
              <w:rPr>
                <w:sz w:val="18"/>
                <w:szCs w:val="18"/>
                <w:color w:val="auto"/>
              </w:rPr>
            </w:pPr>
          </w:p>
        </w:tc>
      </w:tr>
      <w:tr>
        <w:trPr>
          <w:trHeight w:val="222"/>
        </w:trPr>
        <w:tc>
          <w:tcPr>
            <w:tcW w:w="2320" w:type="dxa"/>
            <w:vAlign w:val="bottom"/>
          </w:tcPr>
          <w:p>
            <w:pPr>
              <w:spacing w:after="0"/>
              <w:rPr>
                <w:sz w:val="20"/>
                <w:szCs w:val="20"/>
                <w:color w:val="auto"/>
              </w:rPr>
            </w:pPr>
            <w:r>
              <w:rPr>
                <w:rFonts w:ascii="Arial" w:cs="Arial" w:eastAsia="Arial" w:hAnsi="Arial"/>
                <w:sz w:val="18"/>
                <w:szCs w:val="18"/>
                <w:color w:val="auto"/>
              </w:rPr>
              <w:t>Joseph S. Vassalluzzo</w:t>
            </w:r>
          </w:p>
        </w:tc>
        <w:tc>
          <w:tcPr>
            <w:tcW w:w="80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Board and Trustee evaluations</w:t>
            </w:r>
          </w:p>
        </w:tc>
        <w:tc>
          <w:tcPr>
            <w:tcW w:w="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jc w:val="both"/>
        <w:ind w:right="7740" w:firstLine="8"/>
        <w:spacing w:after="0" w:line="370" w:lineRule="auto"/>
        <w:tabs>
          <w:tab w:leader="none" w:pos="446"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Denotes current chairperson of the committee ** Denotes our audit committee financial expert.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individuals to stand for election as Trustees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Nominating and Corporate Governance Committee is responsible for identifying individuals to stand for election as Trustees. It begins the process by determining whether there are any changes that should be made to the Board in terms of size or skill sets in order for the Board to appropriately perform its responsibilities. If the Committee concludes that no changes are needed, it first reviews each of the incumbent Trustees whose terms are expiring to determine whether those individuals should be nominated for reelection to the Board. If the Committee determines that the Board should be expanded or that the incumbent Trustees whose terms are expiring should not be nominated for reelection and those positions need to be filled, the Committee will seek recommendations from other Board members for possible candidates. If no appropriate candidates are identified,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Committee will consider retaining a search firm. Recommendations provided by shareholders will also be considered and will be evaluated on the same basis as all other Board candidates.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primary factors included in the Committee’s determination are whether the individual possesses skills which are desirable for the effective oversight of the Trust’s operation and complementary to the skills of the other Trustees. If the individual is an incumbent Trustee, the Committee also considers whether he or she is performing his or her responsibilities as a Trustee well and adding value to the Board and its operations as reflected on the most recent individual Trustee evaluations. All candidates for election to the Board should, at a minimum, possess public company, real estate, retail and/or other financial experience and have a history of honesty, integrity and fair dealing with third parties. The Board has no specific policy on diversity but believes that Board membership should reflect diversity in a broad sense, including, among other things, geography, gender and ethnicity. In addition, the Board specifically reviews and considers the backgrounds, experience and competencies of each Trustee nominee and Trustee to ensure that the Board reflects as a whole an appropriate diversity of knowledge, experience, skill and expertise required to enable the Board to perform its responsibilities in managing and directing our business efficiently and effectively.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Once a candidate is identified who has not previously served on the Board, the Committee arranges meetings between the candidate and Board members as well as our senior management. The Committee also undertakes whatever investigative and due diligence activities it deems necessary to verify the candidate’s credentials and determine whether the candidate would be a positive contributor to the operations of the Board and a good representative of our shareholders. Critical to this whole process is the Committee’s determination that any candidate presented to the shareholders for election to the Board satisfies all of the independence requirements imposed by the NYSE, the SEC, our Corporate Governance Guidelines and other applicable rules and regulations.</w:t>
      </w:r>
    </w:p>
    <w:p>
      <w:pPr>
        <w:spacing w:after="0" w:line="116"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Any shareholder may propose a candidate to be nominated for election to the Board by following the procedures outlined in Article II, Section 13 of our Bylaws. Any shareholder wishing to present a candidate for consideration as a Trustee for election at the Trust’s 2015 Annual Meeting of Shareholders must provide the Committee with the name of the shareholder proposing the candidate as well as contact information for that shareholder, the name of the individual proposed for election, a resume or similar summary that includes the individual’s qualifications and such other factual information that would be necessary or helpful for the Committee to evaluate the individual. The information should be sent to the Committee, in care of the Trust’s Secretary, by no later than December 2, 2014 so that the Secretary can forward it to the Committee chair for consideration. The Committee will not have sufficient time to evaluate any candidate submitted after that date. A copy of our Bylaws may be obtained by sending a written request to Investor Relations at 1626 East Jefferson Street, Rockville, MD 20852.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Oversight</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Although our Board has delegated to our Audit Committee responsibility for overseeing our risks and exposures on an ongoing basis, the entire Board receives regular updates from management on the continued viability of our business plan, market conditions, capital position, and our business results and specifically reviews potential risks from time to time. The Board reviews that information together with our quarterly and annual financial statements and operating results and short and long-term business prospects to assess the risks that we may encounter and to establish appropriate direction to avoid or minimize the potential impact of the identified risks. Some of the details that are discussed as part of the Board’s review of potential risks facing us include, without limitation: (a) the impact of market conditions on our business; (b) operational risks such as the ability of our tenants to be successful and the ability to grow the company through increasing rents and redeveloping our properties; (c) liquidity and credit risks, including our ability to access capital to run and grow our business and our overall cost of capital and the impact on our profitability; (d) investment risks from acquisitions and our development and redevelopment projects; (e) regulatory risks that may impact our profitability such as environmental laws and regulations, the Americans with Disabilities Act of 1990 and various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other federal, state and local laws; (f) REIT risks such as our failure to qualify as a REIT for federal income tax purposes; and (g) general risks inherent in the real estate industry.</w:t>
      </w:r>
    </w:p>
    <w:p>
      <w:pPr>
        <w:spacing w:after="0" w:line="132"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As part of the Board’s risk oversight function, our Compensation Committee reviewed in February 2014 our compensation policies and practices for all of our employees to determine whether any of such policies or programs created any risk that could have a material adverse impact on us. Approximately 95% of our employees participate in compensation programs tied to either corporate performance or regional performance necessary to achieve corporate objectives and the Committee believes that those programs do not encourage excessive and unnecessary risk taking. The Committee focused its review on the approximately 5% of our employees (10 individuals) who are compensated on a full or partial commission/bonus basis where significant portions of their annual compensation is driven by completing leasing transactions or closing acquisitions. As part of that review, the Committee reviewed the internal approval processes of the Trust and determined that none of the individuals who are compensated on a transactional commission/bonus basis can complete any leasing or acquisition transaction without getting approval from the Board and/or one or more members of senior management whose compensation is tied to achieving corporate objectives.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Trustee Compensation</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180" w:type="dxa"/>
            <w:vAlign w:val="bottom"/>
            <w:gridSpan w:val="2"/>
          </w:tcPr>
          <w:p>
            <w:pPr>
              <w:spacing w:after="0"/>
              <w:rPr>
                <w:sz w:val="20"/>
                <w:szCs w:val="20"/>
                <w:color w:val="auto"/>
              </w:rPr>
            </w:pPr>
            <w:r>
              <w:rPr>
                <w:rFonts w:ascii="Arial" w:cs="Arial" w:eastAsia="Arial" w:hAnsi="Arial"/>
                <w:sz w:val="18"/>
                <w:szCs w:val="18"/>
                <w:color w:val="auto"/>
              </w:rPr>
              <w:t>The non-employee Trustees received the following fees for their service on the Board in 2013:</w:t>
            </w:r>
          </w:p>
        </w:tc>
        <w:tc>
          <w:tcPr>
            <w:tcW w:w="1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Non-Employee Trustees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Annual Retainer for Non-Executive Chairman</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Audit Committee Chairman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Annual Fee for Compensation Committee Chairman</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Nominating Committee Chairman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Each non-employee Trustee and the Non-Executive Chairman of the Board are paid sixty percent (60%) of his/her annual retainer ($90,000 for Trustees and $150,000 for the Non-Executive Chairman of the Board) in the form of Shares. All Shares paid as part of the annual retainer vested immediately upon issuance. The equity portion of the annual retainer for 2013 was paid in Shares on January 2, 2014. The number of Shares actually received by each Trustee on January 2, 2014 was determined by dividing the amount of the annual retainer to be paid in Shares by $101.41, the closing price of our stock on the NYSE on December 31, 2013, the last business day prior to the date the Shares were issued. The remainder of the annual retainer as well as the annual fees paid to the Chairs of the Audit, Compensation and Nominating and Corporate Governance Committees were paid in cash. Each Trustee is required to hold at all times an amount of Shares valued at least at five times the amount of the cash portion of the annual retainer. As of December 31, 2013, all Trustees complied with the required level of stock ownership.</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the annual retainer described above, Mr. Vassalluzzo receives administrative support for both Trust business and personal use from our regional office in Wynnewood, Pennsylvania. Except for the annual fee for serving as a Trustee, the annual fee for serving as the chair of a committee and the use of administrative support made available to Mr. Vassalluzzo, all as described above, there were no additional fees paid to any Trustee, including the Non-Executive Chairman, for service on any of the Board committees or for attendance at any Board or committee meetings.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compensation awarded to non-employee Trustees for service in 2013 was as follows:</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2013 TRUSTEE COMPENSATION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6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b w:val="1"/>
                <w:bCs w:val="1"/>
                <w:color w:val="auto"/>
              </w:rPr>
              <w:t>Fees Earned or</w:t>
            </w:r>
          </w:p>
        </w:tc>
        <w:tc>
          <w:tcPr>
            <w:tcW w:w="4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337"/>
              <w:spacing w:after="0" w:line="131" w:lineRule="exact"/>
              <w:rPr>
                <w:sz w:val="20"/>
                <w:szCs w:val="20"/>
                <w:color w:val="auto"/>
              </w:rPr>
            </w:pPr>
            <w:r>
              <w:rPr>
                <w:rFonts w:ascii="Arial" w:cs="Arial" w:eastAsia="Arial" w:hAnsi="Arial"/>
                <w:sz w:val="14"/>
                <w:szCs w:val="14"/>
                <w:b w:val="1"/>
                <w:bCs w:val="1"/>
                <w:color w:val="auto"/>
                <w:w w:val="91"/>
              </w:rPr>
              <w:t>All Other</w:t>
            </w:r>
          </w:p>
        </w:tc>
        <w:tc>
          <w:tcPr>
            <w:tcW w:w="4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r>
      <w:tr>
        <w:trPr>
          <w:trHeight w:val="161"/>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 in Cash</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Stock Awards</w:t>
            </w: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61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4"/>
              </w:rPr>
              <w:t>($) (1)(2)</w:t>
            </w:r>
          </w:p>
        </w:tc>
        <w:tc>
          <w:tcPr>
            <w:tcW w:w="4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Jon E. Bortz</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David W. Faeder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70,000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35"/>
              <w:spacing w:after="0"/>
              <w:rPr>
                <w:sz w:val="20"/>
                <w:szCs w:val="20"/>
                <w:color w:val="auto"/>
              </w:rPr>
            </w:pPr>
            <w:r>
              <w:rPr>
                <w:rFonts w:ascii="Arial" w:cs="Arial" w:eastAsia="Arial" w:hAnsi="Arial"/>
                <w:sz w:val="18"/>
                <w:szCs w:val="18"/>
                <w:color w:val="auto"/>
              </w:rPr>
              <w:t>90,000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Gail P. Steinel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80,000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35"/>
              <w:spacing w:after="0"/>
              <w:rPr>
                <w:sz w:val="20"/>
                <w:szCs w:val="20"/>
                <w:color w:val="auto"/>
              </w:rPr>
            </w:pPr>
            <w:r>
              <w:rPr>
                <w:rFonts w:ascii="Arial" w:cs="Arial" w:eastAsia="Arial" w:hAnsi="Arial"/>
                <w:sz w:val="18"/>
                <w:szCs w:val="18"/>
                <w:color w:val="auto"/>
              </w:rPr>
              <w:t>90,000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70,000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Joseph S. Vassalluzzo</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100,000</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150,000</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5,595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440,000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600,000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5,595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1,045,595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2"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in this column reflect the aggregate grant date fair value of the stock awards calculated in accordance with the Financial Accounting Standards Board Accounting Standards Codification Topic 718, Compensation—Stock Compensation (“FASB ASC Topic 718”) for the fiscal year ended December 31, 2013. Dividends are paid on all Shares awarded at the same rate as paid to all other holders of our Shares as declared by our Board from time to time.</w:t>
      </w:r>
    </w:p>
    <w:p>
      <w:pPr>
        <w:spacing w:after="0" w:line="1"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31, 2013, Mr. Bortz owned 5,669 Shares; Mr. Faeder owned 5,326 Shares; Ms. Gamble owned 7,310 Shares; Ms. Steinel owned 5,122 Shares; Mr. Thompson owned 5,201 Shares and Mr. Vassalluzzo owned 15,315 Shares.</w:t>
      </w:r>
    </w:p>
    <w:p>
      <w:pPr>
        <w:ind w:left="460" w:right="4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in the “All Other Compensation” column represents our estimated value of the administrative services we made available to Mr. Vassalluzzo for both Trust business and personal use in our regional office in Wynnewood, Pennsylvania. We believe there is no incremental cost to us of providing this administrative support.</w:t>
      </w:r>
    </w:p>
    <w:p>
      <w:pPr>
        <w:spacing w:after="0" w:line="144"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October 2013 the Nominating and Corporate Governance Committee recommended and the Board approved increasing the annual retainer for the Trustees to $175,000 for service in 2014 and thereafter. No other changes were made to any Trustee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90"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Any shareholder of the Trust or any other interested party may communicate with the Board as a whole, the non-management Trustees of the Board as a group, the Non-Executive Chairman of the Board, and/or any individual Trustee by sending the communication to the Trust’s corporate offices at 1626 East Jefferson Street, Rockville, MD 20852 in care of the Trust’s Secretary. All such communication should identify the party to whom it is being sent, and any communication which indicates it is for the Board of Trustees or fails to identify a particular Trustee will be deemed to be a communication intended for the Trust’s Non-Executive Chairman of the Board. The Trust’s Secretary will promptly forward to the appropriate Trustee all communications she receives for the Board or any individual Trustee which relate to the Trust’s business, operations, financial condition, management, employees or similar matters. The Trust’s Secretary will not forward to any Trustee any advertising, solicitation or similar materials.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Corporate Documents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The Board of Trustees has adopted a Code of Ethics for senior financial officers as well as a Code of Business Conduct that applies to all of our Trustees and employees. In addition, the Board operates under Corporate Governance Guidelines. The Code of Ethics for our senior financial officers, our Code of Business Conduct and our Corporate Governance Guidelines are available in the Investors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TRUSTEES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Trustees has seven Trustees. Section 5.2 of the Trust’s Declaration of Trust provides that all Trustees be elected at each annual meeting of shareholders. As a result, the nominees for Trustee this year will be elected to serve one-year terms until the 2015 Annual Meeting of Shareholders. The Board, on recommendation of the Nominating and Corporate Governance Committee, approved the nomination of the following individuals, all of whom are currently serving on the Board, for election as trustees to hold office until the 2015 Annual Meeting of Shareholders and until their successors have been duly elected and qualified: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Age</w:t>
            </w:r>
          </w:p>
        </w:tc>
        <w:tc>
          <w:tcPr>
            <w:tcW w:w="54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Position</w:t>
            </w:r>
          </w:p>
        </w:tc>
        <w:tc>
          <w:tcPr>
            <w:tcW w:w="21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Trustee Since</w:t>
            </w: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Jon E. Bortz</w:t>
            </w:r>
          </w:p>
        </w:tc>
        <w:tc>
          <w:tcPr>
            <w:tcW w:w="15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57</w:t>
            </w:r>
          </w:p>
        </w:tc>
        <w:tc>
          <w:tcPr>
            <w:tcW w:w="5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2005</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David W. Faeder</w:t>
            </w:r>
          </w:p>
        </w:tc>
        <w:tc>
          <w:tcPr>
            <w:tcW w:w="1560" w:type="dxa"/>
            <w:vAlign w:val="bottom"/>
          </w:tcPr>
          <w:p>
            <w:pPr>
              <w:jc w:val="right"/>
              <w:ind w:right="515"/>
              <w:spacing w:after="0"/>
              <w:rPr>
                <w:sz w:val="20"/>
                <w:szCs w:val="20"/>
                <w:color w:val="auto"/>
              </w:rPr>
            </w:pPr>
            <w:r>
              <w:rPr>
                <w:rFonts w:ascii="Arial" w:cs="Arial" w:eastAsia="Arial" w:hAnsi="Arial"/>
                <w:sz w:val="18"/>
                <w:szCs w:val="18"/>
                <w:color w:val="auto"/>
              </w:rPr>
              <w:t>57</w:t>
            </w:r>
          </w:p>
        </w:tc>
        <w:tc>
          <w:tcPr>
            <w:tcW w:w="5420" w:type="dxa"/>
            <w:vAlign w:val="bottom"/>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tcPr>
          <w:p>
            <w:pPr>
              <w:jc w:val="right"/>
              <w:ind w:right="15"/>
              <w:spacing w:after="0"/>
              <w:rPr>
                <w:sz w:val="20"/>
                <w:szCs w:val="20"/>
                <w:color w:val="auto"/>
              </w:rPr>
            </w:pPr>
            <w:r>
              <w:rPr>
                <w:rFonts w:ascii="Arial" w:cs="Arial" w:eastAsia="Arial" w:hAnsi="Arial"/>
                <w:sz w:val="18"/>
                <w:szCs w:val="18"/>
                <w:color w:val="auto"/>
              </w:rPr>
              <w:t>2003</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15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68</w:t>
            </w:r>
          </w:p>
        </w:tc>
        <w:tc>
          <w:tcPr>
            <w:tcW w:w="5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1995</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Gail P. Steinel</w:t>
            </w:r>
          </w:p>
        </w:tc>
        <w:tc>
          <w:tcPr>
            <w:tcW w:w="1560" w:type="dxa"/>
            <w:vAlign w:val="bottom"/>
          </w:tcPr>
          <w:p>
            <w:pPr>
              <w:jc w:val="right"/>
              <w:ind w:right="515"/>
              <w:spacing w:after="0"/>
              <w:rPr>
                <w:sz w:val="20"/>
                <w:szCs w:val="20"/>
                <w:color w:val="auto"/>
              </w:rPr>
            </w:pPr>
            <w:r>
              <w:rPr>
                <w:rFonts w:ascii="Arial" w:cs="Arial" w:eastAsia="Arial" w:hAnsi="Arial"/>
                <w:sz w:val="18"/>
                <w:szCs w:val="18"/>
                <w:color w:val="auto"/>
              </w:rPr>
              <w:t>57</w:t>
            </w:r>
          </w:p>
        </w:tc>
        <w:tc>
          <w:tcPr>
            <w:tcW w:w="5420" w:type="dxa"/>
            <w:vAlign w:val="bottom"/>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tcPr>
          <w:p>
            <w:pPr>
              <w:jc w:val="right"/>
              <w:ind w:right="15"/>
              <w:spacing w:after="0"/>
              <w:rPr>
                <w:sz w:val="20"/>
                <w:szCs w:val="20"/>
                <w:color w:val="auto"/>
              </w:rPr>
            </w:pPr>
            <w:r>
              <w:rPr>
                <w:rFonts w:ascii="Arial" w:cs="Arial" w:eastAsia="Arial" w:hAnsi="Arial"/>
                <w:sz w:val="18"/>
                <w:szCs w:val="18"/>
                <w:color w:val="auto"/>
              </w:rPr>
              <w:t>2006</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15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54</w:t>
            </w:r>
          </w:p>
        </w:tc>
        <w:tc>
          <w:tcPr>
            <w:tcW w:w="5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2007</w:t>
            </w:r>
          </w:p>
        </w:tc>
      </w:tr>
      <w:tr>
        <w:trPr>
          <w:trHeight w:val="208"/>
        </w:trPr>
        <w:tc>
          <w:tcPr>
            <w:tcW w:w="2300" w:type="dxa"/>
            <w:vAlign w:val="bottom"/>
          </w:tcPr>
          <w:p>
            <w:pPr>
              <w:spacing w:after="0"/>
              <w:rPr>
                <w:sz w:val="20"/>
                <w:szCs w:val="20"/>
                <w:color w:val="auto"/>
              </w:rPr>
            </w:pPr>
            <w:r>
              <w:rPr>
                <w:rFonts w:ascii="Arial" w:cs="Arial" w:eastAsia="Arial" w:hAnsi="Arial"/>
                <w:sz w:val="18"/>
                <w:szCs w:val="18"/>
                <w:color w:val="auto"/>
              </w:rPr>
              <w:t>Joseph S. Vassalluzzo</w:t>
            </w:r>
          </w:p>
        </w:tc>
        <w:tc>
          <w:tcPr>
            <w:tcW w:w="1560" w:type="dxa"/>
            <w:vAlign w:val="bottom"/>
          </w:tcPr>
          <w:p>
            <w:pPr>
              <w:jc w:val="right"/>
              <w:ind w:right="515"/>
              <w:spacing w:after="0"/>
              <w:rPr>
                <w:sz w:val="20"/>
                <w:szCs w:val="20"/>
                <w:color w:val="auto"/>
              </w:rPr>
            </w:pPr>
            <w:r>
              <w:rPr>
                <w:rFonts w:ascii="Arial" w:cs="Arial" w:eastAsia="Arial" w:hAnsi="Arial"/>
                <w:sz w:val="18"/>
                <w:szCs w:val="18"/>
                <w:color w:val="auto"/>
              </w:rPr>
              <w:t>66</w:t>
            </w:r>
          </w:p>
        </w:tc>
        <w:tc>
          <w:tcPr>
            <w:tcW w:w="5420" w:type="dxa"/>
            <w:vAlign w:val="bottom"/>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tcPr>
          <w:p>
            <w:pPr>
              <w:jc w:val="right"/>
              <w:ind w:right="15"/>
              <w:spacing w:after="0"/>
              <w:rPr>
                <w:sz w:val="20"/>
                <w:szCs w:val="20"/>
                <w:color w:val="auto"/>
              </w:rPr>
            </w:pPr>
            <w:r>
              <w:rPr>
                <w:rFonts w:ascii="Arial" w:cs="Arial" w:eastAsia="Arial" w:hAnsi="Arial"/>
                <w:sz w:val="18"/>
                <w:szCs w:val="18"/>
                <w:color w:val="auto"/>
              </w:rPr>
              <w:t>2002</w:t>
            </w:r>
          </w:p>
        </w:tc>
      </w:tr>
      <w:tr>
        <w:trPr>
          <w:trHeight w:val="222"/>
        </w:trPr>
        <w:tc>
          <w:tcPr>
            <w:tcW w:w="2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20" w:type="dxa"/>
            <w:vAlign w:val="bottom"/>
          </w:tcPr>
          <w:p>
            <w:pPr>
              <w:ind w:left="600"/>
              <w:spacing w:after="0"/>
              <w:rPr>
                <w:sz w:val="20"/>
                <w:szCs w:val="20"/>
                <w:color w:val="auto"/>
              </w:rPr>
            </w:pPr>
            <w:r>
              <w:rPr>
                <w:rFonts w:ascii="Arial" w:cs="Arial" w:eastAsia="Arial" w:hAnsi="Arial"/>
                <w:sz w:val="18"/>
                <w:szCs w:val="18"/>
                <w:color w:val="auto"/>
              </w:rPr>
              <w:t>Non-Executive Chairman of the Board</w:t>
            </w:r>
          </w:p>
        </w:tc>
        <w:tc>
          <w:tcPr>
            <w:tcW w:w="2140" w:type="dxa"/>
            <w:vAlign w:val="bottom"/>
          </w:tcPr>
          <w:p>
            <w:pPr>
              <w:spacing w:after="0"/>
              <w:rPr>
                <w:sz w:val="19"/>
                <w:szCs w:val="19"/>
                <w:color w:val="auto"/>
              </w:rPr>
            </w:pPr>
          </w:p>
        </w:tc>
      </w:tr>
      <w:tr>
        <w:trPr>
          <w:trHeight w:val="223"/>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5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53</w:t>
            </w:r>
          </w:p>
        </w:tc>
        <w:tc>
          <w:tcPr>
            <w:tcW w:w="5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Non-Independent Trustee</w:t>
            </w:r>
          </w:p>
        </w:tc>
        <w:tc>
          <w:tcPr>
            <w:tcW w:w="2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2003</w:t>
            </w:r>
          </w:p>
        </w:tc>
      </w:tr>
      <w:tr>
        <w:trPr>
          <w:trHeight w:val="238"/>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5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President and Chief Executive Officer of the Trust</w:t>
            </w:r>
          </w:p>
        </w:tc>
        <w:tc>
          <w:tcPr>
            <w:tcW w:w="2140" w:type="dxa"/>
            <w:vAlign w:val="bottom"/>
            <w:shd w:val="clear" w:color="auto" w:fill="CCEEFF"/>
          </w:tcPr>
          <w:p>
            <w:pPr>
              <w:spacing w:after="0"/>
              <w:rPr>
                <w:sz w:val="20"/>
                <w:szCs w:val="20"/>
                <w:color w:val="auto"/>
              </w:rPr>
            </w:pPr>
          </w:p>
        </w:tc>
      </w:tr>
    </w:tbl>
    <w:p>
      <w:pPr>
        <w:spacing w:after="0" w:line="15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connection with reviewing nominees to stand for election at the 2014 Annual Meeting of Shareholders, the Nominating and Corporate Governance Committee considered the following qualifications for each Trustee nominee:</w:t>
      </w:r>
    </w:p>
    <w:p>
      <w:pPr>
        <w:spacing w:after="0" w:line="12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Jon E. Bortz</w:t>
      </w:r>
      <w:r>
        <w:rPr>
          <w:rFonts w:ascii="Arial" w:cs="Arial" w:eastAsia="Arial" w:hAnsi="Arial"/>
          <w:sz w:val="16"/>
          <w:szCs w:val="16"/>
          <w:color w:val="auto"/>
        </w:rPr>
        <w:t>, President, Chief Executive Officer and Chairman of the Board of Pebblebrook Hotel Trust, a REIT that acquires and invests in upper upscale</w:t>
      </w:r>
      <w:r>
        <w:rPr>
          <w:rFonts w:ascii="Arial" w:cs="Arial" w:eastAsia="Arial" w:hAnsi="Arial"/>
          <w:sz w:val="16"/>
          <w:szCs w:val="16"/>
          <w:b w:val="1"/>
          <w:bCs w:val="1"/>
          <w:color w:val="auto"/>
        </w:rPr>
        <w:t xml:space="preserve"> </w:t>
      </w:r>
      <w:r>
        <w:rPr>
          <w:rFonts w:ascii="Arial" w:cs="Arial" w:eastAsia="Arial" w:hAnsi="Arial"/>
          <w:sz w:val="16"/>
          <w:szCs w:val="16"/>
          <w:color w:val="auto"/>
        </w:rPr>
        <w:t>hotels in large US cities (from 2009 to the present); Chief Executive Officer and a Trustee (from 1998 to 2009), President (from 1998 to 2008) and Chairman of the Board (from 2001 to 2009) of LaSalle Hotel Properties, a multi-tenant, multi-operator hotel REIT; and various real estate related positions with Jones Lang LaSalle (from 1981 to 1998). Mr. Bortz brings to the Board public company, REIT and real estate experience. His experience as chief executive officer of LaSalle Hotel Properties and Pebblebrook Hotel Trust provide a valuable perspective for running a public real estate company while his real estate experience at Jones Lang LaSalle provides fundamental real estate experience critical to our core business.</w:t>
      </w:r>
    </w:p>
    <w:p>
      <w:pPr>
        <w:spacing w:after="0" w:line="11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David W. Faeder</w:t>
      </w:r>
      <w:r>
        <w:rPr>
          <w:rFonts w:ascii="Arial" w:cs="Arial" w:eastAsia="Arial" w:hAnsi="Arial"/>
          <w:sz w:val="16"/>
          <w:szCs w:val="16"/>
          <w:color w:val="auto"/>
        </w:rPr>
        <w:t>, Managing Partner of Fountain Square Properties, a diversified real estate company, since 2003; Vice Chairman (from 2000 to 2003),</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(from 1997 to 2000) and Executive Vice President and Chief Financial Officer (from 1993 to 1997) of Sunrise Senior Living, Inc., a provider of senior living services in the United States, United Kingdom and Canada; and prior to that time, Vice President of Credit Suisse First Boston (formerly First Boston Corporation) and Morgan Stanley and Company, Inc. specializing in real estate transactions. Director of Arlington Asset Investment Corp., a company that acquires and holds mortgage-related and other assets, including residential mortgage-backed securities issued by U.S. government agencies or guaranteed as to principal and U.S. government agencies or U.S. government-sponsored entities and mortgage-backed securities issued by private organizations. Mr. Faeder is a valuable member of the Board because of his public company and accounting experience, having previously served as the chief financial officer of Sunrise Senior Living, and his real estate investment experience from his time as a private real estate investor.</w:t>
      </w:r>
    </w:p>
    <w:p>
      <w:pPr>
        <w:spacing w:after="0" w:line="112"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Kristin Gamble</w:t>
      </w:r>
      <w:r>
        <w:rPr>
          <w:rFonts w:ascii="Arial" w:cs="Arial" w:eastAsia="Arial" w:hAnsi="Arial"/>
          <w:sz w:val="16"/>
          <w:szCs w:val="16"/>
          <w:color w:val="auto"/>
        </w:rPr>
        <w:t>, President of Flood, Gamble Associates, Inc., an investment counseling firm, since 1984; and prior to that time, various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with responsibility for investments and investment research with brokerage firms and other financial services companies. Director of Ethan Allen Interiors Inc., a furniture manufacturer and retailer. Ms. Gamble benefits the Board through her broad financial related experience from an investor perspective, including as President of her own investment counseling company for over 30 years, and before that, as an executive with responsibility for investments and investment research with various brokerage firms and other financial services companies.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Gail P. Steinel</w:t>
      </w:r>
      <w:r>
        <w:rPr>
          <w:rFonts w:ascii="Arial" w:cs="Arial" w:eastAsia="Arial" w:hAnsi="Arial"/>
          <w:sz w:val="16"/>
          <w:szCs w:val="16"/>
          <w:color w:val="auto"/>
        </w:rPr>
        <w:t>, Owner of Executive Advisors (from 2007 to present), which provides consulting services and leadership seminars to companies.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with BearingPoint, Inc. (from 2002 to 2007), a management and technology consulting firm that provides application services, technology solutions and managed services to companies and government organizations with responsibility for overseeing the global commercial services business unit; global managing partner and a founding member of Arthur Andersen’s business consulting practice (from 1984 to 2002). Director of MTS Systems Corporation, a provider of mechanical test systems, material testing, fatigue testing and tensile testing equipment as well as motion simulation systems and calibration services. Ms. Steinel has over 25 years of auditing and consulting experience that provides the Board with a helpful perspective on managing risk and systems operations.</w:t>
      </w:r>
    </w:p>
    <w:p>
      <w:pPr>
        <w:spacing w:after="0" w:line="111"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Warren M. Thompson</w:t>
      </w:r>
      <w:r>
        <w:rPr>
          <w:rFonts w:ascii="Arial" w:cs="Arial" w:eastAsia="Arial" w:hAnsi="Arial"/>
          <w:sz w:val="16"/>
          <w:szCs w:val="16"/>
          <w:color w:val="auto"/>
        </w:rPr>
        <w:t>, President and Chairman of Thompson Hospitality Corporation, a food service company that owns and operates restaurants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food services, since founding the company in October 1992. Mr. Thompson is the president, chairman and founder of his own private food service company, Thompson Hospitality Corporation since 1992. Mr. Thompson’s experience running restaurants owned by Thompson Hospitality provides the Board and management with a unique perspective that is shared by a large percentage of the Trust’s retail tenants.</w:t>
      </w:r>
    </w:p>
    <w:p>
      <w:pPr>
        <w:spacing w:after="0" w:line="10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color w:val="auto"/>
        </w:rPr>
        <w:t>Joseph S. Vassalluzzo</w:t>
      </w:r>
      <w:r>
        <w:rPr>
          <w:rFonts w:ascii="Arial" w:cs="Arial" w:eastAsia="Arial" w:hAnsi="Arial"/>
          <w:sz w:val="16"/>
          <w:szCs w:val="16"/>
          <w:color w:val="auto"/>
        </w:rPr>
        <w:t>, Non-Executive Chairman of the Board of Trustees since February 2006; Vice Chairman of Staples, Inc. (from 2000 to 2005), a</w:t>
      </w:r>
      <w:r>
        <w:rPr>
          <w:rFonts w:ascii="Arial" w:cs="Arial" w:eastAsia="Arial" w:hAnsi="Arial"/>
          <w:sz w:val="16"/>
          <w:szCs w:val="16"/>
          <w:b w:val="1"/>
          <w:bCs w:val="1"/>
          <w:color w:val="auto"/>
        </w:rPr>
        <w:t xml:space="preserve"> </w:t>
      </w:r>
      <w:r>
        <w:rPr>
          <w:rFonts w:ascii="Arial" w:cs="Arial" w:eastAsia="Arial" w:hAnsi="Arial"/>
          <w:sz w:val="16"/>
          <w:szCs w:val="16"/>
          <w:color w:val="auto"/>
        </w:rPr>
        <w:t>retailer specializing in home, office, and computer products, with responsibility for overseeing domestic and international growth in its retail and commercial operations; various other officer positions with Staples’ and Staples Realty &amp; Development, a subsidiary of Staples, Inc. (from 1997 to 2000); Lead Director of Life Time Fitness, Inc., an operator of distinctive and large sports, athletic, fitness and family recreation centers; Director of Office Depot, Inc., a global supplier of office products and services. Mr. Vassalluzzo’s extensive background in retail and real estate as a result of having served as an executive with Staples, expanding the real estate owned by Staples Realty &amp; Development, a subsidiary of Staples, Inc. for over 10 years and serving on the boards of a number of retailers provides the board and management with retail and retail real estate expertise that is essential to our core business.</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color w:val="auto"/>
        </w:rPr>
        <w:t>Donald C. Wood</w:t>
      </w:r>
      <w:r>
        <w:rPr>
          <w:rFonts w:ascii="Arial" w:cs="Arial" w:eastAsia="Arial" w:hAnsi="Arial"/>
          <w:sz w:val="16"/>
          <w:szCs w:val="16"/>
          <w:color w:val="auto"/>
        </w:rPr>
        <w:t>, President and Chief Executive Officer of the Trust since January 2003; prior to that time, various officer positions with the Trust,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President and Chief Operating Officer (from 2001 to 2003), Senior Vice President and Chief Operating Officer (from 2000 to 2001), Senior Vice President-Chief Operating Officer and Chief Financial Officer (from 1999 to 2000) and Senior Vice President-Treasurer and Chief Financial Officer (from 1998 to 1999); Chairman of the Board of the National Association of Real Estate Investment Trusts from November 2011 to November 2012; Director of the Real Estate Roundtable from July 2011 to July 2012; Director of Post Properties, Inc., a developer and operator of upscale multifamily communities in the United States. Mr. Wood has been employed by the Trust for over fifteen years and serves on the Board as the sole non-independent Trustee. His tenure with the Trust and his responsibilities as chief executive officer provides the Board with familiarity and details on all aspects of the operations of the Trust.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affirmative vote of a plurality of votes cast at the Annual Meeting, in person or by proxy, is required for the election of Trustees. If any Trustee does not receive at least 50% of the votes cast at the Annual Meeting, he or she must tender his or her resignation to the Chairman of the Nominating and Corporate Governance Committee within five (5) business days after certification of the vote. The Nominating and Corporate Governance Committee will promptly consider the resignation and make a recommendation to the Board of Trustees. In deciding whether to accept or reject a resignation that has been tendered, the Nominating and Corporate Governance Committee and the Board will consider such factors as they deem appropriate and relevant which may include, among others: (a) the stated reasons why votes were withheld from the Trustee and whether those reasons can be cured; (b) the Trustee’s length of service, qualifications and contributions as a Trustee; (c) listing requirements of the NYSE, rules and regulations of the SEC and other applicable rules and regulations; (d) our Corporate Governance Guidelines; and (e) such other factors as the Nominating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Corporate Governance Committee or the Board deems appropriate. Any rejection of a resignation may (but does not have to) be conditioned on curing the underlying reason for the withheld votes. The Board will take action on any resignation no later than sixty (60) days after the certification of the vote, and will disclose the action taken with a full explanation of the process used by the Board and the reason for its decision in a Form 8-K filed with the SEC within four (4) business days after the Board’s decision. If a Trustee’s resignation is accepted by the Board of Trustees, then the Board of Trustees may fill the resulting vacancy pursuant to our Bylaws. The Trustee who tenders his or her resignation will not participate in the recommendation of the Nominating and Corporate Governance Committee or the decision of the Board.</w:t>
      </w:r>
    </w:p>
    <w:p>
      <w:pPr>
        <w:spacing w:after="0" w:line="144"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If you are a “registered” shareholder and fail to give any instructions on your proxy card on this matter, the proxies identified on the proxy card will vote FOR the election of the named individuals. An abstention or broker non-vote will have no effect on the outcome of the vote on this proposal. You are entitled to cast one vote per Share for each of the seven named individuals. Proxies may not be voted for more than seven individuals.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A VOTE “FOR” THE SEVEN NOMINEES FOR TRUSTEE.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jc w:val="both"/>
        <w:ind w:right="180" w:firstLine="456"/>
        <w:spacing w:after="0" w:line="332"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Management is responsible for the financial reporting process, including the system of internal controls, for the preparation of consolidated financial statements in accordance with accounting principles generally accepted in the United States (“GAAP”) and for management’s report on internal control over financial reporting. The Trust’s independent registered public accounting firm, Grant Thornton LLP (“GT”), is responsible for auditing the consolidated financial statements and expressing an opinion on the financial statements and the effectiveness of internal control over financial reporting. The Audit Committee oversees the financial reporting process on behalf of the Board. In addition, the Audit Committee oversees the work of our internal audit function, which is performed by PricewaterhouseCoopers LLP (“PwC”).</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Audit Committee meets at least quarterly and at such other times as it deems necessary or appropriate to carry out its responsibilities. The Audit Committee met four times during 2013, and all four of these quarterly meetings included executive sessions with GT without management being present. In the course of fulfilling its oversight responsibilities, the Audit Committee met with both management and GT to review and discuss all annual and quarterly financial statements and quarterly operating results prior to their issuance. Management advised the Audit Committee that all financial statements were prepared in accordance with GAAP. The Audit Committee also discussed with GT matters required to be discussed pursuant to applicable Public Company Accounting Oversight Board standards, including the reasonableness of judgments and the clarity and completeness of financial disclosures.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Audit Committee discussed with GT matters relating to its independence and has received from GT the written disclosures and letter required by applicable requirements of the Public Company Accounting Oversight Board regarding the independent accountant’s communications with the Audit Committee concerning independence, and has discussed with GT its independence.</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Audit Committee continually monitors the non-audit services provided by GT. During 2013, the Audit Committee limited non-audit services primarily to income tax return preparation for us and our subsidiaries and the provision of advice on the tax impacts and structuring of acquisition and other property related transactions.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GT also performed the 2013 audit of the financial statements of our joint venture with affiliates of a discretionary fund created and advised by ING Clarion Partners in which we own a 30% equity interest. The Audit Committee approved GT’s performing this audit only after determining that it would not adversely impact GT’s independence.</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Audit Committee engaged PwC to provide our internal audit function in 2012. During 2013, the Audit Committee continued to oversee PwC’s ongoing testing of the effectiveness of our internal controls. The findings of PwC were reported to the Audit Committee three times during 2013, and the Audit Committee met in executive session with PwC without management being present twice during 2013. GT, as part of its 2013 audit of our financial statements, independently reviewed our internal controls and concluded that there were no material weaknesses.</w:t>
      </w:r>
    </w:p>
    <w:p>
      <w:pPr>
        <w:spacing w:after="0" w:line="11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On the basis of the reviews and discussions the Audit Committee has had with GT, PwC and management, the Audit Committee recommended to the Board of Trustees that the Board approve the inclusion of our audited financial statements in our Annual Report on Form 10-K for the fiscal year ended December 31, 2013 for filing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Gail P. Steinel, Chairperson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Warren M. Thompson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RELATIONSHIP WITH INDEPENDENT REGISTERED PUBLIC ACCOUNTING FIRM</w:t>
      </w:r>
    </w:p>
    <w:p>
      <w:pPr>
        <w:spacing w:after="0" w:line="177"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GT has served as our independent registered public accounting firm for the years 2002 through 2013. The Audit Committee approves in advance all fees paid to and services provided by GT. In addition, the Audit Committee has considered those services provided by GT and has determined that such services are compatible with maintaining the independence of GT. During 2013 and 2012, we retained GT to provide services in the following categories and amounts: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12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$581,645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$560,400</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Audit-Related Fees(2)</w:t>
            </w:r>
          </w:p>
        </w:tc>
        <w:tc>
          <w:tcPr>
            <w:tcW w:w="680" w:type="dxa"/>
            <w:vAlign w:val="bottom"/>
          </w:tcPr>
          <w:p>
            <w:pPr>
              <w:jc w:val="right"/>
              <w:spacing w:after="0"/>
              <w:rPr>
                <w:sz w:val="20"/>
                <w:szCs w:val="20"/>
                <w:color w:val="auto"/>
              </w:rPr>
            </w:pPr>
            <w:r>
              <w:rPr>
                <w:rFonts w:ascii="Arial" w:cs="Arial" w:eastAsia="Arial" w:hAnsi="Arial"/>
                <w:sz w:val="18"/>
                <w:szCs w:val="18"/>
                <w:color w:val="auto"/>
              </w:rPr>
              <w:t>56,700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48,381</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228,584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197,064</w:t>
            </w:r>
          </w:p>
        </w:tc>
        <w:tc>
          <w:tcPr>
            <w:tcW w:w="100" w:type="dxa"/>
            <w:vAlign w:val="bottom"/>
            <w:shd w:val="clear" w:color="auto" w:fill="CCEEFF"/>
          </w:tcPr>
          <w:p>
            <w:pPr>
              <w:spacing w:after="0"/>
              <w:rPr>
                <w:sz w:val="18"/>
                <w:szCs w:val="18"/>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$866,929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$805,845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2"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stock offerings. These figures do not include $17,010 in 2013 and $18,449 in 2012 we paid to GT as our 30% share of the cost of the 2013 and 2012 financial statement audits of our joint venture with affiliates of a discretionary fund created and advised by ING Clarion Partners.</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Audit-related fees primarily including audits of our employee benefit plan and an audit of one of our wholly owned properties.</w:t>
      </w:r>
    </w:p>
    <w:p>
      <w:pPr>
        <w:spacing w:after="0" w:line="9" w:lineRule="exact"/>
        <w:rPr>
          <w:rFonts w:ascii="Arial" w:cs="Arial" w:eastAsia="Arial" w:hAnsi="Arial"/>
          <w:sz w:val="18"/>
          <w:szCs w:val="18"/>
          <w:color w:val="auto"/>
        </w:rPr>
      </w:pPr>
    </w:p>
    <w:p>
      <w:pPr>
        <w:ind w:left="460" w:right="100" w:hanging="452"/>
        <w:spacing w:after="0" w:line="30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Tax fees include preparation of federal and state tax returns, earnings and profits calculations and requested tax research, none of which research related to tax shelters. These figures do not include $2,700 in 2013 and $2,622 in 2012 we paid to GT as our 30% share of the cost of tax return preparation for our joint venture with affiliates of a discretionary fund created and advised by ING Clarion Partners.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 Committee of the Board of Trustees has retained GT as our independent registered public accounting firm for the year ending December 31, 2014 and is asking the shareholders to ratify that selection. Our organizational documents do not require ratification of the selection of our independent registered public accounting firm; however, we are seeking ratification because we believe that it is a matter of good corporate practice to do so. If the selection of GT is not ratified, the Audit Committee may reconsider whether to retain GT. Even if the selection of GT is ratified, the Audit Committee may change the appointment of GT at any time if it determines such a change would be in the best interests of the Trust and our shareholders.</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representative of GT will be present at the Annual Meeting and will have the opportunity to make a statement and answer appropriate questions from shareholders.</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Audit Committee believes that GT is qualified to serve as our independent registered public accounting firm. GT is familiar with our affairs and financial procedures, having served as our independent accountant since June 2002. GT is registered with the Public Company Accounting Oversight Board. Pursuant to its charter, the Audit Committee must pre-approve all audit and non-audit services provided by GT. For 2014, the Audit Committee to date has approved GT providing the following non-audit services: (a) tax planning and other consultation for purposes of structuring acquisitions, dispositions, joint ventures and other investment or financing opportunities as well as consultation associated with financial reporting matters provided that the aggregate amount paid to GT for such services does not exceed $100,000; (b) issuance of comfort letters and consents in connection with capital markets transactions approved in accordance with the Trust’s policies and procedures provided that the aggregate amount paid to GT for such services does not exceed $125,000; (c) issuance of audit opinions related to acquisition audits required under Rule 3-14 of Regulation S-X provided that the aggregate amount paid to GT for such services does not exceed $75,000; (d) a Limited Review of the Trust’s letter to the State of California Environmental Protection Agency provided that the aggregate amount paid to GT for such services does not exceed $3,000. The scope and amount of non-audit services that GT can perform in 2014 is unchanged from 2013.</w:t>
      </w:r>
    </w:p>
    <w:p>
      <w:pPr>
        <w:spacing w:after="0" w:line="12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Once the pre-approved dollar limit for the applicable non-audit service has been reached, no additional services of that type can be provided by GT without further approval by the Audit Committee. The Audit Committee has concluded that GT’s providing these permissible non-audit services up to the aggregate pre-approved amounts would not compromise GT’s independence. The Audit Committee may approve GT providing additional non-audit services or services in excess of the amounts specified above if it determines that it is in our best interest and that GT’s independence would not be compromised. All audit and non-audit services provided to the Trust by GT for the 2013 fiscal year are described in the “Relationship With Independent Registered Public Accounting Firm” section above.</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the foregoing non-audit services, the Audit Committee also has approved GT performing the audit of the financial statements for our equity joint venture with affiliates of a discretionary fund created and advised by ING Clarion Partners for the fiscal years ending 2004 through 2013. We own a 30% interest in that joint venture. The Audit Committee approved GT performing this audit using the same criteria it uses for approving non-audit services. Although we do not consolidate the results of the joint venture, we do include our share of the joint venture’s results in our financial statements. The Committee concluded that having GT perform the joint venture’s audit facilitates the inclusion of those results in our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the proposal to ratify the Audit Committee’s selection of GT as our independent registered public accounting firm for 2014. If you fail to give any instructions on your proxy card on this matter, the proxies identified on the proxy card will vote FOR this proposal. An “abstention” or broker “non-vote” will have no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effect on the outcome of the vote on this proposal, however, if you fail to give instructions to your broker, your broker may have authority to vote the shares for this proposal.</w:t>
      </w:r>
    </w:p>
    <w:p>
      <w:pPr>
        <w:spacing w:after="0" w:line="126"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RATIFY THE AUDIT COMMITTEE’S SELECTION OF GT AS OUR INDEPENDENT REGISTERED PUBLIC ACCOUNTING FIRM FOR 2014.</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EXECUTIVE OFFICERS</w:t>
            </w:r>
          </w:p>
        </w:tc>
      </w:tr>
      <w:tr>
        <w:trPr>
          <w:trHeight w:val="378"/>
        </w:trPr>
        <w:tc>
          <w:tcPr>
            <w:tcW w:w="3960" w:type="dxa"/>
            <w:vAlign w:val="bottom"/>
          </w:tcPr>
          <w:p>
            <w:pPr>
              <w:ind w:left="460"/>
              <w:spacing w:after="0"/>
              <w:rPr>
                <w:sz w:val="20"/>
                <w:szCs w:val="20"/>
                <w:color w:val="auto"/>
              </w:rPr>
            </w:pPr>
            <w:r>
              <w:rPr>
                <w:rFonts w:ascii="Arial" w:cs="Arial" w:eastAsia="Arial" w:hAnsi="Arial"/>
                <w:sz w:val="18"/>
                <w:szCs w:val="18"/>
                <w:color w:val="auto"/>
              </w:rPr>
              <w:t>Our current “named executive officers” are:</w:t>
            </w:r>
          </w:p>
        </w:tc>
        <w:tc>
          <w:tcPr>
            <w:tcW w:w="720" w:type="dxa"/>
            <w:vAlign w:val="bottom"/>
          </w:tcPr>
          <w:p>
            <w:pPr>
              <w:spacing w:after="0"/>
              <w:rPr>
                <w:sz w:val="24"/>
                <w:szCs w:val="24"/>
                <w:color w:val="auto"/>
              </w:rPr>
            </w:pPr>
          </w:p>
        </w:tc>
        <w:tc>
          <w:tcPr>
            <w:tcW w:w="6740" w:type="dxa"/>
            <w:vAlign w:val="bottom"/>
          </w:tcPr>
          <w:p>
            <w:pPr>
              <w:spacing w:after="0"/>
              <w:rPr>
                <w:sz w:val="24"/>
                <w:szCs w:val="24"/>
                <w:color w:val="auto"/>
              </w:rPr>
            </w:pPr>
          </w:p>
        </w:tc>
      </w:tr>
      <w:tr>
        <w:trPr>
          <w:trHeight w:val="353"/>
        </w:trPr>
        <w:tc>
          <w:tcPr>
            <w:tcW w:w="3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Age</w:t>
            </w:r>
          </w:p>
        </w:tc>
        <w:tc>
          <w:tcPr>
            <w:tcW w:w="67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James M. Taylor, Jr.</w:t>
            </w: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6740" w:type="dxa"/>
            <w:vAlign w:val="bottom"/>
          </w:tcPr>
          <w:p>
            <w:pPr>
              <w:ind w:left="300"/>
              <w:spacing w:after="0"/>
              <w:rPr>
                <w:sz w:val="20"/>
                <w:szCs w:val="20"/>
                <w:color w:val="auto"/>
              </w:rPr>
            </w:pPr>
            <w:r>
              <w:rPr>
                <w:rFonts w:ascii="Arial" w:cs="Arial" w:eastAsia="Arial" w:hAnsi="Arial"/>
                <w:sz w:val="18"/>
                <w:szCs w:val="18"/>
                <w:color w:val="auto"/>
              </w:rPr>
              <w:t>Executive Vice President—Chief Financial Officer and Treasurer</w:t>
            </w:r>
          </w:p>
        </w:tc>
      </w:tr>
      <w:tr>
        <w:trPr>
          <w:trHeight w:val="20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Executive Vice President—Chief Operating Officer/General</w:t>
            </w:r>
          </w:p>
        </w:tc>
      </w:tr>
      <w:tr>
        <w:trPr>
          <w:trHeight w:val="224"/>
        </w:trPr>
        <w:tc>
          <w:tcPr>
            <w:tcW w:w="3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Counsel and Secretary</w:t>
            </w: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Donald C. Wood, </w:t>
      </w:r>
      <w:r>
        <w:rPr>
          <w:rFonts w:ascii="Arial" w:cs="Arial" w:eastAsia="Arial" w:hAnsi="Arial"/>
          <w:sz w:val="18"/>
          <w:szCs w:val="18"/>
          <w:color w:val="auto"/>
        </w:rPr>
        <w:t>Information for Mr. Wood is provided above in “Item 1—Election of Trustees.”</w:t>
      </w:r>
    </w:p>
    <w:p>
      <w:pPr>
        <w:spacing w:after="0" w:line="171"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James M. Taylor, Jr., </w:t>
      </w:r>
      <w:r>
        <w:rPr>
          <w:rFonts w:ascii="Arial" w:cs="Arial" w:eastAsia="Arial" w:hAnsi="Arial"/>
          <w:sz w:val="16"/>
          <w:szCs w:val="16"/>
          <w:color w:val="auto"/>
        </w:rPr>
        <w:t>Executive Vice President-Chief Financial Officer and Treasurer of the Trust since August 15, 2012, with responsibility for</w:t>
      </w:r>
      <w:r>
        <w:rPr>
          <w:rFonts w:ascii="Arial" w:cs="Arial" w:eastAsia="Arial" w:hAnsi="Arial"/>
          <w:sz w:val="16"/>
          <w:szCs w:val="16"/>
          <w:b w:val="1"/>
          <w:bCs w:val="1"/>
          <w:color w:val="auto"/>
        </w:rPr>
        <w:t xml:space="preserve"> </w:t>
      </w:r>
      <w:r>
        <w:rPr>
          <w:rFonts w:ascii="Arial" w:cs="Arial" w:eastAsia="Arial" w:hAnsi="Arial"/>
          <w:sz w:val="16"/>
          <w:szCs w:val="16"/>
          <w:color w:val="auto"/>
        </w:rPr>
        <w:t>overseeing the Trust’s capital markets, financial reporting, investor relations, corporate communications, information technology and East Coast acquisitions functions; Executive Vice President of the Trust from July 30, 2012 until August 14, 2012; and a senior managing director in the real estate investment banking division of Eastdil Secured and predecessors Wachovia Securities and First Union Securities (1998 to 2012). Prior to his career in investment banking, Mr. Taylor practiced corporate and securities law at Hunton &amp; Williams (1994 to 1998) and worked as a senior accountant for Price Waterhouse (1988 to 1991).</w:t>
      </w:r>
    </w:p>
    <w:p>
      <w:pPr>
        <w:spacing w:after="0" w:line="108" w:lineRule="exact"/>
        <w:rPr>
          <w:sz w:val="20"/>
          <w:szCs w:val="20"/>
          <w:color w:val="auto"/>
        </w:rPr>
      </w:pPr>
    </w:p>
    <w:p>
      <w:pPr>
        <w:jc w:val="both"/>
        <w:ind w:right="120" w:firstLine="456"/>
        <w:spacing w:after="0" w:line="310" w:lineRule="auto"/>
        <w:rPr>
          <w:sz w:val="20"/>
          <w:szCs w:val="20"/>
          <w:color w:val="auto"/>
        </w:rPr>
      </w:pPr>
      <w:r>
        <w:rPr>
          <w:rFonts w:ascii="Arial" w:cs="Arial" w:eastAsia="Arial" w:hAnsi="Arial"/>
          <w:sz w:val="16"/>
          <w:szCs w:val="16"/>
          <w:b w:val="1"/>
          <w:bCs w:val="1"/>
          <w:color w:val="auto"/>
        </w:rPr>
        <w:t>Dawn M. Becker</w:t>
      </w:r>
      <w:r>
        <w:rPr>
          <w:rFonts w:ascii="Arial" w:cs="Arial" w:eastAsia="Arial" w:hAnsi="Arial"/>
          <w:sz w:val="16"/>
          <w:szCs w:val="16"/>
          <w:color w:val="auto"/>
        </w:rPr>
        <w:t>, Executive Vice President – Chief Operating Officer (since February 2010) and General Counsel and Secretary of the Trust (since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2002), with responsibility for overseeing all of the Trust’s operations and asset management functions and the Trust’s Legal and Human Resources Departments; and prior to that time, various officer positions with the Trust, including Vice President–Real Estate and Finance Counsel (2000 to 2002).</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You will be asked in Item 3 of this proxy statement to provide a non-binding, advisory vote on the compensation of our named executive officers as described in the following sections of this proxy statement. Please keep that in mind as you review the CD&amp;A, summary compensation table, the supplemental tables and narrative disclosures that follow.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Performance Summary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2013 was a record setting year of performance. Highlights of that performance include: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Record levels of gross revenues of $637.4 million</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Record level of funds from operations (“FFO”) and FFO per diluted share of $303.2 million and $4.61 per diluted share, respectively, excluding the impact of $13.3 million of charges associated with the Board’s approving early repayment of maturing debt. FFO is a metric commonly used by REITs to measure performance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Signed 348 new and renewal leases for space in which there was a prior tenant, accounting for 1.4 million square feet and generating cash rents 20% higher than the prior rent. These leases will generate an additional $7.4 million of rent per year than the prior leases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Occupancy of 95.1% as of December 31, 2013</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Refinanced approximately $445 million of debt having a weighted average stated interest rate of 6.21% and a term of a year or less with new debt having a ten year maturity and a weighted average coupon of 3.38%</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Amended our line of credit to increase the capacity by $200 million, extend the term by almost two years and lowered the cost by 20 basis points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Received upgraded credit ratings from both Moody’s and Standard &amp; Poor’s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our cash dividend to shareholders for the 46</w:t>
      </w:r>
      <w:r>
        <w:rPr>
          <w:rFonts w:ascii="Arial" w:cs="Arial" w:eastAsia="Arial" w:hAnsi="Arial"/>
          <w:sz w:val="11"/>
          <w:szCs w:val="11"/>
          <w:color w:val="auto"/>
        </w:rPr>
        <w:t>th</w:t>
      </w:r>
      <w:r>
        <w:rPr>
          <w:rFonts w:ascii="Arial" w:cs="Arial" w:eastAsia="Arial" w:hAnsi="Arial"/>
          <w:sz w:val="18"/>
          <w:szCs w:val="18"/>
          <w:color w:val="auto"/>
        </w:rPr>
        <w:t xml:space="preserve"> consecutive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Highlights:</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Progressed the development of Phase 1 at both Assembly Row and Pike &amp; Rose such that both projects will open in 2014 as planned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Opened the first portion of our newest residential building at Santana Row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Sold two non-strategic buildings for a total gain of $24 million which was reinvested in a key retail asset we acquired in Darien, Connecticut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Compensation Actions: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At our 2013 annual meeting of shareholders, our advisory vote on say on pay was approved by 63% of our shareholders who cast votes for the meeting. We engaged in discussions with many of our shareholders to understand those results. Our understanding from those discussions was that many investors were unhappy that the agreement entered into with Jim Taylor, our Chief Financial Officer who joined the company in 2012, included a modified single trigger for change of control payments and also included a tax gross up payment in the event of a change of control, consistent with the agreements that were put in place more than ten years ago for our other named executive officers. Although many of our shareholders acknowledged that the business rationale of the Compensation Committee for including these provisions in Mr. Taylor’s agreement was sound given his overall compensation package and long affiliation with the Trust prior to becoming an employee, they reiterated their belief that these provisions do not represent current governance best practices. The Compensation Committee considered the feedback received from our shareholders and agreed, after discussion with the entire Board, that any future agreements with change in control protection would include a double trigger and would not include a tax gross up. The Committee also considered whether Mr. Taylor’s agreement should be modified with respect to these provisions but declined to do so given their belief, supported by a majority of our shareholders, that the overall economic and non-economic package of terms and benefits awarded to Mr. Taylor when he joined the company was appropriate under the circumstances.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specific compensation actions in 2013, the Compensation Committee did the following:</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Salary – made no changes to the base salaries for any of our named executive officers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Performance Bonus Plan (“Annual Bonus Plan”) – made no changes to target levels or potential payouts for any of our named executive officers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Long-Term Incentive Award Program (“LTIAP”) – made no changes to the target levels or potential payouts for any of our named executive officers</w:t>
      </w:r>
    </w:p>
    <w:p>
      <w:pPr>
        <w:spacing w:after="0" w:line="113"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Adopted a policy expressly prohibiting all of our officers and Trustees from engaging in any hedging or pledging activities with respect to the Trust’s stock</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Adopted a policy that future agreements entered into with executives that include change in control protections would include a double trigger and no tax gross up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Direct Compensation:</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following table provides the total direct compensation paid to our named executive officers in 2013, 2012 and 2011. This chart does not include all of the items required by the SEC to be included in the Summary Compensation Table nor does it calculate the amounts shown in the same manner as the SEC requires in the Summary Compensation Table. The total compensation reflected in the following table consists of:</w:t>
      </w:r>
    </w:p>
    <w:p>
      <w:pPr>
        <w:spacing w:after="0" w:line="2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 salary – the actual base salary paid to the named executive officer for the year indicated</w:t>
      </w:r>
    </w:p>
    <w:p>
      <w:pPr>
        <w:spacing w:after="0" w:line="9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bonus – the annual cash incentive compensation earned by the named executive officer for the year indicated which is paid in the following year. The amount shown does not include any additional amounts paid in consideration of any portion of the annual bonus the named executive officer elects to have paid in stock with delayed vesting</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LTIAP – the long-term incentive equity award earned by the named executive officer for the 3-year performance period ending on December 31 of the year indicated. The actual award of the equity earned is not made until the following year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NEO</w:t>
            </w:r>
          </w:p>
        </w:tc>
        <w:tc>
          <w:tcPr>
            <w:tcW w:w="3240" w:type="dxa"/>
            <w:vAlign w:val="bottom"/>
          </w:tcPr>
          <w:p>
            <w:pPr>
              <w:ind w:left="2020"/>
              <w:spacing w:after="0"/>
              <w:rPr>
                <w:sz w:val="20"/>
                <w:szCs w:val="20"/>
                <w:color w:val="auto"/>
              </w:rPr>
            </w:pPr>
            <w:r>
              <w:rPr>
                <w:rFonts w:ascii="Arial" w:cs="Arial" w:eastAsia="Arial" w:hAnsi="Arial"/>
                <w:sz w:val="14"/>
                <w:szCs w:val="14"/>
                <w:b w:val="1"/>
                <w:bCs w:val="1"/>
                <w:color w:val="auto"/>
              </w:rPr>
              <w:t>Position</w:t>
            </w:r>
          </w:p>
        </w:tc>
        <w:tc>
          <w:tcPr>
            <w:tcW w:w="1180" w:type="dxa"/>
            <w:vAlign w:val="bottom"/>
          </w:tcPr>
          <w:p>
            <w:pPr>
              <w:ind w:left="680"/>
              <w:spacing w:after="0"/>
              <w:rPr>
                <w:sz w:val="20"/>
                <w:szCs w:val="20"/>
                <w:color w:val="auto"/>
              </w:rPr>
            </w:pPr>
            <w:r>
              <w:rPr>
                <w:rFonts w:ascii="Arial" w:cs="Arial" w:eastAsia="Arial" w:hAnsi="Arial"/>
                <w:sz w:val="14"/>
                <w:szCs w:val="14"/>
                <w:b w:val="1"/>
                <w:bCs w:val="1"/>
                <w:color w:val="auto"/>
              </w:rPr>
              <w:t>Year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3"/>
              </w:rPr>
              <w:t>Base</w:t>
            </w:r>
          </w:p>
        </w:tc>
        <w:tc>
          <w:tcPr>
            <w:tcW w:w="12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Annual Bonus</w:t>
            </w:r>
          </w:p>
        </w:tc>
        <w:tc>
          <w:tcPr>
            <w:tcW w:w="15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Annual LTIAP (a)</w:t>
            </w:r>
          </w:p>
        </w:tc>
        <w:tc>
          <w:tcPr>
            <w:tcW w:w="300" w:type="dxa"/>
            <w:vAlign w:val="bottom"/>
          </w:tcPr>
          <w:p>
            <w:pPr>
              <w:spacing w:after="0"/>
              <w:rPr>
                <w:sz w:val="14"/>
                <w:szCs w:val="14"/>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Wood</w:t>
            </w:r>
          </w:p>
        </w:tc>
        <w:tc>
          <w:tcPr>
            <w:tcW w:w="32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Chief Executive Officer</w:t>
            </w:r>
          </w:p>
        </w:tc>
        <w:tc>
          <w:tcPr>
            <w:tcW w:w="11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2013</w:t>
            </w: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$ 850,000</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2"/>
              </w:rPr>
              <w:t>1,540,583</w:t>
            </w:r>
          </w:p>
        </w:tc>
        <w:tc>
          <w:tcPr>
            <w:tcW w:w="44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6,000,000</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2"/>
              </w:rPr>
              <w:t>8,390,583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2012</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$ 850,000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1,466,250</w:t>
            </w:r>
          </w:p>
        </w:tc>
        <w:tc>
          <w:tcPr>
            <w:tcW w:w="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6,000,000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w w:val="92"/>
              </w:rPr>
              <w:t>8,316,250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2011</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$ 850,000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2"/>
              </w:rPr>
              <w:t>1,300,000</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6,000,000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2"/>
              </w:rPr>
              <w:t>8,150,000</w:t>
            </w:r>
          </w:p>
        </w:tc>
        <w:tc>
          <w:tcPr>
            <w:tcW w:w="0" w:type="dxa"/>
            <w:vAlign w:val="bottom"/>
          </w:tcPr>
          <w:p>
            <w:pPr>
              <w:spacing w:after="0"/>
              <w:rPr>
                <w:sz w:val="1"/>
                <w:szCs w:val="1"/>
                <w:color w:val="auto"/>
              </w:rPr>
            </w:pPr>
          </w:p>
        </w:tc>
      </w:tr>
      <w:tr>
        <w:trPr>
          <w:trHeight w:val="323"/>
        </w:trPr>
        <w:tc>
          <w:tcPr>
            <w:tcW w:w="2060" w:type="dxa"/>
            <w:vAlign w:val="bottom"/>
            <w:gridSpan w:val="2"/>
          </w:tcPr>
          <w:p>
            <w:pPr>
              <w:spacing w:after="0"/>
              <w:rPr>
                <w:sz w:val="20"/>
                <w:szCs w:val="20"/>
                <w:color w:val="auto"/>
              </w:rPr>
            </w:pPr>
            <w:r>
              <w:rPr>
                <w:rFonts w:ascii="Arial" w:cs="Arial" w:eastAsia="Arial" w:hAnsi="Arial"/>
                <w:sz w:val="18"/>
                <w:szCs w:val="18"/>
                <w:color w:val="auto"/>
              </w:rPr>
              <w:t>Dawn Becker</w:t>
            </w:r>
          </w:p>
        </w:tc>
        <w:tc>
          <w:tcPr>
            <w:tcW w:w="3240" w:type="dxa"/>
            <w:vAlign w:val="bottom"/>
          </w:tcPr>
          <w:p>
            <w:pPr>
              <w:ind w:left="900"/>
              <w:spacing w:after="0"/>
              <w:rPr>
                <w:sz w:val="20"/>
                <w:szCs w:val="20"/>
                <w:color w:val="auto"/>
              </w:rPr>
            </w:pPr>
            <w:r>
              <w:rPr>
                <w:rFonts w:ascii="Arial" w:cs="Arial" w:eastAsia="Arial" w:hAnsi="Arial"/>
                <w:sz w:val="18"/>
                <w:szCs w:val="18"/>
                <w:color w:val="auto"/>
              </w:rPr>
              <w:t>Chief Operating Officer</w:t>
            </w:r>
          </w:p>
        </w:tc>
        <w:tc>
          <w:tcPr>
            <w:tcW w:w="1180" w:type="dxa"/>
            <w:vAlign w:val="bottom"/>
          </w:tcPr>
          <w:p>
            <w:pPr>
              <w:ind w:left="680"/>
              <w:spacing w:after="0"/>
              <w:rPr>
                <w:sz w:val="20"/>
                <w:szCs w:val="20"/>
                <w:color w:val="auto"/>
              </w:rPr>
            </w:pPr>
            <w:r>
              <w:rPr>
                <w:rFonts w:ascii="Arial" w:cs="Arial" w:eastAsia="Arial" w:hAnsi="Arial"/>
                <w:sz w:val="18"/>
                <w:szCs w:val="18"/>
                <w:color w:val="auto"/>
              </w:rPr>
              <w:t>2013</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$ 425,000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385,146</w:t>
            </w:r>
          </w:p>
        </w:tc>
        <w:tc>
          <w:tcPr>
            <w:tcW w:w="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900,000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w w:val="92"/>
              </w:rPr>
              <w:t>1,710,146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2012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$ 425,000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366,563</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900,000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2"/>
              </w:rPr>
              <w:t>1,691,563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2011</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$ 425,000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364,299</w:t>
            </w:r>
          </w:p>
        </w:tc>
        <w:tc>
          <w:tcPr>
            <w:tcW w:w="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750,000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w w:val="92"/>
              </w:rPr>
              <w:t>1,539,299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James Taylor (b)</w:t>
            </w:r>
          </w:p>
        </w:tc>
        <w:tc>
          <w:tcPr>
            <w:tcW w:w="3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Chief Financial Officer</w:t>
            </w:r>
          </w:p>
        </w:tc>
        <w:tc>
          <w:tcPr>
            <w:tcW w:w="1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2013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$ 400,000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362,490</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900,000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2"/>
              </w:rPr>
              <w:t>1,662,490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2012</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$ 400,000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345,000</w:t>
            </w:r>
          </w:p>
        </w:tc>
        <w:tc>
          <w:tcPr>
            <w:tcW w:w="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900,000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w w:val="92"/>
              </w:rPr>
              <w:t>1,645,000</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left="460" w:right="200" w:hanging="452"/>
        <w:spacing w:after="0" w:line="25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Awards are earned based on performance for the three-year period ending on December 31 of the year indicated and then vest equally over the next three years. For example, the award reflected for 2013 was earned based on the performance period from January 1, 2011 through December 31, 2013 and will vest in equal installments in each of 2015, 2016 and 2017.</w:t>
      </w: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Taylor joined the Trust in August 2012. For comparison purposes, the base salary shown for 2012 has been annualized. The amounts reflected for</w:t>
      </w:r>
    </w:p>
    <w:p>
      <w:pPr>
        <w:spacing w:after="0" w:line="32" w:lineRule="exact"/>
        <w:rPr>
          <w:rFonts w:ascii="Arial" w:cs="Arial" w:eastAsia="Arial" w:hAnsi="Arial"/>
          <w:sz w:val="16"/>
          <w:szCs w:val="16"/>
          <w:color w:val="auto"/>
        </w:rPr>
      </w:pPr>
    </w:p>
    <w:p>
      <w:pPr>
        <w:ind w:left="460" w:right="40"/>
        <w:spacing w:after="0" w:line="261" w:lineRule="auto"/>
        <w:rPr>
          <w:rFonts w:ascii="Arial" w:cs="Arial" w:eastAsia="Arial" w:hAnsi="Arial"/>
          <w:sz w:val="16"/>
          <w:szCs w:val="16"/>
          <w:color w:val="auto"/>
        </w:rPr>
      </w:pPr>
      <w:r>
        <w:rPr>
          <w:rFonts w:ascii="Arial" w:cs="Arial" w:eastAsia="Arial" w:hAnsi="Arial"/>
          <w:sz w:val="18"/>
          <w:szCs w:val="18"/>
          <w:color w:val="auto"/>
        </w:rPr>
        <w:t>Mr. Taylor in 2012 do not include the one-time sign on bonus paid to Mr. Taylor to replace compensation and other benefits from his prior employer that he was required to forfeit in order to join the Trust.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for Performance Alignment:</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Because nearly two-thirds of the compensation of our named executive officers is in the form of equity under our LTIAP which is calculated based on a 3-year performance period, the pay for performance alignment is most evident when looking at total shareholder returns for the same 3-year period. The following graph shows the compensation earned by our Chief Executive Officer, Chief Operating Officer and Chief Financial Officer positions for each of 2009-2013 compared to the total shareholder return we delivered to our shareholders for the 3-year period ending on December 31 in each of those years. For the CFO position, the compensation for our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former CFO is included for 2009 through 2011 and the compensation for Mr. Taylor (with base salary annualized to reflect a full year of employment) is included for 2012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114935</wp:posOffset>
            </wp:positionV>
            <wp:extent cx="5111115" cy="2590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1111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2010 compensation does not include a one-time $5 million retention equity award made to Mr. Wood when he was being actively pursued to become the chief executive officer of another REIT.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compensation programs are designed to create a compensation package for each named executive officer that is sufficiently competitive to attract and retain top-level real estate professionals and to motivate those individuals to achieve superior results for us and our shareholders. As part of this compensation philosophy, we try to provide a strong link between an executive’s total earnings opportunity and both our short-term and long-term performance based on the achievement of pre-determined financial targets and operating goals and to encourage our executives to enhance shareholder value by acting and thinking like shareholders. The key principles guiding our compensation decisions are:</w:t>
      </w:r>
    </w:p>
    <w:p>
      <w:pPr>
        <w:spacing w:after="0" w:line="116" w:lineRule="exact"/>
        <w:rPr>
          <w:sz w:val="20"/>
          <w:szCs w:val="20"/>
          <w:color w:val="auto"/>
        </w:rPr>
      </w:pPr>
    </w:p>
    <w:p>
      <w:pPr>
        <w:ind w:right="100" w:firstLine="464"/>
        <w:spacing w:after="0" w:line="259" w:lineRule="auto"/>
        <w:tabs>
          <w:tab w:leader="none" w:pos="62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compensation opportunities must be competitive with the marketplace so that we can attract, retain and motivate talented executives who are necessary for achieving superior results for the Trust; however, the aggregate compensation levels must be reasonable in the context of our overall cost structure and must support our business strategy.</w:t>
      </w:r>
    </w:p>
    <w:p>
      <w:pPr>
        <w:spacing w:after="0" w:line="140" w:lineRule="exact"/>
        <w:rPr>
          <w:rFonts w:ascii="Arial" w:cs="Arial" w:eastAsia="Arial" w:hAnsi="Arial"/>
          <w:sz w:val="18"/>
          <w:szCs w:val="18"/>
          <w:color w:val="auto"/>
        </w:rPr>
      </w:pPr>
    </w:p>
    <w:p>
      <w:pPr>
        <w:ind w:right="60" w:firstLine="464"/>
        <w:spacing w:after="0" w:line="255" w:lineRule="auto"/>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compensation of our named executive officers should include a significant portion that is “at risk” and variable depending on both our short-term financial performance and long-term creation of shareholder value with the largest portion of that “at risk” compensation designed to incentivize the creation of sustainable, long-term shareholder value. The “at risk” portion of 2013 compensation for our named executive officers is comprised of annual bonuses under our Annual Bonus Plan and long-term equity awards under our LTIAP, both of which are earned only if the Trust meets pre-established performance hurdles. These “at risk” portions of</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compensation represented 90% of the total 2013 compensation earned by our Chief Executive Officer and 75% of the total 2013 compensation earned by our Chief Financial Officer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114935</wp:posOffset>
            </wp:positionV>
            <wp:extent cx="5179695" cy="20923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79695"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464"/>
        <w:spacing w:after="0" w:line="288" w:lineRule="auto"/>
        <w:tabs>
          <w:tab w:leader="none" w:pos="6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significant portion of each executive’s total compensation opportunity should be equity based. Our executives should act in the best interest of our shareholders and the best way to encourage them to do that is through compensating them with an equity stake in the Trust and requiring that they maintain a meaningful ownership position. To facilitate this objective, we have adopted guidelines requiring that Mr. Wood, as our CEO, have an equity ownership in the Trust having a value of at least three times his base salary and annual bonus and that Ms. Becker and Mr. Taylor each have an equity ownership in the Trust having a value of at least two and one-half times their respective base salary and annual bonus. The Nominating and Corporate Governance Committee confirmed that each of Mr. Wood and Ms. Becker were in compliance with the minimum stock ownership requirements at December 31, 2013. Given that Mr. Taylor only joined the Trust in July 2012, he was not in compliance with the ownership requirements as of December 31, 2013. Pursuant to our Corporate Governance Guidelines, Mr. Taylor has five years within which to meet the ownership requirements and in fact, with the award that was made to Mr. Taylor pursuant to the LTIAP in February 2014, he satisfied the minimum stock ownership requirements.</w:t>
      </w:r>
    </w:p>
    <w:p>
      <w:pPr>
        <w:spacing w:after="0" w:line="119" w:lineRule="exact"/>
        <w:rPr>
          <w:rFonts w:ascii="Arial" w:cs="Arial" w:eastAsia="Arial" w:hAnsi="Arial"/>
          <w:sz w:val="16"/>
          <w:szCs w:val="16"/>
          <w:color w:val="auto"/>
        </w:rPr>
      </w:pPr>
    </w:p>
    <w:p>
      <w:pPr>
        <w:ind w:right="620" w:firstLine="464"/>
        <w:spacing w:after="0" w:line="259"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each executive actually earns out of his or her total compensation opportunity should vary based on the individual’s performance, contribution and overall value to the business. The proportion of an individual’s total compensation that varies with individual and company performance objectives should increase as the individual’s business responsibilities increase.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crafting our compensation policies and programs, we also consider whether they will encourage excessive or unnecessary risk taking and as described in the “Risk Management Oversight” section, we have concluded that our compensation programs do not do so. We do not currently have any “clawback” or other compensation recovery policy with respect to compensation that may have been paid on the basis of incorrect financial results. We do expect to adopt such policies in the future to comply with the terms of the Dodd-Frank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Methodology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of the Board is responsible for approving all compensation for our named executive officers. The Committee periodically reviews all elements of compensation to ensure that we remain competitive in the market and to ensure that overall compensation, including the means by which payment is made, is aligned with our business objectives, our performance and the interests of our shareholders. The Committee conducts an annual review of our CEO’s performance and takes those results into consideration when setting compensation for our CEO. Our CEO plays a significant role in setting the compensation for our other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named executive officers by providing the Committee with an evaluation of their performances and recommendations for their compensation, including recommendations for any adjustments to annual bonus and long-term equity payouts which are otherwise determined formulaically. The Committee has the discretion to accept, reject or modify the CEO’s recommendations.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total potential compensation for our named executive officers is established based on the scope of their individual responsibilities and contributions to our performance taking into account competitive market compensation paid for similar positions. Competitive market compensation for our named executive officers is generally determined by the Committee members applying their individual understanding, experiences and judgments in the national marketplace of senior level real estate positions and related industry pay in both public and private concerns that may compete for our executives, considering the relative importance of various positions at the Trust given our business plan and organization compared with the business plans of our major competitors. The Committee consulted the National Association of Real Estate Investment Trust’s 2012 and 2013 Compensation Surveys (“NAREIT Surveys”) to confirm its assessment of appropriate market compensation for our executive officers, both the information reported for each position by the 110 real estate investment trusts (“REITs”) that participated in the survey as well as by the approximately 20 retail focused REITs that participated in the survey. Not all REITs that participated in the survey provided information for each of the named executive officer positions and it is not possible to determine from the NAREIT Survey which of the participating REITs provided information for which executive officer position. Once the Committee determines an appropriate level of aggregate compensation for our named executive officers, an individual compensation package is created using a combination of base salary, annual bonus and long-term equity incentives, all in accordance with the compensation philosophy and objectives described earlier.</w:t>
      </w:r>
    </w:p>
    <w:p>
      <w:pPr>
        <w:spacing w:after="0" w:line="124"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addition to consulting the NAREIT Survey, the Compensation Committee retained Mercer Consulting, a nationally recognized compensation consultant (“Mercer”) in late 2010 to benchmark comparable real estate companies and make recommendations for compensation for our CEO and other members of senior management, including our other named executive officers. For benchmarking purposes, Mercer used the following publicly traded REITs: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HCP</w:t>
            </w:r>
          </w:p>
        </w:tc>
        <w:tc>
          <w:tcPr>
            <w:tcW w:w="2940" w:type="dxa"/>
            <w:vAlign w:val="bottom"/>
          </w:tcPr>
          <w:p>
            <w:pPr>
              <w:ind w:left="540"/>
              <w:spacing w:after="0"/>
              <w:rPr>
                <w:sz w:val="20"/>
                <w:szCs w:val="20"/>
                <w:color w:val="auto"/>
              </w:rPr>
            </w:pPr>
            <w:r>
              <w:rPr>
                <w:rFonts w:ascii="Arial" w:cs="Arial" w:eastAsia="Arial" w:hAnsi="Arial"/>
                <w:sz w:val="18"/>
                <w:szCs w:val="18"/>
                <w:color w:val="auto"/>
              </w:rPr>
              <w:t>CBL &amp; Associates</w:t>
            </w:r>
          </w:p>
        </w:tc>
        <w:tc>
          <w:tcPr>
            <w:tcW w:w="2620" w:type="dxa"/>
            <w:vAlign w:val="bottom"/>
          </w:tcPr>
          <w:p>
            <w:pPr>
              <w:ind w:left="680"/>
              <w:spacing w:after="0"/>
              <w:rPr>
                <w:sz w:val="20"/>
                <w:szCs w:val="20"/>
                <w:color w:val="auto"/>
              </w:rPr>
            </w:pPr>
            <w:r>
              <w:rPr>
                <w:rFonts w:ascii="Arial" w:cs="Arial" w:eastAsia="Arial" w:hAnsi="Arial"/>
                <w:sz w:val="18"/>
                <w:szCs w:val="18"/>
                <w:color w:val="auto"/>
              </w:rPr>
              <w:t>Kimco Realty</w:t>
            </w:r>
          </w:p>
        </w:tc>
        <w:tc>
          <w:tcPr>
            <w:tcW w:w="2380" w:type="dxa"/>
            <w:vAlign w:val="bottom"/>
          </w:tcPr>
          <w:p>
            <w:pPr>
              <w:ind w:left="560"/>
              <w:spacing w:after="0"/>
              <w:rPr>
                <w:sz w:val="20"/>
                <w:szCs w:val="20"/>
                <w:color w:val="auto"/>
              </w:rPr>
            </w:pPr>
            <w:r>
              <w:rPr>
                <w:rFonts w:ascii="Arial" w:cs="Arial" w:eastAsia="Arial" w:hAnsi="Arial"/>
                <w:sz w:val="18"/>
                <w:szCs w:val="18"/>
                <w:color w:val="auto"/>
                <w:w w:val="88"/>
              </w:rPr>
              <w:t>National Retail Properties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DDR</w:t>
            </w:r>
          </w:p>
        </w:tc>
        <w:tc>
          <w:tcPr>
            <w:tcW w:w="2940" w:type="dxa"/>
            <w:vAlign w:val="bottom"/>
          </w:tcPr>
          <w:p>
            <w:pPr>
              <w:ind w:left="540"/>
              <w:spacing w:after="0"/>
              <w:rPr>
                <w:sz w:val="20"/>
                <w:szCs w:val="20"/>
                <w:color w:val="auto"/>
              </w:rPr>
            </w:pPr>
            <w:r>
              <w:rPr>
                <w:rFonts w:ascii="Arial" w:cs="Arial" w:eastAsia="Arial" w:hAnsi="Arial"/>
                <w:sz w:val="18"/>
                <w:szCs w:val="18"/>
                <w:color w:val="auto"/>
              </w:rPr>
              <w:t>Macerich</w:t>
            </w:r>
          </w:p>
        </w:tc>
        <w:tc>
          <w:tcPr>
            <w:tcW w:w="2620" w:type="dxa"/>
            <w:vAlign w:val="bottom"/>
          </w:tcPr>
          <w:p>
            <w:pPr>
              <w:ind w:left="680"/>
              <w:spacing w:after="0"/>
              <w:rPr>
                <w:sz w:val="20"/>
                <w:szCs w:val="20"/>
                <w:color w:val="auto"/>
              </w:rPr>
            </w:pPr>
            <w:r>
              <w:rPr>
                <w:rFonts w:ascii="Arial" w:cs="Arial" w:eastAsia="Arial" w:hAnsi="Arial"/>
                <w:sz w:val="18"/>
                <w:szCs w:val="18"/>
                <w:color w:val="auto"/>
              </w:rPr>
              <w:t>Digital Realty Trust</w:t>
            </w:r>
          </w:p>
        </w:tc>
        <w:tc>
          <w:tcPr>
            <w:tcW w:w="2380" w:type="dxa"/>
            <w:vAlign w:val="bottom"/>
          </w:tcPr>
          <w:p>
            <w:pPr>
              <w:ind w:left="560"/>
              <w:spacing w:after="0"/>
              <w:rPr>
                <w:sz w:val="20"/>
                <w:szCs w:val="20"/>
                <w:color w:val="auto"/>
              </w:rPr>
            </w:pPr>
            <w:r>
              <w:rPr>
                <w:rFonts w:ascii="Arial" w:cs="Arial" w:eastAsia="Arial" w:hAnsi="Arial"/>
                <w:sz w:val="18"/>
                <w:szCs w:val="18"/>
                <w:color w:val="auto"/>
              </w:rPr>
              <w:t>Equity One</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Taubman Centers</w:t>
            </w:r>
          </w:p>
        </w:tc>
        <w:tc>
          <w:tcPr>
            <w:tcW w:w="2940" w:type="dxa"/>
            <w:vAlign w:val="bottom"/>
          </w:tcPr>
          <w:p>
            <w:pPr>
              <w:ind w:left="540"/>
              <w:spacing w:after="0"/>
              <w:rPr>
                <w:sz w:val="20"/>
                <w:szCs w:val="20"/>
                <w:color w:val="auto"/>
              </w:rPr>
            </w:pPr>
            <w:r>
              <w:rPr>
                <w:rFonts w:ascii="Arial" w:cs="Arial" w:eastAsia="Arial" w:hAnsi="Arial"/>
                <w:sz w:val="18"/>
                <w:szCs w:val="18"/>
                <w:color w:val="auto"/>
              </w:rPr>
              <w:t>Weingarten Realty Trust</w:t>
            </w:r>
          </w:p>
        </w:tc>
        <w:tc>
          <w:tcPr>
            <w:tcW w:w="2620" w:type="dxa"/>
            <w:vAlign w:val="bottom"/>
          </w:tcPr>
          <w:p>
            <w:pPr>
              <w:ind w:left="680"/>
              <w:spacing w:after="0"/>
              <w:rPr>
                <w:sz w:val="20"/>
                <w:szCs w:val="20"/>
                <w:color w:val="auto"/>
              </w:rPr>
            </w:pPr>
            <w:r>
              <w:rPr>
                <w:rFonts w:ascii="Arial" w:cs="Arial" w:eastAsia="Arial" w:hAnsi="Arial"/>
                <w:sz w:val="18"/>
                <w:szCs w:val="18"/>
                <w:color w:val="auto"/>
              </w:rPr>
              <w:t>Regency Centers</w:t>
            </w:r>
          </w:p>
        </w:tc>
        <w:tc>
          <w:tcPr>
            <w:tcW w:w="2380" w:type="dxa"/>
            <w:vAlign w:val="bottom"/>
          </w:tcPr>
          <w:p>
            <w:pPr>
              <w:ind w:left="560"/>
              <w:spacing w:after="0"/>
              <w:rPr>
                <w:sz w:val="20"/>
                <w:szCs w:val="20"/>
                <w:color w:val="auto"/>
              </w:rPr>
            </w:pPr>
            <w:r>
              <w:rPr>
                <w:rFonts w:ascii="Arial" w:cs="Arial" w:eastAsia="Arial" w:hAnsi="Arial"/>
                <w:sz w:val="18"/>
                <w:szCs w:val="18"/>
                <w:color w:val="auto"/>
              </w:rPr>
              <w:t>Realty Income</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Tanger Factory Outlet Centers</w:t>
            </w:r>
          </w:p>
        </w:tc>
        <w:tc>
          <w:tcPr>
            <w:tcW w:w="29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380" w:type="dxa"/>
            <w:vAlign w:val="bottom"/>
          </w:tcPr>
          <w:p>
            <w:pPr>
              <w:spacing w:after="0"/>
              <w:rPr>
                <w:sz w:val="19"/>
                <w:szCs w:val="19"/>
                <w:color w:val="auto"/>
              </w:rPr>
            </w:pPr>
          </w:p>
        </w:tc>
      </w:tr>
    </w:tbl>
    <w:p>
      <w:pPr>
        <w:spacing w:after="0" w:line="15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Although not specifically included in the peer group for benchmarking purposes, Mercer also looked at information for each of General Growth, Simon Property Group and Vornado Realty Trust as additional points of reference. The peer group includes US based publicly traded REITs with sales ranging from one-half (1/2) to two (2) times the sales of the Trust at the time the study was done and that have a market capitalization in excess of $1 billion with a primary focus on retail REITs with a few other non-retail, market leading REITs added in order to increase the size of the peer group. The report prepared by Mercer was considered by the Compensation Committee in establishing a total compensation range for our CEO which was used by the Committee to establish base salary, annual bonus potential and potential equity award payouts for 2010 through 2013. The information in the report prepared for our other named executive officers was used solely as a point of reference and not specifically to set compensation packages for those positions. Except for this benchmarking study and a benchmarking study performed for our Nominating and Corporate Governance Committee in 2010 with respect to Board compensation, Mercer has not and does not provide any other services to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Total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Base salaries are used to compensate the executive for services rendered during the year. Base salaries are set at the beginning of each year and are intended to be competitive with the market and commensurate with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executive’s level of responsibility, experience and sustained individual performance. Base salaries provide retention value and also align the executive with shareholder interests. Generally, we believe that executive base salaries should account for a relatively modest portion of each individual’s total compensation package. Because we start our process with determining an appropriate level of total compensation, we do not target base salaries to any specific level. We did, however, use information in the NAREIT Survey and the reports prepared by Mercer as a guide to confirm that the base salaries for our named executive officers are within market parameters.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base salaries for all of our named executive officers for 2013 were unchanged from 2012.</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Annual bonuses for each of our named executive officers are determined each year in accordance with our Annual Bonus Plan that covers approximately 95% of our employees. The Annual Bonus Plan is a cash based plan that is intended to compensate individuals for performance during a calendar year. Payment under the Annual Bonus Plan is dependent on achieving an annual level of FFO per share that is consistent with our business objectives for that year and for achieving individual annual performance objectives as subjectively evaluated: (a) by the Board with respect to our CEO; and (b) by our CEO with respect to each of Ms. Becker and Mr. Taylor. Under our Annual Bonus Plan, the Compensation Committee sets annually a potential bonus payout for each of our named executive officers for achieving various levels of FFO per share for that calendar year. The Compensation Committee also has the ability to decrease the final annual bonus payout to any of these individuals based on their performance for the year. Each of our named executive officers (as well as approximately 50 other employees) has the option to receive up to 25% of the annual bonus in the form of Shares that vest equally over three years. The amount an individual elects to receive in Shares is paid out at 120% of that amount in consideration of the extended vesting.</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level of FFO per share at which payouts are established are set at the beginning of each year by the Compensation Committee after a thorough review and discussion of our budget and investor expectations for that year and considering recommendations of our CEO. The FFO per share levels established by the Compensation Committee are intended to reflect acceptable to exceptional performance in light of our business objectives. FFO is widely accepted in the REIT industry as an appropriate measurement of operating performance on an annual basis and as a result, we believe FFO per share is an appropriate metric to use for determining short-term financial success which is being rewarded in annual performance bonuses. The following chart shows the potential 2013 annual bonus payouts established by the Compensation Committee for each of our named executive officers at various levels of FFO per share and the final potential annual bonus payout based on our 2013 results: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w w:val="97"/>
              </w:rPr>
              <w:t>Potential Bonus Payout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280" w:type="dxa"/>
            <w:vAlign w:val="bottom"/>
          </w:tcPr>
          <w:p>
            <w:pPr>
              <w:spacing w:after="0"/>
              <w:rPr>
                <w:sz w:val="11"/>
                <w:szCs w:val="11"/>
                <w:color w:val="auto"/>
              </w:rPr>
            </w:pPr>
          </w:p>
        </w:tc>
        <w:tc>
          <w:tcPr>
            <w:tcW w:w="13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FFO Below $4.50</w:t>
            </w:r>
          </w:p>
        </w:tc>
        <w:tc>
          <w:tcPr>
            <w:tcW w:w="1300" w:type="dxa"/>
            <w:vAlign w:val="bottom"/>
            <w:gridSpan w:val="2"/>
          </w:tcPr>
          <w:p>
            <w:pPr>
              <w:ind w:left="340"/>
              <w:spacing w:after="0" w:line="129" w:lineRule="exact"/>
              <w:rPr>
                <w:sz w:val="20"/>
                <w:szCs w:val="20"/>
                <w:color w:val="auto"/>
              </w:rPr>
            </w:pPr>
            <w:r>
              <w:rPr>
                <w:rFonts w:ascii="Arial" w:cs="Arial" w:eastAsia="Arial" w:hAnsi="Arial"/>
                <w:sz w:val="14"/>
                <w:szCs w:val="14"/>
                <w:b w:val="1"/>
                <w:bCs w:val="1"/>
                <w:color w:val="auto"/>
              </w:rPr>
              <w:t>FFO at $4.50</w:t>
            </w:r>
          </w:p>
        </w:tc>
        <w:tc>
          <w:tcPr>
            <w:tcW w:w="1760" w:type="dxa"/>
            <w:vAlign w:val="bottom"/>
            <w:gridSpan w:val="2"/>
          </w:tcPr>
          <w:p>
            <w:pPr>
              <w:ind w:left="500"/>
              <w:spacing w:after="0" w:line="129" w:lineRule="exact"/>
              <w:rPr>
                <w:sz w:val="20"/>
                <w:szCs w:val="20"/>
                <w:color w:val="auto"/>
              </w:rPr>
            </w:pPr>
            <w:r>
              <w:rPr>
                <w:rFonts w:ascii="Arial" w:cs="Arial" w:eastAsia="Arial" w:hAnsi="Arial"/>
                <w:sz w:val="14"/>
                <w:szCs w:val="14"/>
                <w:b w:val="1"/>
                <w:bCs w:val="1"/>
                <w:color w:val="auto"/>
              </w:rPr>
              <w:t>FFO at $4.55</w:t>
            </w:r>
          </w:p>
        </w:tc>
        <w:tc>
          <w:tcPr>
            <w:tcW w:w="132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FFO at $4.61</w:t>
            </w:r>
          </w:p>
        </w:tc>
        <w:tc>
          <w:tcPr>
            <w:tcW w:w="440" w:type="dxa"/>
            <w:vAlign w:val="bottom"/>
          </w:tcPr>
          <w:p>
            <w:pPr>
              <w:spacing w:after="0"/>
              <w:rPr>
                <w:sz w:val="11"/>
                <w:szCs w:val="11"/>
                <w:color w:val="auto"/>
              </w:rPr>
            </w:pPr>
          </w:p>
        </w:tc>
        <w:tc>
          <w:tcPr>
            <w:tcW w:w="88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8"/>
              </w:rPr>
              <w:t>Final Payout</w:t>
            </w:r>
          </w:p>
        </w:tc>
        <w:tc>
          <w:tcPr>
            <w:tcW w:w="100" w:type="dxa"/>
            <w:vAlign w:val="bottom"/>
          </w:tcPr>
          <w:p>
            <w:pPr>
              <w:spacing w:after="0"/>
              <w:rPr>
                <w:sz w:val="11"/>
                <w:szCs w:val="11"/>
                <w:color w:val="auto"/>
              </w:rPr>
            </w:pPr>
          </w:p>
        </w:tc>
      </w:tr>
      <w:tr>
        <w:trPr>
          <w:trHeight w:val="175"/>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NEO</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95"/>
              </w:rPr>
              <w:t>per share</w:t>
            </w: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85"/>
              </w:rPr>
              <w:t>per share</w:t>
            </w:r>
          </w:p>
        </w:tc>
        <w:tc>
          <w:tcPr>
            <w:tcW w:w="5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w w:val="85"/>
              </w:rPr>
              <w:t>per share</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w w:val="85"/>
              </w:rPr>
              <w:t>per share</w:t>
            </w:r>
          </w:p>
        </w:tc>
        <w:tc>
          <w:tcPr>
            <w:tcW w:w="14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0"/>
              </w:rPr>
              <w:t>Based on Results</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Donald Wood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8"/>
              </w:rPr>
              <w:t>956,250</w:t>
            </w:r>
          </w:p>
        </w:tc>
        <w:tc>
          <w:tcPr>
            <w:tcW w:w="176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$1,275,000</w:t>
            </w:r>
          </w:p>
        </w:tc>
        <w:tc>
          <w:tcPr>
            <w:tcW w:w="132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$1,593,750</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1,540,583</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Dawn Becker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7"/>
              <w:spacing w:after="0"/>
              <w:rPr>
                <w:sz w:val="20"/>
                <w:szCs w:val="20"/>
                <w:color w:val="auto"/>
              </w:rPr>
            </w:pPr>
            <w:r>
              <w:rPr>
                <w:rFonts w:ascii="Arial" w:cs="Arial" w:eastAsia="Arial" w:hAnsi="Arial"/>
                <w:sz w:val="18"/>
                <w:szCs w:val="18"/>
                <w:color w:val="auto"/>
              </w:rPr>
              <w:t>0</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7"/>
              <w:spacing w:after="0"/>
              <w:rPr>
                <w:sz w:val="20"/>
                <w:szCs w:val="20"/>
                <w:color w:val="auto"/>
              </w:rPr>
            </w:pPr>
            <w:r>
              <w:rPr>
                <w:rFonts w:ascii="Arial" w:cs="Arial" w:eastAsia="Arial" w:hAnsi="Arial"/>
                <w:sz w:val="18"/>
                <w:szCs w:val="18"/>
                <w:color w:val="auto"/>
                <w:w w:val="98"/>
              </w:rPr>
              <w:t>239,063</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99"/>
              <w:spacing w:after="0"/>
              <w:rPr>
                <w:sz w:val="20"/>
                <w:szCs w:val="20"/>
                <w:color w:val="auto"/>
              </w:rPr>
            </w:pPr>
            <w:r>
              <w:rPr>
                <w:rFonts w:ascii="Arial" w:cs="Arial" w:eastAsia="Arial" w:hAnsi="Arial"/>
                <w:sz w:val="18"/>
                <w:szCs w:val="18"/>
                <w:color w:val="auto"/>
              </w:rPr>
              <w:t>318,750</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59"/>
              <w:spacing w:after="0"/>
              <w:rPr>
                <w:sz w:val="20"/>
                <w:szCs w:val="20"/>
                <w:color w:val="auto"/>
              </w:rPr>
            </w:pPr>
            <w:r>
              <w:rPr>
                <w:rFonts w:ascii="Arial" w:cs="Arial" w:eastAsia="Arial" w:hAnsi="Arial"/>
                <w:sz w:val="18"/>
                <w:szCs w:val="18"/>
                <w:color w:val="auto"/>
              </w:rPr>
              <w:t>398,438</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385,146</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James Taylor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8"/>
              </w:rPr>
              <w:t>225,000</w:t>
            </w:r>
          </w:p>
        </w:tc>
        <w:tc>
          <w:tcPr>
            <w:tcW w:w="5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375,000</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362,490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2013, we achieved FFO of $4.41 per share which included a charge of approximately $13.3 million, or $0.20 per share, for prepaying approximately $445 million of debt. That level of FFO per share would have resulted in no payment being made under the Annual Bonus Plan. The Compensation Committee determined that such a result would not be appropriate and would have penalized management for making the well-reasoned business decision to prepay near-term maturing debt while interest rates remained at or near historical lows. As a result, for purposes of calculating payments under the Annual Bonus Plan, the Compensation Committee elected to exclude the prepayment charge, net of interest savings resulting from the prepayment, from the calculation of FFO which resulted in FFO per share for bonus purposes of $4.60 per share. A reconciliation of net income to FFO available for common shareholders can be found on page 48, in Item 7, of our Form 10-K for calendar year 2013 filed with the SEC on February 11, 2014.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Committee determined, after reviewing individual performance, that each of our named executive officers should be paid the full amount of the annual bonus to which he or she is entitled based on the Trust’s 2013 results, as adjusted, as shown in the table above. The Committee’s determination with respect to Mr. Wood took into consideration our financial results for the year, progress made with our acquisitions and development projects to set the Trust up for future long-term growth, Mr. Wood’s effectiveness in leading the company, long-term strategic planning, succession planning, relationship with the Board, and relationship with shareholders and other stakeholders, among other factors. With respect to each of Ms. Becker and Mr. Taylor, the Committee accepted</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Wood’s recommendations as to the amount of their annual bonus payouts. Mr. Wood’s recommendations as to the bonus payouts for each of Ms. Becker and Mr. Taylor were based on his subjective assessment of each individual’s contributions to the Trust’s performance in 2013 in their respective job functions. Those contributions included, without limitation, the following: (a) Ms. Becker’s oversight of the day to day operations of the Trust that resulted in year over year increases in FFO, FFO per share and property operating income; and (b) Mr. Taylor’s work in re-establishing a fuller acquisitions capability on the East Coast and accomplishing significant refinancing of the Trust’s debt.</w:t>
      </w:r>
    </w:p>
    <w:p>
      <w:pPr>
        <w:spacing w:after="0" w:line="14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2013, Ms. Becker elected to receive 25% of her annual bonus in Shares and each of Mr. Wood and Mr. Taylor elected to receive 20% of his annual bonus in Shares. The cash portion of the annual bonuses is reflected in the “Non-Equity Incentive Plan Compensation” column in the Summary Compensation Table in this proxy statement. The stock portion of these annual bonuses will be included in the “Stock Awards” column in the Summary Compensation Table and the Grants of Plan-Based Awards Table in next year’s proxy statement.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Long-Term Equity Incentive:</w:t>
      </w:r>
    </w:p>
    <w:p>
      <w:pPr>
        <w:spacing w:after="0" w:line="9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believe that outstanding long-term performance is achieved through an ownership culture that encourages a focus on long-term performance by our executive officers through the use of equity-based awards. Long-term incentive awards are made annually to all officers and participants in our leadership education and development program under our LTIAP. This program was structured to align the most significant portion of compensation for our senior management team, including Mr. Wood, Ms. Becker and Mr. Taylor, with the creation of long-term shareholder value. Recipients of awards under this program realize value over a minimum 6-year time horizon comprised of a 3-year performance period followed by a minimum of a 3-year time based vesting period. We believe that the combination of this extended period with the requirements described above for our named executive officers to continually hold a meaningful equity position in the company creates a strong long-term alignment of interests between those individuals and our shareholders.</w:t>
      </w:r>
    </w:p>
    <w:p>
      <w:pPr>
        <w:spacing w:after="0" w:line="118"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performance metrics used under the LTIAP, the levels of performance required to be achieved for our named executive officers to earn an LTIAP award and the performance actually achieved for the three year period from January 1, 2011 through December 31, 2013 are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gridSpan w:val="2"/>
          </w:tcPr>
          <w:p>
            <w:pPr>
              <w:jc w:val="center"/>
              <w:ind w:left="879"/>
              <w:spacing w:after="0"/>
              <w:rPr>
                <w:sz w:val="20"/>
                <w:szCs w:val="20"/>
                <w:color w:val="auto"/>
              </w:rPr>
            </w:pPr>
            <w:r>
              <w:rPr>
                <w:rFonts w:ascii="Arial" w:cs="Arial" w:eastAsia="Arial" w:hAnsi="Arial"/>
                <w:sz w:val="14"/>
                <w:szCs w:val="14"/>
                <w:b w:val="1"/>
                <w:bCs w:val="1"/>
                <w:color w:val="auto"/>
                <w:w w:val="89"/>
              </w:rPr>
              <w:t>Relative</w:t>
            </w:r>
          </w:p>
        </w:tc>
        <w:tc>
          <w:tcPr>
            <w:tcW w:w="9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20" w:type="dxa"/>
            <w:vAlign w:val="bottom"/>
            <w:tcBorders>
              <w:right w:val="single" w:sz="8" w:color="auto"/>
            </w:tcBorders>
            <w:gridSpan w:val="4"/>
          </w:tcPr>
          <w:p>
            <w:pPr>
              <w:jc w:val="center"/>
              <w:ind w:right="1260"/>
              <w:spacing w:after="0"/>
              <w:rPr>
                <w:sz w:val="20"/>
                <w:szCs w:val="20"/>
                <w:color w:val="auto"/>
              </w:rPr>
            </w:pPr>
            <w:r>
              <w:rPr>
                <w:rFonts w:ascii="Arial" w:cs="Arial" w:eastAsia="Arial" w:hAnsi="Arial"/>
                <w:sz w:val="14"/>
                <w:szCs w:val="14"/>
                <w:b w:val="1"/>
                <w:bCs w:val="1"/>
                <w:color w:val="auto"/>
                <w:w w:val="86"/>
              </w:rPr>
              <w:t>Absolute</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4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7"/>
              </w:rPr>
              <w:t>Return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jc w:val="center"/>
              <w:ind w:left="879"/>
              <w:spacing w:after="0" w:line="149" w:lineRule="exact"/>
              <w:rPr>
                <w:sz w:val="20"/>
                <w:szCs w:val="20"/>
                <w:color w:val="auto"/>
              </w:rPr>
            </w:pPr>
            <w:r>
              <w:rPr>
                <w:rFonts w:ascii="Arial" w:cs="Arial" w:eastAsia="Arial" w:hAnsi="Arial"/>
                <w:sz w:val="14"/>
                <w:szCs w:val="14"/>
                <w:b w:val="1"/>
                <w:bCs w:val="1"/>
                <w:color w:val="auto"/>
                <w:w w:val="89"/>
              </w:rPr>
              <w:t>Total Shareholder Return (a) (b)</w:t>
            </w:r>
          </w:p>
        </w:tc>
        <w:tc>
          <w:tcPr>
            <w:tcW w:w="9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780" w:type="dxa"/>
            <w:vAlign w:val="bottom"/>
            <w:tcBorders>
              <w:right w:val="single" w:sz="8" w:color="auto"/>
            </w:tcBorders>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Total Shareholder Return (a) Weight</w:t>
            </w:r>
          </w:p>
        </w:tc>
        <w:tc>
          <w:tcPr>
            <w:tcW w:w="540" w:type="dxa"/>
            <w:vAlign w:val="bottom"/>
          </w:tcPr>
          <w:p>
            <w:pPr>
              <w:spacing w:after="0"/>
              <w:rPr>
                <w:sz w:val="12"/>
                <w:szCs w:val="12"/>
                <w:color w:val="auto"/>
              </w:rPr>
            </w:pPr>
          </w:p>
        </w:tc>
        <w:tc>
          <w:tcPr>
            <w:tcW w:w="25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Invested Capital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tcBorders>
              <w:bottom w:val="single" w:sz="8" w:color="auto"/>
            </w:tcBorders>
            <w:gridSpan w:val="2"/>
          </w:tcPr>
          <w:p>
            <w:pPr>
              <w:jc w:val="center"/>
              <w:ind w:left="879"/>
              <w:spacing w:after="0"/>
              <w:rPr>
                <w:sz w:val="20"/>
                <w:szCs w:val="20"/>
                <w:color w:val="auto"/>
              </w:rPr>
            </w:pPr>
            <w:r>
              <w:rPr>
                <w:rFonts w:ascii="Arial" w:cs="Arial" w:eastAsia="Arial" w:hAnsi="Arial"/>
                <w:sz w:val="14"/>
                <w:szCs w:val="14"/>
                <w:b w:val="1"/>
                <w:bCs w:val="1"/>
                <w:color w:val="auto"/>
                <w:w w:val="91"/>
              </w:rPr>
              <w:t>Weight 50%</w:t>
            </w:r>
          </w:p>
        </w:tc>
        <w:tc>
          <w:tcPr>
            <w:tcW w:w="980" w:type="dxa"/>
            <w:vAlign w:val="bottom"/>
            <w:tcBorders>
              <w:bottom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25%</w:t>
            </w:r>
          </w:p>
        </w:tc>
        <w:tc>
          <w:tcPr>
            <w:tcW w:w="980" w:type="dxa"/>
            <w:vAlign w:val="bottom"/>
            <w:tcBorders>
              <w:bottom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676"/>
              <w:spacing w:after="0"/>
              <w:rPr>
                <w:sz w:val="20"/>
                <w:szCs w:val="20"/>
                <w:color w:val="auto"/>
              </w:rPr>
            </w:pPr>
            <w:r>
              <w:rPr>
                <w:rFonts w:ascii="Arial" w:cs="Arial" w:eastAsia="Arial" w:hAnsi="Arial"/>
                <w:sz w:val="14"/>
                <w:szCs w:val="14"/>
                <w:b w:val="1"/>
                <w:bCs w:val="1"/>
                <w:color w:val="auto"/>
                <w:w w:val="89"/>
              </w:rPr>
              <w:t>Weight 25%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Performance</w:t>
            </w:r>
          </w:p>
        </w:tc>
        <w:tc>
          <w:tcPr>
            <w:tcW w:w="14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w w:val="87"/>
              </w:rPr>
              <w:t>Payout % Target</w:t>
            </w:r>
          </w:p>
        </w:tc>
        <w:tc>
          <w:tcPr>
            <w:tcW w:w="540" w:type="dxa"/>
            <w:vAlign w:val="bottom"/>
          </w:tcPr>
          <w:p>
            <w:pPr>
              <w:spacing w:after="0"/>
              <w:rPr>
                <w:sz w:val="19"/>
                <w:szCs w:val="19"/>
                <w:color w:val="auto"/>
              </w:rPr>
            </w:pPr>
          </w:p>
        </w:tc>
        <w:tc>
          <w:tcPr>
            <w:tcW w:w="9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86"/>
              </w:rPr>
              <w:t>Performance</w:t>
            </w:r>
          </w:p>
        </w:tc>
        <w:tc>
          <w:tcPr>
            <w:tcW w:w="340" w:type="dxa"/>
            <w:vAlign w:val="bottom"/>
          </w:tcPr>
          <w:p>
            <w:pPr>
              <w:spacing w:after="0"/>
              <w:rPr>
                <w:sz w:val="19"/>
                <w:szCs w:val="19"/>
                <w:color w:val="auto"/>
              </w:rPr>
            </w:pPr>
          </w:p>
        </w:tc>
        <w:tc>
          <w:tcPr>
            <w:tcW w:w="14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w w:val="87"/>
              </w:rPr>
              <w:t>Payout % Target</w:t>
            </w:r>
          </w:p>
        </w:tc>
        <w:tc>
          <w:tcPr>
            <w:tcW w:w="540" w:type="dxa"/>
            <w:vAlign w:val="bottom"/>
          </w:tcPr>
          <w:p>
            <w:pPr>
              <w:spacing w:after="0"/>
              <w:rPr>
                <w:sz w:val="19"/>
                <w:szCs w:val="19"/>
                <w:color w:val="auto"/>
              </w:rPr>
            </w:pPr>
          </w:p>
        </w:tc>
        <w:tc>
          <w:tcPr>
            <w:tcW w:w="132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w w:val="86"/>
              </w:rPr>
              <w:t>Performance</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Payout % Target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&lt; 40th percentile</w:t>
            </w:r>
          </w:p>
        </w:tc>
        <w:tc>
          <w:tcPr>
            <w:tcW w:w="340" w:type="dxa"/>
            <w:vAlign w:val="bottom"/>
            <w:vMerge w:val="continue"/>
            <w:shd w:val="clear" w:color="auto" w:fill="CCEEFF"/>
          </w:tcPr>
          <w:p>
            <w:pPr>
              <w:spacing w:after="0"/>
              <w:rPr>
                <w:sz w:val="18"/>
                <w:szCs w:val="18"/>
                <w:color w:val="auto"/>
              </w:rPr>
            </w:pPr>
          </w:p>
        </w:tc>
        <w:tc>
          <w:tcPr>
            <w:tcW w:w="14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&lt; 8%</w:t>
            </w:r>
          </w:p>
        </w:tc>
        <w:tc>
          <w:tcPr>
            <w:tcW w:w="340" w:type="dxa"/>
            <w:vAlign w:val="bottom"/>
            <w:vMerge w:val="continue"/>
            <w:shd w:val="clear" w:color="auto" w:fill="CCEEFF"/>
          </w:tcPr>
          <w:p>
            <w:pPr>
              <w:spacing w:after="0"/>
              <w:rPr>
                <w:sz w:val="18"/>
                <w:szCs w:val="18"/>
                <w:color w:val="auto"/>
              </w:rPr>
            </w:pPr>
          </w:p>
        </w:tc>
        <w:tc>
          <w:tcPr>
            <w:tcW w:w="14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&lt; 8.50%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40th percentile</w:t>
            </w:r>
          </w:p>
        </w:tc>
        <w:tc>
          <w:tcPr>
            <w:tcW w:w="14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82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18"/>
                <w:szCs w:val="18"/>
                <w:color w:val="auto"/>
              </w:rPr>
            </w:pPr>
          </w:p>
        </w:tc>
        <w:tc>
          <w:tcPr>
            <w:tcW w:w="1320" w:type="dxa"/>
            <w:vAlign w:val="bottom"/>
            <w:gridSpan w:val="2"/>
          </w:tcPr>
          <w:p>
            <w:pPr>
              <w:jc w:val="right"/>
              <w:ind w:right="352"/>
              <w:spacing w:after="0"/>
              <w:rPr>
                <w:sz w:val="20"/>
                <w:szCs w:val="20"/>
                <w:color w:val="auto"/>
              </w:rPr>
            </w:pPr>
            <w:r>
              <w:rPr>
                <w:rFonts w:ascii="Arial" w:cs="Arial" w:eastAsia="Arial" w:hAnsi="Arial"/>
                <w:sz w:val="18"/>
                <w:szCs w:val="18"/>
                <w:color w:val="auto"/>
              </w:rPr>
              <w:t>8.50%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60th percentile</w:t>
            </w:r>
          </w:p>
        </w:tc>
        <w:tc>
          <w:tcPr>
            <w:tcW w:w="14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2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8.75%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³ 80th percentile</w:t>
            </w:r>
          </w:p>
        </w:tc>
        <w:tc>
          <w:tcPr>
            <w:tcW w:w="14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150%</w:t>
            </w:r>
          </w:p>
        </w:tc>
        <w:tc>
          <w:tcPr>
            <w:tcW w:w="5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³ 12%</w:t>
            </w:r>
          </w:p>
        </w:tc>
        <w:tc>
          <w:tcPr>
            <w:tcW w:w="182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150%</w:t>
            </w:r>
          </w:p>
        </w:tc>
        <w:tc>
          <w:tcPr>
            <w:tcW w:w="540" w:type="dxa"/>
            <w:vAlign w:val="bottom"/>
          </w:tcPr>
          <w:p>
            <w:pPr>
              <w:spacing w:after="0"/>
              <w:rPr>
                <w:sz w:val="19"/>
                <w:szCs w:val="19"/>
                <w:color w:val="auto"/>
              </w:rPr>
            </w:pPr>
          </w:p>
        </w:tc>
        <w:tc>
          <w:tcPr>
            <w:tcW w:w="1320" w:type="dxa"/>
            <w:vAlign w:val="bottom"/>
            <w:gridSpan w:val="2"/>
          </w:tcPr>
          <w:p>
            <w:pPr>
              <w:jc w:val="right"/>
              <w:ind w:right="352"/>
              <w:spacing w:after="0"/>
              <w:rPr>
                <w:sz w:val="20"/>
                <w:szCs w:val="20"/>
                <w:color w:val="auto"/>
              </w:rPr>
            </w:pPr>
            <w:r>
              <w:rPr>
                <w:rFonts w:ascii="Arial" w:cs="Arial" w:eastAsia="Arial" w:hAnsi="Arial"/>
                <w:sz w:val="18"/>
                <w:szCs w:val="18"/>
                <w:color w:val="auto"/>
              </w:rPr>
              <w:t>³ 9.00%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Actuals</w:t>
            </w: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88.64 percentile</w:t>
            </w:r>
          </w:p>
        </w:tc>
        <w:tc>
          <w:tcPr>
            <w:tcW w:w="14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150%</w:t>
            </w:r>
          </w:p>
        </w:tc>
        <w:tc>
          <w:tcPr>
            <w:tcW w:w="5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12.44%</w:t>
            </w:r>
          </w:p>
        </w:tc>
        <w:tc>
          <w:tcPr>
            <w:tcW w:w="182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150%</w:t>
            </w:r>
          </w:p>
        </w:tc>
        <w:tc>
          <w:tcPr>
            <w:tcW w:w="540" w:type="dxa"/>
            <w:vAlign w:val="bottom"/>
          </w:tcPr>
          <w:p>
            <w:pPr>
              <w:spacing w:after="0"/>
              <w:rPr>
                <w:sz w:val="18"/>
                <w:szCs w:val="18"/>
                <w:color w:val="auto"/>
              </w:rPr>
            </w:pPr>
          </w:p>
        </w:tc>
        <w:tc>
          <w:tcPr>
            <w:tcW w:w="1320" w:type="dxa"/>
            <w:vAlign w:val="bottom"/>
            <w:gridSpan w:val="2"/>
          </w:tcPr>
          <w:p>
            <w:pPr>
              <w:jc w:val="right"/>
              <w:ind w:right="352"/>
              <w:spacing w:after="0"/>
              <w:rPr>
                <w:sz w:val="20"/>
                <w:szCs w:val="20"/>
                <w:color w:val="auto"/>
              </w:rPr>
            </w:pPr>
            <w:r>
              <w:rPr>
                <w:rFonts w:ascii="Arial" w:cs="Arial" w:eastAsia="Arial" w:hAnsi="Arial"/>
                <w:sz w:val="18"/>
                <w:szCs w:val="18"/>
                <w:color w:val="auto"/>
              </w:rPr>
              <w:t>9.08%</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shareholder return takes into account both stock price appreciation and dividends assuming all dividends are reinvested.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Measured against the Bloomberg REIT Shopping Center Index (“BBRESHOP”).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Compensation Committee believes that relative total shareholder return, absolute total shareholder return and return on invested capital are appropriate metrics to use for rewarding long-term performance. The relative shareholder return metric reflects how well we have performed for our shareholders as compared to other companies facing the same general market dynamics. The Compensation Committee determined that the BBRESHOP was the best index to use because the BBRESHOP is an industry index made up of primarily companies that own and operate strip shopping centers whose businesses are most closely aligned with ours. Absolute shareholder return measures whether we have actually created any value for our shareholders during this time while return on invested capital determines how effectively we have invested our shareholders’ capital. These performance metrics support the objectives of the company and the LTIAP and remain unchanged from prior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potential LTIAP payments for each of our named executive officers at the various levels of performance for each of the performance metrics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LTIAP and the amounts actually earned by each of our named executive officers for the prior 3-year period are set forth in the following table: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85"/>
              </w:rPr>
              <w:t>Threshold</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Target</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Stretch</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Actual Award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Donald Wood</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Relative Total Return</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3,000,000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Absolute Total Return</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Return on Invested Capital</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500,000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Potential Award</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6,000,000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6,000,000</w:t>
            </w:r>
          </w:p>
        </w:tc>
        <w:tc>
          <w:tcPr>
            <w:tcW w:w="0" w:type="dxa"/>
            <w:vAlign w:val="bottom"/>
          </w:tcPr>
          <w:p>
            <w:pPr>
              <w:spacing w:after="0"/>
              <w:rPr>
                <w:sz w:val="1"/>
                <w:szCs w:val="1"/>
                <w:color w:val="auto"/>
              </w:rPr>
            </w:pPr>
          </w:p>
        </w:tc>
      </w:tr>
      <w:tr>
        <w:trPr>
          <w:trHeight w:val="323"/>
        </w:trPr>
        <w:tc>
          <w:tcPr>
            <w:tcW w:w="4540" w:type="dxa"/>
            <w:vAlign w:val="bottom"/>
            <w:gridSpan w:val="2"/>
          </w:tcPr>
          <w:p>
            <w:pPr>
              <w:spacing w:after="0"/>
              <w:rPr>
                <w:sz w:val="20"/>
                <w:szCs w:val="20"/>
                <w:color w:val="auto"/>
              </w:rPr>
            </w:pPr>
            <w:r>
              <w:rPr>
                <w:rFonts w:ascii="Arial" w:cs="Arial" w:eastAsia="Arial" w:hAnsi="Arial"/>
                <w:sz w:val="18"/>
                <w:szCs w:val="18"/>
                <w:color w:val="auto"/>
              </w:rPr>
              <w:t>Dawn Becker</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Relative Total Return</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Absolute Total Return</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Return on Invested Capital</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420"/>
              <w:spacing w:after="0"/>
              <w:rPr>
                <w:sz w:val="20"/>
                <w:szCs w:val="20"/>
                <w:color w:val="auto"/>
              </w:rPr>
            </w:pPr>
            <w:r>
              <w:rPr>
                <w:rFonts w:ascii="Arial" w:cs="Arial" w:eastAsia="Arial" w:hAnsi="Arial"/>
                <w:sz w:val="18"/>
                <w:szCs w:val="18"/>
                <w:color w:val="auto"/>
              </w:rPr>
              <w:t>Total Potential Award</w:t>
            </w: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James Taylor</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Relative Total Return</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375,000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Absolute Total Return</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Return on Invested Capital</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187,500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Potential Award</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Compensation Committee approved paying each of our named executive officers the full amount of the LTIAP award to which they were entitled. The Compensation Committee has the discretion to increase or decrease any LTIAP award by up to 20% to reflect individual performance but did not exercise that discretion for the 2013 LTIAP awards for any of our named executive officers. The vesting of Mr. Taylor’s award was extended from three to five years in order to provide more retention value given Mr. Taylor’s relatively short tenure with the Trust.</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LTIAP awards are made in the form of restricted Shares that vest in equal installments over a three-year period; however, each individual can elect to take up to 50% of his or her award in the form of options which vest equally over five years. Although the Compensation Committee believes that paying these awards in restricted Shares provides the most retention value for employees, it has agreed to permit individuals to elect to take up to 50% of the award in options in order to give the individual employee some ability to structure his or her own equity compensation in a way that best matches the individual’s needs and provides the most value to that individual. The Compensation Committee has concluded that individual employees place value in having the ability to match the form of their equity compensation to their individual financial objectives and that this value to employees outweighs any diminution in the retention value of LTIAP awards by permitting up to 50% to be paid in options. Dividends are paid on all Shares issued under the LTIAP.</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Each of our named executive officers elected to take the entirety of their 2013 LTIAP award in Shares. The number of Shares actually awarded to each individual was determined by dividing the amount of the award by $111.70, the closing price of our stock on the NYSE on February 6, 2014, the date the award was made. There is no amount included in the Summary Compensation Table or Grants of Plan-Based Awards Table in this proxy statement for these awards to our named executive officers. The LTIAP awards reflected in the Summary Compensation Table and the Grants of Plan-Based Awards Table in this proxy statement relate to performance for the 3-year period ending December 31, 2012 which were awarded in February 2013.</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described above, more than 70% of Mr. Wood’s compensation is in the form of equity under our LTIAP which is calculated based on a 3-year performance period. Accordingly, the pay for performance alignment is most evident when looking at total shareholder returns for the same 3-year period. The following graph shows the compensation earned by Mr. Wood for each of 2009-2013 compared to the total shareholder return we delivered to our shareholders for the 3-year periods ending on December 31 in each of those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121920</wp:posOffset>
            </wp:positionV>
            <wp:extent cx="4871085" cy="2478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7108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2010 compensation does not include a one-time $5 million retention equity award made to Mr. Wood when he was being actively pursued to become the chief executive officer of another REIT.</w:t>
      </w:r>
    </w:p>
    <w:p>
      <w:pPr>
        <w:spacing w:after="0" w:line="175" w:lineRule="exact"/>
        <w:rPr>
          <w:sz w:val="20"/>
          <w:szCs w:val="20"/>
          <w:color w:val="auto"/>
        </w:rPr>
      </w:pPr>
    </w:p>
    <w:p>
      <w:pPr>
        <w:ind w:right="580" w:firstLine="456"/>
        <w:spacing w:after="0" w:line="305" w:lineRule="auto"/>
        <w:rPr>
          <w:sz w:val="20"/>
          <w:szCs w:val="20"/>
          <w:color w:val="auto"/>
        </w:rPr>
      </w:pPr>
      <w:r>
        <w:rPr>
          <w:rFonts w:ascii="Arial" w:cs="Arial" w:eastAsia="Arial" w:hAnsi="Arial"/>
          <w:sz w:val="15"/>
          <w:szCs w:val="15"/>
          <w:color w:val="auto"/>
        </w:rPr>
        <w:t>In addition to the base salary, annual bonus and LTIAP award described above, we have an agreement in place with Mr. Wood (“Health Coverage Continuation Agreement”) pursuant to which we have agreed to provide to Mr. Wood, his spouse and his dependents continuation of health coverage after</w:t>
      </w:r>
    </w:p>
    <w:p>
      <w:pPr>
        <w:spacing w:after="0" w:line="287" w:lineRule="auto"/>
        <w:rPr>
          <w:sz w:val="20"/>
          <w:szCs w:val="20"/>
          <w:color w:val="auto"/>
        </w:rPr>
      </w:pPr>
      <w:r>
        <w:rPr>
          <w:rFonts w:ascii="Arial" w:cs="Arial" w:eastAsia="Arial" w:hAnsi="Arial"/>
          <w:sz w:val="16"/>
          <w:szCs w:val="16"/>
          <w:color w:val="auto"/>
        </w:rPr>
        <w:t>Mr. Wood’s termination upon death, disability, retirement, change in control or otherwise (other than a termination with cause or resignation). The coverage will continue as to Mr. Wood and his spouse until their death, or with respect to his spouse until divorce, if earlier. As to Mr. Wood’s children, coverage will continue as to three of the children until each reaches age twenty-five and as to one of the children, until her death. The continued medical coverage is required to be at least the same level as provided to Mr. Wood and his family at the time of his termination and such coverage will be secondary to certain other coverages that may be available to Mr. Wood and his family. Also, we purchased for Mr. Wood in 1998 a split dollar life insurance policy and consistent with the terms of that arrangement approved by the Compensation Committee in 1998, we continued to hold for a portion of 2013 an outstanding interest free loan for the benefit of Mr. Wood secured by that split dollar life insurance policy. We reflect the amount of interest that would have been payable by Mr. Wood on that loan in 2013 under the “All Other Compensation” column of the Summary Compensation Table. In accordance with the terms under which that policy was purchased, Mr. Wood repaid that loan in full in August 2013. The Compensation Committee has</w:t>
      </w:r>
    </w:p>
    <w:p>
      <w:pPr>
        <w:spacing w:after="0" w:line="1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determined that these perquisites and other personal benefits are a relatively small portion of Mr. Wood’s overall compensation, are reasonable in light of the total compensation package for Mr. Wood and are consistent with our compensation objectives of creating programs that will allow us to retain talented executives.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Equity Grants: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Equity awards to our employees under our Annual Bonus Plan and LTIAP described above are made at the Compensation Committee’s meeting that occurs in February of each calendar year. Whether these awards are made before or after we release financial results for the prior fiscal year depends solely on when the Compensation Committee meets in relation to the meetings of the Board and the Audit Committee, the dates for all of which are set during the preceding year. We have no policy that times the granting of equity awards relative to the release of material non-public information.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Shares on the NYSE on the date the award is made. The Compensation Committee has never re-priced options, granted options with an exercise price that is less than the closing price on the NYSE on the date of the grant or granted options which are priced on a date other than the grant date. Equity awards for Vice Presidents and above for performance through 2013 were made at the Compensation Committee’s meeting on February 6, 2014 based on the closing price of our Shares on the NYSE on that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Change-in-Control Arrangements: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have agreements in place with each of our named executive officers providing for various payments and benefits to be made to them if there is a change in control or their employment with us is terminated for certain reasons. The circumstances in which payments may be made and the potential amounts of those payments are described in more detail in the “Potential Payments on Termination of Employment and Change-in-Control” section below. We believe that the payments provided for in these agreements are reasonable and appropriate as part of the total compensation packages available for our named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 in Excess of $1.0 Million:</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Section 162(m) of the Internal Revenue Code generally prohibits any publicly held corporation from taking a federal income tax deduction for compensation in excess of $1 million in any taxable year to an executive officer who is named in the Summary Compensation Table. Exceptions are made for qualified performance-based compensation, among other things. In structuring our compensation programs, the Compensation Committee considers this Section 162(m) exception; however, the Compensation Committee does not believe that it is necessarily in our best interests and the best interests of our shareholders for all compensation to meet the requirements of Section 162(m) for deductibility. As a result, the Compensation Committee has determined that it is appropriate at times to make compensation awards that are non-deductible under Section 162(m). Further, because of ambiguities and uncertainties under Section 162(m), we cannot give any assurance that compensation that we intend to satisfy the requirements for deductibility under Section 162(m) will in fact be deductible.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David W. Faeder,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following table summarizes the total compensation earned by each of the named executive officers for the fiscal years ended December 31, 2013, 2012 and 2011, in accordance with current SEC rules. The Summary Compensation Table below does not include the value of the Shares issued to our named executive officers on February 6, 2014 for the performance period ending December 31, 2013. Those awards will appear in next year’s proxy statement in the Grants of Plan-Based Awards Table as well as the “Stock Awards” column of the Summary Compensation Table. The cash portion of the annual bonuses awarded pursuant to the Annual Bonus Plan in February 2014 based on 2013 performance is included below in the “Non-Equity Incentive Plan Compensation” column.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Non-Equity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jc w:val="right"/>
              <w:ind w:right="75"/>
              <w:spacing w:after="0" w:line="149" w:lineRule="exact"/>
              <w:rPr>
                <w:sz w:val="20"/>
                <w:szCs w:val="20"/>
                <w:color w:val="auto"/>
              </w:rPr>
            </w:pPr>
            <w:r>
              <w:rPr>
                <w:rFonts w:ascii="Arial" w:cs="Arial" w:eastAsia="Arial" w:hAnsi="Arial"/>
                <w:sz w:val="14"/>
                <w:szCs w:val="14"/>
                <w:b w:val="1"/>
                <w:bCs w:val="1"/>
                <w:color w:val="auto"/>
              </w:rPr>
              <w:t>Incentive Plan</w:t>
            </w:r>
          </w:p>
        </w:tc>
        <w:tc>
          <w:tcPr>
            <w:tcW w:w="260" w:type="dxa"/>
            <w:vAlign w:val="bottom"/>
          </w:tcPr>
          <w:p>
            <w:pPr>
              <w:spacing w:after="0"/>
              <w:rPr>
                <w:sz w:val="12"/>
                <w:szCs w:val="12"/>
                <w:color w:val="auto"/>
              </w:rPr>
            </w:pPr>
          </w:p>
        </w:tc>
        <w:tc>
          <w:tcPr>
            <w:tcW w:w="90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w w:val="94"/>
              </w:rPr>
              <w:t>All Other</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820" w:type="dxa"/>
            <w:vAlign w:val="bottom"/>
          </w:tcPr>
          <w:p>
            <w:pPr>
              <w:ind w:left="34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4"/>
                <w:szCs w:val="14"/>
                <w:color w:val="auto"/>
              </w:rPr>
            </w:pPr>
          </w:p>
        </w:tc>
        <w:tc>
          <w:tcPr>
            <w:tcW w:w="740" w:type="dxa"/>
            <w:vAlign w:val="bottom"/>
          </w:tcPr>
          <w:p>
            <w:pPr>
              <w:jc w:val="right"/>
              <w:ind w:right="216"/>
              <w:spacing w:after="0"/>
              <w:rPr>
                <w:sz w:val="20"/>
                <w:szCs w:val="20"/>
                <w:color w:val="auto"/>
              </w:rPr>
            </w:pPr>
            <w:r>
              <w:rPr>
                <w:rFonts w:ascii="Arial" w:cs="Arial" w:eastAsia="Arial" w:hAnsi="Arial"/>
                <w:sz w:val="14"/>
                <w:szCs w:val="14"/>
                <w:b w:val="1"/>
                <w:bCs w:val="1"/>
                <w:color w:val="auto"/>
                <w:w w:val="99"/>
              </w:rPr>
              <w:t>Salary</w:t>
            </w:r>
          </w:p>
        </w:tc>
        <w:tc>
          <w:tcPr>
            <w:tcW w:w="240" w:type="dxa"/>
            <w:vAlign w:val="bottom"/>
          </w:tcPr>
          <w:p>
            <w:pPr>
              <w:spacing w:after="0"/>
              <w:rPr>
                <w:sz w:val="14"/>
                <w:szCs w:val="14"/>
                <w:color w:val="auto"/>
              </w:rPr>
            </w:pP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Bonus</w:t>
            </w:r>
          </w:p>
        </w:tc>
        <w:tc>
          <w:tcPr>
            <w:tcW w:w="30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Awards</w:t>
            </w:r>
          </w:p>
        </w:tc>
        <w:tc>
          <w:tcPr>
            <w:tcW w:w="114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w w:val="98"/>
              </w:rPr>
              <w:t>Compensation</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Compensation</w:t>
            </w:r>
          </w:p>
        </w:tc>
        <w:tc>
          <w:tcPr>
            <w:tcW w:w="240" w:type="dxa"/>
            <w:vAlign w:val="bottom"/>
          </w:tcPr>
          <w:p>
            <w:pPr>
              <w:spacing w:after="0"/>
              <w:rPr>
                <w:sz w:val="14"/>
                <w:szCs w:val="14"/>
                <w:color w:val="auto"/>
              </w:rPr>
            </w:pPr>
          </w:p>
        </w:tc>
        <w:tc>
          <w:tcPr>
            <w:tcW w:w="800" w:type="dxa"/>
            <w:vAlign w:val="bottom"/>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 (1)</w:t>
            </w: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 (2)</w:t>
            </w: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 (3)</w:t>
            </w: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 (4)</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 (5)</w:t>
            </w: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w:t>
            </w:r>
          </w:p>
        </w:tc>
        <w:tc>
          <w:tcPr>
            <w:tcW w:w="8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2013</w:t>
            </w:r>
          </w:p>
        </w:tc>
        <w:tc>
          <w:tcPr>
            <w:tcW w:w="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6"/>
              <w:spacing w:after="0" w:line="201" w:lineRule="exact"/>
              <w:rPr>
                <w:sz w:val="20"/>
                <w:szCs w:val="20"/>
                <w:color w:val="auto"/>
              </w:rPr>
            </w:pPr>
            <w:r>
              <w:rPr>
                <w:rFonts w:ascii="Arial" w:cs="Arial" w:eastAsia="Arial" w:hAnsi="Arial"/>
                <w:sz w:val="18"/>
                <w:szCs w:val="18"/>
                <w:color w:val="auto"/>
                <w:w w:val="86"/>
              </w:rPr>
              <w:t>850,000</w:t>
            </w:r>
          </w:p>
        </w:tc>
        <w:tc>
          <w:tcPr>
            <w:tcW w:w="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$6,351,889</w:t>
            </w:r>
          </w:p>
        </w:tc>
        <w:tc>
          <w:tcPr>
            <w:tcW w:w="11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$ 1,232,466</w:t>
            </w:r>
          </w:p>
        </w:tc>
        <w:tc>
          <w:tcPr>
            <w:tcW w:w="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6"/>
              <w:spacing w:after="0" w:line="201" w:lineRule="exact"/>
              <w:rPr>
                <w:sz w:val="20"/>
                <w:szCs w:val="20"/>
                <w:color w:val="auto"/>
              </w:rPr>
            </w:pPr>
            <w:r>
              <w:rPr>
                <w:rFonts w:ascii="Arial" w:cs="Arial" w:eastAsia="Arial" w:hAnsi="Arial"/>
                <w:sz w:val="18"/>
                <w:szCs w:val="18"/>
                <w:color w:val="auto"/>
              </w:rPr>
              <w:t>16,716</w:t>
            </w:r>
          </w:p>
        </w:tc>
        <w:tc>
          <w:tcPr>
            <w:tcW w:w="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line="201" w:lineRule="exact"/>
              <w:rPr>
                <w:sz w:val="20"/>
                <w:szCs w:val="20"/>
                <w:color w:val="auto"/>
              </w:rPr>
            </w:pPr>
            <w:r>
              <w:rPr>
                <w:rFonts w:ascii="Arial" w:cs="Arial" w:eastAsia="Arial" w:hAnsi="Arial"/>
                <w:sz w:val="18"/>
                <w:szCs w:val="18"/>
                <w:color w:val="auto"/>
                <w:w w:val="84"/>
              </w:rPr>
              <w:t>8,451,071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w:t>
            </w: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6"/>
              </w:rPr>
              <w:t>850,000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$6,311,961</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$ 1,173,000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21,606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4"/>
              </w:rPr>
              <w:t>8,356,567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Officer (PEO)</w:t>
            </w: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6"/>
              </w:rPr>
              <w:t>850,000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$4,036,613</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$ 1,040,000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16,672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4"/>
              </w:rPr>
              <w:t>5,943,285</w:t>
            </w:r>
          </w:p>
        </w:tc>
        <w:tc>
          <w:tcPr>
            <w:tcW w:w="0" w:type="dxa"/>
            <w:vAlign w:val="bottom"/>
          </w:tcPr>
          <w:p>
            <w:pPr>
              <w:spacing w:after="0"/>
              <w:rPr>
                <w:sz w:val="1"/>
                <w:szCs w:val="1"/>
                <w:color w:val="auto"/>
              </w:rPr>
            </w:pPr>
          </w:p>
        </w:tc>
      </w:tr>
      <w:tr>
        <w:trPr>
          <w:trHeight w:val="316"/>
        </w:trPr>
        <w:tc>
          <w:tcPr>
            <w:tcW w:w="4060" w:type="dxa"/>
            <w:vAlign w:val="bottom"/>
            <w:gridSpan w:val="2"/>
          </w:tcPr>
          <w:p>
            <w:pPr>
              <w:spacing w:after="0"/>
              <w:rPr>
                <w:sz w:val="20"/>
                <w:szCs w:val="20"/>
                <w:color w:val="auto"/>
              </w:rPr>
            </w:pPr>
            <w:r>
              <w:rPr>
                <w:rFonts w:ascii="Arial" w:cs="Arial" w:eastAsia="Arial" w:hAnsi="Arial"/>
                <w:sz w:val="18"/>
                <w:szCs w:val="18"/>
                <w:color w:val="auto"/>
              </w:rPr>
              <w:t>James M. Taylor, Jr., Executive Vice President-</w:t>
            </w:r>
          </w:p>
        </w:tc>
        <w:tc>
          <w:tcPr>
            <w:tcW w:w="820" w:type="dxa"/>
            <w:vAlign w:val="bottom"/>
          </w:tcPr>
          <w:p>
            <w:pPr>
              <w:ind w:left="320"/>
              <w:spacing w:after="0"/>
              <w:rPr>
                <w:sz w:val="20"/>
                <w:szCs w:val="20"/>
                <w:color w:val="auto"/>
              </w:rPr>
            </w:pPr>
            <w:r>
              <w:rPr>
                <w:rFonts w:ascii="Arial" w:cs="Arial" w:eastAsia="Arial" w:hAnsi="Arial"/>
                <w:sz w:val="18"/>
                <w:szCs w:val="18"/>
                <w:color w:val="auto"/>
              </w:rPr>
              <w:t>2013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6"/>
              <w:spacing w:after="0"/>
              <w:rPr>
                <w:sz w:val="20"/>
                <w:szCs w:val="20"/>
                <w:color w:val="auto"/>
              </w:rPr>
            </w:pPr>
            <w:r>
              <w:rPr>
                <w:rFonts w:ascii="Arial" w:cs="Arial" w:eastAsia="Arial" w:hAnsi="Arial"/>
                <w:sz w:val="18"/>
                <w:szCs w:val="18"/>
                <w:color w:val="auto"/>
                <w:w w:val="86"/>
              </w:rPr>
              <w:t>400,000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ind w:left="100"/>
              <w:spacing w:after="0"/>
              <w:rPr>
                <w:sz w:val="20"/>
                <w:szCs w:val="20"/>
                <w:color w:val="auto"/>
              </w:rPr>
            </w:pPr>
            <w:r>
              <w:rPr>
                <w:rFonts w:ascii="Arial" w:cs="Arial" w:eastAsia="Arial" w:hAnsi="Arial"/>
                <w:sz w:val="18"/>
                <w:szCs w:val="18"/>
                <w:color w:val="auto"/>
              </w:rPr>
              <w:t>982,810</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289,992</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1,392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w w:val="84"/>
              </w:rPr>
              <w:t>1,674,194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820" w:type="dxa"/>
            <w:vAlign w:val="bottom"/>
          </w:tcPr>
          <w:p>
            <w:pPr>
              <w:ind w:left="320"/>
              <w:spacing w:after="0"/>
              <w:rPr>
                <w:sz w:val="20"/>
                <w:szCs w:val="20"/>
                <w:color w:val="auto"/>
              </w:rPr>
            </w:pPr>
            <w:r>
              <w:rPr>
                <w:rFonts w:ascii="Arial" w:cs="Arial" w:eastAsia="Arial" w:hAnsi="Arial"/>
                <w:sz w:val="18"/>
                <w:szCs w:val="18"/>
                <w:color w:val="auto"/>
              </w:rPr>
              <w:t>2012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6"/>
              <w:spacing w:after="0"/>
              <w:rPr>
                <w:sz w:val="20"/>
                <w:szCs w:val="20"/>
                <w:color w:val="auto"/>
              </w:rPr>
            </w:pPr>
            <w:r>
              <w:rPr>
                <w:rFonts w:ascii="Arial" w:cs="Arial" w:eastAsia="Arial" w:hAnsi="Arial"/>
                <w:sz w:val="18"/>
                <w:szCs w:val="18"/>
                <w:color w:val="auto"/>
                <w:w w:val="86"/>
              </w:rPr>
              <w:t>169,231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20"/>
              <w:spacing w:after="0"/>
              <w:rPr>
                <w:sz w:val="20"/>
                <w:szCs w:val="20"/>
                <w:color w:val="auto"/>
              </w:rPr>
            </w:pPr>
            <w:r>
              <w:rPr>
                <w:rFonts w:ascii="Arial" w:cs="Arial" w:eastAsia="Arial" w:hAnsi="Arial"/>
                <w:sz w:val="18"/>
                <w:szCs w:val="18"/>
                <w:color w:val="auto"/>
              </w:rPr>
              <w:t>1,000,000</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ind w:left="100"/>
              <w:spacing w:after="0"/>
              <w:rPr>
                <w:sz w:val="20"/>
                <w:szCs w:val="20"/>
                <w:color w:val="auto"/>
              </w:rPr>
            </w:pPr>
            <w:r>
              <w:rPr>
                <w:rFonts w:ascii="Arial" w:cs="Arial" w:eastAsia="Arial" w:hAnsi="Arial"/>
                <w:sz w:val="18"/>
                <w:szCs w:val="18"/>
                <w:color w:val="auto"/>
              </w:rPr>
              <w:t>500,033</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276,000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297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w w:val="84"/>
              </w:rPr>
              <w:t>1,945,561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and Treasurer (PFO)</w:t>
            </w:r>
          </w:p>
        </w:tc>
        <w:tc>
          <w:tcPr>
            <w:tcW w:w="820" w:type="dxa"/>
            <w:vAlign w:val="bottom"/>
          </w:tcPr>
          <w:p>
            <w:pPr>
              <w:ind w:left="340"/>
              <w:spacing w:after="0"/>
              <w:rPr>
                <w:sz w:val="20"/>
                <w:szCs w:val="20"/>
                <w:color w:val="auto"/>
              </w:rPr>
            </w:pPr>
            <w:r>
              <w:rPr>
                <w:rFonts w:ascii="Arial" w:cs="Arial" w:eastAsia="Arial" w:hAnsi="Arial"/>
                <w:sz w:val="18"/>
                <w:szCs w:val="18"/>
                <w:color w:val="auto"/>
              </w:rPr>
              <w:t>2011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Dawn M. Becker, Executive Vice President-Chief</w:t>
            </w: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6"/>
              </w:rPr>
              <w:t>425,000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$1,009,986</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288,859</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9,652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4"/>
              </w:rPr>
              <w:t>1,733,497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Operating Officer; General Counsel and Secretary</w:t>
            </w: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6"/>
              </w:rPr>
              <w:t>425,000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859,322</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274,922</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9,153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4"/>
              </w:rPr>
              <w:t>1,568,397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6"/>
              </w:rPr>
              <w:t>425,000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841,689</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273,225</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8,513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4"/>
              </w:rPr>
              <w:t>1,548,427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80" w:hanging="452"/>
        <w:spacing w:after="0" w:line="25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shown in the Salary column include all amounts deferred at the election of the named executive officers into our non-qualified deferred compensation plan.</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Taylor received a cash hiring bonus in connection with his joining the Trust on July 30, 2012.</w:t>
      </w:r>
    </w:p>
    <w:p>
      <w:pPr>
        <w:spacing w:after="0" w:line="9"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shown in the Stock Awards column reflects the aggregate grant date fair value of the awards calculated in accordance with FASB ASC Topic 718 for the fiscal years ended December 31, 2013, 2012 and 2011. For a discussion of the valuation of these awards, please refer to Note 15 in the notes to our consolidated financial statements in our Annual Report on Form 10-K filed on February 11, 2014.</w:t>
      </w:r>
    </w:p>
    <w:p>
      <w:pPr>
        <w:spacing w:after="0" w:line="2" w:lineRule="exact"/>
        <w:rPr>
          <w:rFonts w:ascii="Arial" w:cs="Arial" w:eastAsia="Arial" w:hAnsi="Arial"/>
          <w:sz w:val="16"/>
          <w:szCs w:val="16"/>
          <w:color w:val="auto"/>
        </w:rPr>
      </w:pPr>
    </w:p>
    <w:p>
      <w:pPr>
        <w:ind w:left="460" w:right="160" w:hanging="452"/>
        <w:spacing w:after="0" w:line="30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shown in this column represent only the cash portion paid under our Annual Bonus Plan and include amounts deferred by our named executive officers into our non-qualified deferred compensation plan. For each of the years they received an Annual Bonus, Messrs. Wood and Taylor received 80% of their Annual Bonus in cash and Ms. Becker received 75% of her Annual Bonus in cash. The remaining amounts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370" w:lineRule="auto"/>
        <w:rPr>
          <w:sz w:val="20"/>
          <w:szCs w:val="20"/>
          <w:color w:val="auto"/>
        </w:rPr>
      </w:pPr>
      <w:r>
        <w:rPr>
          <w:rFonts w:ascii="Arial" w:cs="Arial" w:eastAsia="Arial" w:hAnsi="Arial"/>
          <w:sz w:val="15"/>
          <w:szCs w:val="15"/>
          <w:color w:val="auto"/>
        </w:rPr>
        <w:t>earned under the Annual Bonus Plan in 2013, 2012 and 2011 were paid in Shares in an amount equal to 120% of the cash value in consideration of a 3-year vesting schedule. The aggregate Annual Bonus paid to Ms. Becker and Messrs. Wood and Taylor for 2013 including both cash and Shares is as follows:</w:t>
      </w:r>
    </w:p>
    <w:p>
      <w:pPr>
        <w:spacing w:after="0" w:line="9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2013 Annual Incentive Bonus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22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25"/>
              <w:spacing w:after="0" w:line="131" w:lineRule="exact"/>
              <w:rPr>
                <w:sz w:val="20"/>
                <w:szCs w:val="20"/>
                <w:color w:val="auto"/>
              </w:rPr>
            </w:pPr>
            <w:r>
              <w:rPr>
                <w:rFonts w:ascii="Arial" w:cs="Arial" w:eastAsia="Arial" w:hAnsi="Arial"/>
                <w:sz w:val="14"/>
                <w:szCs w:val="14"/>
                <w:b w:val="1"/>
                <w:bCs w:val="1"/>
                <w:color w:val="auto"/>
                <w:w w:val="88"/>
              </w:rPr>
              <w:t>Annual</w:t>
            </w:r>
          </w:p>
        </w:tc>
        <w:tc>
          <w:tcPr>
            <w:tcW w:w="3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86"/>
              <w:spacing w:after="0" w:line="131" w:lineRule="exact"/>
              <w:rPr>
                <w:sz w:val="20"/>
                <w:szCs w:val="20"/>
                <w:color w:val="auto"/>
              </w:rPr>
            </w:pPr>
            <w:r>
              <w:rPr>
                <w:rFonts w:ascii="Arial" w:cs="Arial" w:eastAsia="Arial" w:hAnsi="Arial"/>
                <w:sz w:val="14"/>
                <w:szCs w:val="14"/>
                <w:b w:val="1"/>
                <w:bCs w:val="1"/>
                <w:color w:val="auto"/>
                <w:w w:val="92"/>
              </w:rPr>
              <w:t>20%</w:t>
            </w: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25"/>
              <w:spacing w:after="0" w:line="131" w:lineRule="exact"/>
              <w:rPr>
                <w:sz w:val="20"/>
                <w:szCs w:val="20"/>
                <w:color w:val="auto"/>
              </w:rPr>
            </w:pPr>
            <w:r>
              <w:rPr>
                <w:rFonts w:ascii="Arial" w:cs="Arial" w:eastAsia="Arial" w:hAnsi="Arial"/>
                <w:sz w:val="14"/>
                <w:szCs w:val="14"/>
                <w:b w:val="1"/>
                <w:bCs w:val="1"/>
                <w:color w:val="auto"/>
                <w:w w:val="83"/>
              </w:rPr>
              <w:t>Total</w:t>
            </w:r>
          </w:p>
        </w:tc>
        <w:tc>
          <w:tcPr>
            <w:tcW w:w="8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0"/>
              </w:rPr>
              <w:t>Number</w:t>
            </w:r>
          </w:p>
        </w:tc>
      </w:tr>
      <w:tr>
        <w:trPr>
          <w:trHeight w:val="149"/>
        </w:trPr>
        <w:tc>
          <w:tcPr>
            <w:tcW w:w="3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jc w:val="center"/>
              <w:ind w:right="225"/>
              <w:spacing w:after="0" w:line="149" w:lineRule="exact"/>
              <w:rPr>
                <w:sz w:val="20"/>
                <w:szCs w:val="20"/>
                <w:color w:val="auto"/>
              </w:rPr>
            </w:pPr>
            <w:r>
              <w:rPr>
                <w:rFonts w:ascii="Arial" w:cs="Arial" w:eastAsia="Arial" w:hAnsi="Arial"/>
                <w:sz w:val="14"/>
                <w:szCs w:val="14"/>
                <w:b w:val="1"/>
                <w:bCs w:val="1"/>
                <w:color w:val="auto"/>
                <w:w w:val="88"/>
              </w:rPr>
              <w:t>Incentive</w:t>
            </w: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Amount</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Premium</w:t>
            </w:r>
          </w:p>
        </w:tc>
        <w:tc>
          <w:tcPr>
            <w:tcW w:w="280" w:type="dxa"/>
            <w:vAlign w:val="bottom"/>
          </w:tcPr>
          <w:p>
            <w:pPr>
              <w:spacing w:after="0"/>
              <w:rPr>
                <w:sz w:val="12"/>
                <w:szCs w:val="12"/>
                <w:color w:val="auto"/>
              </w:rPr>
            </w:pPr>
          </w:p>
        </w:tc>
        <w:tc>
          <w:tcPr>
            <w:tcW w:w="980" w:type="dxa"/>
            <w:vAlign w:val="bottom"/>
          </w:tcPr>
          <w:p>
            <w:pPr>
              <w:jc w:val="center"/>
              <w:ind w:right="225"/>
              <w:spacing w:after="0" w:line="149" w:lineRule="exact"/>
              <w:rPr>
                <w:sz w:val="20"/>
                <w:szCs w:val="20"/>
                <w:color w:val="auto"/>
              </w:rPr>
            </w:pPr>
            <w:r>
              <w:rPr>
                <w:rFonts w:ascii="Arial" w:cs="Arial" w:eastAsia="Arial" w:hAnsi="Arial"/>
                <w:sz w:val="14"/>
                <w:szCs w:val="14"/>
                <w:b w:val="1"/>
                <w:bCs w:val="1"/>
                <w:color w:val="auto"/>
                <w:w w:val="92"/>
              </w:rPr>
              <w:t>Annual</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3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jc w:val="center"/>
              <w:ind w:right="205"/>
              <w:spacing w:after="0" w:line="149" w:lineRule="exact"/>
              <w:rPr>
                <w:sz w:val="20"/>
                <w:szCs w:val="20"/>
                <w:color w:val="auto"/>
              </w:rPr>
            </w:pPr>
            <w:r>
              <w:rPr>
                <w:rFonts w:ascii="Arial" w:cs="Arial" w:eastAsia="Arial" w:hAnsi="Arial"/>
                <w:sz w:val="14"/>
                <w:szCs w:val="14"/>
                <w:b w:val="1"/>
                <w:bCs w:val="1"/>
                <w:color w:val="auto"/>
                <w:w w:val="82"/>
              </w:rPr>
              <w:t>Bonus</w:t>
            </w:r>
          </w:p>
        </w:tc>
        <w:tc>
          <w:tcPr>
            <w:tcW w:w="300" w:type="dxa"/>
            <w:vAlign w:val="bottom"/>
          </w:tcPr>
          <w:p>
            <w:pPr>
              <w:spacing w:after="0"/>
              <w:rPr>
                <w:sz w:val="12"/>
                <w:szCs w:val="12"/>
                <w:color w:val="auto"/>
              </w:rPr>
            </w:pPr>
          </w:p>
        </w:tc>
        <w:tc>
          <w:tcPr>
            <w:tcW w:w="92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2"/>
                <w:szCs w:val="12"/>
                <w:color w:val="auto"/>
              </w:rPr>
            </w:pPr>
          </w:p>
        </w:tc>
        <w:tc>
          <w:tcPr>
            <w:tcW w:w="80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1"/>
              </w:rPr>
              <w:t>Paid in</w:t>
            </w:r>
          </w:p>
        </w:tc>
        <w:tc>
          <w:tcPr>
            <w:tcW w:w="260" w:type="dxa"/>
            <w:vAlign w:val="bottom"/>
          </w:tcPr>
          <w:p>
            <w:pPr>
              <w:spacing w:after="0"/>
              <w:rPr>
                <w:sz w:val="12"/>
                <w:szCs w:val="12"/>
                <w:color w:val="auto"/>
              </w:rPr>
            </w:pPr>
          </w:p>
        </w:tc>
        <w:tc>
          <w:tcPr>
            <w:tcW w:w="720" w:type="dxa"/>
            <w:vAlign w:val="bottom"/>
          </w:tcPr>
          <w:p>
            <w:pPr>
              <w:jc w:val="center"/>
              <w:ind w:right="186"/>
              <w:spacing w:after="0" w:line="149" w:lineRule="exact"/>
              <w:rPr>
                <w:sz w:val="20"/>
                <w:szCs w:val="20"/>
                <w:color w:val="auto"/>
              </w:rPr>
            </w:pPr>
            <w:r>
              <w:rPr>
                <w:rFonts w:ascii="Arial" w:cs="Arial" w:eastAsia="Arial" w:hAnsi="Arial"/>
                <w:sz w:val="14"/>
                <w:szCs w:val="14"/>
                <w:b w:val="1"/>
                <w:bCs w:val="1"/>
                <w:color w:val="auto"/>
                <w:w w:val="91"/>
              </w:rPr>
              <w:t>Paid in</w:t>
            </w:r>
          </w:p>
        </w:tc>
        <w:tc>
          <w:tcPr>
            <w:tcW w:w="280" w:type="dxa"/>
            <w:vAlign w:val="bottom"/>
          </w:tcPr>
          <w:p>
            <w:pPr>
              <w:spacing w:after="0"/>
              <w:rPr>
                <w:sz w:val="12"/>
                <w:szCs w:val="12"/>
                <w:color w:val="auto"/>
              </w:rPr>
            </w:pPr>
          </w:p>
        </w:tc>
        <w:tc>
          <w:tcPr>
            <w:tcW w:w="980" w:type="dxa"/>
            <w:vAlign w:val="bottom"/>
          </w:tcPr>
          <w:p>
            <w:pPr>
              <w:jc w:val="center"/>
              <w:ind w:right="225"/>
              <w:spacing w:after="0" w:line="149" w:lineRule="exact"/>
              <w:rPr>
                <w:sz w:val="20"/>
                <w:szCs w:val="20"/>
                <w:color w:val="auto"/>
              </w:rPr>
            </w:pPr>
            <w:r>
              <w:rPr>
                <w:rFonts w:ascii="Arial" w:cs="Arial" w:eastAsia="Arial" w:hAnsi="Arial"/>
                <w:sz w:val="14"/>
                <w:szCs w:val="14"/>
                <w:b w:val="1"/>
                <w:bCs w:val="1"/>
                <w:color w:val="auto"/>
                <w:w w:val="85"/>
              </w:rPr>
              <w:t>Incentive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61"/>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91"/>
              </w:rPr>
              <w:t>Awarded</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Paid in Cash</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3"/>
              </w:rPr>
              <w:t>Bonus Paid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Issued</w:t>
            </w:r>
          </w:p>
        </w:tc>
      </w:tr>
      <w:tr>
        <w:trPr>
          <w:trHeight w:val="237"/>
        </w:trPr>
        <w:tc>
          <w:tcPr>
            <w:tcW w:w="3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1"/>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89"/>
              </w:rPr>
              <w:t>($) (a)</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9"/>
              </w:rPr>
              <w:t>($) (a)</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93"/>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(b)</w:t>
            </w: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5"/>
              <w:spacing w:after="0"/>
              <w:rPr>
                <w:sz w:val="20"/>
                <w:szCs w:val="20"/>
                <w:color w:val="auto"/>
              </w:rPr>
            </w:pPr>
            <w:r>
              <w:rPr>
                <w:rFonts w:ascii="Arial" w:cs="Arial" w:eastAsia="Arial" w:hAnsi="Arial"/>
                <w:sz w:val="18"/>
                <w:szCs w:val="18"/>
                <w:color w:val="auto"/>
                <w:w w:val="92"/>
              </w:rPr>
              <w:t>1,540,583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w w:val="92"/>
              </w:rPr>
              <w:t>1,232,466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w w:val="95"/>
              </w:rPr>
              <w:t>308,117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86"/>
              <w:spacing w:after="0"/>
              <w:rPr>
                <w:sz w:val="20"/>
                <w:szCs w:val="20"/>
                <w:color w:val="auto"/>
              </w:rPr>
            </w:pPr>
            <w:r>
              <w:rPr>
                <w:rFonts w:ascii="Arial" w:cs="Arial" w:eastAsia="Arial" w:hAnsi="Arial"/>
                <w:sz w:val="18"/>
                <w:szCs w:val="18"/>
                <w:color w:val="auto"/>
                <w:w w:val="98"/>
              </w:rPr>
              <w:t>61,623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w w:val="97"/>
              </w:rPr>
              <w:t>1,602,206</w:t>
            </w: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3,310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James M. Taylor, Jr.</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85"/>
              <w:spacing w:after="0"/>
              <w:rPr>
                <w:sz w:val="20"/>
                <w:szCs w:val="20"/>
                <w:color w:val="auto"/>
              </w:rPr>
            </w:pPr>
            <w:r>
              <w:rPr>
                <w:rFonts w:ascii="Arial" w:cs="Arial" w:eastAsia="Arial" w:hAnsi="Arial"/>
                <w:sz w:val="18"/>
                <w:szCs w:val="18"/>
                <w:color w:val="auto"/>
              </w:rPr>
              <w:t>362,490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80"/>
              <w:spacing w:after="0"/>
              <w:rPr>
                <w:sz w:val="20"/>
                <w:szCs w:val="20"/>
                <w:color w:val="auto"/>
              </w:rPr>
            </w:pPr>
            <w:r>
              <w:rPr>
                <w:rFonts w:ascii="Arial" w:cs="Arial" w:eastAsia="Arial" w:hAnsi="Arial"/>
                <w:sz w:val="18"/>
                <w:szCs w:val="18"/>
                <w:color w:val="auto"/>
              </w:rPr>
              <w:t>289,992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84"/>
              <w:spacing w:after="0"/>
              <w:rPr>
                <w:sz w:val="20"/>
                <w:szCs w:val="20"/>
                <w:color w:val="auto"/>
              </w:rPr>
            </w:pPr>
            <w:r>
              <w:rPr>
                <w:rFonts w:ascii="Arial" w:cs="Arial" w:eastAsia="Arial" w:hAnsi="Arial"/>
                <w:sz w:val="18"/>
                <w:szCs w:val="18"/>
                <w:color w:val="auto"/>
              </w:rPr>
              <w:t>72,498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86"/>
              <w:spacing w:after="0"/>
              <w:rPr>
                <w:sz w:val="20"/>
                <w:szCs w:val="20"/>
                <w:color w:val="auto"/>
              </w:rPr>
            </w:pPr>
            <w:r>
              <w:rPr>
                <w:rFonts w:ascii="Arial" w:cs="Arial" w:eastAsia="Arial" w:hAnsi="Arial"/>
                <w:sz w:val="18"/>
                <w:szCs w:val="18"/>
                <w:color w:val="auto"/>
                <w:w w:val="98"/>
              </w:rPr>
              <w:t>14,500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5"/>
              <w:spacing w:after="0"/>
              <w:rPr>
                <w:sz w:val="20"/>
                <w:szCs w:val="20"/>
                <w:color w:val="auto"/>
              </w:rPr>
            </w:pPr>
            <w:r>
              <w:rPr>
                <w:rFonts w:ascii="Arial" w:cs="Arial" w:eastAsia="Arial" w:hAnsi="Arial"/>
                <w:sz w:val="18"/>
                <w:szCs w:val="18"/>
                <w:color w:val="auto"/>
              </w:rPr>
              <w:t>376,990</w:t>
            </w:r>
          </w:p>
        </w:tc>
        <w:tc>
          <w:tcPr>
            <w:tcW w:w="820" w:type="dxa"/>
            <w:vAlign w:val="bottom"/>
          </w:tcPr>
          <w:p>
            <w:pPr>
              <w:jc w:val="right"/>
              <w:ind w:right="45"/>
              <w:spacing w:after="0"/>
              <w:rPr>
                <w:sz w:val="20"/>
                <w:szCs w:val="20"/>
                <w:color w:val="auto"/>
              </w:rPr>
            </w:pPr>
            <w:r>
              <w:rPr>
                <w:rFonts w:ascii="Arial" w:cs="Arial" w:eastAsia="Arial" w:hAnsi="Arial"/>
                <w:sz w:val="18"/>
                <w:szCs w:val="18"/>
                <w:color w:val="auto"/>
              </w:rPr>
              <w:t>779</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5"/>
              <w:spacing w:after="0"/>
              <w:rPr>
                <w:sz w:val="20"/>
                <w:szCs w:val="20"/>
                <w:color w:val="auto"/>
              </w:rPr>
            </w:pPr>
            <w:r>
              <w:rPr>
                <w:rFonts w:ascii="Arial" w:cs="Arial" w:eastAsia="Arial" w:hAnsi="Arial"/>
                <w:sz w:val="18"/>
                <w:szCs w:val="18"/>
                <w:color w:val="auto"/>
              </w:rPr>
              <w:t>385,146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288,859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96,287</w:t>
            </w:r>
          </w:p>
        </w:tc>
        <w:tc>
          <w:tcPr>
            <w:tcW w:w="98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$ 19,257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rPr>
              <w:t>404,403</w:t>
            </w: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1,034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900" w:right="120" w:hanging="446"/>
        <w:spacing w:after="0" w:line="254"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value of the Shares awarded in 2014 as part of the Annual Bonus for 2013, will be reflected in the Summary Compensation Table and the Grant of Plan-Based Awards Table in next year’s proxy statement.</w:t>
      </w:r>
    </w:p>
    <w:p>
      <w:pPr>
        <w:ind w:left="900" w:right="140" w:hanging="446"/>
        <w:spacing w:after="0" w:line="261"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number of Shares actually awarded to each executive officer was determined by dividing the amount of the award by $111.70, the closing price of our stock on the NYSE on February 6, 2014, the date the award was made.</w:t>
      </w:r>
    </w:p>
    <w:p>
      <w:pPr>
        <w:spacing w:after="0" w:line="56"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the amounts below. The group-term life insurance, long-term disability insurance and contributions to the 401K plan are provided to the named executive officers on the same terms, condition and scope as are available to all of our full-time employees.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13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5"/>
              </w:rPr>
              <w:t>Trust</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9"/>
        </w:trPr>
        <w:tc>
          <w:tcPr>
            <w:tcW w:w="2780" w:type="dxa"/>
            <w:vAlign w:val="bottom"/>
          </w:tcPr>
          <w:p>
            <w:pPr>
              <w:spacing w:after="0"/>
              <w:rPr>
                <w:sz w:val="12"/>
                <w:szCs w:val="12"/>
                <w:color w:val="auto"/>
              </w:rPr>
            </w:pPr>
          </w:p>
        </w:tc>
        <w:tc>
          <w:tcPr>
            <w:tcW w:w="2360" w:type="dxa"/>
            <w:vAlign w:val="bottom"/>
          </w:tcPr>
          <w:p>
            <w:pPr>
              <w:jc w:val="center"/>
              <w:ind w:left="1004"/>
              <w:spacing w:after="0" w:line="149" w:lineRule="exact"/>
              <w:rPr>
                <w:sz w:val="20"/>
                <w:szCs w:val="20"/>
                <w:color w:val="auto"/>
              </w:rPr>
            </w:pPr>
            <w:r>
              <w:rPr>
                <w:rFonts w:ascii="Arial" w:cs="Arial" w:eastAsia="Arial" w:hAnsi="Arial"/>
                <w:sz w:val="14"/>
                <w:szCs w:val="14"/>
                <w:b w:val="1"/>
                <w:bCs w:val="1"/>
                <w:color w:val="auto"/>
                <w:w w:val="89"/>
              </w:rPr>
              <w:t>Group Term</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Disability</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Supplemental</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14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2780" w:type="dxa"/>
            <w:vAlign w:val="bottom"/>
          </w:tcPr>
          <w:p>
            <w:pPr>
              <w:spacing w:after="0"/>
              <w:rPr>
                <w:sz w:val="12"/>
                <w:szCs w:val="12"/>
                <w:color w:val="auto"/>
              </w:rPr>
            </w:pPr>
          </w:p>
        </w:tc>
        <w:tc>
          <w:tcPr>
            <w:tcW w:w="2360" w:type="dxa"/>
            <w:vAlign w:val="bottom"/>
          </w:tcPr>
          <w:p>
            <w:pPr>
              <w:jc w:val="center"/>
              <w:ind w:left="984"/>
              <w:spacing w:after="0" w:line="149" w:lineRule="exact"/>
              <w:rPr>
                <w:sz w:val="20"/>
                <w:szCs w:val="20"/>
                <w:color w:val="auto"/>
              </w:rPr>
            </w:pPr>
            <w:r>
              <w:rPr>
                <w:rFonts w:ascii="Arial" w:cs="Arial" w:eastAsia="Arial" w:hAnsi="Arial"/>
                <w:sz w:val="14"/>
                <w:szCs w:val="14"/>
                <w:b w:val="1"/>
                <w:bCs w:val="1"/>
                <w:color w:val="auto"/>
                <w:w w:val="88"/>
              </w:rPr>
              <w:t>Life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Insurance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Section</w:t>
            </w:r>
          </w:p>
        </w:tc>
        <w:tc>
          <w:tcPr>
            <w:tcW w:w="14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1"/>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360" w:type="dxa"/>
            <w:vAlign w:val="bottom"/>
            <w:tcBorders>
              <w:bottom w:val="single" w:sz="8" w:color="auto"/>
            </w:tcBorders>
          </w:tcPr>
          <w:p>
            <w:pPr>
              <w:jc w:val="center"/>
              <w:ind w:left="984"/>
              <w:spacing w:after="0"/>
              <w:rPr>
                <w:sz w:val="20"/>
                <w:szCs w:val="20"/>
                <w:color w:val="auto"/>
              </w:rPr>
            </w:pPr>
            <w:r>
              <w:rPr>
                <w:rFonts w:ascii="Arial" w:cs="Arial" w:eastAsia="Arial" w:hAnsi="Arial"/>
                <w:sz w:val="14"/>
                <w:szCs w:val="14"/>
                <w:b w:val="1"/>
                <w:bCs w:val="1"/>
                <w:color w:val="auto"/>
                <w:w w:val="87"/>
              </w:rPr>
              <w:t>Insurance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Premium</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Insurance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401(k) Plan</w:t>
            </w:r>
          </w:p>
        </w:tc>
        <w:tc>
          <w:tcPr>
            <w:tcW w:w="14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Miscellaneous</w:t>
            </w: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r>
      <w:tr>
        <w:trPr>
          <w:trHeight w:val="237"/>
        </w:trPr>
        <w:tc>
          <w:tcPr>
            <w:tcW w:w="27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center"/>
              <w:ind w:left="1004"/>
              <w:spacing w:after="0"/>
              <w:rPr>
                <w:sz w:val="20"/>
                <w:szCs w:val="20"/>
                <w:color w:val="auto"/>
              </w:rPr>
            </w:pPr>
            <w:r>
              <w:rPr>
                <w:rFonts w:ascii="Arial" w:cs="Arial" w:eastAsia="Arial" w:hAnsi="Arial"/>
                <w:sz w:val="14"/>
                <w:szCs w:val="14"/>
                <w:b w:val="1"/>
                <w:bCs w:val="1"/>
                <w:color w:val="auto"/>
                <w:w w:val="93"/>
              </w:rPr>
              <w: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w:t>
            </w: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Donald C. Wood (a)</w:t>
            </w:r>
          </w:p>
        </w:tc>
        <w:tc>
          <w:tcPr>
            <w:tcW w:w="2360" w:type="dxa"/>
            <w:vAlign w:val="bottom"/>
            <w:shd w:val="clear" w:color="auto" w:fill="CCEEFF"/>
          </w:tcPr>
          <w:p>
            <w:pPr>
              <w:jc w:val="right"/>
              <w:ind w:right="204"/>
              <w:spacing w:after="0"/>
              <w:rPr>
                <w:sz w:val="20"/>
                <w:szCs w:val="20"/>
                <w:color w:val="auto"/>
              </w:rPr>
            </w:pPr>
            <w:r>
              <w:rPr>
                <w:rFonts w:ascii="Arial" w:cs="Arial" w:eastAsia="Arial" w:hAnsi="Arial"/>
                <w:sz w:val="18"/>
                <w:szCs w:val="18"/>
                <w:color w:val="auto"/>
              </w:rPr>
              <w:t>2,208</w:t>
            </w:r>
          </w:p>
        </w:tc>
        <w:tc>
          <w:tcPr>
            <w:tcW w:w="1240" w:type="dxa"/>
            <w:vAlign w:val="bottom"/>
            <w:shd w:val="clear" w:color="auto" w:fill="CCEEFF"/>
          </w:tcPr>
          <w:p>
            <w:pPr>
              <w:jc w:val="right"/>
              <w:ind w:right="225"/>
              <w:spacing w:after="0"/>
              <w:rPr>
                <w:sz w:val="20"/>
                <w:szCs w:val="20"/>
                <w:color w:val="auto"/>
              </w:rPr>
            </w:pPr>
            <w:r>
              <w:rPr>
                <w:rFonts w:ascii="Arial" w:cs="Arial" w:eastAsia="Arial" w:hAnsi="Arial"/>
                <w:sz w:val="18"/>
                <w:szCs w:val="18"/>
                <w:color w:val="auto"/>
              </w:rPr>
              <w:t>1,076</w:t>
            </w:r>
          </w:p>
        </w:tc>
        <w:tc>
          <w:tcPr>
            <w:tcW w:w="138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rPr>
              <w:t>2,652</w:t>
            </w:r>
          </w:p>
        </w:tc>
        <w:tc>
          <w:tcPr>
            <w:tcW w:w="1340" w:type="dxa"/>
            <w:vAlign w:val="bottom"/>
            <w:shd w:val="clear" w:color="auto" w:fill="CCEEFF"/>
          </w:tcPr>
          <w:p>
            <w:pPr>
              <w:jc w:val="right"/>
              <w:ind w:right="205"/>
              <w:spacing w:after="0"/>
              <w:rPr>
                <w:sz w:val="20"/>
                <w:szCs w:val="20"/>
                <w:color w:val="auto"/>
              </w:rPr>
            </w:pPr>
            <w:r>
              <w:rPr>
                <w:rFonts w:ascii="Arial" w:cs="Arial" w:eastAsia="Arial" w:hAnsi="Arial"/>
                <w:sz w:val="18"/>
                <w:szCs w:val="18"/>
                <w:color w:val="auto"/>
              </w:rPr>
              <w:t>6,375</w:t>
            </w: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4,405</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16,716</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James M. Taylor, Jr.</w:t>
            </w:r>
          </w:p>
        </w:tc>
        <w:tc>
          <w:tcPr>
            <w:tcW w:w="2360" w:type="dxa"/>
            <w:vAlign w:val="bottom"/>
          </w:tcPr>
          <w:p>
            <w:pPr>
              <w:jc w:val="right"/>
              <w:ind w:right="204"/>
              <w:spacing w:after="0"/>
              <w:rPr>
                <w:sz w:val="20"/>
                <w:szCs w:val="20"/>
                <w:color w:val="auto"/>
              </w:rPr>
            </w:pPr>
            <w:r>
              <w:rPr>
                <w:rFonts w:ascii="Arial" w:cs="Arial" w:eastAsia="Arial" w:hAnsi="Arial"/>
                <w:sz w:val="18"/>
                <w:szCs w:val="18"/>
                <w:color w:val="auto"/>
              </w:rPr>
              <w:t>270</w:t>
            </w:r>
          </w:p>
        </w:tc>
        <w:tc>
          <w:tcPr>
            <w:tcW w:w="1240" w:type="dxa"/>
            <w:vAlign w:val="bottom"/>
          </w:tcPr>
          <w:p>
            <w:pPr>
              <w:jc w:val="right"/>
              <w:ind w:right="225"/>
              <w:spacing w:after="0"/>
              <w:rPr>
                <w:sz w:val="20"/>
                <w:szCs w:val="20"/>
                <w:color w:val="auto"/>
              </w:rPr>
            </w:pPr>
            <w:r>
              <w:rPr>
                <w:rFonts w:ascii="Arial" w:cs="Arial" w:eastAsia="Arial" w:hAnsi="Arial"/>
                <w:sz w:val="18"/>
                <w:szCs w:val="18"/>
                <w:color w:val="auto"/>
              </w:rPr>
              <w:t>1,122</w:t>
            </w:r>
          </w:p>
        </w:tc>
        <w:tc>
          <w:tcPr>
            <w:tcW w:w="1380" w:type="dxa"/>
            <w:vAlign w:val="bottom"/>
          </w:tcPr>
          <w:p>
            <w:pPr>
              <w:jc w:val="right"/>
              <w:ind w:right="30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5"/>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1,392</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2360" w:type="dxa"/>
            <w:vAlign w:val="bottom"/>
            <w:shd w:val="clear" w:color="auto" w:fill="CCEEFF"/>
          </w:tcPr>
          <w:p>
            <w:pPr>
              <w:jc w:val="right"/>
              <w:ind w:right="204"/>
              <w:spacing w:after="0"/>
              <w:rPr>
                <w:sz w:val="20"/>
                <w:szCs w:val="20"/>
                <w:color w:val="auto"/>
              </w:rPr>
            </w:pPr>
            <w:r>
              <w:rPr>
                <w:rFonts w:ascii="Arial" w:cs="Arial" w:eastAsia="Arial" w:hAnsi="Arial"/>
                <w:sz w:val="18"/>
                <w:szCs w:val="18"/>
                <w:color w:val="auto"/>
              </w:rPr>
              <w:t>1,035</w:t>
            </w:r>
          </w:p>
        </w:tc>
        <w:tc>
          <w:tcPr>
            <w:tcW w:w="1240" w:type="dxa"/>
            <w:vAlign w:val="bottom"/>
            <w:shd w:val="clear" w:color="auto" w:fill="CCEEFF"/>
          </w:tcPr>
          <w:p>
            <w:pPr>
              <w:jc w:val="right"/>
              <w:ind w:right="225"/>
              <w:spacing w:after="0"/>
              <w:rPr>
                <w:sz w:val="20"/>
                <w:szCs w:val="20"/>
                <w:color w:val="auto"/>
              </w:rPr>
            </w:pPr>
            <w:r>
              <w:rPr>
                <w:rFonts w:ascii="Arial" w:cs="Arial" w:eastAsia="Arial" w:hAnsi="Arial"/>
                <w:sz w:val="18"/>
                <w:szCs w:val="18"/>
                <w:color w:val="auto"/>
              </w:rPr>
              <w:t>1,076</w:t>
            </w:r>
          </w:p>
        </w:tc>
        <w:tc>
          <w:tcPr>
            <w:tcW w:w="138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rPr>
              <w:t>1,165</w:t>
            </w:r>
          </w:p>
        </w:tc>
        <w:tc>
          <w:tcPr>
            <w:tcW w:w="1340" w:type="dxa"/>
            <w:vAlign w:val="bottom"/>
            <w:shd w:val="clear" w:color="auto" w:fill="CCEEFF"/>
          </w:tcPr>
          <w:p>
            <w:pPr>
              <w:jc w:val="right"/>
              <w:ind w:right="205"/>
              <w:spacing w:after="0"/>
              <w:rPr>
                <w:sz w:val="20"/>
                <w:szCs w:val="20"/>
                <w:color w:val="auto"/>
              </w:rPr>
            </w:pPr>
            <w:r>
              <w:rPr>
                <w:rFonts w:ascii="Arial" w:cs="Arial" w:eastAsia="Arial" w:hAnsi="Arial"/>
                <w:sz w:val="18"/>
                <w:szCs w:val="18"/>
                <w:color w:val="auto"/>
              </w:rPr>
              <w:t>6,375</w:t>
            </w:r>
          </w:p>
        </w:tc>
        <w:tc>
          <w:tcPr>
            <w:tcW w:w="1420" w:type="dxa"/>
            <w:vAlign w:val="bottom"/>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9,651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900" w:right="8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shown in the miscellaneous column constitutes interest that would have been payable on an interest-free loan made in connection with a split-dollar life insurance agreement put in place for Mr. Wood in 1998 which was repaid on August 16, 2013 in accordance with the terms of that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GRANTS OF PLAN-BASED AWARDS TABLE</w:t>
      </w:r>
    </w:p>
    <w:p>
      <w:pPr>
        <w:spacing w:after="0" w:line="177"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following Share awards were made in 2013. Awards made in 2014 to the named executive officers under the Annual Bonus Plan and LTIAP for either a one or three-year performance period ending December 31, 2013 will be reported in the Grants of Plan-Based Awards Table in next year’s proxy statement.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0"/>
              </w:rPr>
              <w:t>All Other Stock</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6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Awards: Number of</w:t>
            </w: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6500" w:type="dxa"/>
            <w:vAlign w:val="bottom"/>
          </w:tcPr>
          <w:p>
            <w:pPr>
              <w:spacing w:after="0"/>
              <w:rPr>
                <w:sz w:val="12"/>
                <w:szCs w:val="12"/>
                <w:color w:val="auto"/>
              </w:rPr>
            </w:pPr>
          </w:p>
        </w:tc>
        <w:tc>
          <w:tcPr>
            <w:tcW w:w="1840" w:type="dxa"/>
            <w:vAlign w:val="bottom"/>
          </w:tcPr>
          <w:p>
            <w:pPr>
              <w:jc w:val="right"/>
              <w:ind w:right="617"/>
              <w:spacing w:after="0" w:line="149" w:lineRule="exact"/>
              <w:rPr>
                <w:sz w:val="20"/>
                <w:szCs w:val="20"/>
                <w:color w:val="auto"/>
              </w:rPr>
            </w:pPr>
            <w:r>
              <w:rPr>
                <w:rFonts w:ascii="Arial" w:cs="Arial" w:eastAsia="Arial" w:hAnsi="Arial"/>
                <w:sz w:val="14"/>
                <w:szCs w:val="14"/>
                <w:b w:val="1"/>
                <w:bCs w:val="1"/>
                <w:color w:val="auto"/>
              </w:rPr>
              <w:t>Grant</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of Stock</w:t>
            </w:r>
          </w:p>
        </w:tc>
        <w:tc>
          <w:tcPr>
            <w:tcW w:w="1240" w:type="dxa"/>
            <w:vAlign w:val="bottom"/>
            <w:gridSpan w:val="2"/>
          </w:tcPr>
          <w:p>
            <w:pPr>
              <w:jc w:val="center"/>
              <w:ind w:left="175"/>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75"/>
        </w:trPr>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Date</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or Units</w:t>
            </w: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Fair Value</w:t>
            </w:r>
          </w:p>
        </w:tc>
      </w:tr>
      <w:tr>
        <w:trPr>
          <w:trHeight w:val="237"/>
        </w:trPr>
        <w:tc>
          <w:tcPr>
            <w:tcW w:w="65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(3)</w:t>
            </w: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8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2/7/2013(1)</w:t>
            </w:r>
          </w:p>
        </w:tc>
        <w:tc>
          <w:tcPr>
            <w:tcW w:w="184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3,289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351,890</w:t>
            </w:r>
          </w:p>
        </w:tc>
      </w:tr>
      <w:tr>
        <w:trPr>
          <w:trHeight w:val="216"/>
        </w:trPr>
        <w:tc>
          <w:tcPr>
            <w:tcW w:w="65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2/7/2013(2)</w:t>
            </w:r>
          </w:p>
        </w:tc>
        <w:tc>
          <w:tcPr>
            <w:tcW w:w="184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56,080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4"/>
              </w:rPr>
              <w:t>5,999,999</w:t>
            </w:r>
          </w:p>
        </w:tc>
      </w:tr>
      <w:tr>
        <w:trPr>
          <w:trHeight w:val="208"/>
        </w:trPr>
        <w:tc>
          <w:tcPr>
            <w:tcW w:w="6500" w:type="dxa"/>
            <w:vAlign w:val="bottom"/>
          </w:tcPr>
          <w:p>
            <w:pPr>
              <w:spacing w:after="0"/>
              <w:rPr>
                <w:sz w:val="20"/>
                <w:szCs w:val="20"/>
                <w:color w:val="auto"/>
              </w:rPr>
            </w:pPr>
            <w:r>
              <w:rPr>
                <w:rFonts w:ascii="Arial" w:cs="Arial" w:eastAsia="Arial" w:hAnsi="Arial"/>
                <w:sz w:val="18"/>
                <w:szCs w:val="18"/>
                <w:color w:val="auto"/>
              </w:rPr>
              <w:t>James M. Taylor, Jr.</w:t>
            </w:r>
          </w:p>
        </w:tc>
        <w:tc>
          <w:tcPr>
            <w:tcW w:w="1840" w:type="dxa"/>
            <w:vAlign w:val="bottom"/>
          </w:tcPr>
          <w:p>
            <w:pPr>
              <w:jc w:val="right"/>
              <w:ind w:right="257"/>
              <w:spacing w:after="0"/>
              <w:rPr>
                <w:sz w:val="20"/>
                <w:szCs w:val="20"/>
                <w:color w:val="auto"/>
              </w:rPr>
            </w:pPr>
            <w:r>
              <w:rPr>
                <w:rFonts w:ascii="Arial" w:cs="Arial" w:eastAsia="Arial" w:hAnsi="Arial"/>
                <w:sz w:val="18"/>
                <w:szCs w:val="18"/>
                <w:color w:val="auto"/>
              </w:rPr>
              <w:t>2/7/2013(1)</w:t>
            </w:r>
          </w:p>
        </w:tc>
        <w:tc>
          <w:tcPr>
            <w:tcW w:w="1840" w:type="dxa"/>
            <w:vAlign w:val="bottom"/>
          </w:tcPr>
          <w:p>
            <w:pPr>
              <w:jc w:val="right"/>
              <w:ind w:right="281"/>
              <w:spacing w:after="0"/>
              <w:rPr>
                <w:sz w:val="20"/>
                <w:szCs w:val="20"/>
                <w:color w:val="auto"/>
              </w:rPr>
            </w:pPr>
            <w:r>
              <w:rPr>
                <w:rFonts w:ascii="Arial" w:cs="Arial" w:eastAsia="Arial" w:hAnsi="Arial"/>
                <w:sz w:val="18"/>
                <w:szCs w:val="18"/>
                <w:color w:val="auto"/>
              </w:rPr>
              <w:t>774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82,810</w:t>
            </w:r>
          </w:p>
        </w:tc>
      </w:tr>
      <w:tr>
        <w:trPr>
          <w:trHeight w:val="222"/>
        </w:trPr>
        <w:tc>
          <w:tcPr>
            <w:tcW w:w="6500" w:type="dxa"/>
            <w:vAlign w:val="bottom"/>
          </w:tcPr>
          <w:p>
            <w:pPr>
              <w:spacing w:after="0"/>
              <w:rPr>
                <w:sz w:val="19"/>
                <w:szCs w:val="19"/>
                <w:color w:val="auto"/>
              </w:rPr>
            </w:pPr>
          </w:p>
        </w:tc>
        <w:tc>
          <w:tcPr>
            <w:tcW w:w="1840" w:type="dxa"/>
            <w:vAlign w:val="bottom"/>
          </w:tcPr>
          <w:p>
            <w:pPr>
              <w:jc w:val="right"/>
              <w:ind w:right="257"/>
              <w:spacing w:after="0"/>
              <w:rPr>
                <w:sz w:val="20"/>
                <w:szCs w:val="20"/>
                <w:color w:val="auto"/>
              </w:rPr>
            </w:pPr>
            <w:r>
              <w:rPr>
                <w:rFonts w:ascii="Arial" w:cs="Arial" w:eastAsia="Arial" w:hAnsi="Arial"/>
                <w:sz w:val="18"/>
                <w:szCs w:val="18"/>
                <w:color w:val="auto"/>
              </w:rPr>
              <w:t>2/7/2013(2)</w:t>
            </w:r>
          </w:p>
        </w:tc>
        <w:tc>
          <w:tcPr>
            <w:tcW w:w="1840" w:type="dxa"/>
            <w:vAlign w:val="bottom"/>
          </w:tcPr>
          <w:p>
            <w:pPr>
              <w:jc w:val="right"/>
              <w:ind w:right="281"/>
              <w:spacing w:after="0"/>
              <w:rPr>
                <w:sz w:val="20"/>
                <w:szCs w:val="20"/>
                <w:color w:val="auto"/>
              </w:rPr>
            </w:pPr>
            <w:r>
              <w:rPr>
                <w:rFonts w:ascii="Arial" w:cs="Arial" w:eastAsia="Arial" w:hAnsi="Arial"/>
                <w:sz w:val="18"/>
                <w:szCs w:val="18"/>
                <w:color w:val="auto"/>
              </w:rPr>
              <w:t>8,412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900,000</w:t>
            </w: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8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2/7/2013(1)</w:t>
            </w:r>
          </w:p>
        </w:tc>
        <w:tc>
          <w:tcPr>
            <w:tcW w:w="184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1,028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109,986</w:t>
            </w:r>
          </w:p>
        </w:tc>
      </w:tr>
      <w:tr>
        <w:trPr>
          <w:trHeight w:val="222"/>
        </w:trPr>
        <w:tc>
          <w:tcPr>
            <w:tcW w:w="6500" w:type="dxa"/>
            <w:vAlign w:val="bottom"/>
          </w:tcPr>
          <w:p>
            <w:pPr>
              <w:spacing w:after="0"/>
              <w:rPr>
                <w:sz w:val="19"/>
                <w:szCs w:val="19"/>
                <w:color w:val="auto"/>
              </w:rPr>
            </w:pPr>
          </w:p>
        </w:tc>
        <w:tc>
          <w:tcPr>
            <w:tcW w:w="1840" w:type="dxa"/>
            <w:vAlign w:val="bottom"/>
          </w:tcPr>
          <w:p>
            <w:pPr>
              <w:jc w:val="right"/>
              <w:ind w:right="257"/>
              <w:spacing w:after="0"/>
              <w:rPr>
                <w:sz w:val="20"/>
                <w:szCs w:val="20"/>
                <w:color w:val="auto"/>
              </w:rPr>
            </w:pPr>
            <w:r>
              <w:rPr>
                <w:rFonts w:ascii="Arial" w:cs="Arial" w:eastAsia="Arial" w:hAnsi="Arial"/>
                <w:sz w:val="18"/>
                <w:szCs w:val="18"/>
                <w:color w:val="auto"/>
              </w:rPr>
              <w:t>2/7/2013(2)</w:t>
            </w:r>
          </w:p>
        </w:tc>
        <w:tc>
          <w:tcPr>
            <w:tcW w:w="1840" w:type="dxa"/>
            <w:vAlign w:val="bottom"/>
          </w:tcPr>
          <w:p>
            <w:pPr>
              <w:jc w:val="right"/>
              <w:ind w:right="281"/>
              <w:spacing w:after="0"/>
              <w:rPr>
                <w:sz w:val="20"/>
                <w:szCs w:val="20"/>
                <w:color w:val="auto"/>
              </w:rPr>
            </w:pPr>
            <w:r>
              <w:rPr>
                <w:rFonts w:ascii="Arial" w:cs="Arial" w:eastAsia="Arial" w:hAnsi="Arial"/>
                <w:sz w:val="18"/>
                <w:szCs w:val="18"/>
                <w:color w:val="auto"/>
              </w:rPr>
              <w:t>8,412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900,000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under our Annual Bonus Plan. These Shares vest equally over 3 years.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under our LTIAP. These Shares vest equally over 3 years.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Dividends are paid on all Shares issued at the same rate and time as paid to all other holders of our Shares as declared by our Board from time to time.</w:t>
      </w: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2013 OUTSTANDING EQUITY AWARDS AT FISCAL YEAR-END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4"/>
          </w:tcPr>
          <w:p>
            <w:pPr>
              <w:ind w:left="540"/>
              <w:spacing w:after="0" w:line="144" w:lineRule="exact"/>
              <w:rPr>
                <w:sz w:val="20"/>
                <w:szCs w:val="20"/>
                <w:color w:val="auto"/>
              </w:rPr>
            </w:pPr>
            <w:r>
              <w:rPr>
                <w:rFonts w:ascii="Arial" w:cs="Arial" w:eastAsia="Arial" w:hAnsi="Arial"/>
                <w:sz w:val="14"/>
                <w:szCs w:val="14"/>
                <w:b w:val="1"/>
                <w:bCs w:val="1"/>
                <w:color w:val="auto"/>
              </w:rPr>
              <w:t>Option Awards</w:t>
            </w: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5"/>
          </w:tcPr>
          <w:p>
            <w:pPr>
              <w:ind w:left="600"/>
              <w:spacing w:after="0" w:line="144" w:lineRule="exact"/>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Number of</w:t>
            </w: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8"/>
              <w:spacing w:after="0" w:line="129" w:lineRule="exact"/>
              <w:rPr>
                <w:sz w:val="20"/>
                <w:szCs w:val="20"/>
                <w:color w:val="auto"/>
              </w:rPr>
            </w:pPr>
            <w:r>
              <w:rPr>
                <w:rFonts w:ascii="Arial" w:cs="Arial" w:eastAsia="Arial" w:hAnsi="Arial"/>
                <w:sz w:val="14"/>
                <w:szCs w:val="14"/>
                <w:b w:val="1"/>
                <w:bCs w:val="1"/>
                <w:color w:val="auto"/>
                <w:w w:val="97"/>
              </w:rPr>
              <w:t>Market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 or</w:t>
            </w:r>
          </w:p>
        </w:tc>
        <w:tc>
          <w:tcPr>
            <w:tcW w:w="4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Shares or</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30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Units of</w:t>
            </w:r>
          </w:p>
        </w:tc>
        <w:tc>
          <w:tcPr>
            <w:tcW w:w="4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Units of</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0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80" w:type="dxa"/>
            <w:vAlign w:val="bottom"/>
            <w:gridSpan w:val="2"/>
          </w:tcPr>
          <w:p>
            <w:pPr>
              <w:jc w:val="center"/>
              <w:ind w:left="21"/>
              <w:spacing w:after="0" w:line="149" w:lineRule="exact"/>
              <w:rPr>
                <w:sz w:val="20"/>
                <w:szCs w:val="20"/>
                <w:color w:val="auto"/>
              </w:rPr>
            </w:pPr>
            <w:r>
              <w:rPr>
                <w:rFonts w:ascii="Arial" w:cs="Arial" w:eastAsia="Arial" w:hAnsi="Arial"/>
                <w:sz w:val="14"/>
                <w:szCs w:val="14"/>
                <w:b w:val="1"/>
                <w:bCs w:val="1"/>
                <w:color w:val="auto"/>
                <w:w w:val="88"/>
              </w:rPr>
              <w:t>Option</w:t>
            </w:r>
          </w:p>
        </w:tc>
        <w:tc>
          <w:tcPr>
            <w:tcW w:w="118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 That</w:t>
            </w:r>
          </w:p>
        </w:tc>
        <w:tc>
          <w:tcPr>
            <w:tcW w:w="1200" w:type="dxa"/>
            <w:vAlign w:val="bottom"/>
            <w:gridSpan w:val="3"/>
          </w:tcPr>
          <w:p>
            <w:pPr>
              <w:jc w:val="center"/>
              <w:ind w:left="133"/>
              <w:spacing w:after="0" w:line="149" w:lineRule="exact"/>
              <w:rPr>
                <w:sz w:val="20"/>
                <w:szCs w:val="20"/>
                <w:color w:val="auto"/>
              </w:rPr>
            </w:pPr>
            <w:r>
              <w:rPr>
                <w:rFonts w:ascii="Arial" w:cs="Arial" w:eastAsia="Arial" w:hAnsi="Arial"/>
                <w:sz w:val="14"/>
                <w:szCs w:val="14"/>
                <w:b w:val="1"/>
                <w:bCs w:val="1"/>
                <w:color w:val="auto"/>
                <w:w w:val="86"/>
              </w:rPr>
              <w:t>Stock That</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380" w:type="dxa"/>
            <w:vAlign w:val="bottom"/>
          </w:tcPr>
          <w:p>
            <w:pPr>
              <w:spacing w:after="0"/>
              <w:rPr>
                <w:sz w:val="11"/>
                <w:szCs w:val="11"/>
                <w:color w:val="auto"/>
              </w:rPr>
            </w:pPr>
          </w:p>
        </w:tc>
        <w:tc>
          <w:tcPr>
            <w:tcW w:w="780" w:type="dxa"/>
            <w:vAlign w:val="bottom"/>
            <w:gridSpan w:val="2"/>
          </w:tcPr>
          <w:p>
            <w:pPr>
              <w:jc w:val="center"/>
              <w:ind w:left="21"/>
              <w:spacing w:after="0" w:line="129" w:lineRule="exact"/>
              <w:rPr>
                <w:sz w:val="20"/>
                <w:szCs w:val="20"/>
                <w:color w:val="auto"/>
              </w:rPr>
            </w:pPr>
            <w:r>
              <w:rPr>
                <w:rFonts w:ascii="Arial" w:cs="Arial" w:eastAsia="Arial" w:hAnsi="Arial"/>
                <w:sz w:val="14"/>
                <w:szCs w:val="14"/>
                <w:b w:val="1"/>
                <w:bCs w:val="1"/>
                <w:color w:val="auto"/>
                <w:w w:val="83"/>
              </w:rPr>
              <w:t>Exercise</w:t>
            </w:r>
          </w:p>
        </w:tc>
        <w:tc>
          <w:tcPr>
            <w:tcW w:w="118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rPr>
              <w:t>Expiration</w:t>
            </w:r>
          </w:p>
        </w:tc>
        <w:tc>
          <w:tcPr>
            <w:tcW w:w="300" w:type="dxa"/>
            <w:vAlign w:val="bottom"/>
          </w:tcPr>
          <w:p>
            <w:pPr>
              <w:spacing w:after="0"/>
              <w:rPr>
                <w:sz w:val="11"/>
                <w:szCs w:val="11"/>
                <w:color w:val="auto"/>
              </w:rPr>
            </w:pPr>
          </w:p>
        </w:tc>
        <w:tc>
          <w:tcPr>
            <w:tcW w:w="9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Have Not</w:t>
            </w:r>
          </w:p>
        </w:tc>
        <w:tc>
          <w:tcPr>
            <w:tcW w:w="400" w:type="dxa"/>
            <w:vAlign w:val="bottom"/>
          </w:tcPr>
          <w:p>
            <w:pPr>
              <w:spacing w:after="0"/>
              <w:rPr>
                <w:sz w:val="11"/>
                <w:szCs w:val="11"/>
                <w:color w:val="auto"/>
              </w:rPr>
            </w:pPr>
          </w:p>
        </w:tc>
        <w:tc>
          <w:tcPr>
            <w:tcW w:w="8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9"/>
        </w:trPr>
        <w:tc>
          <w:tcPr>
            <w:tcW w:w="44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Exercisable</w:t>
            </w:r>
          </w:p>
        </w:tc>
        <w:tc>
          <w:tcPr>
            <w:tcW w:w="3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Unexercisable</w:t>
            </w:r>
          </w:p>
        </w:tc>
        <w:tc>
          <w:tcPr>
            <w:tcW w:w="78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87"/>
              </w:rPr>
              <w:t>Price</w:t>
            </w:r>
          </w:p>
        </w:tc>
        <w:tc>
          <w:tcPr>
            <w:tcW w:w="1180" w:type="dxa"/>
            <w:vAlign w:val="bottom"/>
            <w:gridSpan w:val="2"/>
          </w:tcPr>
          <w:p>
            <w:pPr>
              <w:ind w:left="560"/>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Vested</w:t>
            </w:r>
          </w:p>
        </w:tc>
        <w:tc>
          <w:tcPr>
            <w:tcW w:w="4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37"/>
        </w:trPr>
        <w:tc>
          <w:tcPr>
            <w:tcW w:w="44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gridSpan w:val="2"/>
          </w:tcPr>
          <w:p>
            <w:pPr>
              <w:jc w:val="center"/>
              <w:ind w:left="219"/>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gridSpan w:val="2"/>
          </w:tcPr>
          <w:p>
            <w:pPr>
              <w:jc w:val="center"/>
              <w:ind w:left="236"/>
              <w:spacing w:after="0"/>
              <w:rPr>
                <w:sz w:val="20"/>
                <w:szCs w:val="20"/>
                <w:color w:val="auto"/>
              </w:rPr>
            </w:pPr>
            <w:r>
              <w:rPr>
                <w:rFonts w:ascii="Arial" w:cs="Arial" w:eastAsia="Arial" w:hAnsi="Arial"/>
                <w:sz w:val="14"/>
                <w:szCs w:val="14"/>
                <w:b w:val="1"/>
                <w:bCs w:val="1"/>
                <w:color w:val="auto"/>
                <w:w w:val="93"/>
              </w:rPr>
              <w:t>(#)</w:t>
            </w:r>
          </w:p>
        </w:tc>
        <w:tc>
          <w:tcPr>
            <w:tcW w:w="3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top w:val="single" w:sz="8" w:color="auto"/>
              <w:bottom w:val="single" w:sz="8" w:color="auto"/>
            </w:tcBorders>
            <w:gridSpan w:val="2"/>
          </w:tcPr>
          <w:p>
            <w:pPr>
              <w:jc w:val="center"/>
              <w:ind w:left="213"/>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115,830</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28,958(1)</w:t>
            </w:r>
          </w:p>
        </w:tc>
        <w:tc>
          <w:tcPr>
            <w:tcW w:w="780" w:type="dxa"/>
            <w:vAlign w:val="bottom"/>
            <w:gridSpan w:val="2"/>
            <w:shd w:val="clear" w:color="auto" w:fill="CCEEFF"/>
          </w:tcPr>
          <w:p>
            <w:pPr>
              <w:jc w:val="center"/>
              <w:ind w:left="1"/>
              <w:spacing w:after="0"/>
              <w:rPr>
                <w:sz w:val="20"/>
                <w:szCs w:val="20"/>
                <w:color w:val="auto"/>
              </w:rPr>
            </w:pPr>
            <w:r>
              <w:rPr>
                <w:rFonts w:ascii="Arial" w:cs="Arial" w:eastAsia="Arial" w:hAnsi="Arial"/>
                <w:sz w:val="18"/>
                <w:szCs w:val="18"/>
                <w:color w:val="auto"/>
                <w:w w:val="90"/>
              </w:rPr>
              <w:t>$43.48</w:t>
            </w:r>
          </w:p>
        </w:tc>
        <w:tc>
          <w:tcPr>
            <w:tcW w:w="1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2/17/2019</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3,289(2)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84,507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
              <w:spacing w:after="0"/>
              <w:rPr>
                <w:sz w:val="20"/>
                <w:szCs w:val="20"/>
                <w:color w:val="auto"/>
              </w:rPr>
            </w:pPr>
            <w:r>
              <w:rPr>
                <w:rFonts w:ascii="Arial" w:cs="Arial" w:eastAsia="Arial" w:hAnsi="Arial"/>
                <w:sz w:val="18"/>
                <w:szCs w:val="18"/>
                <w:color w:val="auto"/>
                <w:w w:val="90"/>
              </w:rPr>
              <w:t>$73.03</w:t>
            </w:r>
          </w:p>
        </w:tc>
        <w:tc>
          <w:tcPr>
            <w:tcW w:w="1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2/10/2018</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56,080(2)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5,687,073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
              <w:spacing w:after="0"/>
              <w:rPr>
                <w:sz w:val="20"/>
                <w:szCs w:val="20"/>
                <w:color w:val="auto"/>
              </w:rPr>
            </w:pPr>
            <w:r>
              <w:rPr>
                <w:rFonts w:ascii="Arial" w:cs="Arial" w:eastAsia="Arial" w:hAnsi="Arial"/>
                <w:sz w:val="18"/>
                <w:szCs w:val="18"/>
                <w:color w:val="auto"/>
                <w:w w:val="90"/>
              </w:rPr>
              <w:t>$92.30</w:t>
            </w:r>
          </w:p>
        </w:tc>
        <w:tc>
          <w:tcPr>
            <w:tcW w:w="1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2/12/2017</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2,167(3)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41,684(3)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4,227,174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1,369(4)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15,044(4)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1,525,612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60,931(5)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6,179,013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tcPr>
          <w:p>
            <w:pPr>
              <w:spacing w:after="0"/>
              <w:rPr>
                <w:sz w:val="20"/>
                <w:szCs w:val="20"/>
                <w:color w:val="auto"/>
              </w:rPr>
            </w:pPr>
            <w:r>
              <w:rPr>
                <w:rFonts w:ascii="Arial" w:cs="Arial" w:eastAsia="Arial" w:hAnsi="Arial"/>
                <w:sz w:val="18"/>
                <w:szCs w:val="18"/>
                <w:color w:val="auto"/>
              </w:rPr>
              <w:t>James M. Taylor, Jr.</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774(2)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8,412(2)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853,061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39,941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
              <w:spacing w:after="0"/>
              <w:rPr>
                <w:sz w:val="20"/>
                <w:szCs w:val="20"/>
                <w:color w:val="auto"/>
              </w:rPr>
            </w:pPr>
            <w:r>
              <w:rPr>
                <w:rFonts w:ascii="Arial" w:cs="Arial" w:eastAsia="Arial" w:hAnsi="Arial"/>
                <w:sz w:val="18"/>
                <w:szCs w:val="18"/>
                <w:color w:val="auto"/>
                <w:w w:val="90"/>
              </w:rPr>
              <w:t>$73.03</w:t>
            </w:r>
          </w:p>
        </w:tc>
        <w:tc>
          <w:tcPr>
            <w:tcW w:w="1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2/10/2018</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1,028(2)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
              <w:spacing w:after="0"/>
              <w:rPr>
                <w:sz w:val="20"/>
                <w:szCs w:val="20"/>
                <w:color w:val="auto"/>
              </w:rPr>
            </w:pPr>
            <w:r>
              <w:rPr>
                <w:rFonts w:ascii="Arial" w:cs="Arial" w:eastAsia="Arial" w:hAnsi="Arial"/>
                <w:sz w:val="18"/>
                <w:szCs w:val="18"/>
                <w:color w:val="auto"/>
                <w:w w:val="90"/>
              </w:rPr>
              <w:t>$67.66</w:t>
            </w:r>
          </w:p>
        </w:tc>
        <w:tc>
          <w:tcPr>
            <w:tcW w:w="1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2/16/2016</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8,412(2)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759(3)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5,211(3)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322(4)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2,287(4)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2,440(6)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options vested on February 17, 2014.</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One-third of these Shares vested on February 12, 2014 and the remaining two-thirds of these Shares vest on February 12, 2015 and 2016.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One-half of these Shares vested on February 12, 2014 and the remaining one-half of these Shares vest on February 12,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shares vested on February 10, 2014.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Shares vest on October 12, 2015.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Shares vest 50% on February 10, 2015 and 50% on February 10, 2017.</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OPTION EXERCISES AND STOCK VESTED</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following table includes certain information with respect to options exercised in 2013 by each named executive officer and Shares that vested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Option Awards</w:t>
            </w: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ind w:right="852"/>
              <w:spacing w:after="0"/>
              <w:rPr>
                <w:sz w:val="20"/>
                <w:szCs w:val="20"/>
                <w:color w:val="auto"/>
              </w:rPr>
            </w:pPr>
            <w:r>
              <w:rPr>
                <w:rFonts w:ascii="Arial" w:cs="Arial" w:eastAsia="Arial" w:hAnsi="Arial"/>
                <w:sz w:val="14"/>
                <w:szCs w:val="14"/>
                <w:b w:val="1"/>
                <w:bCs w:val="1"/>
                <w:color w:val="auto"/>
              </w:rPr>
              <w:t>Stock Awards</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1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4"/>
              <w:spacing w:after="0" w:line="129" w:lineRule="exact"/>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1"/>
                <w:szCs w:val="11"/>
                <w:color w:val="auto"/>
              </w:rPr>
            </w:pPr>
          </w:p>
        </w:tc>
      </w:tr>
      <w:tr>
        <w:trPr>
          <w:trHeight w:val="149"/>
        </w:trPr>
        <w:tc>
          <w:tcPr>
            <w:tcW w:w="3480" w:type="dxa"/>
            <w:vAlign w:val="bottom"/>
          </w:tcPr>
          <w:p>
            <w:pPr>
              <w:spacing w:after="0"/>
              <w:rPr>
                <w:sz w:val="12"/>
                <w:szCs w:val="12"/>
                <w:color w:val="auto"/>
              </w:rPr>
            </w:pPr>
          </w:p>
        </w:tc>
        <w:tc>
          <w:tcPr>
            <w:tcW w:w="17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60" w:type="dxa"/>
            <w:vAlign w:val="bottom"/>
          </w:tcPr>
          <w:p>
            <w:pPr>
              <w:spacing w:after="0"/>
              <w:rPr>
                <w:sz w:val="12"/>
                <w:szCs w:val="12"/>
                <w:color w:val="auto"/>
              </w:rPr>
            </w:pPr>
          </w:p>
        </w:tc>
        <w:tc>
          <w:tcPr>
            <w:tcW w:w="1940" w:type="dxa"/>
            <w:vAlign w:val="bottom"/>
            <w:gridSpan w:val="3"/>
          </w:tcPr>
          <w:p>
            <w:pPr>
              <w:jc w:val="center"/>
              <w:ind w:right="1220"/>
              <w:spacing w:after="0" w:line="149" w:lineRule="exact"/>
              <w:rPr>
                <w:sz w:val="20"/>
                <w:szCs w:val="20"/>
                <w:color w:val="auto"/>
              </w:rPr>
            </w:pPr>
            <w:r>
              <w:rPr>
                <w:rFonts w:ascii="Arial" w:cs="Arial" w:eastAsia="Arial" w:hAnsi="Arial"/>
                <w:sz w:val="14"/>
                <w:szCs w:val="14"/>
                <w:b w:val="1"/>
                <w:bCs w:val="1"/>
                <w:color w:val="auto"/>
                <w:w w:val="84"/>
              </w:rPr>
              <w:t>Realized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Realized</w:t>
            </w:r>
          </w:p>
        </w:tc>
      </w:tr>
      <w:tr>
        <w:trPr>
          <w:trHeight w:val="175"/>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w w:val="85"/>
              </w:rPr>
              <w:t>Acquired on Exercise</w:t>
            </w:r>
          </w:p>
        </w:tc>
        <w:tc>
          <w:tcPr>
            <w:tcW w:w="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right="1220"/>
              <w:spacing w:after="0"/>
              <w:rPr>
                <w:sz w:val="20"/>
                <w:szCs w:val="20"/>
                <w:color w:val="auto"/>
              </w:rPr>
            </w:pPr>
            <w:r>
              <w:rPr>
                <w:rFonts w:ascii="Arial" w:cs="Arial" w:eastAsia="Arial" w:hAnsi="Arial"/>
                <w:sz w:val="14"/>
                <w:szCs w:val="14"/>
                <w:b w:val="1"/>
                <w:bCs w:val="1"/>
                <w:color w:val="auto"/>
                <w:w w:val="86"/>
              </w:rPr>
              <w:t>on Exercise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Acquired on Vesting</w:t>
            </w:r>
          </w:p>
        </w:tc>
        <w:tc>
          <w:tcPr>
            <w:tcW w:w="2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3"/>
              </w:rPr>
              <w:t>on Vesting</w:t>
            </w:r>
          </w:p>
        </w:tc>
      </w:tr>
      <w:tr>
        <w:trPr>
          <w:trHeight w:val="142"/>
        </w:trPr>
        <w:tc>
          <w:tcPr>
            <w:tcW w:w="3480" w:type="dxa"/>
            <w:vAlign w:val="bottom"/>
          </w:tcPr>
          <w:p>
            <w:pPr>
              <w:spacing w:after="0"/>
              <w:rPr>
                <w:sz w:val="12"/>
                <w:szCs w:val="12"/>
                <w:color w:val="auto"/>
              </w:rPr>
            </w:pPr>
          </w:p>
        </w:tc>
        <w:tc>
          <w:tcPr>
            <w:tcW w:w="1240" w:type="dxa"/>
            <w:vAlign w:val="bottom"/>
          </w:tcPr>
          <w:p>
            <w:pPr>
              <w:jc w:val="right"/>
              <w:ind w:right="464"/>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204"/>
              <w:spacing w:after="0"/>
              <w:rPr>
                <w:sz w:val="20"/>
                <w:szCs w:val="20"/>
                <w:color w:val="auto"/>
              </w:rPr>
            </w:pPr>
            <w:r>
              <w:rPr>
                <w:rFonts w:ascii="Arial" w:cs="Arial" w:eastAsia="Arial" w:hAnsi="Arial"/>
                <w:sz w:val="8"/>
                <w:szCs w:val="8"/>
                <w:b w:val="1"/>
                <w:bCs w:val="1"/>
                <w:color w:val="auto"/>
                <w:w w:val="73"/>
              </w:rPr>
              <w:t>)</w:t>
            </w:r>
          </w:p>
        </w:tc>
        <w:tc>
          <w:tcPr>
            <w:tcW w:w="122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4"/>
              <w:spacing w:after="0" w:line="142"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r>
      <w:tr>
        <w:trPr>
          <w:trHeight w:val="210"/>
        </w:trPr>
        <w:tc>
          <w:tcPr>
            <w:tcW w:w="3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Donald C. Wood</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52,912</w:t>
            </w:r>
          </w:p>
        </w:tc>
        <w:tc>
          <w:tcPr>
            <w:tcW w:w="2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5,739,110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James M. Taylor, Jr.</w:t>
            </w:r>
          </w:p>
        </w:tc>
        <w:tc>
          <w:tcPr>
            <w:tcW w:w="176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4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1,149,922</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NON-QUALIFIED DEFERRED COMPENSATION</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maintain a non-qualified deferred compensation plan that is open to participation by 29 members of our senior management team, including our named executive officers.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We have an unsecured contractual obligation to each participant in the plan to pay him or her the actual amount he or she deferred into the plan together with a return calculated as if the deferred amounts had been invested in the investment options selected by the participant. We try to invest amounts deferred by participants into the same investment options in the same proportions as selected by the participant so that sufficient amounts will be available to pay each participant when required. The amounts deferred by Ms. Becker and Mr. Wood into the plan in 2013, the earnings on plan investments in 2013 and aggregate withdrawals and distributions made in 2013 are described below. Mr. Taylor does not participate in our deferred compensation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6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85"/>
              </w:rPr>
              <w:t>Executive</w:t>
            </w:r>
          </w:p>
        </w:tc>
        <w:tc>
          <w:tcPr>
            <w:tcW w:w="13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Registrant</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2640" w:type="dxa"/>
            <w:vAlign w:val="bottom"/>
          </w:tcPr>
          <w:p>
            <w:pPr>
              <w:spacing w:after="0"/>
              <w:rPr>
                <w:sz w:val="12"/>
                <w:szCs w:val="12"/>
                <w:color w:val="auto"/>
              </w:rPr>
            </w:pPr>
          </w:p>
        </w:tc>
        <w:tc>
          <w:tcPr>
            <w:tcW w:w="2420" w:type="dxa"/>
            <w:vAlign w:val="bottom"/>
            <w:gridSpan w:val="2"/>
          </w:tcPr>
          <w:p>
            <w:pPr>
              <w:jc w:val="center"/>
              <w:ind w:left="1222"/>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3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Contributions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Last</w:t>
            </w:r>
          </w:p>
        </w:tc>
        <w:tc>
          <w:tcPr>
            <w:tcW w:w="1920" w:type="dxa"/>
            <w:vAlign w:val="bottom"/>
            <w:gridSpan w:val="2"/>
          </w:tcPr>
          <w:p>
            <w:pPr>
              <w:ind w:left="560"/>
              <w:spacing w:after="0" w:line="149" w:lineRule="exact"/>
              <w:rPr>
                <w:sz w:val="20"/>
                <w:szCs w:val="20"/>
                <w:color w:val="auto"/>
              </w:rPr>
            </w:pPr>
            <w:r>
              <w:rPr>
                <w:rFonts w:ascii="Arial" w:cs="Arial" w:eastAsia="Arial" w:hAnsi="Arial"/>
                <w:sz w:val="14"/>
                <w:szCs w:val="14"/>
                <w:b w:val="1"/>
                <w:bCs w:val="1"/>
                <w:color w:val="auto"/>
              </w:rPr>
              <w:t>Aggregate</w:t>
            </w:r>
          </w:p>
        </w:tc>
        <w:tc>
          <w:tcPr>
            <w:tcW w:w="760" w:type="dxa"/>
            <w:vAlign w:val="bottom"/>
          </w:tcPr>
          <w:p>
            <w:pPr>
              <w:spacing w:after="0"/>
              <w:rPr>
                <w:sz w:val="12"/>
                <w:szCs w:val="12"/>
                <w:color w:val="auto"/>
              </w:rPr>
            </w:pPr>
          </w:p>
        </w:tc>
        <w:tc>
          <w:tcPr>
            <w:tcW w:w="80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2640" w:type="dxa"/>
            <w:vAlign w:val="bottom"/>
          </w:tcPr>
          <w:p>
            <w:pPr>
              <w:spacing w:after="0"/>
              <w:rPr>
                <w:sz w:val="12"/>
                <w:szCs w:val="12"/>
                <w:color w:val="auto"/>
              </w:rPr>
            </w:pPr>
          </w:p>
        </w:tc>
        <w:tc>
          <w:tcPr>
            <w:tcW w:w="2420" w:type="dxa"/>
            <w:vAlign w:val="bottom"/>
            <w:gridSpan w:val="2"/>
          </w:tcPr>
          <w:p>
            <w:pPr>
              <w:jc w:val="center"/>
              <w:ind w:left="1222"/>
              <w:spacing w:after="0" w:line="149" w:lineRule="exact"/>
              <w:rPr>
                <w:sz w:val="20"/>
                <w:szCs w:val="20"/>
                <w:color w:val="auto"/>
              </w:rPr>
            </w:pPr>
            <w:r>
              <w:rPr>
                <w:rFonts w:ascii="Arial" w:cs="Arial" w:eastAsia="Arial" w:hAnsi="Arial"/>
                <w:sz w:val="14"/>
                <w:szCs w:val="14"/>
                <w:b w:val="1"/>
                <w:bCs w:val="1"/>
                <w:color w:val="auto"/>
                <w:w w:val="85"/>
              </w:rPr>
              <w:t>in Last Fiscal</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in Last Fiscal</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Fiscal</w:t>
            </w:r>
          </w:p>
        </w:tc>
        <w:tc>
          <w:tcPr>
            <w:tcW w:w="192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Withdrawals/</w:t>
            </w:r>
          </w:p>
        </w:tc>
        <w:tc>
          <w:tcPr>
            <w:tcW w:w="1560" w:type="dxa"/>
            <w:vAlign w:val="bottom"/>
            <w:gridSpan w:val="2"/>
          </w:tcPr>
          <w:p>
            <w:pPr>
              <w:jc w:val="center"/>
              <w:ind w:left="499"/>
              <w:spacing w:after="0" w:line="149" w:lineRule="exact"/>
              <w:rPr>
                <w:sz w:val="20"/>
                <w:szCs w:val="20"/>
                <w:color w:val="auto"/>
              </w:rPr>
            </w:pPr>
            <w:r>
              <w:rPr>
                <w:rFonts w:ascii="Arial" w:cs="Arial" w:eastAsia="Arial" w:hAnsi="Arial"/>
                <w:sz w:val="14"/>
                <w:szCs w:val="14"/>
                <w:b w:val="1"/>
                <w:bCs w:val="1"/>
                <w:color w:val="auto"/>
                <w:w w:val="85"/>
              </w:rPr>
              <w:t>Last Fiscal</w:t>
            </w:r>
          </w:p>
        </w:tc>
      </w:tr>
      <w:tr>
        <w:trPr>
          <w:trHeight w:val="175"/>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2"/>
              </w:rPr>
              <w:t>Year</w:t>
            </w:r>
          </w:p>
        </w:tc>
        <w:tc>
          <w:tcPr>
            <w:tcW w:w="13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Year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w:t>
            </w:r>
          </w:p>
        </w:tc>
        <w:tc>
          <w:tcPr>
            <w:tcW w:w="192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Distributions</w:t>
            </w:r>
          </w:p>
        </w:tc>
        <w:tc>
          <w:tcPr>
            <w:tcW w:w="7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87"/>
              </w:rPr>
              <w:t>Year-End</w:t>
            </w:r>
          </w:p>
        </w:tc>
      </w:tr>
      <w:tr>
        <w:trPr>
          <w:trHeight w:val="237"/>
        </w:trPr>
        <w:tc>
          <w:tcPr>
            <w:tcW w:w="26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4"/>
              </w:rPr>
              <w:t>($) (a)</w:t>
            </w:r>
          </w:p>
        </w:tc>
        <w:tc>
          <w:tcPr>
            <w:tcW w:w="600" w:type="dxa"/>
            <w:vAlign w:val="bottom"/>
            <w:tcBorders>
              <w:bottom w:val="single" w:sz="8" w:color="auto"/>
            </w:tcBorders>
          </w:tcPr>
          <w:p>
            <w:pPr>
              <w:ind w:left="500"/>
              <w:spacing w:after="0"/>
              <w:rPr>
                <w:sz w:val="20"/>
                <w:szCs w:val="20"/>
                <w:color w:val="auto"/>
              </w:rPr>
            </w:pPr>
            <w:r>
              <w:rPr>
                <w:rFonts w:ascii="Arial" w:cs="Arial" w:eastAsia="Arial" w:hAnsi="Arial"/>
                <w:sz w:val="12"/>
                <w:szCs w:val="12"/>
                <w:b w:val="1"/>
                <w:bCs w:val="1"/>
                <w:color w:val="auto"/>
                <w:w w:val="74"/>
              </w:rPr>
              <w:t>($</w:t>
            </w:r>
          </w:p>
        </w:tc>
        <w:tc>
          <w:tcPr>
            <w:tcW w:w="7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w w:val="84"/>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tcBorders>
              <w:bottom w:val="single" w:sz="8" w:color="auto"/>
            </w:tcBorders>
          </w:tcPr>
          <w:p>
            <w:pPr>
              <w:ind w:left="780"/>
              <w:spacing w:after="0"/>
              <w:rPr>
                <w:sz w:val="20"/>
                <w:szCs w:val="20"/>
                <w:color w:val="auto"/>
              </w:rPr>
            </w:pPr>
            <w:r>
              <w:rPr>
                <w:rFonts w:ascii="Arial" w:cs="Arial" w:eastAsia="Arial" w:hAnsi="Arial"/>
                <w:sz w:val="12"/>
                <w:szCs w:val="12"/>
                <w:b w:val="1"/>
                <w:bCs w:val="1"/>
                <w:color w:val="auto"/>
                <w:w w:val="74"/>
              </w:rPr>
              <w:t>($</w:t>
            </w:r>
          </w:p>
        </w:tc>
        <w:tc>
          <w:tcPr>
            <w:tcW w:w="10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w w:val="84"/>
              </w:rPr>
              <w:t>)</w:t>
            </w: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3"/>
              </w:rPr>
              <w:t>($)</w:t>
            </w: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250,000</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$619,500</w:t>
            </w:r>
          </w:p>
        </w:tc>
        <w:tc>
          <w:tcPr>
            <w:tcW w:w="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w w:val="84"/>
              </w:rPr>
              <w:t>3,450,269</w:t>
            </w: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Dawn M. Becker</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4"/>
              <w:spacing w:after="0"/>
              <w:rPr>
                <w:sz w:val="20"/>
                <w:szCs w:val="20"/>
                <w:color w:val="auto"/>
              </w:rPr>
            </w:pPr>
            <w:r>
              <w:rPr>
                <w:rFonts w:ascii="Arial" w:cs="Arial" w:eastAsia="Arial" w:hAnsi="Arial"/>
                <w:sz w:val="18"/>
                <w:szCs w:val="18"/>
                <w:color w:val="auto"/>
              </w:rPr>
              <w:t>42,500</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ind w:left="120"/>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$195,708</w:t>
            </w:r>
          </w:p>
        </w:tc>
        <w:tc>
          <w:tcPr>
            <w:tcW w:w="880" w:type="dxa"/>
            <w:vAlign w:val="bottom"/>
          </w:tcPr>
          <w:p>
            <w:pPr>
              <w:ind w:left="460"/>
              <w:spacing w:after="0"/>
              <w:rPr>
                <w:sz w:val="20"/>
                <w:szCs w:val="20"/>
                <w:color w:val="auto"/>
              </w:rPr>
            </w:pPr>
            <w:r>
              <w:rPr>
                <w:rFonts w:ascii="Arial" w:cs="Arial" w:eastAsia="Arial" w:hAnsi="Arial"/>
                <w:sz w:val="18"/>
                <w:szCs w:val="18"/>
                <w:color w:val="auto"/>
              </w:rPr>
              <w:t>$</w:t>
            </w:r>
          </w:p>
        </w:tc>
        <w:tc>
          <w:tcPr>
            <w:tcW w:w="104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6"/>
              <w:spacing w:after="0"/>
              <w:rPr>
                <w:sz w:val="20"/>
                <w:szCs w:val="20"/>
                <w:color w:val="auto"/>
              </w:rPr>
            </w:pPr>
            <w:r>
              <w:rPr>
                <w:rFonts w:ascii="Arial" w:cs="Arial" w:eastAsia="Arial" w:hAnsi="Arial"/>
                <w:sz w:val="18"/>
                <w:szCs w:val="18"/>
                <w:color w:val="auto"/>
              </w:rPr>
              <w:t>958,644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center"/>
        <w:ind w:left="5620" w:hanging="5612"/>
        <w:spacing w:after="0" w:line="440" w:lineRule="auto"/>
        <w:tabs>
          <w:tab w:leader="none" w:pos="4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amounts in this column are included in either the “Salary” or “Non-Equity Incentive Plan Compensation” column of the Summary Compensation Table. 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ON TERMINATION OF EMPLOYMENT AND CHANGE-IN-CONTROL</w:t>
      </w:r>
    </w:p>
    <w:p>
      <w:pPr>
        <w:spacing w:after="0" w:line="17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have entered into agreements with each of our named executive officers that require us to make certain payments and provide certain benefits to them in the event of a termination of employment or change in control of the Trust. Regardless of the reason for a named executive officer’s termination of employment, he or she will be entitled to receive upon termination all accrued but unused vacation pay and a distribution of any amounts in our non-qualified deferred compensation plan. No named executive officer is entitled to receive an award under the Annual Bonus Plan or the LTIAP for the year in which the termination occurs. Further, no named executive officer is entitled to receive an award under the Annual Bonus Plan or LTIAP for the year prior to the year of termination unless he or she is still employed when those awards are made in February of the following year. The agreements with each of our named executive officers contain provisions restricting the executive from engaging in competing behavior and soliciting and/or hiring our employees for a period of time after termination. The payments that will be made to a named executive officer vary depending on the reason for termination and are summarized below.</w:t>
      </w:r>
    </w:p>
    <w:p>
      <w:pPr>
        <w:spacing w:after="0" w:line="118" w:lineRule="exact"/>
        <w:rPr>
          <w:sz w:val="20"/>
          <w:szCs w:val="20"/>
          <w:color w:val="auto"/>
        </w:rPr>
      </w:pPr>
    </w:p>
    <w:p>
      <w:pPr>
        <w:ind w:firstLine="464"/>
        <w:spacing w:after="0" w:line="256" w:lineRule="auto"/>
        <w:tabs>
          <w:tab w:leader="none" w:pos="632" w:val="left"/>
        </w:tabs>
        <w:numPr>
          <w:ilvl w:val="1"/>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Voluntary Termination: </w:t>
      </w:r>
      <w:r>
        <w:rPr>
          <w:rFonts w:ascii="Arial" w:cs="Arial" w:eastAsia="Arial" w:hAnsi="Arial"/>
          <w:sz w:val="18"/>
          <w:szCs w:val="18"/>
          <w:color w:val="auto"/>
        </w:rPr>
        <w:t>On any voluntary termination of employment, the named executive officers receive no additional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unvested options and Shares are forfeited. Each named executive officer has one year after terminating employment to exercise all vested options (subject to the 10-year term of those options). With respect to Mr. Wood, all rights to receive extended health insurance coverage under the Health Coverage Continuation Agreement are terminated.</w:t>
      </w:r>
    </w:p>
    <w:p>
      <w:pPr>
        <w:spacing w:after="0" w:line="143" w:lineRule="exact"/>
        <w:rPr>
          <w:rFonts w:ascii="Arial" w:cs="Arial" w:eastAsia="Arial" w:hAnsi="Arial"/>
          <w:sz w:val="18"/>
          <w:szCs w:val="18"/>
          <w:i w:val="1"/>
          <w:iCs w:val="1"/>
          <w:color w:val="auto"/>
        </w:rPr>
      </w:pPr>
    </w:p>
    <w:p>
      <w:pPr>
        <w:ind w:firstLine="464"/>
        <w:spacing w:after="0" w:line="302" w:lineRule="auto"/>
        <w:tabs>
          <w:tab w:leader="none" w:pos="632" w:val="left"/>
        </w:tabs>
        <w:numPr>
          <w:ilvl w:val="1"/>
          <w:numId w:val="36"/>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Payments on Death and Disability: </w:t>
      </w:r>
      <w:r>
        <w:rPr>
          <w:rFonts w:ascii="Arial" w:cs="Arial" w:eastAsia="Arial" w:hAnsi="Arial"/>
          <w:sz w:val="15"/>
          <w:szCs w:val="15"/>
          <w:color w:val="auto"/>
        </w:rPr>
        <w:t>Upon death, the estates of our named executive officers receive the amount of his or her then current salary through</w:t>
      </w:r>
      <w:r>
        <w:rPr>
          <w:rFonts w:ascii="Arial" w:cs="Arial" w:eastAsia="Arial" w:hAnsi="Arial"/>
          <w:sz w:val="15"/>
          <w:szCs w:val="15"/>
          <w:i w:val="1"/>
          <w:iCs w:val="1"/>
          <w:color w:val="auto"/>
        </w:rPr>
        <w:t xml:space="preserve"> </w:t>
      </w:r>
      <w:r>
        <w:rPr>
          <w:rFonts w:ascii="Arial" w:cs="Arial" w:eastAsia="Arial" w:hAnsi="Arial"/>
          <w:sz w:val="15"/>
          <w:szCs w:val="15"/>
          <w:color w:val="auto"/>
        </w:rPr>
        <w:t>the month in which death occurs. In the event of disability, our named executive officers are entitled to receive payments for one year equal to the difference between his or her then current salary and the amount of any payments received under any disability policy we maintained for his or her benefit and to receive health benefits for one year. Those payments are subject to gross-up for taxes on any non-tax exempt payments. On death or disability, there is accelerated vesting of all Shares issued under the Annual Bonus Plan and all Shares and options issued under the LTIAP. This accelerated vesting is the same for all employees on a non-discriminatory basis who hold any Shares or options issued under the Annual Bonus Plan or the LTIAP. The Retention/Non-Solicitation Awards to</w:t>
      </w:r>
    </w:p>
    <w:p>
      <w:pPr>
        <w:ind w:right="100"/>
        <w:spacing w:after="0" w:line="254" w:lineRule="auto"/>
        <w:rPr>
          <w:rFonts w:ascii="Arial" w:cs="Arial" w:eastAsia="Arial" w:hAnsi="Arial"/>
          <w:sz w:val="15"/>
          <w:szCs w:val="15"/>
          <w:i w:val="1"/>
          <w:iCs w:val="1"/>
          <w:color w:val="auto"/>
        </w:rPr>
      </w:pPr>
      <w:r>
        <w:rPr>
          <w:rFonts w:ascii="Arial" w:cs="Arial" w:eastAsia="Arial" w:hAnsi="Arial"/>
          <w:sz w:val="18"/>
          <w:szCs w:val="18"/>
          <w:color w:val="auto"/>
        </w:rPr>
        <w:t>Ms. Becker in February 2011 and to Mr. Wood in October 2010 do not provide for accelerated vesting in the event of death or disability. Each named executive officer or his or her beneficiary has two years after the executive’s death or disability to exercise all vested options (subject to the 10-year term of those options), including options that vested as a result of the death or disability. In addition, Mr. Wood will receive the benefits described in his Health Coverage Continuation Agreement.</w:t>
      </w:r>
    </w:p>
    <w:p>
      <w:pPr>
        <w:spacing w:after="0" w:line="143" w:lineRule="exact"/>
        <w:rPr>
          <w:rFonts w:ascii="Arial" w:cs="Arial" w:eastAsia="Arial" w:hAnsi="Arial"/>
          <w:sz w:val="15"/>
          <w:szCs w:val="15"/>
          <w:i w:val="1"/>
          <w:iCs w:val="1"/>
          <w:color w:val="auto"/>
        </w:rPr>
      </w:pPr>
    </w:p>
    <w:p>
      <w:pPr>
        <w:ind w:firstLine="464"/>
        <w:spacing w:after="0" w:line="291" w:lineRule="auto"/>
        <w:tabs>
          <w:tab w:leader="none" w:pos="632" w:val="left"/>
        </w:tabs>
        <w:numPr>
          <w:ilvl w:val="1"/>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 on Termination for Cause: </w:t>
      </w:r>
      <w:r>
        <w:rPr>
          <w:rFonts w:ascii="Arial" w:cs="Arial" w:eastAsia="Arial" w:hAnsi="Arial"/>
          <w:sz w:val="16"/>
          <w:szCs w:val="16"/>
          <w:color w:val="auto"/>
        </w:rPr>
        <w:t>Upon termination for cause resulting from a failure to substantially perform his or her job responsibilities,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is entitled to receive one month of base salary for every year he or she has been employed by us over 5 years up to a maximum of 6 months of base salary and to receive health benefits for that same time period. Our named executive officers are not entitled to receive any compensation on a termination with cause for any reason other than failure to perform. On a termination for cause, all unvested options and Shares are forfeited. In addition, the right to exercise any previously vested options issued under the LTIAP immediately terminates. With respect to Mr. Wood, all rights to receive extended health insurance coverage under the Health Coverage Continuation Agreement are terminated.</w:t>
      </w:r>
    </w:p>
    <w:p>
      <w:pPr>
        <w:spacing w:after="0" w:line="120" w:lineRule="exact"/>
        <w:rPr>
          <w:rFonts w:ascii="Arial" w:cs="Arial" w:eastAsia="Arial" w:hAnsi="Arial"/>
          <w:sz w:val="16"/>
          <w:szCs w:val="16"/>
          <w:i w:val="1"/>
          <w:iCs w:val="1"/>
          <w:color w:val="auto"/>
        </w:rPr>
      </w:pPr>
    </w:p>
    <w:p>
      <w:pPr>
        <w:ind w:left="640" w:hanging="176"/>
        <w:spacing w:after="0"/>
        <w:tabs>
          <w:tab w:leader="none" w:pos="640" w:val="left"/>
        </w:tabs>
        <w:numPr>
          <w:ilvl w:val="1"/>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Upon a termination without cause, each of our named executive officers is entitled to receive the following:</w:t>
      </w:r>
    </w:p>
    <w:p>
      <w:pPr>
        <w:spacing w:after="0" w:line="90" w:lineRule="exact"/>
        <w:rPr>
          <w:rFonts w:ascii="Arial" w:cs="Arial" w:eastAsia="Arial" w:hAnsi="Arial"/>
          <w:sz w:val="18"/>
          <w:szCs w:val="18"/>
          <w:i w:val="1"/>
          <w:iCs w:val="1"/>
          <w:color w:val="auto"/>
        </w:rPr>
      </w:pPr>
    </w:p>
    <w:p>
      <w:pPr>
        <w:ind w:left="900" w:right="100" w:hanging="446"/>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the highest annual cash bonus earned by the named executive officer in the prior three year period. For Ms. Becker and Mr. Taylor, the multiple is 1 time and for Mr. Wood, the multiple is 1.5 times.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Continuation of health and welfare benefits for a period of 9 months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Outplacement and administrative assistance for a period of 6 months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the vesting of all unvested Shares issued under the Annual Bonus Plan and all unvested Shares and options issued under the LTIAP is accelerated for each of our named executive officers. This accelerated vesting is the same for all employees on a non-discriminatory basis who hold any Shares or options issued under the Annual Bonus Plan or the LTIAP. In addition, the Retention/ Non-Solicitation Award to Mr. Wood in October 2010 provides for accelerated vesting in the event of a termination without cause. The Retention/Non-Solicitation Award to Ms. Becker in February 2011 does not provide for accelerated vesting in the event of a termination without cause.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18" w:lineRule="exact"/>
        <w:rPr>
          <w:sz w:val="20"/>
          <w:szCs w:val="20"/>
          <w:color w:val="auto"/>
        </w:rPr>
      </w:pPr>
    </w:p>
    <w:p>
      <w:pPr>
        <w:ind w:firstLine="464"/>
        <w:spacing w:after="0" w:line="306" w:lineRule="auto"/>
        <w:tabs>
          <w:tab w:leader="none" w:pos="632" w:val="left"/>
        </w:tabs>
        <w:numPr>
          <w:ilvl w:val="1"/>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Upon a change of control, each named executive officer is entitled to receive the following payments so long as he or she is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from employment or leaves for good reason within a specified time frame after the change of control or voluntarily leaves employment within the thirty day window following the 1-year anniversary of the change of control. The specified time frame is two years for Ms. Becker and Messrs. Taylor and Wood:</w:t>
      </w:r>
    </w:p>
    <w:p>
      <w:pPr>
        <w:spacing w:after="0" w:line="25" w:lineRule="exact"/>
        <w:rPr>
          <w:rFonts w:ascii="Arial" w:cs="Arial" w:eastAsia="Arial" w:hAnsi="Arial"/>
          <w:sz w:val="16"/>
          <w:szCs w:val="16"/>
          <w:i w:val="1"/>
          <w:iCs w:val="1"/>
          <w:color w:val="auto"/>
        </w:rPr>
      </w:pPr>
    </w:p>
    <w:p>
      <w:pPr>
        <w:ind w:left="900" w:right="80" w:hanging="446"/>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highest annual cash bonus earned by the named executive officer in the prior three year period. For Ms. Becker and Mr. Taylor the multiple is 2 times and for Mr. Wood, the multiple is 3 times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2 years for Ms. Becker and Mr. Taylor and 3 years for Mr. Wood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Continued use of any company owned automobile for 3 years for Mr. Wood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amount equal to the excise tax charged to the named executive officer as a result of receiving any change of control payments plus an additional “gross-up” amount sufficient to pay the taxes to be paid by the named executive officer on the excise tax payment received</w:t>
      </w:r>
    </w:p>
    <w:p>
      <w:pPr>
        <w:spacing w:after="0" w:line="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if the named executive officer is terminated within one year after the change of control, the vesting of all unvested Shares issued under the Annual Bonus Plan and all unvested Shares and options issued under the LTIAP is accelerated.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in the event of a change of control, the unvested Shares issued under the Retention/Non-Solicitation Awards to Ms. Becker in February 2011 and to Mr. Wood in October 2010 will vest. Mr. Wood will also receive the benefits described in his Health Coverage Continuation Agreement.</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Under our 2001 and 2010 Plans, a change of control is deemed to have occurred when a person acquires a 20% interest in us, or our current Trustees, or those subsequently approved by our current Trustees, constitute less than two-thirds of our Board.</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amount of compensation payable to each of the named executive officers under various termination scenarios is reflected below. The following table does not include amounts for accrued but unused vacation pay or the distribution of any amounts in our non-qualified deferred compensation plan because all employees or participants in the applicable plan are entitled to the same benefit on a non-discriminatory basis. Our corporate policy permits employees, including our named executive officers, to accrue up to eight weeks of unused vacation time. The amounts shown below assume that the termination was effective on December 31, 2013 and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therefore, includes all amounts earned to that date as well as an estimate of amounts that would be payable upon the termination</w:t>
      </w:r>
      <w:r>
        <w:rPr>
          <w:rFonts w:ascii="Arial" w:cs="Arial" w:eastAsia="Arial" w:hAnsi="Arial"/>
          <w:sz w:val="18"/>
          <w:szCs w:val="18"/>
          <w:b w:val="1"/>
          <w:bCs w:val="1"/>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ind w:right="195"/>
              <w:spacing w:after="0"/>
              <w:rPr>
                <w:sz w:val="20"/>
                <w:szCs w:val="20"/>
                <w:color w:val="auto"/>
              </w:rPr>
            </w:pPr>
            <w:r>
              <w:rPr>
                <w:rFonts w:ascii="Arial" w:cs="Arial" w:eastAsia="Arial" w:hAnsi="Arial"/>
                <w:sz w:val="14"/>
                <w:szCs w:val="14"/>
                <w:b w:val="1"/>
                <w:bCs w:val="1"/>
                <w:color w:val="auto"/>
              </w:rPr>
              <w:t>Cash</w:t>
            </w:r>
          </w:p>
        </w:tc>
        <w:tc>
          <w:tcPr>
            <w:tcW w:w="420" w:type="dxa"/>
            <w:vAlign w:val="bottom"/>
          </w:tcPr>
          <w:p>
            <w:pPr>
              <w:spacing w:after="0"/>
              <w:rPr>
                <w:sz w:val="14"/>
                <w:szCs w:val="14"/>
                <w:color w:val="auto"/>
              </w:rPr>
            </w:pPr>
          </w:p>
        </w:tc>
        <w:tc>
          <w:tcPr>
            <w:tcW w:w="920" w:type="dxa"/>
            <w:vAlign w:val="bottom"/>
          </w:tcPr>
          <w:p>
            <w:pPr>
              <w:jc w:val="right"/>
              <w:ind w:right="275"/>
              <w:spacing w:after="0"/>
              <w:rPr>
                <w:sz w:val="20"/>
                <w:szCs w:val="20"/>
                <w:color w:val="auto"/>
              </w:rPr>
            </w:pPr>
            <w:r>
              <w:rPr>
                <w:rFonts w:ascii="Arial" w:cs="Arial" w:eastAsia="Arial" w:hAnsi="Arial"/>
                <w:sz w:val="14"/>
                <w:szCs w:val="14"/>
                <w:b w:val="1"/>
                <w:bCs w:val="1"/>
                <w:color w:val="auto"/>
              </w:rPr>
              <w:t>Medical</w:t>
            </w:r>
          </w:p>
        </w:tc>
        <w:tc>
          <w:tcPr>
            <w:tcW w:w="260" w:type="dxa"/>
            <w:vAlign w:val="bottom"/>
          </w:tcPr>
          <w:p>
            <w:pPr>
              <w:spacing w:after="0"/>
              <w:rPr>
                <w:sz w:val="14"/>
                <w:szCs w:val="14"/>
                <w:color w:val="auto"/>
              </w:rPr>
            </w:pPr>
          </w:p>
        </w:tc>
        <w:tc>
          <w:tcPr>
            <w:tcW w:w="1040" w:type="dxa"/>
            <w:vAlign w:val="bottom"/>
          </w:tcPr>
          <w:p>
            <w:pPr>
              <w:jc w:val="right"/>
              <w:ind w:right="235"/>
              <w:spacing w:after="0"/>
              <w:rPr>
                <w:sz w:val="20"/>
                <w:szCs w:val="20"/>
                <w:color w:val="auto"/>
              </w:rPr>
            </w:pPr>
            <w:r>
              <w:rPr>
                <w:rFonts w:ascii="Arial" w:cs="Arial" w:eastAsia="Arial" w:hAnsi="Arial"/>
                <w:sz w:val="14"/>
                <w:szCs w:val="14"/>
                <w:b w:val="1"/>
                <w:bCs w:val="1"/>
                <w:color w:val="auto"/>
                <w:w w:val="88"/>
              </w:rPr>
              <w:t>Accelerated</w:t>
            </w:r>
          </w:p>
        </w:tc>
        <w:tc>
          <w:tcPr>
            <w:tcW w:w="28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Other</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Excise Tax</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5"/>
              </w:rPr>
              <w:t>Payment</w:t>
            </w: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3"/>
              </w:rPr>
              <w:t>Benefits (1)</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Equity (2)</w:t>
            </w:r>
          </w:p>
        </w:tc>
        <w:tc>
          <w:tcPr>
            <w:tcW w:w="104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b w:val="1"/>
                <w:bCs w:val="1"/>
                <w:color w:val="auto"/>
              </w:rPr>
              <w:t>Benefits (3)</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Gross-Up</w:t>
            </w: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Death</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880,000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5"/>
              </w:rPr>
              <w:t>12,130,373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3"/>
              </w:rPr>
              <w:t>13,010,373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923,919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2"/>
              </w:rPr>
              <w:t>1,194,619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5"/>
              </w:rPr>
              <w:t>12,130,373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3"/>
              </w:rPr>
              <w:t>14,248,911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TWOC</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3,585,875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2"/>
              </w:rPr>
              <w:t>1,227,214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5"/>
              </w:rPr>
              <w:t>17,130,371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50,000</w:t>
            </w:r>
          </w:p>
        </w:tc>
        <w:tc>
          <w:tcPr>
            <w:tcW w:w="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3"/>
              </w:rPr>
              <w:t>21,993,460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16,809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CIC</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7,171,749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2"/>
              </w:rPr>
              <w:t>1,302,856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5"/>
              </w:rPr>
              <w:t>17,130,371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9"/>
              </w:rPr>
              <w:t>100,000</w:t>
            </w:r>
          </w:p>
        </w:tc>
        <w:tc>
          <w:tcPr>
            <w:tcW w:w="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3"/>
              </w:rPr>
              <w:t>25,704,976</w:t>
            </w:r>
          </w:p>
        </w:tc>
        <w:tc>
          <w:tcPr>
            <w:tcW w:w="0" w:type="dxa"/>
            <w:vAlign w:val="bottom"/>
          </w:tcPr>
          <w:p>
            <w:pPr>
              <w:spacing w:after="0"/>
              <w:rPr>
                <w:sz w:val="1"/>
                <w:szCs w:val="1"/>
                <w:color w:val="auto"/>
              </w:rPr>
            </w:pPr>
          </w:p>
        </w:tc>
      </w:tr>
      <w:tr>
        <w:trPr>
          <w:trHeight w:val="316"/>
        </w:trPr>
        <w:tc>
          <w:tcPr>
            <w:tcW w:w="4340" w:type="dxa"/>
            <w:vAlign w:val="bottom"/>
            <w:gridSpan w:val="2"/>
          </w:tcPr>
          <w:p>
            <w:pPr>
              <w:spacing w:after="0"/>
              <w:rPr>
                <w:sz w:val="20"/>
                <w:szCs w:val="20"/>
                <w:color w:val="auto"/>
              </w:rPr>
            </w:pPr>
            <w:r>
              <w:rPr>
                <w:rFonts w:ascii="Arial" w:cs="Arial" w:eastAsia="Arial" w:hAnsi="Arial"/>
                <w:sz w:val="18"/>
                <w:szCs w:val="18"/>
                <w:color w:val="auto"/>
              </w:rPr>
              <w:t>James M. Taylor, Jr.</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Death</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982,810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982,810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Disability(4)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264,997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28,410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982,810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1,276,217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TWOC</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1,524,980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21,308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982,810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50,000</w:t>
            </w:r>
          </w:p>
        </w:tc>
        <w:tc>
          <w:tcPr>
            <w:tcW w:w="42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2,579,098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Termination for Cause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CIC</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1,524,980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56,820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982,810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75,000</w:t>
            </w:r>
          </w:p>
        </w:tc>
        <w:tc>
          <w:tcPr>
            <w:tcW w:w="42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2,639,610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Death</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1,796,753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1,796,753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291,383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12,631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1,796,753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2,100,767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TWOC</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810,146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9,473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1,796,753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50,000</w:t>
            </w:r>
          </w:p>
        </w:tc>
        <w:tc>
          <w:tcPr>
            <w:tcW w:w="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2,666,372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6,315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218,815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CIC</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1,620,292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25,261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1,996,784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75,000</w:t>
            </w:r>
          </w:p>
        </w:tc>
        <w:tc>
          <w:tcPr>
            <w:tcW w:w="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3,717,337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83"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in this column represent our estimate of the COBRA equivalent to provide the same benefits as being provided to each named executive officer at December 31, 2013 for the required time period. This estimate was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it is impossible to determine the exact cost to us of the continued health insurance. We believe the COBRA equivalent is the best possible measure of potential costs for these benefits. For Mr. Wood, this column also includes the following estimated costs (calculated in accordance with GAAP) pursuant to the Health Continuation Coverage Agreement with Mr. Wood: $880,000 in the event of death; $1,161,000 in the event of disability; and $1,202,000 in the event of termination without cause and change in control.</w:t>
      </w:r>
    </w:p>
    <w:p>
      <w:pPr>
        <w:ind w:left="460" w:right="12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in this column were calculated by multiplying the number of unvested Shares and options that vest on the occurrence of the specified event as of December 31, 2013 by the value for each Share and option determined in accordance with the FASB ASC Topic 718.</w:t>
      </w:r>
    </w:p>
    <w:p>
      <w:pPr>
        <w:spacing w:after="0" w:line="1"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in this column include the following: (a) the annual cost of administrative assistance in the amount of $85,000 for each of our named executive officers. This amount is based on estimated personnel costs for executive administrative assistants and assumes that each named executive officer has full time use of an assistant; (b) annual outplacement costs of $15,000 based on a current estimate of these costs; and (c) the estimated annual cost of $15,555 for Mr. Wood’s use of a company vehicle in the event of a change in control should he choose to use that benefit. There are no additional incremental costs to us for continuing to provide these individuals with office space, e-mail capability or a telephone.</w:t>
      </w:r>
    </w:p>
    <w:p>
      <w:pPr>
        <w:spacing w:after="0" w:line="3"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cash severance payment includes a payment of $622,000 plus $301,919 as a tax gross-up for Mr. Wood, a payment of $172,000 plus $92,997 as a tax gross-up for Mr. Taylor and a payment of $197,000 plus $94,383 as a tax gross-up for Ms. Becker.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Compensation Committee consists of Mr. Faeder, Ms. Gamble, Ms. Steinel and Mr. Vassalluzzo. There are no Compensation Committee interlocks and no member of the Compensation Committee serves, or has in the past served, as an employee or officer of the Trust.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3</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ADVISORY VOTE ON THE COMPENSATION OF OUR NAMED EXECUTIVE OFFICERS</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are being asked to approve on an advisory basis the compensation of our named executive officers as described in the Compensation Discussion and Analysis (“CD&amp;A”), the Summary Compensation Table, the supplemental tables and the disclosure narratives accompanying these sections of this proxy statement.</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compensation philosophy is designed to attract and retain top level real estate professionals and to motivate those professionals to achieve superior results for us and our shareholders. Our compensation packages include base salaries, annual incentive compensation, long-term incentives and various other benefits and perquisites. We believe our compensation programs and policies are appropriate and effective in implementing our compensation philosophy and in achieving our goals and that they are aligned with the interests of our shareholders. In considering whether to approve this proposal, we believe our shareholders should consider the following:</w:t>
      </w:r>
    </w:p>
    <w:p>
      <w:pPr>
        <w:spacing w:after="0" w:line="143" w:lineRule="exact"/>
        <w:rPr>
          <w:sz w:val="20"/>
          <w:szCs w:val="20"/>
          <w:color w:val="auto"/>
        </w:rPr>
      </w:pPr>
    </w:p>
    <w:p>
      <w:pPr>
        <w:ind w:right="100" w:firstLine="464"/>
        <w:spacing w:after="0" w:line="259"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significant portion of our named executive officers’ compensation is directly linked to our performance and the creation of long-term shareholder value through long-term incentive awards. The value of these awards is only recognized over a 6-year period that consists of a 3-year performance period plus a 3-year vesting period.</w:t>
      </w:r>
    </w:p>
    <w:p>
      <w:pPr>
        <w:spacing w:after="0" w:line="140" w:lineRule="exact"/>
        <w:rPr>
          <w:rFonts w:ascii="Arial" w:cs="Arial" w:eastAsia="Arial" w:hAnsi="Arial"/>
          <w:sz w:val="18"/>
          <w:szCs w:val="18"/>
          <w:color w:val="auto"/>
        </w:rPr>
      </w:pPr>
    </w:p>
    <w:p>
      <w:pPr>
        <w:ind w:right="240" w:firstLine="464"/>
        <w:spacing w:after="0" w:line="259"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compensation of our named executive officers is strongly tied to our performance and to the performance of the individual. The annual incentive compensation is only paid if we achieve our annual FFO objective and long-term incentives are earned on the basis of our absolute and relative shareholder returns as well as our return on invested capital.</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an appropriate balance of pay between short-term and long-term objectives.</w:t>
      </w:r>
    </w:p>
    <w:p>
      <w:pPr>
        <w:spacing w:after="0" w:line="171" w:lineRule="exact"/>
        <w:rPr>
          <w:rFonts w:ascii="Arial" w:cs="Arial" w:eastAsia="Arial" w:hAnsi="Arial"/>
          <w:sz w:val="18"/>
          <w:szCs w:val="18"/>
          <w:color w:val="auto"/>
        </w:rPr>
      </w:pPr>
    </w:p>
    <w:p>
      <w:pPr>
        <w:ind w:right="400" w:firstLine="464"/>
        <w:spacing w:after="0" w:line="268"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Chief Executive Officer, Chief Operating Officer and Chief Financial Officer are incentivized to act in the best long-term interests of the Trust through stock ownership guidelines.</w:t>
      </w:r>
    </w:p>
    <w:p>
      <w:pPr>
        <w:spacing w:after="0" w:line="131" w:lineRule="exact"/>
        <w:rPr>
          <w:rFonts w:ascii="Arial" w:cs="Arial" w:eastAsia="Arial" w:hAnsi="Arial"/>
          <w:sz w:val="18"/>
          <w:szCs w:val="18"/>
          <w:color w:val="auto"/>
        </w:rPr>
      </w:pPr>
    </w:p>
    <w:p>
      <w:pPr>
        <w:ind w:right="140" w:firstLine="464"/>
        <w:spacing w:after="0" w:line="268"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no perquisites for our named executive officers that are not widely available to other employees other than as described in the CD&amp;A and the “Potential Payments on Termination of Employment and Change-in Control” section above.</w:t>
      </w:r>
    </w:p>
    <w:p>
      <w:pPr>
        <w:spacing w:after="0" w:line="13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are requesting your advisory and non-binding approval of the compensation of our named executive officers for 2013 as disclosed in the CD&amp;A, the Summary Compensation Table, the supplemental tables and the disclosure narratives accompanying these sections of this proxy statement. This proposal allows our shareholders to express their opinions regarding the decisions made by the Compensation Committee on the annual compensation to the named executive officers for 2013; however, because the vote on this proposal is advisory in nature, it will not affect any compensation already paid or awarded to any named executive officer for 2013 and will not be binding on the Compensation Committee, the Board or the Trust. The Board and our Compensation Committee value the opinions of our shareholders and will review the results of this vote and take them into consideration in addressing future compensation policies and decisions.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shareholders have the opportunity at our Annual Meeting to vote, in person or by proxy, on the following:</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RESOLVED, that the shareholders of the Trust hereby approve, on an advisory basis, the compensation of our named executive officers as described in the Compensation Discussion and Analysis, the Summary Compensation Table, the supplemental tables and the narrative disclosures accompanying these materials as required by Item 402 of Regulation S-K.</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approve, on an advisory basis, this proposal. If you are a “registered” shareholder and fail to give any instructions on your proxy card on this matter, the proxies identified on the proxy card will vote FOR this proposal. An “abstention” or broker “non-vote” will have no effect on the outcome of the vote on this proposal.</w:t>
      </w:r>
    </w:p>
    <w:p>
      <w:pPr>
        <w:spacing w:after="0" w:line="101"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THE BOARD OF TRUSTEES UNANIMOUSLY RECOMMENDS A VOTE “FOR” THE APPROVAL OF THE COMPENSATION OF OUR NAMED EXECUTIVE OFFICERS AS DESCRIBED IN THE COMPENSATION DISCUSSION AND ANALYSIS, THE SUMMARY COMPENSATION TABLE, THE SUPPLEMENTAL TABLES AND NARRATIVE DISCLOSURES ACCOMPANYING THESE SECTIONS.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2013 regarding our equity compensation plans, all of which were approved by our shareholders.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Number of securities</w:t>
            </w:r>
          </w:p>
        </w:tc>
      </w:t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future issuance</w:t>
            </w:r>
          </w:p>
        </w:tc>
      </w:t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1100" w:type="dxa"/>
            <w:vAlign w:val="bottom"/>
          </w:tcPr>
          <w:p>
            <w:pPr>
              <w:spacing w:after="0"/>
              <w:rPr>
                <w:sz w:val="12"/>
                <w:szCs w:val="12"/>
                <w:color w:val="auto"/>
              </w:rPr>
            </w:pPr>
          </w:p>
        </w:tc>
        <w:tc>
          <w:tcPr>
            <w:tcW w:w="274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100" w:type="dxa"/>
            <w:vAlign w:val="bottom"/>
          </w:tcPr>
          <w:p>
            <w:pPr>
              <w:spacing w:after="0"/>
              <w:rPr>
                <w:sz w:val="12"/>
                <w:szCs w:val="12"/>
                <w:color w:val="auto"/>
              </w:rPr>
            </w:pPr>
          </w:p>
        </w:tc>
        <w:tc>
          <w:tcPr>
            <w:tcW w:w="274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reflected in column (a)</w:t>
            </w:r>
          </w:p>
        </w:tc>
      </w:t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warrants and rights (1)</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2"/>
                <w:szCs w:val="12"/>
                <w:color w:val="auto"/>
              </w:rPr>
            </w:pPr>
          </w:p>
        </w:tc>
      </w:tr>
      <w:tr>
        <w:trPr>
          <w:trHeight w:val="175"/>
        </w:trPr>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Plan Category</w:t>
            </w:r>
          </w:p>
        </w:tc>
        <w:tc>
          <w:tcPr>
            <w:tcW w:w="136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(a)</w:t>
            </w: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2"/>
          </w:tcPr>
          <w:p>
            <w:pPr>
              <w:jc w:val="center"/>
              <w:ind w:right="1260"/>
              <w:spacing w:after="0"/>
              <w:rPr>
                <w:sz w:val="20"/>
                <w:szCs w:val="20"/>
                <w:color w:val="auto"/>
              </w:rPr>
            </w:pPr>
            <w:r>
              <w:rPr>
                <w:rFonts w:ascii="Arial" w:cs="Arial" w:eastAsia="Arial" w:hAnsi="Arial"/>
                <w:sz w:val="14"/>
                <w:szCs w:val="14"/>
                <w:b w:val="1"/>
                <w:bCs w:val="1"/>
                <w:color w:val="auto"/>
                <w:w w:val="89"/>
              </w:rPr>
              <w:t>(b)</w:t>
            </w: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1"/>
              </w:rPr>
              <w:t>(c)</w:t>
            </w:r>
          </w:p>
        </w:tc>
      </w:tr>
      <w:tr>
        <w:trPr>
          <w:trHeight w:val="201"/>
        </w:trPr>
        <w:tc>
          <w:tcPr>
            <w:tcW w:w="4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339,347</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63.00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2,047,789</w:t>
            </w:r>
          </w:p>
        </w:tc>
        <w:tc>
          <w:tcPr>
            <w:tcW w:w="100" w:type="dxa"/>
            <w:vAlign w:val="bottom"/>
            <w:shd w:val="clear" w:color="auto" w:fill="CCEEFF"/>
          </w:tcPr>
          <w:p>
            <w:pPr>
              <w:spacing w:after="0"/>
              <w:rPr>
                <w:sz w:val="19"/>
                <w:szCs w:val="19"/>
                <w:color w:val="auto"/>
              </w:rPr>
            </w:pPr>
          </w:p>
        </w:tc>
      </w:tr>
      <w:tr>
        <w:trPr>
          <w:trHeight w:val="208"/>
        </w:trPr>
        <w:tc>
          <w:tcPr>
            <w:tcW w:w="47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339,347</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63.00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2,047,789</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entirely of Shares authorized for issuance under our 2001 Plan.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entirely of Shares authorized for issuance under our 2010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Policies: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Code of Business Conduct requires that our Trustees and all of our employees deal with the Trust on an arms-length basis in any related party transaction. All transactions between us and any of our Trustees, named executive officers or other vice presidents, or between us and any entity in which any of our Trustees, named executive officers or other vice presidents is an officer or director or has an ownership interest, must be approved in advance by the Audit Committee. Audit Committee approval is not required for us to enter into a lease with an entity in which any of our Trustees is a director, employee or owner of a company so long as the lease is entered into in the ordinary course of ours and the tenant’s businesses and is negotiated at arms-length and on market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named executive officers had any indebtedness to the Trust as of March 21, 2014 or at any time during 2013.</w:t>
      </w:r>
    </w:p>
    <w:p>
      <w:pPr>
        <w:spacing w:after="0" w:line="17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Mr. Thompson serves as the President and Chairman of the Board of Directors of Thompson Hospitality Corporation. Thompson Hospitality Corporation and its wholly owned subsidiaries (collectively, “THC”) lease from us approximately 17,400 square feet in three of the Trust’s properties under leases that were negotiated prior to Mr. Thompson’s joining the Board in July 2007. These leases were negotiated at arms-length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reflected market conditions at the time each lease was signed. In June 2012 we entered into a fourth lease with THC for 6,500 square feet of space at one of our recently redeveloped properties (“New Location”) because we believed that THC’s American Tap Room restaurant concept would be a successful fit for the market. The terms of the lease were negotiated at arms-length and reflected market conditions consistent with leases for similar uses in the redeveloped portion of that property at that time. The four leases expire on June 30, 2015, December 31, 2016, August 31, 2017 and July 31, 2023. We anticipate receiving approximately $1.2 million in rent and other related charges in 2014 from the four leased locations. In addition to the leases, one of our wholly owned subsidiaries entered into a partnership with THC to operate the restaurant at the New Location. We own 80% of the partnership and THC owns the remaining 20% of the partnership and acts as the manager of the restaurant. The terms and structure of the partnership with THC were negotiated at arms-length and reflect terms, structures and conditions consistent with other restaurant investments we have made and include market management and license fees payable to THC. The Board determined that Mr. Thompson met all independence requirements established by the NYSE, the SEC, the Trust’s Corporate Governance Guidelines and other applicable rules and regulations during his service as a Trustee during 2013 as described in the “Independence of Trustees” section above.</w:t>
      </w:r>
    </w:p>
    <w:p>
      <w:pPr>
        <w:spacing w:after="0" w:line="12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Employment and change-in-control arrangements between the Trust and the named executive officers are described in the “Potential Payments on Termination of Employment and Change-in-Control “ section above.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Trustees, executive officers and any persons who beneficially own more than 10% of our Shares are required by Section 16(a) of the Exchange Act to file reports of initial ownership and changes of ownership of our Shares with the SEC and with the NYSE. To our best knowledge, based solely on review of copies of such reports furnished to us and written representations that no other reports were required, the required filings of all such Trustees and executive officers were filed timely during 2013.</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A copy of our Annual Report on Form 10-K for the year ended December 31, 2013, including the financial statements and financial statement schedules (the “Annual Report”), is being mailed to shareholders with this proxy statement. The Form 10-K includes certain exhibits, which we will provide to you only upon request, addressed to Investor Relations at 1626 East Jefferson Street, Rockville, Maryland 20852. The request must be accompanied by payment of a fee to cover our reasonable expenses for copying and mailing the Annual Report. A copy of the Annual Report is also available online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i w:val="1"/>
          <w:iCs w:val="1"/>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SEC permits a single set of annual reports and proxy statements to be sent to any household at which two or more shareholders reside unless we have received contrary instructions from shareholders. Each shareholder continues to receive a separate proxy card. This procedure, referred to as householding, reduces the volume of duplicate information shareholders receive and reduces mailing and printing costs. A number of brokerage firms have instituted householding. Only one copy of this proxy statement and the Annual Report will be sent to certain beneficial shareholders who share a single address, unless any shareholder residing at that address gave contrary instructions.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any shareholder sharing an address with another shareholder desires at this time to receive a separate copy of this proxy statement and the Annual Report or wishes to receive a separate proxy statement and annual report in the future, or receives multiple copies of the proxy statement and Annual Report and wishes to receive a single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copy, the shareholder should provide such instructions by calling our Investor Relations Department at (800) 937-5449, by writing to Investor Relations at 1626 East Jefferson Street, Rockville, Maryland 20852, or by sending an e-mail to Investor Relations at </w:t>
      </w:r>
      <w:r>
        <w:rPr>
          <w:rFonts w:ascii="Arial" w:cs="Arial" w:eastAsia="Arial" w:hAnsi="Arial"/>
          <w:sz w:val="18"/>
          <w:szCs w:val="18"/>
          <w:u w:val="single" w:color="auto"/>
          <w:color w:val="auto"/>
        </w:rPr>
        <w:t>IR@federalrealty.com.</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SOLICITATION OF PROXIES, SHAREHOLDER PROPOSALS AND OTHER MATTERS</w:t>
      </w:r>
    </w:p>
    <w:p>
      <w:pPr>
        <w:spacing w:after="0" w:line="1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Proposals of shareholders intended to be presented at the 2015 Annual Meeting of Shareholders, including nominations for persons for election to the Board of Trustees, must be received by us no later than December 2, 2014 to be considered for inclusion in our proxy statement and form of proxy relating to such meeting.</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Trustees know of no other business to be presented at the Annual Meeting. If other matters properly come before the meeting, the persons named as proxies will vote on them in their discretion.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1-800-776-9437) or on the Internet (www.voteproxy.com) by following the instructions on your proxy card.</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12340" cy="651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Secretary</w:t>
      </w:r>
    </w:p>
    <w:p>
      <w:pPr>
        <w:spacing w:after="0" w:line="308" w:lineRule="exact"/>
        <w:rPr>
          <w:sz w:val="20"/>
          <w:szCs w:val="20"/>
          <w:color w:val="auto"/>
        </w:rPr>
      </w:pPr>
    </w:p>
    <w:p>
      <w:pPr>
        <w:jc w:val="center"/>
        <w:ind w:left="340" w:right="120"/>
        <w:spacing w:after="0" w:line="256" w:lineRule="auto"/>
        <w:rPr>
          <w:sz w:val="20"/>
          <w:szCs w:val="20"/>
          <w:color w:val="auto"/>
        </w:rPr>
      </w:pPr>
      <w:r>
        <w:rPr>
          <w:rFonts w:ascii="Arial" w:cs="Arial" w:eastAsia="Arial" w:hAnsi="Arial"/>
          <w:sz w:val="22"/>
          <w:szCs w:val="22"/>
          <w:b w:val="1"/>
          <w:bCs w:val="1"/>
          <w:color w:val="auto"/>
        </w:rPr>
        <w:t>YOUR PROXY IS IMPORTANT REGARDLESS OF THE NUMBER OF SHARES YOU OWN. PLEASE SUBMIT IT TODAY.</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FFFFFF"/>
        </w:rPr>
        <w:t>FEDERALTheHISPROXYREALTYISSOLICITEDINVESTMENTONBEHALFTRUSTOF THE BOARD OF TRUSTEES</w:t>
      </w:r>
    </w:p>
    <w:p>
      <w:pPr>
        <w:spacing w:after="0"/>
        <w:rPr>
          <w:sz w:val="20"/>
          <w:szCs w:val="20"/>
          <w:color w:val="auto"/>
        </w:rPr>
      </w:pPr>
      <w:r>
        <w:rPr>
          <w:rFonts w:ascii="Arial" w:cs="Arial" w:eastAsia="Arial" w:hAnsi="Arial"/>
          <w:sz w:val="3"/>
          <w:szCs w:val="3"/>
          <w:color w:val="FFFFFF"/>
        </w:rPr>
        <w:t>attorneysundersigned,andproxiesashareholderoftheundersigned,ofFederalwithRealtyfullInvestmentpowerofsubstitutionTrust(the“Trust”),ineachofherebythem,constitutesforandin theandnameappointsoftheDAWNundersigned,M.BECKERtovoteandandJAMESotherwiseM. actTAYLOR,attheAnnualJR.,orMeetingeitherofofthem,Shareholdersasthetrueofandthe lawfulTrustto be held at Fox Hill Club &amp; Residences, 8300 Burdette Road, Bethesda, Maryland on Wednesday, May 7, 2014 at 10:00 a.m. or at any postponement or adjournment with respect to all of the Common</w:t>
      </w:r>
    </w:p>
    <w:p>
      <w:pPr>
        <w:spacing w:after="0" w:line="181" w:lineRule="auto"/>
        <w:rPr>
          <w:sz w:val="20"/>
          <w:szCs w:val="20"/>
          <w:color w:val="auto"/>
        </w:rPr>
      </w:pPr>
      <w:r>
        <w:rPr>
          <w:rFonts w:ascii="Arial" w:cs="Arial" w:eastAsia="Arial" w:hAnsi="Arial"/>
          <w:sz w:val="7"/>
          <w:szCs w:val="7"/>
          <w:color w:val="FFFFFF"/>
        </w:rPr>
        <w:t>Shares of Beneficial Inte</w:t>
      </w:r>
      <w:r>
        <w:rPr>
          <w:rFonts w:ascii="Arial" w:cs="Arial" w:eastAsia="Arial" w:hAnsi="Arial"/>
          <w:sz w:val="10"/>
          <w:szCs w:val="10"/>
          <w:color w:val="FFFFFF"/>
          <w:vertAlign w:val="subscript"/>
        </w:rPr>
        <w:t>ratifies</w:t>
      </w:r>
      <w:r>
        <w:rPr>
          <w:rFonts w:ascii="Arial" w:cs="Arial" w:eastAsia="Arial" w:hAnsi="Arial"/>
          <w:sz w:val="7"/>
          <w:szCs w:val="7"/>
          <w:color w:val="FFFFFF"/>
        </w:rPr>
        <w:t>estofthe Trust which the undersigned would be entitled to vote, with all the powers the undersigned would possess if personally present, onthereof,following matters.</w:t>
      </w:r>
    </w:p>
    <w:p>
      <w:pPr>
        <w:spacing w:after="0"/>
        <w:tabs>
          <w:tab w:leader="none" w:pos="1740" w:val="left"/>
        </w:tabs>
        <w:rPr>
          <w:sz w:val="20"/>
          <w:szCs w:val="20"/>
          <w:color w:val="auto"/>
        </w:rPr>
      </w:pPr>
      <w:r>
        <w:rPr>
          <w:rFonts w:ascii="Arial" w:cs="Arial" w:eastAsia="Arial" w:hAnsi="Arial"/>
          <w:sz w:val="4"/>
          <w:szCs w:val="4"/>
          <w:color w:val="FFFFFF"/>
          <w:vertAlign w:val="subscript"/>
        </w:rPr>
        <w:t>The undersigned hereby</w:t>
      </w:r>
      <w:r>
        <w:rPr>
          <w:sz w:val="20"/>
          <w:szCs w:val="20"/>
          <w:color w:val="auto"/>
        </w:rPr>
        <w:tab/>
      </w:r>
      <w:r>
        <w:rPr>
          <w:rFonts w:ascii="Arial" w:cs="Arial" w:eastAsia="Arial" w:hAnsi="Arial"/>
          <w:sz w:val="3"/>
          <w:szCs w:val="3"/>
          <w:color w:val="FFFFFF"/>
        </w:rPr>
        <w:t>and confirms all that the aforesaid attorneys and proxies may do hereunder.</w:t>
      </w:r>
    </w:p>
    <w:p>
      <w:pPr>
        <w:ind w:right="460" w:firstLine="1339"/>
        <w:spacing w:after="0" w:line="187" w:lineRule="auto"/>
        <w:rPr>
          <w:sz w:val="20"/>
          <w:szCs w:val="20"/>
          <w:color w:val="auto"/>
        </w:rPr>
      </w:pPr>
      <w:r>
        <w:rPr>
          <w:rFonts w:ascii="Arial" w:cs="Arial" w:eastAsia="Arial" w:hAnsi="Arial"/>
          <w:sz w:val="9"/>
          <w:szCs w:val="9"/>
          <w:color w:val="FFFFFF"/>
        </w:rPr>
        <w:t>acknowledges receipt of the Notice of Annual Meeting and of the accompanying Proxy Statement and revokes any proxy previously given with respect to the Annual Meeting. (Continued and to be signed on the reverse side)</w:t>
      </w:r>
    </w:p>
    <w:p>
      <w:pPr>
        <w:spacing w:after="0"/>
        <w:rPr>
          <w:sz w:val="20"/>
          <w:szCs w:val="20"/>
          <w:color w:val="auto"/>
        </w:rPr>
      </w:pPr>
      <w:r>
        <w:rPr>
          <w:rFonts w:ascii="Arial" w:cs="Arial" w:eastAsia="Arial" w:hAnsi="Arial"/>
          <w:sz w:val="14"/>
          <w:szCs w:val="14"/>
          <w:color w:val="FFFFFF"/>
        </w:rPr>
        <w:t>14475</w:t>
      </w:r>
    </w:p>
    <w:p>
      <w:pPr>
        <w:sectPr>
          <w:pgSz w:w="11900" w:h="16838" w:orient="portrait"/>
          <w:cols w:equalWidth="0" w:num="1">
            <w:col w:w="11280"/>
          </w:cols>
          <w:pgMar w:left="240" w:top="459" w:right="37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40" w:type="dxa"/>
            <w:vAlign w:val="bottom"/>
            <w:gridSpan w:val="5"/>
          </w:tcPr>
          <w:p>
            <w:pPr>
              <w:spacing w:after="0"/>
              <w:rPr>
                <w:sz w:val="20"/>
                <w:szCs w:val="20"/>
                <w:color w:val="auto"/>
              </w:rPr>
            </w:pPr>
            <w:r>
              <w:rPr>
                <w:rFonts w:ascii="Arial" w:cs="Arial" w:eastAsia="Arial" w:hAnsi="Arial"/>
                <w:sz w:val="14"/>
                <w:szCs w:val="14"/>
                <w:color w:val="FFFFFF"/>
              </w:rPr>
              <w:t>ANNUAL MEETING OF SHAREHOLDERS OF FEDERAL REALTY INVESTMENT TRUST</w:t>
            </w:r>
          </w:p>
        </w:tc>
      </w:tr>
      <w:tr>
        <w:trPr>
          <w:trHeight w:val="41"/>
        </w:trPr>
        <w:tc>
          <w:tcPr>
            <w:tcW w:w="1080" w:type="dxa"/>
            <w:vAlign w:val="bottom"/>
            <w:gridSpan w:val="2"/>
          </w:tcPr>
          <w:p>
            <w:pPr>
              <w:spacing w:after="0"/>
              <w:rPr>
                <w:sz w:val="20"/>
                <w:szCs w:val="20"/>
                <w:color w:val="auto"/>
              </w:rPr>
            </w:pPr>
            <w:r>
              <w:rPr>
                <w:rFonts w:ascii="Arial" w:cs="Arial" w:eastAsia="Arial" w:hAnsi="Arial"/>
                <w:sz w:val="3"/>
                <w:szCs w:val="3"/>
                <w:color w:val="FFFFFF"/>
              </w:rPr>
              <w:t>May 7, 2014</w:t>
            </w:r>
          </w:p>
        </w:tc>
        <w:tc>
          <w:tcPr>
            <w:tcW w:w="15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6660" w:type="dxa"/>
            <w:vAlign w:val="bottom"/>
          </w:tcPr>
          <w:p>
            <w:pPr>
              <w:spacing w:after="0"/>
              <w:rPr>
                <w:sz w:val="3"/>
                <w:szCs w:val="3"/>
                <w:color w:val="auto"/>
              </w:rPr>
            </w:pPr>
          </w:p>
        </w:tc>
      </w:tr>
      <w:tr>
        <w:trPr>
          <w:trHeight w:val="41"/>
        </w:trPr>
        <w:tc>
          <w:tcPr>
            <w:tcW w:w="1080" w:type="dxa"/>
            <w:vAlign w:val="bottom"/>
            <w:gridSpan w:val="2"/>
          </w:tcPr>
          <w:p>
            <w:pPr>
              <w:spacing w:after="0"/>
              <w:rPr>
                <w:sz w:val="20"/>
                <w:szCs w:val="20"/>
                <w:color w:val="auto"/>
              </w:rPr>
            </w:pPr>
            <w:r>
              <w:rPr>
                <w:rFonts w:ascii="Arial" w:cs="Arial" w:eastAsia="Arial" w:hAnsi="Arial"/>
                <w:sz w:val="3"/>
                <w:szCs w:val="3"/>
                <w:color w:val="FFFFFF"/>
              </w:rPr>
              <w:t>GO GREEN</w:t>
            </w:r>
          </w:p>
        </w:tc>
        <w:tc>
          <w:tcPr>
            <w:tcW w:w="15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6660" w:type="dxa"/>
            <w:vAlign w:val="bottom"/>
          </w:tcPr>
          <w:p>
            <w:pPr>
              <w:spacing w:after="0"/>
              <w:rPr>
                <w:sz w:val="3"/>
                <w:szCs w:val="3"/>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e-Consent makes it easy to go paperless. With e-Consent, you can quickly access your proxy material, statements and other eligible documents online, while reducing costs, clutter and paper waste. Enroll today</w:t>
            </w: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via www.amstock.com to enjoy online access.</w:t>
            </w:r>
          </w:p>
        </w:tc>
        <w:tc>
          <w:tcPr>
            <w:tcW w:w="2040" w:type="dxa"/>
            <w:vAlign w:val="bottom"/>
          </w:tcPr>
          <w:p>
            <w:pPr>
              <w:spacing w:after="0"/>
              <w:rPr>
                <w:sz w:val="3"/>
                <w:szCs w:val="3"/>
                <w:color w:val="auto"/>
              </w:rPr>
            </w:pPr>
          </w:p>
        </w:tc>
        <w:tc>
          <w:tcPr>
            <w:tcW w:w="6660" w:type="dxa"/>
            <w:vAlign w:val="bottom"/>
          </w:tcPr>
          <w:p>
            <w:pPr>
              <w:spacing w:after="0"/>
              <w:rPr>
                <w:sz w:val="3"/>
                <w:szCs w:val="3"/>
                <w:color w:val="auto"/>
              </w:rPr>
            </w:pPr>
          </w:p>
        </w:tc>
      </w:tr>
      <w:tr>
        <w:trPr>
          <w:trHeight w:val="41"/>
        </w:trPr>
        <w:tc>
          <w:tcPr>
            <w:tcW w:w="4680" w:type="dxa"/>
            <w:vAlign w:val="bottom"/>
            <w:gridSpan w:val="4"/>
          </w:tcPr>
          <w:p>
            <w:pPr>
              <w:spacing w:after="0"/>
              <w:rPr>
                <w:sz w:val="20"/>
                <w:szCs w:val="20"/>
                <w:color w:val="auto"/>
              </w:rPr>
            </w:pPr>
            <w:r>
              <w:rPr>
                <w:rFonts w:ascii="Arial" w:cs="Arial" w:eastAsia="Arial" w:hAnsi="Arial"/>
                <w:sz w:val="3"/>
                <w:szCs w:val="3"/>
                <w:color w:val="FFFFFF"/>
              </w:rPr>
              <w:t>NOTICE OF INTERNET AVAILABILITY OF PROXY MATERIAL:</w:t>
            </w:r>
          </w:p>
        </w:tc>
        <w:tc>
          <w:tcPr>
            <w:tcW w:w="6660" w:type="dxa"/>
            <w:vAlign w:val="bottom"/>
          </w:tcPr>
          <w:p>
            <w:pPr>
              <w:spacing w:after="0"/>
              <w:rPr>
                <w:sz w:val="3"/>
                <w:szCs w:val="3"/>
                <w:color w:val="auto"/>
              </w:rPr>
            </w:pP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The Notice of Meeting, proxy statement and</w:t>
            </w:r>
          </w:p>
        </w:tc>
        <w:tc>
          <w:tcPr>
            <w:tcW w:w="8700" w:type="dxa"/>
            <w:vAlign w:val="bottom"/>
            <w:gridSpan w:val="2"/>
          </w:tcPr>
          <w:p>
            <w:pPr>
              <w:ind w:left="140"/>
              <w:spacing w:after="0"/>
              <w:rPr>
                <w:sz w:val="20"/>
                <w:szCs w:val="20"/>
                <w:color w:val="auto"/>
              </w:rPr>
            </w:pPr>
            <w:r>
              <w:rPr>
                <w:rFonts w:ascii="Arial" w:cs="Arial" w:eastAsia="Arial" w:hAnsi="Arial"/>
                <w:sz w:val="3"/>
                <w:szCs w:val="3"/>
                <w:color w:val="FFFFFF"/>
              </w:rPr>
              <w:t>card are available at http://www.federalrealty.com/investors/annual-reports/ for the Annual Report/Form 10-K Wrap and</w:t>
            </w:r>
          </w:p>
        </w:tc>
      </w:tr>
      <w:tr>
        <w:trPr>
          <w:trHeight w:val="41"/>
        </w:trPr>
        <w:tc>
          <w:tcPr>
            <w:tcW w:w="4680" w:type="dxa"/>
            <w:vAlign w:val="bottom"/>
            <w:gridSpan w:val="4"/>
          </w:tcPr>
          <w:p>
            <w:pPr>
              <w:spacing w:after="0"/>
              <w:rPr>
                <w:sz w:val="20"/>
                <w:szCs w:val="20"/>
                <w:color w:val="auto"/>
              </w:rPr>
            </w:pPr>
            <w:r>
              <w:rPr>
                <w:rFonts w:ascii="Arial" w:cs="Arial" w:eastAsia="Arial" w:hAnsi="Arial"/>
                <w:sz w:val="3"/>
                <w:szCs w:val="3"/>
                <w:color w:val="FFFFFF"/>
              </w:rPr>
              <w:t>http://ir.federalrealty.com/phoenix.zhtml?c=84166&amp;p=proxy for the Proxy Statement</w:t>
            </w:r>
          </w:p>
        </w:tc>
        <w:tc>
          <w:tcPr>
            <w:tcW w:w="6660" w:type="dxa"/>
            <w:vAlign w:val="bottom"/>
          </w:tcPr>
          <w:p>
            <w:pPr>
              <w:spacing w:after="0"/>
              <w:rPr>
                <w:sz w:val="3"/>
                <w:szCs w:val="3"/>
                <w:color w:val="auto"/>
              </w:rPr>
            </w:pPr>
          </w:p>
        </w:tc>
      </w:tr>
      <w:tr>
        <w:trPr>
          <w:trHeight w:val="41"/>
        </w:trPr>
        <w:tc>
          <w:tcPr>
            <w:tcW w:w="320" w:type="dxa"/>
            <w:vAlign w:val="bottom"/>
          </w:tcPr>
          <w:p>
            <w:pPr>
              <w:spacing w:after="0"/>
              <w:rPr>
                <w:sz w:val="3"/>
                <w:szCs w:val="3"/>
                <w:color w:val="auto"/>
              </w:rPr>
            </w:pPr>
          </w:p>
        </w:tc>
        <w:tc>
          <w:tcPr>
            <w:tcW w:w="11020" w:type="dxa"/>
            <w:vAlign w:val="bottom"/>
            <w:gridSpan w:val="4"/>
          </w:tcPr>
          <w:p>
            <w:pPr>
              <w:ind w:left="60"/>
              <w:spacing w:after="0"/>
              <w:rPr>
                <w:sz w:val="20"/>
                <w:szCs w:val="20"/>
                <w:color w:val="auto"/>
              </w:rPr>
            </w:pPr>
            <w:r>
              <w:rPr>
                <w:rFonts w:ascii="Arial" w:cs="Arial" w:eastAsia="Arial" w:hAnsi="Arial"/>
                <w:sz w:val="3"/>
                <w:szCs w:val="3"/>
                <w:color w:val="FFFFFF"/>
              </w:rPr>
              <w:t>sign, date and mail your proxy card in the envelope provided as soon as possible.</w:t>
            </w:r>
          </w:p>
        </w:tc>
      </w:tr>
      <w:tr>
        <w:trPr>
          <w:trHeight w:val="41"/>
        </w:trPr>
        <w:tc>
          <w:tcPr>
            <w:tcW w:w="4680" w:type="dxa"/>
            <w:vAlign w:val="bottom"/>
            <w:gridSpan w:val="4"/>
          </w:tcPr>
          <w:p>
            <w:pPr>
              <w:spacing w:after="0"/>
              <w:rPr>
                <w:sz w:val="20"/>
                <w:szCs w:val="20"/>
                <w:color w:val="auto"/>
              </w:rPr>
            </w:pPr>
            <w:r>
              <w:rPr>
                <w:rFonts w:ascii="Arial" w:cs="Arial" w:eastAsia="Arial" w:hAnsi="Arial"/>
                <w:sz w:val="3"/>
                <w:szCs w:val="3"/>
                <w:color w:val="FFFFFF"/>
              </w:rPr>
              <w:t>Please detach along perforated line and mail in the envelope provided.</w:t>
            </w:r>
          </w:p>
        </w:tc>
        <w:tc>
          <w:tcPr>
            <w:tcW w:w="6660" w:type="dxa"/>
            <w:vAlign w:val="bottom"/>
          </w:tcPr>
          <w:p>
            <w:pPr>
              <w:spacing w:after="0"/>
              <w:rPr>
                <w:sz w:val="3"/>
                <w:szCs w:val="3"/>
                <w:color w:val="auto"/>
              </w:rPr>
            </w:pP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20730300000000000000 9 050714</w:t>
            </w:r>
          </w:p>
        </w:tc>
        <w:tc>
          <w:tcPr>
            <w:tcW w:w="2040" w:type="dxa"/>
            <w:vAlign w:val="bottom"/>
          </w:tcPr>
          <w:p>
            <w:pPr>
              <w:spacing w:after="0"/>
              <w:rPr>
                <w:sz w:val="3"/>
                <w:szCs w:val="3"/>
                <w:color w:val="auto"/>
              </w:rPr>
            </w:pPr>
          </w:p>
        </w:tc>
        <w:tc>
          <w:tcPr>
            <w:tcW w:w="6660" w:type="dxa"/>
            <w:vAlign w:val="bottom"/>
          </w:tcPr>
          <w:p>
            <w:pPr>
              <w:spacing w:after="0"/>
              <w:rPr>
                <w:sz w:val="3"/>
                <w:szCs w:val="3"/>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r>
      <w:tr>
        <w:trPr>
          <w:trHeight w:val="41"/>
        </w:trPr>
        <w:tc>
          <w:tcPr>
            <w:tcW w:w="1080" w:type="dxa"/>
            <w:vAlign w:val="bottom"/>
            <w:gridSpan w:val="2"/>
          </w:tcPr>
          <w:p>
            <w:pPr>
              <w:spacing w:after="0"/>
              <w:rPr>
                <w:sz w:val="20"/>
                <w:szCs w:val="20"/>
                <w:color w:val="auto"/>
              </w:rPr>
            </w:pPr>
            <w:r>
              <w:rPr>
                <w:rFonts w:ascii="Arial" w:cs="Arial" w:eastAsia="Arial" w:hAnsi="Arial"/>
                <w:sz w:val="3"/>
                <w:szCs w:val="3"/>
                <w:color w:val="FFFFFF"/>
              </w:rPr>
              <w:t>ALL NOMINEES</w:t>
            </w:r>
          </w:p>
        </w:tc>
        <w:tc>
          <w:tcPr>
            <w:tcW w:w="3600" w:type="dxa"/>
            <w:vAlign w:val="bottom"/>
            <w:gridSpan w:val="2"/>
          </w:tcPr>
          <w:p>
            <w:pPr>
              <w:ind w:left="140"/>
              <w:spacing w:after="0"/>
              <w:rPr>
                <w:sz w:val="20"/>
                <w:szCs w:val="20"/>
                <w:color w:val="auto"/>
              </w:rPr>
            </w:pPr>
            <w:r>
              <w:rPr>
                <w:rFonts w:ascii="Arial" w:cs="Arial" w:eastAsia="Arial" w:hAnsi="Arial"/>
                <w:sz w:val="3"/>
                <w:szCs w:val="3"/>
                <w:color w:val="FFFFFF"/>
              </w:rPr>
              <w:t>PROPOSAL 1 AND “FOR” PROPOSALS 2 AND 3, AND</w:t>
            </w:r>
          </w:p>
        </w:tc>
        <w:tc>
          <w:tcPr>
            <w:tcW w:w="6660" w:type="dxa"/>
            <w:vAlign w:val="bottom"/>
          </w:tcPr>
          <w:p>
            <w:pPr>
              <w:ind w:left="80"/>
              <w:spacing w:after="0"/>
              <w:rPr>
                <w:sz w:val="20"/>
                <w:szCs w:val="20"/>
                <w:color w:val="auto"/>
              </w:rPr>
            </w:pPr>
            <w:r>
              <w:rPr>
                <w:rFonts w:ascii="Arial" w:cs="Arial" w:eastAsia="Arial" w:hAnsi="Arial"/>
                <w:sz w:val="3"/>
                <w:szCs w:val="3"/>
                <w:color w:val="FFFFFF"/>
              </w:rPr>
              <w:t>PROXIES WILL VOTE IN THEIR SOLE JUDGMENT UPON ANY OTHER MATTERS PROPERLY COMING</w:t>
            </w: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BEFORE THE MEETING OR ANY POSTPONEMENT OR ADJOURNMENT THEREOF.</w:t>
            </w: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PLEASE SIGN, DATE AND RETURN PROMPTLY IN THE ENCLOSED ENVELOPE. PLEASE MARK YOUR VOTE IN BLUE OR BLACK INK AS SHOWN HERE</w:t>
            </w:r>
          </w:p>
        </w:tc>
      </w:tr>
      <w:tr>
        <w:trPr>
          <w:trHeight w:val="41"/>
        </w:trPr>
        <w:tc>
          <w:tcPr>
            <w:tcW w:w="4680" w:type="dxa"/>
            <w:vAlign w:val="bottom"/>
            <w:gridSpan w:val="4"/>
          </w:tcPr>
          <w:p>
            <w:pPr>
              <w:spacing w:after="0"/>
              <w:rPr>
                <w:sz w:val="20"/>
                <w:szCs w:val="20"/>
                <w:color w:val="auto"/>
              </w:rPr>
            </w:pPr>
            <w:r>
              <w:rPr>
                <w:rFonts w:ascii="Arial" w:cs="Arial" w:eastAsia="Arial" w:hAnsi="Arial"/>
                <w:sz w:val="3"/>
                <w:szCs w:val="3"/>
                <w:color w:val="FFFFFF"/>
              </w:rPr>
              <w:t>1. To elect the following Trustees as set forth in the accompanying Proxy Statement:</w:t>
            </w:r>
          </w:p>
        </w:tc>
        <w:tc>
          <w:tcPr>
            <w:tcW w:w="6660" w:type="dxa"/>
            <w:vAlign w:val="bottom"/>
          </w:tcPr>
          <w:p>
            <w:pPr>
              <w:spacing w:after="0"/>
              <w:rPr>
                <w:sz w:val="3"/>
                <w:szCs w:val="3"/>
                <w:color w:val="auto"/>
              </w:rPr>
            </w:pP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FOR ALL NOMINEES</w:t>
            </w:r>
          </w:p>
        </w:tc>
        <w:tc>
          <w:tcPr>
            <w:tcW w:w="2040" w:type="dxa"/>
            <w:vAlign w:val="bottom"/>
          </w:tcPr>
          <w:p>
            <w:pPr>
              <w:spacing w:after="0"/>
              <w:rPr>
                <w:sz w:val="3"/>
                <w:szCs w:val="3"/>
                <w:color w:val="auto"/>
              </w:rPr>
            </w:pPr>
          </w:p>
        </w:tc>
        <w:tc>
          <w:tcPr>
            <w:tcW w:w="6660" w:type="dxa"/>
            <w:vAlign w:val="bottom"/>
          </w:tcPr>
          <w:p>
            <w:pPr>
              <w:spacing w:after="0"/>
              <w:rPr>
                <w:sz w:val="3"/>
                <w:szCs w:val="3"/>
                <w:color w:val="auto"/>
              </w:rPr>
            </w:pPr>
          </w:p>
        </w:tc>
      </w:tr>
      <w:tr>
        <w:trPr>
          <w:trHeight w:val="41"/>
        </w:trPr>
        <w:tc>
          <w:tcPr>
            <w:tcW w:w="4680" w:type="dxa"/>
            <w:vAlign w:val="bottom"/>
            <w:gridSpan w:val="4"/>
          </w:tcPr>
          <w:p>
            <w:pPr>
              <w:spacing w:after="0"/>
              <w:rPr>
                <w:sz w:val="20"/>
                <w:szCs w:val="20"/>
                <w:color w:val="auto"/>
              </w:rPr>
            </w:pPr>
            <w:r>
              <w:rPr>
                <w:rFonts w:ascii="Arial" w:cs="Arial" w:eastAsia="Arial" w:hAnsi="Arial"/>
                <w:sz w:val="3"/>
                <w:szCs w:val="3"/>
                <w:color w:val="FFFFFF"/>
              </w:rPr>
              <w:t>WITHHOLD AUTHORITY FOR ALL NOMINEES</w:t>
            </w:r>
          </w:p>
        </w:tc>
        <w:tc>
          <w:tcPr>
            <w:tcW w:w="6660" w:type="dxa"/>
            <w:vAlign w:val="bottom"/>
          </w:tcPr>
          <w:p>
            <w:pPr>
              <w:spacing w:after="0"/>
              <w:rPr>
                <w:sz w:val="3"/>
                <w:szCs w:val="3"/>
                <w:color w:val="auto"/>
              </w:rPr>
            </w:pP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FOR ALL EXCEPT (See instructions below)</w:t>
            </w:r>
          </w:p>
        </w:tc>
        <w:tc>
          <w:tcPr>
            <w:tcW w:w="2040" w:type="dxa"/>
            <w:vAlign w:val="bottom"/>
          </w:tcPr>
          <w:p>
            <w:pPr>
              <w:spacing w:after="0"/>
              <w:rPr>
                <w:sz w:val="3"/>
                <w:szCs w:val="3"/>
                <w:color w:val="auto"/>
              </w:rPr>
            </w:pPr>
          </w:p>
        </w:tc>
        <w:tc>
          <w:tcPr>
            <w:tcW w:w="6660" w:type="dxa"/>
            <w:vAlign w:val="bottom"/>
          </w:tcPr>
          <w:p>
            <w:pPr>
              <w:spacing w:after="0"/>
              <w:rPr>
                <w:sz w:val="3"/>
                <w:szCs w:val="3"/>
                <w:color w:val="auto"/>
              </w:rPr>
            </w:pPr>
          </w:p>
        </w:tc>
      </w:tr>
      <w:tr>
        <w:trPr>
          <w:trHeight w:val="81"/>
        </w:trPr>
        <w:tc>
          <w:tcPr>
            <w:tcW w:w="1080" w:type="dxa"/>
            <w:vAlign w:val="bottom"/>
            <w:gridSpan w:val="2"/>
          </w:tcPr>
          <w:p>
            <w:pPr>
              <w:spacing w:after="0" w:line="81" w:lineRule="exact"/>
              <w:rPr>
                <w:sz w:val="20"/>
                <w:szCs w:val="20"/>
                <w:color w:val="auto"/>
              </w:rPr>
            </w:pPr>
            <w:r>
              <w:rPr>
                <w:rFonts w:ascii="Arial" w:cs="Arial" w:eastAsia="Arial" w:hAnsi="Arial"/>
                <w:sz w:val="9"/>
                <w:szCs w:val="9"/>
                <w:color w:val="FFFFFF"/>
              </w:rPr>
              <w:t>NOMINEES:Jon.Bortz</w:t>
            </w:r>
          </w:p>
        </w:tc>
        <w:tc>
          <w:tcPr>
            <w:tcW w:w="15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660" w:type="dxa"/>
            <w:vAlign w:val="bottom"/>
          </w:tcPr>
          <w:p>
            <w:pPr>
              <w:spacing w:after="0"/>
              <w:rPr>
                <w:sz w:val="7"/>
                <w:szCs w:val="7"/>
                <w:color w:val="auto"/>
              </w:rPr>
            </w:pPr>
          </w:p>
        </w:tc>
      </w:tr>
      <w:tr>
        <w:trPr>
          <w:trHeight w:val="41"/>
        </w:trPr>
        <w:tc>
          <w:tcPr>
            <w:tcW w:w="1080" w:type="dxa"/>
            <w:vAlign w:val="bottom"/>
            <w:gridSpan w:val="2"/>
          </w:tcPr>
          <w:p>
            <w:pPr>
              <w:spacing w:after="0"/>
              <w:rPr>
                <w:sz w:val="20"/>
                <w:szCs w:val="20"/>
                <w:color w:val="auto"/>
              </w:rPr>
            </w:pPr>
            <w:r>
              <w:rPr>
                <w:rFonts w:ascii="Arial" w:cs="Arial" w:eastAsia="Arial" w:hAnsi="Arial"/>
                <w:sz w:val="3"/>
                <w:szCs w:val="3"/>
                <w:color w:val="FFFFFF"/>
              </w:rPr>
              <w:t>David W. Faeder</w:t>
            </w:r>
          </w:p>
        </w:tc>
        <w:tc>
          <w:tcPr>
            <w:tcW w:w="15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6660" w:type="dxa"/>
            <w:vAlign w:val="bottom"/>
          </w:tcPr>
          <w:p>
            <w:pPr>
              <w:spacing w:after="0"/>
              <w:rPr>
                <w:sz w:val="3"/>
                <w:szCs w:val="3"/>
                <w:color w:val="auto"/>
              </w:rPr>
            </w:pPr>
          </w:p>
        </w:tc>
      </w:tr>
      <w:tr>
        <w:trPr>
          <w:trHeight w:val="41"/>
        </w:trPr>
        <w:tc>
          <w:tcPr>
            <w:tcW w:w="1080" w:type="dxa"/>
            <w:vAlign w:val="bottom"/>
            <w:gridSpan w:val="2"/>
          </w:tcPr>
          <w:p>
            <w:pPr>
              <w:spacing w:after="0"/>
              <w:rPr>
                <w:sz w:val="20"/>
                <w:szCs w:val="20"/>
                <w:color w:val="auto"/>
              </w:rPr>
            </w:pPr>
            <w:r>
              <w:rPr>
                <w:rFonts w:ascii="Arial" w:cs="Arial" w:eastAsia="Arial" w:hAnsi="Arial"/>
                <w:sz w:val="3"/>
                <w:szCs w:val="3"/>
                <w:color w:val="FFFFFF"/>
              </w:rPr>
              <w:t>Kristin Gamble</w:t>
            </w:r>
          </w:p>
        </w:tc>
        <w:tc>
          <w:tcPr>
            <w:tcW w:w="15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6660" w:type="dxa"/>
            <w:vAlign w:val="bottom"/>
          </w:tcPr>
          <w:p>
            <w:pPr>
              <w:spacing w:after="0"/>
              <w:rPr>
                <w:sz w:val="3"/>
                <w:szCs w:val="3"/>
                <w:color w:val="auto"/>
              </w:rPr>
            </w:pPr>
          </w:p>
        </w:tc>
      </w:tr>
      <w:tr>
        <w:trPr>
          <w:trHeight w:val="41"/>
        </w:trPr>
        <w:tc>
          <w:tcPr>
            <w:tcW w:w="1080" w:type="dxa"/>
            <w:vAlign w:val="bottom"/>
            <w:gridSpan w:val="2"/>
          </w:tcPr>
          <w:p>
            <w:pPr>
              <w:spacing w:after="0"/>
              <w:rPr>
                <w:sz w:val="20"/>
                <w:szCs w:val="20"/>
                <w:color w:val="auto"/>
              </w:rPr>
            </w:pPr>
            <w:r>
              <w:rPr>
                <w:rFonts w:ascii="Arial" w:cs="Arial" w:eastAsia="Arial" w:hAnsi="Arial"/>
                <w:sz w:val="3"/>
                <w:szCs w:val="3"/>
                <w:color w:val="FFFFFF"/>
              </w:rPr>
              <w:t>Gail P. Steinel</w:t>
            </w:r>
          </w:p>
        </w:tc>
        <w:tc>
          <w:tcPr>
            <w:tcW w:w="15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6660" w:type="dxa"/>
            <w:vAlign w:val="bottom"/>
          </w:tcPr>
          <w:p>
            <w:pPr>
              <w:spacing w:after="0"/>
              <w:rPr>
                <w:sz w:val="3"/>
                <w:szCs w:val="3"/>
                <w:color w:val="auto"/>
              </w:rPr>
            </w:pP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Warren M. Thompson</w:t>
            </w:r>
          </w:p>
        </w:tc>
        <w:tc>
          <w:tcPr>
            <w:tcW w:w="2040" w:type="dxa"/>
            <w:vAlign w:val="bottom"/>
          </w:tcPr>
          <w:p>
            <w:pPr>
              <w:spacing w:after="0"/>
              <w:rPr>
                <w:sz w:val="3"/>
                <w:szCs w:val="3"/>
                <w:color w:val="auto"/>
              </w:rPr>
            </w:pPr>
          </w:p>
        </w:tc>
        <w:tc>
          <w:tcPr>
            <w:tcW w:w="6660" w:type="dxa"/>
            <w:vAlign w:val="bottom"/>
          </w:tcPr>
          <w:p>
            <w:pPr>
              <w:spacing w:after="0"/>
              <w:rPr>
                <w:sz w:val="3"/>
                <w:szCs w:val="3"/>
                <w:color w:val="auto"/>
              </w:rPr>
            </w:pP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Joseph S. Vassalluzzo</w:t>
            </w:r>
          </w:p>
        </w:tc>
        <w:tc>
          <w:tcPr>
            <w:tcW w:w="2040" w:type="dxa"/>
            <w:vAlign w:val="bottom"/>
          </w:tcPr>
          <w:p>
            <w:pPr>
              <w:spacing w:after="0"/>
              <w:rPr>
                <w:sz w:val="3"/>
                <w:szCs w:val="3"/>
                <w:color w:val="auto"/>
              </w:rPr>
            </w:pPr>
          </w:p>
        </w:tc>
        <w:tc>
          <w:tcPr>
            <w:tcW w:w="6660" w:type="dxa"/>
            <w:vAlign w:val="bottom"/>
          </w:tcPr>
          <w:p>
            <w:pPr>
              <w:spacing w:after="0"/>
              <w:rPr>
                <w:sz w:val="3"/>
                <w:szCs w:val="3"/>
                <w:color w:val="auto"/>
              </w:rPr>
            </w:pPr>
          </w:p>
        </w:tc>
      </w:tr>
      <w:tr>
        <w:trPr>
          <w:trHeight w:val="81"/>
        </w:trPr>
        <w:tc>
          <w:tcPr>
            <w:tcW w:w="1080" w:type="dxa"/>
            <w:vAlign w:val="bottom"/>
            <w:gridSpan w:val="2"/>
          </w:tcPr>
          <w:p>
            <w:pPr>
              <w:spacing w:after="0" w:line="81" w:lineRule="exact"/>
              <w:rPr>
                <w:sz w:val="20"/>
                <w:szCs w:val="20"/>
                <w:color w:val="auto"/>
              </w:rPr>
            </w:pPr>
            <w:r>
              <w:rPr>
                <w:rFonts w:ascii="Arial" w:cs="Arial" w:eastAsia="Arial" w:hAnsi="Arial"/>
                <w:sz w:val="7"/>
                <w:szCs w:val="7"/>
                <w:color w:val="FFFFFF"/>
              </w:rPr>
              <w:t>INSTRUCTIONS:</w:t>
            </w:r>
            <w:r>
              <w:rPr>
                <w:rFonts w:ascii="Arial" w:cs="Arial" w:eastAsia="Arial" w:hAnsi="Arial"/>
                <w:sz w:val="9"/>
                <w:szCs w:val="9"/>
                <w:color w:val="FFFFFF"/>
                <w:vertAlign w:val="superscript"/>
              </w:rPr>
              <w:t>Donald.Wood</w:t>
            </w:r>
          </w:p>
        </w:tc>
        <w:tc>
          <w:tcPr>
            <w:tcW w:w="10260" w:type="dxa"/>
            <w:vAlign w:val="bottom"/>
            <w:gridSpan w:val="3"/>
          </w:tcPr>
          <w:p>
            <w:pPr>
              <w:ind w:left="40"/>
              <w:spacing w:after="0" w:line="81" w:lineRule="exact"/>
              <w:rPr>
                <w:sz w:val="20"/>
                <w:szCs w:val="20"/>
                <w:color w:val="auto"/>
              </w:rPr>
            </w:pPr>
            <w:r>
              <w:rPr>
                <w:rFonts w:ascii="Arial" w:cs="Arial" w:eastAsia="Arial" w:hAnsi="Arial"/>
                <w:sz w:val="9"/>
                <w:szCs w:val="9"/>
                <w:color w:val="FFFFFF"/>
              </w:rPr>
              <w:t>o withhold authority to vote for any individual nominee(s), mark “FOR ALL EXCEPT” and fill in the circle next to each nominee you wish to withhold, as shown here:</w:t>
            </w: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FOR AGAINST ABSTAIN</w:t>
            </w:r>
          </w:p>
        </w:tc>
        <w:tc>
          <w:tcPr>
            <w:tcW w:w="2040" w:type="dxa"/>
            <w:vAlign w:val="bottom"/>
          </w:tcPr>
          <w:p>
            <w:pPr>
              <w:spacing w:after="0"/>
              <w:rPr>
                <w:sz w:val="3"/>
                <w:szCs w:val="3"/>
                <w:color w:val="auto"/>
              </w:rPr>
            </w:pPr>
          </w:p>
        </w:tc>
        <w:tc>
          <w:tcPr>
            <w:tcW w:w="6660" w:type="dxa"/>
            <w:vAlign w:val="bottom"/>
          </w:tcPr>
          <w:p>
            <w:pPr>
              <w:spacing w:after="0"/>
              <w:rPr>
                <w:sz w:val="3"/>
                <w:szCs w:val="3"/>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w:t>
            </w:r>
          </w:p>
        </w:tc>
        <w:tc>
          <w:tcPr>
            <w:tcW w:w="760" w:type="dxa"/>
            <w:vAlign w:val="bottom"/>
          </w:tcPr>
          <w:p>
            <w:pPr>
              <w:spacing w:after="0"/>
              <w:rPr>
                <w:sz w:val="20"/>
                <w:szCs w:val="20"/>
                <w:color w:val="auto"/>
              </w:rPr>
            </w:pPr>
            <w:r>
              <w:rPr>
                <w:rFonts w:ascii="Arial" w:cs="Arial" w:eastAsia="Arial" w:hAnsi="Arial"/>
                <w:sz w:val="3"/>
                <w:szCs w:val="3"/>
                <w:color w:val="FFFFFF"/>
              </w:rPr>
              <w:t>ratify the app</w:t>
            </w:r>
          </w:p>
        </w:tc>
        <w:tc>
          <w:tcPr>
            <w:tcW w:w="10260" w:type="dxa"/>
            <w:vAlign w:val="bottom"/>
            <w:gridSpan w:val="3"/>
          </w:tcPr>
          <w:p>
            <w:pPr>
              <w:ind w:left="20"/>
              <w:spacing w:after="0"/>
              <w:rPr>
                <w:sz w:val="20"/>
                <w:szCs w:val="20"/>
                <w:color w:val="auto"/>
              </w:rPr>
            </w:pPr>
            <w:r>
              <w:rPr>
                <w:rFonts w:ascii="Arial" w:cs="Arial" w:eastAsia="Arial" w:hAnsi="Arial"/>
                <w:sz w:val="3"/>
                <w:szCs w:val="3"/>
                <w:color w:val="FFFFFF"/>
              </w:rPr>
              <w:t>intment of Grant Thornton LLP as our independent registered public accounting firm for the fiscal year ending December 31, 2014.</w:t>
            </w: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3    hold an advisory vote approving the compensation of our named executive officers.</w:t>
            </w: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4. To consider and act upon any other matters properly coming before the meeting or any postponement or adjournment thereof.</w:t>
            </w: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ELECTRONIC ACCESS TO FUTURE DOCUMENTS If you would like to receive future shareholder communications over the Internet exclusively, and no longer receivematerial by mail please visit</w:t>
            </w: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http://www.amstock.com. Click on Shareholder Account Access to enroll. Please enter your account number and tax identification number to log in, then select Receive Company Mailings via E-Mail and</w:t>
            </w:r>
          </w:p>
        </w:tc>
      </w:tr>
      <w:tr>
        <w:trPr>
          <w:trHeight w:val="41"/>
        </w:trPr>
        <w:tc>
          <w:tcPr>
            <w:tcW w:w="320" w:type="dxa"/>
            <w:vAlign w:val="bottom"/>
          </w:tcPr>
          <w:p>
            <w:pPr>
              <w:spacing w:after="0"/>
              <w:rPr>
                <w:sz w:val="3"/>
                <w:szCs w:val="3"/>
                <w:color w:val="auto"/>
              </w:rPr>
            </w:pPr>
          </w:p>
        </w:tc>
        <w:tc>
          <w:tcPr>
            <w:tcW w:w="2320" w:type="dxa"/>
            <w:vAlign w:val="bottom"/>
            <w:gridSpan w:val="2"/>
          </w:tcPr>
          <w:p>
            <w:pPr>
              <w:ind w:left="140"/>
              <w:spacing w:after="0"/>
              <w:rPr>
                <w:sz w:val="20"/>
                <w:szCs w:val="20"/>
                <w:color w:val="auto"/>
              </w:rPr>
            </w:pPr>
            <w:r>
              <w:rPr>
                <w:rFonts w:ascii="Arial" w:cs="Arial" w:eastAsia="Arial" w:hAnsi="Arial"/>
                <w:sz w:val="3"/>
                <w:szCs w:val="3"/>
                <w:color w:val="FFFFFF"/>
              </w:rPr>
              <w:t>your e-mail address.</w:t>
            </w:r>
          </w:p>
        </w:tc>
        <w:tc>
          <w:tcPr>
            <w:tcW w:w="2040" w:type="dxa"/>
            <w:vAlign w:val="bottom"/>
          </w:tcPr>
          <w:p>
            <w:pPr>
              <w:spacing w:after="0"/>
              <w:rPr>
                <w:sz w:val="3"/>
                <w:szCs w:val="3"/>
                <w:color w:val="auto"/>
              </w:rPr>
            </w:pPr>
          </w:p>
        </w:tc>
        <w:tc>
          <w:tcPr>
            <w:tcW w:w="6660" w:type="dxa"/>
            <w:vAlign w:val="bottom"/>
          </w:tcPr>
          <w:p>
            <w:pPr>
              <w:spacing w:after="0"/>
              <w:rPr>
                <w:sz w:val="3"/>
                <w:szCs w:val="3"/>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provideTchange the address on your account, please check the box at right and indicate your new address in the address space above. Please note that changes to the registered name(s) on the account may not be</w:t>
            </w: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submitted via this method.</w:t>
            </w:r>
          </w:p>
        </w:tc>
        <w:tc>
          <w:tcPr>
            <w:tcW w:w="2040" w:type="dxa"/>
            <w:vAlign w:val="bottom"/>
          </w:tcPr>
          <w:p>
            <w:pPr>
              <w:spacing w:after="0"/>
              <w:rPr>
                <w:sz w:val="3"/>
                <w:szCs w:val="3"/>
                <w:color w:val="auto"/>
              </w:rPr>
            </w:pPr>
          </w:p>
        </w:tc>
        <w:tc>
          <w:tcPr>
            <w:tcW w:w="6660" w:type="dxa"/>
            <w:vAlign w:val="bottom"/>
          </w:tcPr>
          <w:p>
            <w:pPr>
              <w:spacing w:after="0"/>
              <w:rPr>
                <w:sz w:val="3"/>
                <w:szCs w:val="3"/>
                <w:color w:val="auto"/>
              </w:rPr>
            </w:pPr>
          </w:p>
        </w:tc>
      </w:tr>
      <w:tr>
        <w:trPr>
          <w:trHeight w:val="41"/>
        </w:trPr>
        <w:tc>
          <w:tcPr>
            <w:tcW w:w="4680" w:type="dxa"/>
            <w:vAlign w:val="bottom"/>
            <w:gridSpan w:val="4"/>
          </w:tcPr>
          <w:p>
            <w:pPr>
              <w:spacing w:after="0"/>
              <w:rPr>
                <w:sz w:val="20"/>
                <w:szCs w:val="20"/>
                <w:color w:val="auto"/>
              </w:rPr>
            </w:pPr>
            <w:r>
              <w:rPr>
                <w:rFonts w:ascii="Arial" w:cs="Arial" w:eastAsia="Arial" w:hAnsi="Arial"/>
                <w:sz w:val="3"/>
                <w:szCs w:val="3"/>
                <w:color w:val="FFFFFF"/>
              </w:rPr>
              <w:t>Signature of Shareholder Date: Signature of Shareholder Date:</w:t>
            </w:r>
          </w:p>
        </w:tc>
        <w:tc>
          <w:tcPr>
            <w:tcW w:w="6660" w:type="dxa"/>
            <w:vAlign w:val="bottom"/>
          </w:tcPr>
          <w:p>
            <w:pPr>
              <w:spacing w:after="0"/>
              <w:rPr>
                <w:sz w:val="3"/>
                <w:szCs w:val="3"/>
                <w:color w:val="auto"/>
              </w:rPr>
            </w:pPr>
          </w:p>
        </w:tc>
      </w:tr>
      <w:tr>
        <w:trPr>
          <w:trHeight w:val="0"/>
        </w:trPr>
        <w:tc>
          <w:tcPr>
            <w:tcW w:w="320" w:type="dxa"/>
            <w:vAlign w:val="bottom"/>
          </w:tcPr>
          <w:p>
            <w:pPr>
              <w:spacing w:after="0" w:line="80" w:lineRule="exact"/>
              <w:rPr>
                <w:sz w:val="20"/>
                <w:szCs w:val="20"/>
                <w:color w:val="auto"/>
              </w:rPr>
            </w:pPr>
            <w:r>
              <w:rPr>
                <w:rFonts w:ascii="Arial" w:cs="Arial" w:eastAsia="Arial" w:hAnsi="Arial"/>
                <w:sz w:val="9"/>
                <w:szCs w:val="9"/>
                <w:color w:val="FFFFFF"/>
              </w:rPr>
              <w:t>Note:</w:t>
            </w:r>
          </w:p>
        </w:tc>
        <w:tc>
          <w:tcPr>
            <w:tcW w:w="11020" w:type="dxa"/>
            <w:vAlign w:val="bottom"/>
            <w:gridSpan w:val="4"/>
          </w:tcPr>
          <w:p>
            <w:pPr>
              <w:ind w:left="400"/>
              <w:spacing w:after="0" w:line="80" w:lineRule="exact"/>
              <w:rPr>
                <w:sz w:val="20"/>
                <w:szCs w:val="20"/>
                <w:color w:val="auto"/>
              </w:rPr>
            </w:pPr>
            <w:r>
              <w:rPr>
                <w:rFonts w:ascii="Arial" w:cs="Arial" w:eastAsia="Arial" w:hAnsi="Arial"/>
                <w:sz w:val="9"/>
                <w:szCs w:val="9"/>
                <w:color w:val="FFFFFF"/>
              </w:rPr>
              <w:t>sign exactly as your name   names appear on this Proxy. When shares are held jointly, each holder should sign. When signing   executor administrator, attorney, trustee or guardian, please give</w:t>
            </w:r>
          </w:p>
        </w:tc>
      </w:tr>
    </w:tbl>
    <w:p>
      <w:pPr>
        <w:spacing w:after="0" w:line="210" w:lineRule="auto"/>
        <w:rPr>
          <w:sz w:val="20"/>
          <w:szCs w:val="20"/>
          <w:color w:val="auto"/>
        </w:rPr>
      </w:pPr>
      <w:r>
        <w:rPr>
          <w:rFonts w:ascii="Arial" w:cs="Arial" w:eastAsia="Arial" w:hAnsi="Arial"/>
          <w:sz w:val="12"/>
          <w:szCs w:val="12"/>
          <w:color w:val="FFFFFF"/>
        </w:rPr>
        <w:t>full titlePleasesuch. If the signer is a corporation, please sign full corporate name by duly authorized officer, giving full title as such. If signer isas partnership, please sign in partnership name by authorized person.</w:t>
      </w:r>
    </w:p>
    <w:p>
      <w:pPr>
        <w:sectPr>
          <w:pgSz w:w="11900" w:h="16838" w:orient="portrait"/>
          <w:cols w:equalWidth="0" w:num="1">
            <w:col w:w="11340"/>
          </w:cols>
          <w:pgMar w:left="240" w:top="459" w:right="31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gridSpan w:val="5"/>
          </w:tcPr>
          <w:p>
            <w:pPr>
              <w:spacing w:after="0"/>
              <w:rPr>
                <w:sz w:val="20"/>
                <w:szCs w:val="20"/>
                <w:color w:val="auto"/>
              </w:rPr>
            </w:pPr>
            <w:r>
              <w:rPr>
                <w:rFonts w:ascii="Arial" w:cs="Arial" w:eastAsia="Arial" w:hAnsi="Arial"/>
                <w:sz w:val="14"/>
                <w:szCs w:val="14"/>
                <w:color w:val="FFFFFF"/>
              </w:rPr>
              <w:t>ANNUAL MEETING OF SHAREHOLDERS OF FEDERAL REALTY INVESTMENT TRUST</w:t>
            </w:r>
          </w:p>
        </w:tc>
        <w:tc>
          <w:tcPr>
            <w:tcW w:w="5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080" w:type="dxa"/>
            <w:vAlign w:val="bottom"/>
            <w:gridSpan w:val="2"/>
          </w:tcPr>
          <w:p>
            <w:pPr>
              <w:spacing w:after="0"/>
              <w:rPr>
                <w:sz w:val="20"/>
                <w:szCs w:val="20"/>
                <w:color w:val="auto"/>
              </w:rPr>
            </w:pPr>
            <w:r>
              <w:rPr>
                <w:rFonts w:ascii="Arial" w:cs="Arial" w:eastAsia="Arial" w:hAnsi="Arial"/>
                <w:sz w:val="3"/>
                <w:szCs w:val="3"/>
                <w:color w:val="FFFFFF"/>
              </w:rPr>
              <w:t>May 7, 2014</w:t>
            </w:r>
          </w:p>
        </w:tc>
        <w:tc>
          <w:tcPr>
            <w:tcW w:w="2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PROXY VOTING INSTRUCTIONS</w:t>
            </w: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INTERNET - Access “www.voteproxy.com” and follow the on-screen instructions or scan the QR code with your smartphone. Have your proxy card available when you access the web page.</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TELEPHONE - Call toll-free 1-800-PROXIES (1-800-776-9437) in the United States or 1-718-921-8500 from foreign countries from any touch-tone telephone and follow the instructions. Have your proxy card</w:t>
            </w: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available when you call.</w:t>
            </w: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80" w:type="dxa"/>
            <w:vAlign w:val="bottom"/>
            <w:gridSpan w:val="4"/>
          </w:tcPr>
          <w:p>
            <w:pPr>
              <w:spacing w:after="0"/>
              <w:rPr>
                <w:sz w:val="20"/>
                <w:szCs w:val="20"/>
                <w:color w:val="auto"/>
              </w:rPr>
            </w:pPr>
            <w:r>
              <w:rPr>
                <w:rFonts w:ascii="Arial" w:cs="Arial" w:eastAsia="Arial" w:hAnsi="Arial"/>
                <w:sz w:val="3"/>
                <w:szCs w:val="3"/>
                <w:color w:val="FFFFFF"/>
              </w:rPr>
              <w:t>Vote online/phone until 11:59 PM EDT the day before the meeting.</w:t>
            </w: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5"/>
          </w:tcPr>
          <w:p>
            <w:pPr>
              <w:spacing w:after="0"/>
              <w:rPr>
                <w:sz w:val="20"/>
                <w:szCs w:val="20"/>
                <w:color w:val="auto"/>
              </w:rPr>
            </w:pPr>
            <w:r>
              <w:rPr>
                <w:rFonts w:ascii="Arial" w:cs="Arial" w:eastAsia="Arial" w:hAnsi="Arial"/>
                <w:sz w:val="3"/>
                <w:szCs w:val="3"/>
                <w:color w:val="FFFFFF"/>
              </w:rPr>
              <w:t>MAIL - Sign, date and mail your proxy card in the envelope provided as soon as possible.</w:t>
            </w: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IN PERSON - You may vote your shares in person by</w:t>
            </w:r>
          </w:p>
        </w:tc>
        <w:tc>
          <w:tcPr>
            <w:tcW w:w="1240" w:type="dxa"/>
            <w:vAlign w:val="bottom"/>
          </w:tcPr>
          <w:p>
            <w:pPr>
              <w:ind w:left="60"/>
              <w:spacing w:after="0"/>
              <w:rPr>
                <w:sz w:val="20"/>
                <w:szCs w:val="20"/>
                <w:color w:val="auto"/>
              </w:rPr>
            </w:pPr>
            <w:r>
              <w:rPr>
                <w:rFonts w:ascii="Arial" w:cs="Arial" w:eastAsia="Arial" w:hAnsi="Arial"/>
                <w:sz w:val="3"/>
                <w:szCs w:val="3"/>
                <w:color w:val="FFFFFF"/>
              </w:rPr>
              <w:t>the Annual Meeting.</w:t>
            </w: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GO GREEN - e-Consent makes it easy to go paperless.attendingWith-Consent, you can quickly access your proxy material, statements and other eligible documents online, while reducing costs, clutter and paper waste.</w:t>
            </w: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Enroll today via www.amstock.com to enjoy online access.</w:t>
            </w: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COMPANY NUMBER</w:t>
            </w: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ACCOUNT NUMBER</w:t>
            </w: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NOTICE OF INTERNET AVAILABILITY OF PROXY MATERIAL: The Notice of Meeting, proxy statement and proxy card are available at http://www.federalrealty.com/investors/annual-reports/ for the</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Annual Report/Form 10-K Wrap and http://ir.federalrealty.com/phoenix.zhtml?c=84166&amp;p=proxy for the Proxy Statement</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Please detach along perforated line and mail in the envelope provided IF you are not voting via telephone or the Internet.</w:t>
            </w: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20730300000000000000 9 050714</w:t>
            </w: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c>
          <w:tcPr>
            <w:tcW w:w="0" w:type="dxa"/>
            <w:vAlign w:val="bottom"/>
          </w:tcPr>
          <w:p>
            <w:pPr>
              <w:spacing w:after="0"/>
              <w:rPr>
                <w:sz w:val="1"/>
                <w:szCs w:val="1"/>
                <w:color w:val="auto"/>
              </w:rPr>
            </w:pPr>
          </w:p>
        </w:tc>
      </w:tr>
      <w:tr>
        <w:trPr>
          <w:trHeight w:val="41"/>
        </w:trPr>
        <w:tc>
          <w:tcPr>
            <w:tcW w:w="1080" w:type="dxa"/>
            <w:vAlign w:val="bottom"/>
            <w:gridSpan w:val="2"/>
          </w:tcPr>
          <w:p>
            <w:pPr>
              <w:spacing w:after="0"/>
              <w:rPr>
                <w:sz w:val="20"/>
                <w:szCs w:val="20"/>
                <w:color w:val="auto"/>
              </w:rPr>
            </w:pPr>
            <w:r>
              <w:rPr>
                <w:rFonts w:ascii="Arial" w:cs="Arial" w:eastAsia="Arial" w:hAnsi="Arial"/>
                <w:sz w:val="3"/>
                <w:szCs w:val="3"/>
                <w:color w:val="FFFFFF"/>
              </w:rPr>
              <w:t>ALL NOMINEES</w:t>
            </w:r>
          </w:p>
        </w:tc>
        <w:tc>
          <w:tcPr>
            <w:tcW w:w="3600" w:type="dxa"/>
            <w:vAlign w:val="bottom"/>
            <w:gridSpan w:val="2"/>
          </w:tcPr>
          <w:p>
            <w:pPr>
              <w:ind w:left="140"/>
              <w:spacing w:after="0"/>
              <w:rPr>
                <w:sz w:val="20"/>
                <w:szCs w:val="20"/>
                <w:color w:val="auto"/>
              </w:rPr>
            </w:pPr>
            <w:r>
              <w:rPr>
                <w:rFonts w:ascii="Arial" w:cs="Arial" w:eastAsia="Arial" w:hAnsi="Arial"/>
                <w:sz w:val="3"/>
                <w:szCs w:val="3"/>
                <w:color w:val="FFFFFF"/>
              </w:rPr>
              <w:t>PROPOSAL 1 AND “FOR” PROPOSALS 2 AND 3, AND</w:t>
            </w:r>
          </w:p>
        </w:tc>
        <w:tc>
          <w:tcPr>
            <w:tcW w:w="6740" w:type="dxa"/>
            <w:vAlign w:val="bottom"/>
            <w:gridSpan w:val="2"/>
          </w:tcPr>
          <w:p>
            <w:pPr>
              <w:ind w:left="80"/>
              <w:spacing w:after="0"/>
              <w:rPr>
                <w:sz w:val="20"/>
                <w:szCs w:val="20"/>
                <w:color w:val="auto"/>
              </w:rPr>
            </w:pPr>
            <w:r>
              <w:rPr>
                <w:rFonts w:ascii="Arial" w:cs="Arial" w:eastAsia="Arial" w:hAnsi="Arial"/>
                <w:sz w:val="3"/>
                <w:szCs w:val="3"/>
                <w:color w:val="FFFFFF"/>
              </w:rPr>
              <w:t>PROXIES WILL VOTE IN THEIR SOLE JUDGMENT UPON ANY OTHER MATTERS PROPERLY COMING</w:t>
            </w:r>
          </w:p>
        </w:tc>
        <w:tc>
          <w:tcPr>
            <w:tcW w:w="0" w:type="dxa"/>
            <w:vAlign w:val="bottom"/>
          </w:tcPr>
          <w:p>
            <w:pPr>
              <w:spacing w:after="0"/>
              <w:rPr>
                <w:sz w:val="1"/>
                <w:szCs w:val="1"/>
                <w:color w:val="auto"/>
              </w:rPr>
            </w:pPr>
          </w:p>
        </w:tc>
      </w:tr>
      <w:tr>
        <w:trPr>
          <w:trHeight w:val="41"/>
        </w:trPr>
        <w:tc>
          <w:tcPr>
            <w:tcW w:w="6380" w:type="dxa"/>
            <w:vAlign w:val="bottom"/>
            <w:gridSpan w:val="5"/>
          </w:tcPr>
          <w:p>
            <w:pPr>
              <w:spacing w:after="0"/>
              <w:rPr>
                <w:sz w:val="20"/>
                <w:szCs w:val="20"/>
                <w:color w:val="auto"/>
              </w:rPr>
            </w:pPr>
            <w:r>
              <w:rPr>
                <w:rFonts w:ascii="Arial" w:cs="Arial" w:eastAsia="Arial" w:hAnsi="Arial"/>
                <w:sz w:val="3"/>
                <w:szCs w:val="3"/>
                <w:color w:val="FFFFFF"/>
              </w:rPr>
              <w:t>BEFORE THE MEETING OR ANY POSTPONEMENT OR ADJOURNMENT THEREOF.</w:t>
            </w: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PLEASE SIGN, DATE AND RETURN PROMPTLY IN THE ENCLOSED ENVELOPE. PLEASE MARK YOUR VOTE IN BLUE OR BLACK INK AS SHOWN HERE</w:t>
            </w:r>
          </w:p>
        </w:tc>
        <w:tc>
          <w:tcPr>
            <w:tcW w:w="0" w:type="dxa"/>
            <w:vAlign w:val="bottom"/>
          </w:tcPr>
          <w:p>
            <w:pPr>
              <w:spacing w:after="0"/>
              <w:rPr>
                <w:sz w:val="1"/>
                <w:szCs w:val="1"/>
                <w:color w:val="auto"/>
              </w:rPr>
            </w:pPr>
          </w:p>
        </w:tc>
      </w:tr>
      <w:tr>
        <w:trPr>
          <w:trHeight w:val="41"/>
        </w:trPr>
        <w:tc>
          <w:tcPr>
            <w:tcW w:w="4680" w:type="dxa"/>
            <w:vAlign w:val="bottom"/>
            <w:gridSpan w:val="4"/>
          </w:tcPr>
          <w:p>
            <w:pPr>
              <w:spacing w:after="0"/>
              <w:rPr>
                <w:sz w:val="20"/>
                <w:szCs w:val="20"/>
                <w:color w:val="auto"/>
              </w:rPr>
            </w:pPr>
            <w:r>
              <w:rPr>
                <w:rFonts w:ascii="Arial" w:cs="Arial" w:eastAsia="Arial" w:hAnsi="Arial"/>
                <w:sz w:val="3"/>
                <w:szCs w:val="3"/>
                <w:color w:val="FFFFFF"/>
              </w:rPr>
              <w:t>1. To elect the following Trustees as set forth in the accompanying Proxy Statement:</w:t>
            </w: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FOR ALL NOMINEES</w:t>
            </w: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WITHHOLD AUTHORITY FOR ALL NOMINEES</w:t>
            </w: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FOR ALL EXCEPT (See instructions below)</w:t>
            </w: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080" w:type="dxa"/>
            <w:vAlign w:val="bottom"/>
            <w:gridSpan w:val="2"/>
          </w:tcPr>
          <w:p>
            <w:pPr>
              <w:spacing w:after="0" w:line="81" w:lineRule="exact"/>
              <w:rPr>
                <w:sz w:val="20"/>
                <w:szCs w:val="20"/>
                <w:color w:val="auto"/>
              </w:rPr>
            </w:pPr>
            <w:r>
              <w:rPr>
                <w:rFonts w:ascii="Arial" w:cs="Arial" w:eastAsia="Arial" w:hAnsi="Arial"/>
                <w:sz w:val="9"/>
                <w:szCs w:val="9"/>
                <w:color w:val="FFFFFF"/>
              </w:rPr>
              <w:t>NOMINEES:Jon.Bortz</w:t>
            </w:r>
          </w:p>
        </w:tc>
        <w:tc>
          <w:tcPr>
            <w:tcW w:w="2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080" w:type="dxa"/>
            <w:vAlign w:val="bottom"/>
            <w:gridSpan w:val="2"/>
          </w:tcPr>
          <w:p>
            <w:pPr>
              <w:spacing w:after="0"/>
              <w:rPr>
                <w:sz w:val="20"/>
                <w:szCs w:val="20"/>
                <w:color w:val="auto"/>
              </w:rPr>
            </w:pPr>
            <w:r>
              <w:rPr>
                <w:rFonts w:ascii="Arial" w:cs="Arial" w:eastAsia="Arial" w:hAnsi="Arial"/>
                <w:sz w:val="3"/>
                <w:szCs w:val="3"/>
                <w:color w:val="FFFFFF"/>
              </w:rPr>
              <w:t>David W. Faeder</w:t>
            </w:r>
          </w:p>
        </w:tc>
        <w:tc>
          <w:tcPr>
            <w:tcW w:w="2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2"/>
          </w:tcPr>
          <w:p>
            <w:pPr>
              <w:spacing w:after="0"/>
              <w:rPr>
                <w:sz w:val="20"/>
                <w:szCs w:val="20"/>
                <w:color w:val="auto"/>
              </w:rPr>
            </w:pPr>
            <w:r>
              <w:rPr>
                <w:rFonts w:ascii="Arial" w:cs="Arial" w:eastAsia="Arial" w:hAnsi="Arial"/>
                <w:sz w:val="3"/>
                <w:szCs w:val="3"/>
                <w:color w:val="FFFFFF"/>
              </w:rPr>
              <w:t>Kristin Gamble</w:t>
            </w:r>
          </w:p>
        </w:tc>
        <w:tc>
          <w:tcPr>
            <w:tcW w:w="2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2"/>
          </w:tcPr>
          <w:p>
            <w:pPr>
              <w:spacing w:after="0"/>
              <w:rPr>
                <w:sz w:val="20"/>
                <w:szCs w:val="20"/>
                <w:color w:val="auto"/>
              </w:rPr>
            </w:pPr>
            <w:r>
              <w:rPr>
                <w:rFonts w:ascii="Arial" w:cs="Arial" w:eastAsia="Arial" w:hAnsi="Arial"/>
                <w:sz w:val="3"/>
                <w:szCs w:val="3"/>
                <w:color w:val="FFFFFF"/>
              </w:rPr>
              <w:t>Gail P. Steinel</w:t>
            </w:r>
          </w:p>
        </w:tc>
        <w:tc>
          <w:tcPr>
            <w:tcW w:w="2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Warren M. Thompson</w:t>
            </w: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Joseph S. Vassalluzzo</w:t>
            </w: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2"/>
          </w:tcPr>
          <w:p>
            <w:pPr>
              <w:spacing w:after="0"/>
              <w:rPr>
                <w:sz w:val="20"/>
                <w:szCs w:val="20"/>
                <w:color w:val="auto"/>
              </w:rPr>
            </w:pPr>
            <w:r>
              <w:rPr>
                <w:rFonts w:ascii="Arial" w:cs="Arial" w:eastAsia="Arial" w:hAnsi="Arial"/>
                <w:sz w:val="3"/>
                <w:szCs w:val="3"/>
                <w:color w:val="FFFFFF"/>
              </w:rPr>
              <w:t>Donald C. Wood</w:t>
            </w:r>
          </w:p>
        </w:tc>
        <w:tc>
          <w:tcPr>
            <w:tcW w:w="2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FOR AGAINST ABSTAIN</w:t>
            </w: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w:t>
            </w:r>
          </w:p>
        </w:tc>
        <w:tc>
          <w:tcPr>
            <w:tcW w:w="760" w:type="dxa"/>
            <w:vAlign w:val="bottom"/>
          </w:tcPr>
          <w:p>
            <w:pPr>
              <w:spacing w:after="0"/>
              <w:rPr>
                <w:sz w:val="20"/>
                <w:szCs w:val="20"/>
                <w:color w:val="auto"/>
              </w:rPr>
            </w:pPr>
            <w:r>
              <w:rPr>
                <w:rFonts w:ascii="Arial" w:cs="Arial" w:eastAsia="Arial" w:hAnsi="Arial"/>
                <w:sz w:val="3"/>
                <w:szCs w:val="3"/>
                <w:color w:val="FFFFFF"/>
              </w:rPr>
              <w:t>ratify the app</w:t>
            </w:r>
          </w:p>
        </w:tc>
        <w:tc>
          <w:tcPr>
            <w:tcW w:w="10340" w:type="dxa"/>
            <w:vAlign w:val="bottom"/>
            <w:gridSpan w:val="4"/>
          </w:tcPr>
          <w:p>
            <w:pPr>
              <w:ind w:left="20"/>
              <w:spacing w:after="0"/>
              <w:rPr>
                <w:sz w:val="20"/>
                <w:szCs w:val="20"/>
                <w:color w:val="auto"/>
              </w:rPr>
            </w:pPr>
            <w:r>
              <w:rPr>
                <w:rFonts w:ascii="Arial" w:cs="Arial" w:eastAsia="Arial" w:hAnsi="Arial"/>
                <w:sz w:val="3"/>
                <w:szCs w:val="3"/>
                <w:color w:val="FFFFFF"/>
              </w:rPr>
              <w:t>intment of Grant Thornton LLP as our independent registered public accounting firm for the fiscal year ending December 31, 2014.</w:t>
            </w:r>
          </w:p>
        </w:tc>
        <w:tc>
          <w:tcPr>
            <w:tcW w:w="0" w:type="dxa"/>
            <w:vAlign w:val="bottom"/>
          </w:tcPr>
          <w:p>
            <w:pPr>
              <w:spacing w:after="0"/>
              <w:rPr>
                <w:sz w:val="1"/>
                <w:szCs w:val="1"/>
                <w:color w:val="auto"/>
              </w:rPr>
            </w:pPr>
          </w:p>
        </w:tc>
      </w:tr>
      <w:tr>
        <w:trPr>
          <w:trHeight w:val="41"/>
        </w:trPr>
        <w:tc>
          <w:tcPr>
            <w:tcW w:w="6380" w:type="dxa"/>
            <w:vAlign w:val="bottom"/>
            <w:gridSpan w:val="5"/>
          </w:tcPr>
          <w:p>
            <w:pPr>
              <w:spacing w:after="0"/>
              <w:rPr>
                <w:sz w:val="20"/>
                <w:szCs w:val="20"/>
                <w:color w:val="auto"/>
              </w:rPr>
            </w:pPr>
            <w:r>
              <w:rPr>
                <w:rFonts w:ascii="Arial" w:cs="Arial" w:eastAsia="Arial" w:hAnsi="Arial"/>
                <w:sz w:val="3"/>
                <w:szCs w:val="3"/>
                <w:color w:val="FFFFFF"/>
              </w:rPr>
              <w:t>3    hold an advisory vote approving the compensation of our named executive officers.</w:t>
            </w: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4. To consider and act upon any other matters 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INSTRUCTIONS: To withhold authority to vote for any individual nominee(s), mark “FOR ALL EXCEPT” and fill in the circle next to each nominee you wish to withhold, as shown here:</w:t>
            </w: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ELECTRONIC ACCESS TO FUTURE DOCUMENTS</w:t>
            </w: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material by mail please visit http://www.amstock.com. Click on Shareholder Account</w:t>
            </w:r>
          </w:p>
        </w:tc>
        <w:tc>
          <w:tcPr>
            <w:tcW w:w="0" w:type="dxa"/>
            <w:vAlign w:val="bottom"/>
          </w:tcPr>
          <w:p>
            <w:pPr>
              <w:spacing w:after="0"/>
              <w:rPr>
                <w:sz w:val="1"/>
                <w:szCs w:val="1"/>
                <w:color w:val="auto"/>
              </w:rPr>
            </w:pPr>
          </w:p>
        </w:tc>
      </w:tr>
      <w:tr>
        <w:trPr>
          <w:trHeight w:val="41"/>
        </w:trPr>
        <w:tc>
          <w:tcPr>
            <w:tcW w:w="6380" w:type="dxa"/>
            <w:vAlign w:val="bottom"/>
            <w:gridSpan w:val="5"/>
          </w:tcPr>
          <w:p>
            <w:pPr>
              <w:spacing w:after="0"/>
              <w:rPr>
                <w:sz w:val="20"/>
                <w:szCs w:val="20"/>
                <w:color w:val="auto"/>
              </w:rPr>
            </w:pPr>
            <w:r>
              <w:rPr>
                <w:rFonts w:ascii="Arial" w:cs="Arial" w:eastAsia="Arial" w:hAnsi="Arial"/>
                <w:sz w:val="3"/>
                <w:szCs w:val="3"/>
                <w:color w:val="FFFFFF"/>
              </w:rPr>
              <w:t>If you would like to receive future shareholder communications over the Internet exclusively, and no longer receive</w:t>
            </w:r>
          </w:p>
        </w:tc>
        <w:tc>
          <w:tcPr>
            <w:tcW w:w="5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Access to enroll. Please enter your account number and tax</w:t>
            </w:r>
          </w:p>
        </w:tc>
        <w:tc>
          <w:tcPr>
            <w:tcW w:w="7980" w:type="dxa"/>
            <w:vAlign w:val="bottom"/>
            <w:gridSpan w:val="3"/>
          </w:tcPr>
          <w:p>
            <w:pPr>
              <w:ind w:left="560"/>
              <w:spacing w:after="0"/>
              <w:rPr>
                <w:sz w:val="20"/>
                <w:szCs w:val="20"/>
                <w:color w:val="auto"/>
              </w:rPr>
            </w:pPr>
            <w:r>
              <w:rPr>
                <w:rFonts w:ascii="Arial" w:cs="Arial" w:eastAsia="Arial" w:hAnsi="Arial"/>
                <w:sz w:val="3"/>
                <w:szCs w:val="3"/>
                <w:color w:val="FFFFFF"/>
              </w:rPr>
              <w:t>number to log in, then select Receive Company Mailings via E-Mail and provide your  -mail address.</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To change the address on your account, please check the boxidentificationrightand indicate your new address in the address space above. Please note that changes to the registered name(s) on the account may not be</w:t>
            </w: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submitted via this method.</w:t>
            </w: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Signature of Shareholder Date: Signature of Shareholder Date:</w:t>
            </w:r>
          </w:p>
        </w:tc>
        <w:tc>
          <w:tcPr>
            <w:tcW w:w="1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20" w:type="dxa"/>
            <w:vAlign w:val="bottom"/>
          </w:tcPr>
          <w:p>
            <w:pPr>
              <w:spacing w:after="0" w:line="80" w:lineRule="exact"/>
              <w:rPr>
                <w:sz w:val="20"/>
                <w:szCs w:val="20"/>
                <w:color w:val="auto"/>
              </w:rPr>
            </w:pPr>
            <w:r>
              <w:rPr>
                <w:rFonts w:ascii="Arial" w:cs="Arial" w:eastAsia="Arial" w:hAnsi="Arial"/>
                <w:sz w:val="9"/>
                <w:szCs w:val="9"/>
                <w:color w:val="FFFFFF"/>
              </w:rPr>
              <w:t>Note:</w:t>
            </w:r>
          </w:p>
        </w:tc>
        <w:tc>
          <w:tcPr>
            <w:tcW w:w="11100" w:type="dxa"/>
            <w:vAlign w:val="bottom"/>
            <w:gridSpan w:val="5"/>
          </w:tcPr>
          <w:p>
            <w:pPr>
              <w:ind w:left="400"/>
              <w:spacing w:after="0" w:line="80" w:lineRule="exact"/>
              <w:rPr>
                <w:sz w:val="20"/>
                <w:szCs w:val="20"/>
                <w:color w:val="auto"/>
              </w:rPr>
            </w:pPr>
            <w:r>
              <w:rPr>
                <w:rFonts w:ascii="Arial" w:cs="Arial" w:eastAsia="Arial" w:hAnsi="Arial"/>
                <w:sz w:val="9"/>
                <w:szCs w:val="9"/>
                <w:color w:val="FFFFFF"/>
              </w:rPr>
              <w:t>sign exactly as your name   names appear on this Proxy. When shares are held jointly, each holder should sign. When signing   executor administrator, attorney, trustee or guardian, please give</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full titlePleasesuch. If the signer is a corporation, please sign full corporate name by duly authorized officer, giving full title as such. If signer isas partnership, please sign in partnership name by authorized person.</w:t>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lvl w:ilvl="1">
      <w:lvlJc w:val="left"/>
      <w:lvlText w:val="(%2)"/>
      <w:numFmt w:val="decimal"/>
      <w:start w:val="1"/>
    </w:lvl>
  </w:abstractNum>
  <w:abstractNum w:abstractNumId="4">
    <w:nsid w:val="2D1D5AE9"/>
    <w:multiLevelType w:val="hybridMultilevel"/>
    <w:lvl w:ilvl="0">
      <w:lvlJc w:val="left"/>
      <w:lvlText w:val="(%1)"/>
      <w:numFmt w:val="decimal"/>
      <w:start w:val="4"/>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2"/>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3"/>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lvl w:ilvl="1">
      <w:lvlJc w:val="left"/>
      <w:lvlText w:val="(%2)"/>
      <w:numFmt w:val="lowerLetter"/>
      <w:start w:val="1"/>
    </w:lvl>
  </w:abstractNum>
  <w:abstractNum w:abstractNumId="29">
    <w:nsid w:val="440BADFC"/>
    <w:multiLevelType w:val="hybridMultilevel"/>
    <w:lvl w:ilvl="0">
      <w:lvlJc w:val="left"/>
      <w:lvlText w:val="(%1)"/>
      <w:numFmt w:val="decimal"/>
      <w:start w:val="5"/>
    </w:lvl>
    <w:lvl w:ilvl="1">
      <w:lvlJc w:val="left"/>
      <w:lvlText w:val="%2"/>
      <w:numFmt w:val="lowerLetter"/>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
      <w:numFmt w:val="bullet"/>
      <w:start w:val="1"/>
    </w:lvl>
    <w:lvl w:ilvl="1">
      <w:lvlJc w:val="left"/>
      <w:lvlText w:val="%2."/>
      <w:numFmt w:val="decimal"/>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lvl w:ilvl="1">
      <w:lvlJc w:val="left"/>
      <w:lvlText w:val="%2."/>
      <w:numFmt w:val="decimal"/>
      <w:start w:val="5"/>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2019-12-05T09:06:42Z</dcterms:created>
  <dcterms:modified xsi:type="dcterms:W3CDTF">2019-12-05T09:06:42Z</dcterms:modified>
</cp:coreProperties>
</file>