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29"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February 21, 2006, Federal Realty Investment Trust issued supplemental data pertaining to its operations, as well as a press release, to report its financial results for the quarter and year ended December 31, 2005. The supplemental data and press release are furnished as Exhibit 99.1 hereto.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December 31, 2005 (including press release dated February 21, 2006)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21, 2006</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46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2"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December 31, 2005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284"/>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358"/>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89"/>
              </w:rPr>
              <w:t>Supplemental Information</w:t>
            </w:r>
          </w:p>
        </w:tc>
        <w:tc>
          <w:tcPr>
            <w:tcW w:w="2440" w:type="dxa"/>
            <w:vAlign w:val="bottom"/>
          </w:tcPr>
          <w:p>
            <w:pPr>
              <w:spacing w:after="0"/>
              <w:rPr>
                <w:sz w:val="24"/>
                <w:szCs w:val="24"/>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December 31, 2005</w:t>
            </w:r>
          </w:p>
        </w:tc>
        <w:tc>
          <w:tcPr>
            <w:tcW w:w="2440" w:type="dxa"/>
            <w:vAlign w:val="bottom"/>
          </w:tcPr>
          <w:p>
            <w:pPr>
              <w:spacing w:after="0"/>
              <w:rPr>
                <w:sz w:val="19"/>
                <w:szCs w:val="19"/>
                <w:color w:val="auto"/>
              </w:rPr>
            </w:pPr>
          </w:p>
        </w:tc>
      </w:tr>
      <w:tr>
        <w:trPr>
          <w:trHeight w:val="365"/>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365"/>
        </w:trPr>
        <w:tc>
          <w:tcPr>
            <w:tcW w:w="8980" w:type="dxa"/>
            <w:vAlign w:val="bottom"/>
          </w:tcPr>
          <w:p>
            <w:pPr>
              <w:spacing w:after="0"/>
              <w:rPr>
                <w:sz w:val="20"/>
                <w:szCs w:val="20"/>
                <w:color w:val="auto"/>
              </w:rPr>
            </w:pPr>
            <w:r>
              <w:rPr>
                <w:rFonts w:ascii="Arial" w:cs="Arial" w:eastAsia="Arial" w:hAnsi="Arial"/>
                <w:sz w:val="18"/>
                <w:szCs w:val="18"/>
                <w:color w:val="auto"/>
              </w:rPr>
              <w:t>1.   Fourth Quarter and Year-Ended 2005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Operating Results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Market Data / Capital Availability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980" w:type="dxa"/>
            <w:vAlign w:val="bottom"/>
          </w:tcPr>
          <w:p>
            <w:pPr>
              <w:ind w:left="76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Outstanding Debt and Capital Lease Obligations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Debt Maturities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88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880" w:type="dxa"/>
            <w:vAlign w:val="bottom"/>
          </w:tcPr>
          <w:p>
            <w:pPr>
              <w:ind w:left="60"/>
              <w:spacing w:after="0"/>
              <w:rPr>
                <w:sz w:val="20"/>
                <w:szCs w:val="20"/>
                <w:color w:val="auto"/>
              </w:rPr>
            </w:pPr>
            <w:r>
              <w:rPr>
                <w:rFonts w:ascii="Arial" w:cs="Arial" w:eastAsia="Arial" w:hAnsi="Arial"/>
                <w:sz w:val="18"/>
                <w:szCs w:val="18"/>
                <w:color w:val="auto"/>
              </w:rPr>
              <w:t>Santana Row Summary</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880" w:type="dxa"/>
            <w:vAlign w:val="bottom"/>
          </w:tcPr>
          <w:p>
            <w:pPr>
              <w:ind w:left="60"/>
              <w:spacing w:after="0"/>
              <w:rPr>
                <w:sz w:val="20"/>
                <w:szCs w:val="20"/>
                <w:color w:val="auto"/>
              </w:rPr>
            </w:pPr>
            <w:r>
              <w:rPr>
                <w:rFonts w:ascii="Arial" w:cs="Arial" w:eastAsia="Arial" w:hAnsi="Arial"/>
                <w:sz w:val="18"/>
                <w:szCs w:val="18"/>
                <w:color w:val="auto"/>
              </w:rPr>
              <w:t>2005 Acquisitions and Dispositions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88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880" w:type="dxa"/>
            <w:vAlign w:val="bottom"/>
          </w:tcPr>
          <w:p>
            <w:pPr>
              <w:ind w:left="60"/>
              <w:spacing w:after="0"/>
              <w:rPr>
                <w:sz w:val="20"/>
                <w:szCs w:val="20"/>
                <w:color w:val="auto"/>
              </w:rPr>
            </w:pPr>
            <w:r>
              <w:rPr>
                <w:rFonts w:ascii="Arial" w:cs="Arial" w:eastAsia="Arial" w:hAnsi="Arial"/>
                <w:sz w:val="18"/>
                <w:szCs w:val="18"/>
                <w:color w:val="auto"/>
              </w:rPr>
              <w:t>Property Operating Income by Metropolitan Area</w:t>
            </w:r>
          </w:p>
        </w:tc>
        <w:tc>
          <w:tcPr>
            <w:tcW w:w="3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88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88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88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88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88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788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2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Summarized Operating Results and Balance Sheets</w:t>
            </w:r>
          </w:p>
        </w:tc>
        <w:tc>
          <w:tcPr>
            <w:tcW w:w="3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Summary of Outstanding Debt and Debt Maturities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28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Real Estate Status Report</w:t>
            </w:r>
          </w:p>
        </w:tc>
        <w:tc>
          <w:tcPr>
            <w:tcW w:w="3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788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2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49"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i w:val="1"/>
          <w:iCs w:val="1"/>
          <w:color w:val="auto"/>
        </w:rPr>
      </w:pPr>
    </w:p>
    <w:p>
      <w:pPr>
        <w:ind w:left="780" w:right="440" w:hanging="326"/>
        <w:spacing w:after="0" w:line="325" w:lineRule="auto"/>
        <w:tabs>
          <w:tab w:leader="none" w:pos="78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6"/>
          <w:szCs w:val="16"/>
          <w:i w:val="1"/>
          <w:iCs w:val="1"/>
          <w:color w:val="auto"/>
        </w:rPr>
      </w:pPr>
    </w:p>
    <w:p>
      <w:pPr>
        <w:ind w:left="780" w:hanging="326"/>
        <w:spacing w:after="0"/>
        <w:tabs>
          <w:tab w:leader="none" w:pos="78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sell the condominium units at Santana Row for the expected prices or within the anticipated time frames;</w:t>
      </w:r>
    </w:p>
    <w:p>
      <w:pPr>
        <w:spacing w:after="0" w:line="126" w:lineRule="exact"/>
        <w:rPr>
          <w:rFonts w:ascii="Arial" w:cs="Arial" w:eastAsia="Arial" w:hAnsi="Arial"/>
          <w:sz w:val="16"/>
          <w:szCs w:val="16"/>
          <w:i w:val="1"/>
          <w:iCs w:val="1"/>
          <w:color w:val="auto"/>
        </w:rPr>
      </w:pPr>
    </w:p>
    <w:p>
      <w:pPr>
        <w:ind w:left="780" w:right="80" w:hanging="326"/>
        <w:spacing w:after="0" w:line="268"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780" w:hanging="326"/>
        <w:spacing w:after="0" w:line="256"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780" w:hanging="326"/>
        <w:spacing w:after="0"/>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780" w:right="140" w:hanging="326"/>
        <w:spacing w:after="0" w:line="259"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780" w:right="160" w:hanging="326"/>
        <w:spacing w:after="0" w:line="259"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65"/>
          <w:szCs w:val="6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w:t>
      </w:r>
    </w:p>
    <w:p>
      <w:pPr>
        <w:spacing w:after="0" w:line="69"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RELEASE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060" w:type="dxa"/>
            <w:vAlign w:val="bottom"/>
          </w:tcPr>
          <w:p>
            <w:pPr>
              <w:spacing w:after="0"/>
              <w:rPr>
                <w:sz w:val="19"/>
                <w:szCs w:val="19"/>
                <w:color w:val="auto"/>
              </w:rPr>
            </w:pPr>
          </w:p>
        </w:tc>
      </w:tr>
      <w:tr>
        <w:trPr>
          <w:trHeight w:val="326"/>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20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3700" w:type="dxa"/>
            <w:vAlign w:val="bottom"/>
          </w:tcPr>
          <w:p>
            <w:pPr>
              <w:spacing w:after="0"/>
              <w:rPr>
                <w:sz w:val="19"/>
                <w:szCs w:val="19"/>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Suzanne O’Neill</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2060" w:type="dxa"/>
            <w:vAlign w:val="bottom"/>
          </w:tcPr>
          <w:p>
            <w:pPr>
              <w:ind w:left="60"/>
              <w:spacing w:after="0"/>
              <w:rPr>
                <w:sz w:val="20"/>
                <w:szCs w:val="20"/>
                <w:color w:val="auto"/>
              </w:rPr>
            </w:pPr>
            <w:r>
              <w:rPr>
                <w:rFonts w:ascii="Arial" w:cs="Arial" w:eastAsia="Arial" w:hAnsi="Arial"/>
                <w:sz w:val="18"/>
                <w:szCs w:val="18"/>
                <w:color w:val="auto"/>
                <w:w w:val="87"/>
              </w:rPr>
              <w:t>Manager, Investor Relations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3700" w:type="dxa"/>
            <w:vAlign w:val="bottom"/>
          </w:tcPr>
          <w:p>
            <w:pPr>
              <w:spacing w:after="0"/>
              <w:rPr>
                <w:sz w:val="18"/>
                <w:szCs w:val="18"/>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301/998-8358</w:t>
            </w: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2060" w:type="dxa"/>
            <w:vAlign w:val="bottom"/>
          </w:tcPr>
          <w:p>
            <w:pPr>
              <w:ind w:left="60"/>
              <w:spacing w:after="0"/>
              <w:rPr>
                <w:sz w:val="20"/>
                <w:szCs w:val="20"/>
                <w:color w:val="auto"/>
              </w:rPr>
            </w:pPr>
            <w:r>
              <w:rPr>
                <w:rFonts w:ascii="Arial" w:cs="Arial" w:eastAsia="Arial" w:hAnsi="Arial"/>
                <w:sz w:val="18"/>
                <w:szCs w:val="18"/>
                <w:i w:val="1"/>
                <w:iCs w:val="1"/>
                <w:color w:val="auto"/>
                <w:w w:val="95"/>
              </w:rPr>
              <w:t>soneill@federalrealty.com</w:t>
            </w:r>
          </w:p>
        </w:tc>
      </w:tr>
      <w:tr>
        <w:trPr>
          <w:trHeight w:val="352"/>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 ANNOUNCES</w:t>
            </w:r>
          </w:p>
        </w:tc>
        <w:tc>
          <w:tcPr>
            <w:tcW w:w="2060" w:type="dxa"/>
            <w:vAlign w:val="bottom"/>
          </w:tcPr>
          <w:p>
            <w:pPr>
              <w:spacing w:after="0"/>
              <w:rPr>
                <w:sz w:val="24"/>
                <w:szCs w:val="24"/>
                <w:color w:val="auto"/>
              </w:rPr>
            </w:pPr>
          </w:p>
        </w:tc>
      </w:tr>
      <w:tr>
        <w:trPr>
          <w:trHeight w:val="228"/>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FOURTH QUARTER AND YEAR-END 2005 OPERATING RESULTS</w:t>
            </w:r>
          </w:p>
        </w:tc>
        <w:tc>
          <w:tcPr>
            <w:tcW w:w="2060" w:type="dxa"/>
            <w:vAlign w:val="bottom"/>
          </w:tcPr>
          <w:p>
            <w:pPr>
              <w:spacing w:after="0"/>
              <w:rPr>
                <w:sz w:val="19"/>
                <w:szCs w:val="19"/>
                <w:color w:val="auto"/>
              </w:rPr>
            </w:pPr>
          </w:p>
        </w:tc>
      </w:tr>
      <w:tr>
        <w:trPr>
          <w:trHeight w:val="284"/>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w w:val="88"/>
              </w:rPr>
              <w:t>-Record Earnings Driven By Aggressive Leasing and Successful Redevelopment-</w:t>
            </w: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1626 East Jefferson Street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Rockville, MD 20852-4041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www.federalrealty.com</w:t>
      </w:r>
    </w:p>
    <w:p>
      <w:pPr>
        <w:spacing w:after="0" w:line="2645" w:lineRule="exact"/>
        <w:rPr>
          <w:sz w:val="20"/>
          <w:szCs w:val="20"/>
          <w:color w:val="auto"/>
        </w:rPr>
      </w:pPr>
    </w:p>
    <w:p>
      <w:pPr>
        <w:sectPr>
          <w:pgSz w:w="11900" w:h="16838" w:orient="portrait"/>
          <w:cols w:equalWidth="0" w:num="2">
            <w:col w:w="8680" w:space="720"/>
            <w:col w:w="2020"/>
          </w:cols>
          <w:pgMar w:left="240" w:top="973" w:right="239" w:bottom="1440" w:gutter="0" w:footer="0" w:header="0"/>
        </w:sectPr>
      </w:pPr>
    </w:p>
    <w:p>
      <w:pPr>
        <w:ind w:right="320"/>
        <w:spacing w:after="0" w:line="268" w:lineRule="auto"/>
        <w:rPr>
          <w:sz w:val="20"/>
          <w:szCs w:val="20"/>
          <w:color w:val="auto"/>
        </w:rPr>
      </w:pPr>
      <w:r>
        <w:rPr>
          <w:rFonts w:ascii="Arial" w:cs="Arial" w:eastAsia="Arial" w:hAnsi="Arial"/>
          <w:sz w:val="18"/>
          <w:szCs w:val="18"/>
          <w:color w:val="auto"/>
        </w:rPr>
        <w:t>ROCKVILLE, Md. (February 21, 2006) – Federal Realty Investment Trust (NYSE:FRT) today reported operating results for its fourth quarter and year-ended December 31, 2005.</w:t>
      </w:r>
    </w:p>
    <w:p>
      <w:pPr>
        <w:spacing w:after="0" w:line="37" w:lineRule="exact"/>
        <w:rPr>
          <w:sz w:val="20"/>
          <w:szCs w:val="20"/>
          <w:color w:val="auto"/>
        </w:rPr>
      </w:pPr>
    </w:p>
    <w:p>
      <w:pPr>
        <w:ind w:left="780" w:right="5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Funds from operations available for common shareholders (FFO) per diluted share was $3.06 and earnings per diluted share was $1.94 for 2005, compared to $2.85 and $1.41, respectively, for 2004.</w:t>
      </w:r>
    </w:p>
    <w:p>
      <w:pPr>
        <w:spacing w:after="0" w:line="37"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compared to 2004, full year same-center property operating income increased 6.1% including redevelopments and expansions, and 4.5% excluding redevelopments and expansions.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Guidance for 2006 FFO per diluted share remains unchanged at $3.30 to $3.35.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fourth quarter 2005, Federal Realty reported FFO of $42.0 million, or $0.78 per diluted share. This compares to FFO of $37.1 million, or $0.70 per diluted share, reported in fourth quarter 2004. For the year ended December 31, 2005, Federal Realty reported FFO of $163.5 million, or $3.06 per diluted share. This compares to FFO of $148.7 million, or $2.85 per diluted share, for the full-year 2004, which included $3.1 million ($0.06 per diluted share) of insurance recovery for lost income from the Santana Row fire.</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income available for common shareholders was $32.3 million and earnings per diluted share was $0.61 for the quarter ended December 31, 2005 versus $19.0 million and $0.36, respectively, for fourth quarter 2004. For the full year 2005, Federal Realty reported net income available for common shareholders of $103.1 million, or $1.94 per diluted share. This compares to net income available for common shareholders of $72.7 million, or $1.41 per diluted share, for the year ended December 31, 2004, which included $3.1 million of Santana Row insurance recoveries.</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FFO is a non-GAAP supplemental earnings measure which the Trust considers meaningful in measuring its operating performance. A reconciliation of FFO and FFO per diluted share to net income available for common shareholders and earnings per diluted share, respectively, is attached to this press release.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973"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an annual basis, same-center property operating income in 2005 increased 6.1% including redevelopments and expansions, and 4.5% when redevelopments and expansions are excluded. On a same-center basis, including redevelopment and expansion properties, property operating income in fourth quarter 2005 increased 9.3% over fourth quarter 2004. When redevelopment and expansion properties are excluded from same-center results, property operating income increased 6.0% from fourth quarter 2004.</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Trust’s overall portfolio improved to 96.3% leased as of December 31, 2005, compared to 95.1% on December 31, 2004. Federal Realty’s same-center portfolio was 97.2% leased on December 31, 2005, compared to 96.7% on December 31, 2004.</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fourth quarter 2005, the Trust signed 107 leases for 532,500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454,000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19%. The average contractual rent on this comparable space for the first year of the new lease is $21.69 per square foot compared to the average contractual rent of $18.17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31% for fourth quarter 2005.</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2005, Federal Realty signed 287 leases representing over 1.3 million square feet of comparable retail space at an average cash-basis contractual rent increase per square foot of 22%, and 34% on a GAAP-basis. As of December 31, 2005, Federal Realty’s average contractual minimum rent for retail and commercial space in its portfolio is $18.64 per square foot.</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accomplished our significant growth in 2005 funds from operations without any material contribution from assets acquired over the course of this year,” commented Donald C. Wood, president and chief executive officer of Federal Realty Investment Trust. “Our continued strong internal growth, as well as a significant pipeline of redevelopment opportunities, provides the foundation for Federal Realty to produce consistent and reliable growth in earnings in 2006 and beyond.”</w:t>
      </w:r>
    </w:p>
    <w:p>
      <w:pPr>
        <w:spacing w:after="0" w:line="13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Federal Realty made significant progress with respect to the sale of residential condominiums at Santana Row in fourth quarter 2005 and early 2006. Through February 13, 2006, the Trust had closed sales on 152 units and had 30 units under contract, with associated gross sales proceeds of $105.3 million and $20.3 million, respectively. Federal Realty has increased its expectations of gross sales proceeds from the sale of the 219 total units at Santana Row to approximately $150 million from $135 million with sellout anticipated to be completed in 2006.</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Dividend</w:t>
      </w:r>
    </w:p>
    <w:p>
      <w:pPr>
        <w:spacing w:after="0" w:line="8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a result of the continued success of the Santana Row condominium sales, the Trust’s Board of Trustees declared a second special dividend of $0.20 per share on its common shares. The special dividend will be payable on March 30, 2006 to common shareholders of record as of March 14, 2006.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$0.555 per share on its common shares, resulting in an indicated annual rate of $2.22 per share. The regular common dividend will be payable on April 17, 2006, to common shareholders of record as of March 14, 2006.</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Federal Realty’s Board of Trustees declared a regular quarterly cash dividend of $0.53125 per share on the Trust’s Series B Cumulative Redeemable Preferred Shares (NYSE: FRTprB). Dividends on the Series B Cumulative Redeemable Preferred Shares will be payable on April 28, 2006, to shareholders of record on April 17,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8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Federal Realty left its guidance for 2006 FFO per diluted share unchanged at a range of $3.30 to $3.35, and its 2006 earnings per diluted share guidance unchanged at a range of $1.56 to $1.61.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83" w:lineRule="exact"/>
        <w:rPr>
          <w:sz w:val="20"/>
          <w:szCs w:val="20"/>
          <w:color w:val="auto"/>
        </w:rPr>
      </w:pPr>
    </w:p>
    <w:p>
      <w:pPr>
        <w:ind w:left="340" w:hanging="332"/>
        <w:spacing w:after="0" w:line="32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January 10, 2006 – Federal Realty announced the acquisition of Crow Canyon Commons, a 228,000 square foot grocer-anchored community shopping center in San Ramon, Calif., for $47.5 million. The purchase increased the Trust’s Northern California portfolio to 1.7 million square feet of retail space.</w:t>
      </w:r>
    </w:p>
    <w:p>
      <w:pPr>
        <w:spacing w:after="0" w:line="1" w:lineRule="exact"/>
        <w:rPr>
          <w:rFonts w:ascii="Arial" w:cs="Arial" w:eastAsia="Arial" w:hAnsi="Arial"/>
          <w:sz w:val="16"/>
          <w:szCs w:val="16"/>
          <w:color w:val="auto"/>
        </w:rPr>
      </w:pPr>
    </w:p>
    <w:p>
      <w:pPr>
        <w:ind w:left="340" w:right="540" w:hanging="332"/>
        <w:spacing w:after="0" w:line="33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November 29, 2005 – Federal Realty priced a $125 million offering of senior unsecured notes. The 5.65% notes are due 2016 and were offered at par. Proceeds from the offering were primarily used to refinance debt maturities and pay down the Trust’s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Federal Realty’s management team will present an in-depth discussion of the Trust’s operating performance on its fourth quarter and year-end 2005 earnings conference call, which is scheduled for February 22, 2006, at 11 a.m. Eastern Standard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March 22, 2006, by dialing (866) 448-4809.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(excluding joint venture properties) contains approximately 17.6 million square feet located primarily in strategic metropolitan markets in the Northeast, Mid-Atlantic, and California. In addition, the Trust has an ownership interest in approximately 0.5 million square feet of retail space through its joint venture with Clarion Lion Properties Fund in which the Trust has a 30% interest. Our operating portfolio (excluding joint venture properties) was 96.3% leased to national, regional, and local retailers as of December 31, 2005, with no single tenant accounting for more than 2.5% of annualized base rent. Federal Realty has paid quarterly dividends to its shareholders continuously since its founding in 1962, and has increased its dividend rate for 38 consecutive years, the longest consecutive record in the REIT industry. Shares of Federal Realty are traded on the NYSE under the symbol FRT.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4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i w:val="1"/>
          <w:iCs w:val="1"/>
          <w:color w:val="auto"/>
        </w:rPr>
      </w:pPr>
    </w:p>
    <w:p>
      <w:pPr>
        <w:ind w:left="780" w:right="440" w:hanging="326"/>
        <w:spacing w:after="0" w:line="325" w:lineRule="auto"/>
        <w:tabs>
          <w:tab w:leader="none" w:pos="7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6"/>
          <w:szCs w:val="16"/>
          <w:i w:val="1"/>
          <w:iCs w:val="1"/>
          <w:color w:val="auto"/>
        </w:rPr>
      </w:pPr>
    </w:p>
    <w:p>
      <w:pPr>
        <w:ind w:left="780" w:hanging="326"/>
        <w:spacing w:after="0"/>
        <w:tabs>
          <w:tab w:leader="none" w:pos="7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sell the condominium units at Santana Row for the expected prices or within the anticipated time frames;</w:t>
      </w:r>
    </w:p>
    <w:p>
      <w:pPr>
        <w:spacing w:after="0" w:line="126" w:lineRule="exact"/>
        <w:rPr>
          <w:rFonts w:ascii="Arial" w:cs="Arial" w:eastAsia="Arial" w:hAnsi="Arial"/>
          <w:sz w:val="16"/>
          <w:szCs w:val="16"/>
          <w:i w:val="1"/>
          <w:iCs w:val="1"/>
          <w:color w:val="auto"/>
        </w:rPr>
      </w:pPr>
    </w:p>
    <w:p>
      <w:pPr>
        <w:ind w:left="780" w:right="80" w:hanging="326"/>
        <w:spacing w:after="0" w:line="268"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780" w:hanging="326"/>
        <w:spacing w:after="0" w:line="256"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780" w:right="140" w:hanging="326"/>
        <w:spacing w:after="0" w:line="259"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780" w:right="160" w:hanging="326"/>
        <w:spacing w:after="0" w:line="259"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our quarterly reports on Form 10-Q, and the risks contained in our current report on Form 8-K filed with the Securities and Exchange Commission on March 2, 2005.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80"/>
          </w:cols>
          <w:pgMar w:left="240" w:top="280" w:right="279" w:bottom="1440" w:gutter="0" w:footer="0" w:header="0"/>
        </w:sectPr>
      </w:pPr>
    </w:p>
    <w:bookmarkStart w:id="10" w:name="page11"/>
    <w:bookmarkEnd w:id="10"/>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CONSOLIDATED OPERATING RESULTS</w:t>
            </w:r>
          </w:p>
        </w:tc>
        <w:tc>
          <w:tcPr>
            <w:tcW w:w="466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97,957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410,330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24,290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60,764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234,016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176,314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6"/>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(23,012)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(21,223)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(88,566)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20" w:type="dxa"/>
            <w:vAlign w:val="bottom"/>
            <w:gridSpan w:val="6"/>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(Loss) income before 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114,612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6"/>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(11,475)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3"/>
              </w:rPr>
              <w:t>FUNDS FROM OPERATIONS AVAILABLE FOR COMMON SHAREHOLDERS</w:t>
            </w:r>
          </w:p>
        </w:tc>
        <w:tc>
          <w:tcPr>
            <w:tcW w:w="1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35,128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114,612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(13,402)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(30,748)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Depreciation of real estate partnership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174,218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EARNINGS PER COMMON SHARE, BASIC</w:t>
            </w:r>
          </w:p>
        </w:tc>
        <w:tc>
          <w:tcPr>
            <w:tcW w:w="44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51,870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-3954780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-3954780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-3954780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-3954780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-3954780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-3954780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-3954780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-3954780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-3954780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-3954780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-3954780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-3954780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-2128520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-2128520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-2128520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-2128520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-2128520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-2128520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-2128520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-2128520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-2128520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-2128520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-2128520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-2128520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-1828165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-1828165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-1828165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-1828165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-1828165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-1828165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-1828165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-1828165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-1828165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-1828165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-1828165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-1828165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-1527810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-1527810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-1527810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-1527810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-1527810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-1527810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-1527810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-1527810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-1527810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-1527810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-1527810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-1527810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-533400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-533400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-533400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-533400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-533400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-533400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-533400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-533400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-533400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-533400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-533400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-533400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-233045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-233045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-233045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-233045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-233045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-233045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-233045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-233045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-233045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-233045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-233045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-233045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84" w:orient="portrait"/>
          <w:cols w:equalWidth="0" w:num="1">
            <w:col w:w="11420"/>
          </w:cols>
          <w:pgMar w:left="240" w:top="274"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53,189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-329565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-329565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-329565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-329565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-329565</wp:posOffset>
            </wp:positionV>
            <wp:extent cx="87058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85344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2,727,488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2,434,879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2,829,321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(663,750)</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(595,338)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2,165,571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88,575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2,350,852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 and mortgage notes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316,755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166,669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1,556,812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19,193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2,350,852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-2619375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-2619375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-2619375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-2619375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-2619375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-2619375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75882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ind w:left="460"/>
              <w:spacing w:after="0"/>
              <w:rPr>
                <w:sz w:val="20"/>
                <w:szCs w:val="20"/>
                <w:color w:val="auto"/>
              </w:rPr>
            </w:pPr>
            <w:r>
              <w:rPr>
                <w:rFonts w:ascii="Arial" w:cs="Arial" w:eastAsia="Arial" w:hAnsi="Arial"/>
                <w:sz w:val="14"/>
                <w:szCs w:val="14"/>
                <w:b w:val="1"/>
                <w:bCs w:val="1"/>
                <w:color w:val="auto"/>
                <w:w w:val="85"/>
              </w:rPr>
              <w:t>Three months ended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4"/>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center"/>
              <w:ind w:left="495"/>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13"/>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84"/>
              </w:rPr>
              <w:t>(in thousands, except per share data)</w:t>
            </w:r>
          </w:p>
        </w:tc>
        <w:tc>
          <w:tcPr>
            <w:tcW w:w="120" w:type="dxa"/>
            <w:vAlign w:val="bottom"/>
          </w:tcPr>
          <w:p>
            <w:pPr>
              <w:spacing w:after="0"/>
              <w:rPr>
                <w:sz w:val="21"/>
                <w:szCs w:val="21"/>
                <w:color w:val="auto"/>
              </w:rPr>
            </w:pPr>
          </w:p>
        </w:tc>
        <w:tc>
          <w:tcPr>
            <w:tcW w:w="24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 (FFO) (1)</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02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35,128</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21,918</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114,612</w:t>
            </w:r>
          </w:p>
        </w:tc>
        <w:tc>
          <w:tcPr>
            <w:tcW w:w="5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(30,748)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82,752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Depreciation of real estate partnership assets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(2,869)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 (2) (3)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37,124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163,544</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Funds from operations available for common shareholders per diluted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share (2) (3)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5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Summary of Capital Expenditures</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02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Development, redevelopment and expansions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Tenant improvements and incentives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17,512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rPr>
              <w:t>Maintenance capital expenditures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55,969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22,841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109,283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Dividends and Payout Ratios</w:t>
            </w:r>
          </w:p>
        </w:tc>
        <w:tc>
          <w:tcPr>
            <w:tcW w:w="384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Regular common dividends declared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29,354</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114,355</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Special common dividends declared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124,928</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Dividend payout ratio % - FFO (3)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Dividend payout ratio % - FFO (excluding special dividends)</w:t>
            </w:r>
          </w:p>
        </w:tc>
        <w:tc>
          <w:tcPr>
            <w:tcW w:w="1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-3515995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-3515995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-3515995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-3515995</wp:posOffset>
            </wp:positionV>
            <wp:extent cx="24136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136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-3216275</wp:posOffset>
            </wp:positionV>
            <wp:extent cx="33661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61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-2778760</wp:posOffset>
            </wp:positionV>
            <wp:extent cx="63881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-2778760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-2778760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-2778760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-2778760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-2778760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-2778760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-2778760</wp:posOffset>
            </wp:positionV>
            <wp:extent cx="62992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-1295400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-1295400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-1295400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-1295400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-1295400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-1295400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-1295400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-1295400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-1295400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-1295400</wp:posOffset>
            </wp:positionV>
            <wp:extent cx="62992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-437515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-437515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-437515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-437515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-437515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-437515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-437515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-437515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-437515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-437515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-437515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-437515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7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year ended 2004 includes $3.1 million ($.06 per diluted share) for Santana Row fire insurance proceeds. For the three months and year ended December 31, 2005, the amount of insurance proceeds were insignificant and had no per diluted share impact.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FFO available for common shareholders excludes the gain on sale of condominiums at Santana Row in 2005.</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820" w:type="dxa"/>
            <w:vAlign w:val="bottom"/>
            <w:gridSpan w:val="2"/>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75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Market data</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Common shares outstanding (1)</w:t>
            </w: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52,891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52,137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 price per common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3,207,839</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2,692,876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Series B preferred shares outstanding</w:t>
            </w:r>
          </w:p>
        </w:tc>
        <w:tc>
          <w:tcPr>
            <w:tcW w:w="9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5,400</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 price per Series B preferred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Preferred 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139,158</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3,346,997</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2,839,378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Total debt (2)</w:t>
            </w:r>
          </w:p>
        </w:tc>
        <w:tc>
          <w:tcPr>
            <w:tcW w:w="9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w w:val="99"/>
              </w:rPr>
              <w:t>1,390,143</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1,304,057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4,737,140</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4,143,435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debt to market capitalization at then current market price</w:t>
            </w:r>
          </w:p>
        </w:tc>
        <w:tc>
          <w:tcPr>
            <w:tcW w:w="9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Total debt to market capitalization at constant common share price of $51.65</w:t>
            </w:r>
          </w:p>
        </w:tc>
        <w:tc>
          <w:tcPr>
            <w:tcW w:w="90" w:type="dxa"/>
            <w:vAlign w:val="bottom"/>
          </w:tcPr>
          <w:p>
            <w:pPr>
              <w:spacing w:after="0"/>
              <w:rPr>
                <w:sz w:val="24"/>
                <w:szCs w:val="24"/>
                <w:color w:val="auto"/>
              </w:rPr>
            </w:pPr>
          </w:p>
        </w:tc>
        <w:tc>
          <w:tcPr>
            <w:tcW w:w="1630" w:type="dxa"/>
            <w:vAlign w:val="bottom"/>
            <w:gridSpan w:val="2"/>
          </w:tcPr>
          <w:p>
            <w:pPr>
              <w:jc w:val="right"/>
              <w:ind w:right="66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Fixed rate debt ratio:</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860"/>
              <w:spacing w:after="0"/>
              <w:rPr>
                <w:sz w:val="20"/>
                <w:szCs w:val="20"/>
                <w:color w:val="auto"/>
              </w:rPr>
            </w:pPr>
            <w:r>
              <w:rPr>
                <w:rFonts w:ascii="Arial" w:cs="Arial" w:eastAsia="Arial" w:hAnsi="Arial"/>
                <w:sz w:val="18"/>
                <w:szCs w:val="18"/>
                <w:color w:val="auto"/>
              </w:rPr>
              <w:t>Fixed rate debt and capital lease obligations</w:t>
            </w:r>
          </w:p>
        </w:tc>
        <w:tc>
          <w:tcPr>
            <w:tcW w:w="90" w:type="dxa"/>
            <w:vAlign w:val="bottom"/>
          </w:tcPr>
          <w:p>
            <w:pPr>
              <w:spacing w:after="0"/>
              <w:rPr>
                <w:sz w:val="18"/>
                <w:szCs w:val="18"/>
                <w:color w:val="auto"/>
              </w:rPr>
            </w:pPr>
          </w:p>
        </w:tc>
        <w:tc>
          <w:tcPr>
            <w:tcW w:w="1630" w:type="dxa"/>
            <w:vAlign w:val="bottom"/>
            <w:gridSpan w:val="2"/>
          </w:tcPr>
          <w:p>
            <w:pPr>
              <w:jc w:val="right"/>
              <w:ind w:right="66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Variable rate debt</w:t>
            </w:r>
          </w:p>
        </w:tc>
        <w:tc>
          <w:tcPr>
            <w:tcW w:w="9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Capital availability</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Cash and cash equivalents on hand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8,639</w:t>
            </w:r>
          </w:p>
        </w:tc>
        <w:tc>
          <w:tcPr>
            <w:tcW w:w="8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30,475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Available capacity under line of credit</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244,500</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Available for issuance under shelf registration statement</w:t>
            </w: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353,139</w:t>
            </w:r>
          </w:p>
        </w:tc>
        <w:tc>
          <w:tcPr>
            <w:tcW w:w="8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-2437130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-2437130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-2437130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-2437130</wp:posOffset>
            </wp:positionV>
            <wp:extent cx="64706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-1167765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-1167765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-1167765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-1167765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-1167765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-1167765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-172720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-172720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1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54,371,057 shares issued net of 1,480,360 shares held in Treasury as of December 31, 2005. As of December 31, 2004, consists of 53,616,827 shares issued net of 1,480,202 shares held in Treasury. Amounts do not include 420,426 and 449,325 Operating Partnership Units outstanding at December 31, 2005 and December 31, 2004, respectively.</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Twelve months ended</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8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Components of Rental Income </w:t>
            </w:r>
            <w:r>
              <w:rPr>
                <w:rFonts w:ascii="Arial" w:cs="Arial" w:eastAsia="Arial" w:hAnsi="Arial"/>
                <w:sz w:val="18"/>
                <w:szCs w:val="18"/>
                <w:color w:val="auto"/>
              </w:rPr>
              <w:t>(in thousands)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Minimum rents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Retail and commercial properties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78,254</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$ 71,794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$ 300,230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880"/>
              <w:spacing w:after="0"/>
              <w:rPr>
                <w:sz w:val="20"/>
                <w:szCs w:val="20"/>
                <w:color w:val="auto"/>
              </w:rPr>
            </w:pPr>
            <w:r>
              <w:rPr>
                <w:rFonts w:ascii="Arial" w:cs="Arial" w:eastAsia="Arial" w:hAnsi="Arial"/>
                <w:sz w:val="18"/>
                <w:szCs w:val="18"/>
                <w:color w:val="auto"/>
              </w:rPr>
              <w:t>Residential (2)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2,131</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1,741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7,407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16,888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Percentage rents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1,876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6,211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rental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103,689</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$ 93,979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$ 395,403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$ 370,069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-172720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-172720</wp:posOffset>
            </wp:positionV>
            <wp:extent cx="206248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6248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$7.3 million and $3.7 million for the twelve months ended December 31, 2005 and 2004, respectively, and $3.3 million and $1.0 million for the three months ended December 31, 2005 and 2004, to recognize minimum rents on a straight line basis as required by GAAP. Minimum rents include $2.1 million and $1.8 million for the twelve months ended December 31, 2005 and 2004, respectively and $0.5 million and $0.8 million for the three months ended December 31, 2005 and 2004, to recognize income attributable to market lease adjustments on acquired properties in accordance with SFAS 141. Minimum rents for the year and three months ended December 31, 2004 include fire insurance proceeds attributable to rental income lost at Santana Row as a result of the August 2002 fire of $3.1 million and $0.3 million, respectively. For the year and three months ended December 31, 2005, the amount of insurance proceeds was insignificant.</w:t>
      </w:r>
    </w:p>
    <w:p>
      <w:pPr>
        <w:spacing w:after="0" w:line="4" w:lineRule="exact"/>
        <w:rPr>
          <w:rFonts w:ascii="Arial" w:cs="Arial" w:eastAsia="Arial" w:hAnsi="Arial"/>
          <w:sz w:val="16"/>
          <w:szCs w:val="16"/>
          <w:color w:val="auto"/>
        </w:rPr>
      </w:pPr>
    </w:p>
    <w:p>
      <w:pPr>
        <w:ind w:left="460" w:right="12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comprise the rents at Rollingwood Apartments, The Crest at Congressional Apartments and the residential units at Santana Row. In the third quarter of 2005, we commenced closing sales of the 219 units located in Buildings Three, Four, and Six which have been classified as discontinued operations. Accordingly, the rental income for all 219 units in Buildings Three, Four, and Six have been excluded for all periods presented to assure comparability of these periods.</w:t>
      </w:r>
    </w:p>
    <w:p>
      <w:pPr>
        <w:sectPr>
          <w:pgSz w:w="11900" w:h="16838" w:orient="portrait"/>
          <w:cols w:equalWidth="0" w:num="1">
            <w:col w:w="11420"/>
          </w:cols>
          <w:pgMar w:left="240" w:top="274" w:right="239" w:bottom="1440" w:gutter="0" w:footer="0" w:header="0"/>
        </w:sectPr>
      </w:pPr>
    </w:p>
    <w:bookmarkStart w:id="16" w:name="page17"/>
    <w:bookmarkEnd w:id="1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Interest Rate as of</w:t>
            </w: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Balance as of</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Maturity Date</w:t>
            </w: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 2005</w:t>
            </w: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2005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(in thousands)</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1920" w:type="dxa"/>
            <w:vAlign w:val="bottom"/>
            <w:tcBorders>
              <w:bottom w:val="single" w:sz="8" w:color="CCEEFF"/>
            </w:tcBorders>
            <w:gridSpan w:val="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10/01/08</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164 E Houston Street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10/06/08</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04/01/09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8.375%</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Federal Plaza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06/01/11</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6.750%</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34,675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09/01/11</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Crow Canyon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08/11/13</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5.400%</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22,258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11/01/15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Hauppauge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11/01/15</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7.950%</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16,283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11/01/15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Wildwood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11/01/15</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7.950%</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26,910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11/01/15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Brick Plaza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11/01/15</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7.415%</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32,099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Mount Vernon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04/15/28</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5.660%</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Mortgage Loans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270,898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01/31/13</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various</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various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Revolving credit facility</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10/08/06</w:t>
            </w:r>
          </w:p>
        </w:tc>
        <w:tc>
          <w:tcPr>
            <w:tcW w:w="3520" w:type="dxa"/>
            <w:vAlign w:val="bottom"/>
            <w:gridSpan w:val="4"/>
          </w:tcPr>
          <w:p>
            <w:pPr>
              <w:ind w:left="620"/>
              <w:spacing w:after="0"/>
              <w:rPr>
                <w:sz w:val="20"/>
                <w:szCs w:val="20"/>
                <w:color w:val="auto"/>
              </w:rPr>
            </w:pPr>
            <w:r>
              <w:rPr>
                <w:rFonts w:ascii="Arial" w:cs="Arial" w:eastAsia="Arial" w:hAnsi="Arial"/>
                <w:sz w:val="18"/>
                <w:szCs w:val="18"/>
                <w:color w:val="auto"/>
              </w:rPr>
              <w:t>LIBOR + .75% (c)</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Term note with banks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10/08/06</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LIBOR + .95%</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Term note with banks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10/08/08</w:t>
            </w:r>
          </w:p>
        </w:tc>
        <w:tc>
          <w:tcPr>
            <w:tcW w:w="3520" w:type="dxa"/>
            <w:vAlign w:val="bottom"/>
            <w:gridSpan w:val="4"/>
          </w:tcPr>
          <w:p>
            <w:pPr>
              <w:ind w:left="620"/>
              <w:spacing w:after="0"/>
              <w:rPr>
                <w:sz w:val="20"/>
                <w:szCs w:val="20"/>
                <w:color w:val="auto"/>
              </w:rPr>
            </w:pPr>
            <w:r>
              <w:rPr>
                <w:rFonts w:ascii="Arial" w:cs="Arial" w:eastAsia="Arial" w:hAnsi="Arial"/>
                <w:sz w:val="18"/>
                <w:szCs w:val="18"/>
                <w:color w:val="auto"/>
              </w:rPr>
              <w:t>LIBOR + .95% (d)</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Escondido (Municipal bonds)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10/01/16</w:t>
            </w:r>
          </w:p>
        </w:tc>
        <w:tc>
          <w:tcPr>
            <w:tcW w:w="3520" w:type="dxa"/>
            <w:vAlign w:val="bottom"/>
            <w:gridSpan w:val="4"/>
            <w:shd w:val="clear" w:color="auto" w:fill="CCEEFF"/>
          </w:tcPr>
          <w:p>
            <w:pPr>
              <w:jc w:val="right"/>
              <w:ind w:right="1580"/>
              <w:spacing w:after="0"/>
              <w:rPr>
                <w:sz w:val="20"/>
                <w:szCs w:val="20"/>
                <w:color w:val="auto"/>
              </w:rPr>
            </w:pPr>
            <w:r>
              <w:rPr>
                <w:rFonts w:ascii="Arial" w:cs="Arial" w:eastAsia="Arial" w:hAnsi="Arial"/>
                <w:sz w:val="18"/>
                <w:szCs w:val="18"/>
                <w:color w:val="auto"/>
              </w:rPr>
              <w:t>3.760%(e)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Senior Notes and Debentures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gridSpan w:val="4"/>
          </w:tcPr>
          <w:p>
            <w:pPr>
              <w:ind w:left="420"/>
              <w:spacing w:after="0"/>
              <w:rPr>
                <w:sz w:val="20"/>
                <w:szCs w:val="20"/>
                <w:color w:val="auto"/>
              </w:rPr>
            </w:pPr>
            <w:r>
              <w:rPr>
                <w:rFonts w:ascii="Arial" w:cs="Arial" w:eastAsia="Arial" w:hAnsi="Arial"/>
                <w:sz w:val="18"/>
                <w:szCs w:val="18"/>
                <w:b w:val="1"/>
                <w:bCs w:val="1"/>
                <w:i w:val="1"/>
                <w:iCs w:val="1"/>
                <w:color w:val="auto"/>
                <w:w w:val="90"/>
              </w:rPr>
              <w:t>Unsecured Fixed Rate</w:t>
            </w:r>
          </w:p>
        </w:tc>
        <w:tc>
          <w:tcPr>
            <w:tcW w:w="1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6.99% Medium Term Notes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03/10/06</w:t>
            </w:r>
          </w:p>
        </w:tc>
        <w:tc>
          <w:tcPr>
            <w:tcW w:w="3520" w:type="dxa"/>
            <w:vAlign w:val="bottom"/>
            <w:gridSpan w:val="4"/>
            <w:shd w:val="clear" w:color="auto" w:fill="CCEEFF"/>
          </w:tcPr>
          <w:p>
            <w:pPr>
              <w:jc w:val="right"/>
              <w:ind w:right="1600"/>
              <w:spacing w:after="0"/>
              <w:rPr>
                <w:sz w:val="20"/>
                <w:szCs w:val="20"/>
                <w:color w:val="auto"/>
              </w:rPr>
            </w:pPr>
            <w:r>
              <w:rPr>
                <w:rFonts w:ascii="Arial" w:cs="Arial" w:eastAsia="Arial" w:hAnsi="Arial"/>
                <w:sz w:val="18"/>
                <w:szCs w:val="18"/>
                <w:color w:val="auto"/>
              </w:rPr>
              <w:t>6.894%(f)</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6.125% Notes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11/15/07</w:t>
            </w:r>
          </w:p>
        </w:tc>
        <w:tc>
          <w:tcPr>
            <w:tcW w:w="3520" w:type="dxa"/>
            <w:vAlign w:val="bottom"/>
            <w:gridSpan w:val="4"/>
          </w:tcPr>
          <w:p>
            <w:pPr>
              <w:jc w:val="right"/>
              <w:ind w:right="1580"/>
              <w:spacing w:after="0"/>
              <w:rPr>
                <w:sz w:val="20"/>
                <w:szCs w:val="20"/>
                <w:color w:val="auto"/>
              </w:rPr>
            </w:pPr>
            <w:r>
              <w:rPr>
                <w:rFonts w:ascii="Arial" w:cs="Arial" w:eastAsia="Arial" w:hAnsi="Arial"/>
                <w:sz w:val="18"/>
                <w:szCs w:val="18"/>
                <w:color w:val="auto"/>
              </w:rPr>
              <w:t>6.325%(g)</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8.75% Notes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12/01/09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4.50% Notes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02/15/11</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06/01/16</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5.650%</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08/15/26</w:t>
            </w:r>
          </w:p>
        </w:tc>
        <w:tc>
          <w:tcPr>
            <w:tcW w:w="3520" w:type="dxa"/>
            <w:vAlign w:val="bottom"/>
            <w:gridSpan w:val="4"/>
          </w:tcPr>
          <w:p>
            <w:pPr>
              <w:jc w:val="right"/>
              <w:ind w:right="1580"/>
              <w:spacing w:after="0"/>
              <w:rPr>
                <w:sz w:val="20"/>
                <w:szCs w:val="20"/>
                <w:color w:val="auto"/>
              </w:rPr>
            </w:pPr>
            <w:r>
              <w:rPr>
                <w:rFonts w:ascii="Arial" w:cs="Arial" w:eastAsia="Arial" w:hAnsi="Arial"/>
                <w:sz w:val="18"/>
                <w:szCs w:val="18"/>
                <w:color w:val="auto"/>
              </w:rPr>
              <w:t>7.480%(h)</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08/01/27</w:t>
            </w:r>
          </w:p>
        </w:tc>
        <w:tc>
          <w:tcPr>
            <w:tcW w:w="3520" w:type="dxa"/>
            <w:vAlign w:val="bottom"/>
            <w:gridSpan w:val="4"/>
            <w:shd w:val="clear" w:color="auto" w:fill="CCEEFF"/>
          </w:tcPr>
          <w:p>
            <w:pPr>
              <w:jc w:val="right"/>
              <w:ind w:right="1620"/>
              <w:spacing w:after="0"/>
              <w:rPr>
                <w:sz w:val="20"/>
                <w:szCs w:val="20"/>
                <w:color w:val="auto"/>
              </w:rPr>
            </w:pPr>
            <w:r>
              <w:rPr>
                <w:rFonts w:ascii="Arial" w:cs="Arial" w:eastAsia="Arial" w:hAnsi="Arial"/>
                <w:sz w:val="18"/>
                <w:szCs w:val="18"/>
                <w:color w:val="auto"/>
              </w:rPr>
              <w:t>6.820%(i)</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5"/>
          </w:tcPr>
          <w:p>
            <w:pPr>
              <w:ind w:left="420"/>
              <w:spacing w:after="0"/>
              <w:rPr>
                <w:sz w:val="20"/>
                <w:szCs w:val="20"/>
                <w:color w:val="auto"/>
              </w:rPr>
            </w:pPr>
            <w:r>
              <w:rPr>
                <w:rFonts w:ascii="Arial" w:cs="Arial" w:eastAsia="Arial" w:hAnsi="Arial"/>
                <w:sz w:val="18"/>
                <w:szCs w:val="18"/>
                <w:color w:val="auto"/>
              </w:rPr>
              <w:t>Unamortized Debt Discount</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Senior Notes and</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653,675</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Lease Obligations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760" w:type="dxa"/>
            <w:vAlign w:val="bottom"/>
            <w:tcBorders>
              <w:top w:val="single" w:sz="8" w:color="CCEEFF"/>
            </w:tcBorders>
            <w:gridSpan w:val="2"/>
          </w:tcPr>
          <w:p>
            <w:pPr>
              <w:jc w:val="center"/>
              <w:ind w:right="20"/>
              <w:spacing w:after="0"/>
              <w:rPr>
                <w:sz w:val="20"/>
                <w:szCs w:val="20"/>
                <w:color w:val="auto"/>
              </w:rPr>
            </w:pPr>
            <w:r>
              <w:rPr>
                <w:rFonts w:ascii="Arial" w:cs="Arial" w:eastAsia="Arial" w:hAnsi="Arial"/>
                <w:sz w:val="18"/>
                <w:szCs w:val="18"/>
                <w:color w:val="auto"/>
                <w:w w:val="90"/>
              </w:rPr>
              <w:t>Various through 2077 (j)</w:t>
            </w:r>
          </w:p>
        </w:tc>
        <w:tc>
          <w:tcPr>
            <w:tcW w:w="17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148,815</w:t>
            </w: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60" w:type="dxa"/>
            <w:vAlign w:val="bottom"/>
            <w:gridSpan w:val="6"/>
            <w:shd w:val="clear" w:color="auto" w:fill="CCEEFF"/>
          </w:tcPr>
          <w:p>
            <w:pPr>
              <w:ind w:left="240"/>
              <w:spacing w:after="0"/>
              <w:rPr>
                <w:sz w:val="20"/>
                <w:szCs w:val="20"/>
                <w:color w:val="auto"/>
              </w:rPr>
            </w:pPr>
            <w:r>
              <w:rPr>
                <w:rFonts w:ascii="Arial" w:cs="Arial" w:eastAsia="Arial" w:hAnsi="Arial"/>
                <w:sz w:val="18"/>
                <w:szCs w:val="18"/>
                <w:b w:val="1"/>
                <w:bCs w:val="1"/>
                <w:color w:val="auto"/>
                <w:w w:val="91"/>
              </w:rPr>
              <w:t>Total Debt and Capital Lease Obligations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1,390,143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Effective Rate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December 31, 2005 (k)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20" w:type="dxa"/>
            <w:vAlign w:val="bottom"/>
            <w:gridSpan w:val="8"/>
            <w:shd w:val="clear" w:color="auto" w:fill="CCEEFF"/>
          </w:tcPr>
          <w:p>
            <w:pPr>
              <w:ind w:left="240"/>
              <w:spacing w:after="0"/>
              <w:rPr>
                <w:sz w:val="20"/>
                <w:szCs w:val="20"/>
                <w:color w:val="auto"/>
              </w:rPr>
            </w:pPr>
            <w:r>
              <w:rPr>
                <w:rFonts w:ascii="Arial" w:cs="Arial" w:eastAsia="Arial" w:hAnsi="Arial"/>
                <w:sz w:val="18"/>
                <w:szCs w:val="18"/>
                <w:color w:val="auto"/>
              </w:rPr>
              <w:t>Total fixed rate debt and capital lease obligations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1,225,243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color w:val="auto"/>
              </w:rPr>
              <w:t>Total variable rate debt</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164,900</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20" w:type="dxa"/>
            <w:vAlign w:val="bottom"/>
            <w:gridSpan w:val="8"/>
            <w:shd w:val="clear" w:color="auto" w:fill="CCEEFF"/>
          </w:tcPr>
          <w:p>
            <w:pPr>
              <w:ind w:left="240"/>
              <w:spacing w:after="0"/>
              <w:rPr>
                <w:sz w:val="20"/>
                <w:szCs w:val="20"/>
                <w:color w:val="auto"/>
              </w:rPr>
            </w:pPr>
            <w:r>
              <w:rPr>
                <w:rFonts w:ascii="Arial" w:cs="Arial" w:eastAsia="Arial" w:hAnsi="Arial"/>
                <w:sz w:val="18"/>
                <w:szCs w:val="18"/>
                <w:color w:val="auto"/>
              </w:rPr>
              <w:t>TOTAL DEBT AND CAPITAL LEASES OBLIGATIONS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1,390,143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-1315720</wp:posOffset>
            </wp:positionV>
            <wp:extent cx="7245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Three months ended</w:t>
            </w:r>
          </w:p>
        </w:tc>
        <w:tc>
          <w:tcPr>
            <w:tcW w:w="94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Operational Statistics</w:t>
            </w:r>
          </w:p>
        </w:tc>
        <w:tc>
          <w:tcPr>
            <w:tcW w:w="7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(l)</w:t>
            </w:r>
          </w:p>
        </w:tc>
        <w:tc>
          <w:tcPr>
            <w:tcW w:w="540" w:type="dxa"/>
            <w:vAlign w:val="bottom"/>
          </w:tcPr>
          <w:p>
            <w:pPr>
              <w:ind w:left="140"/>
              <w:spacing w:after="0"/>
              <w:rPr>
                <w:sz w:val="20"/>
                <w:szCs w:val="20"/>
                <w:color w:val="auto"/>
              </w:rPr>
            </w:pPr>
            <w:r>
              <w:rPr>
                <w:rFonts w:ascii="Arial" w:cs="Arial" w:eastAsia="Arial" w:hAnsi="Arial"/>
                <w:sz w:val="18"/>
                <w:szCs w:val="18"/>
                <w:color w:val="auto"/>
                <w:w w:val="86"/>
              </w:rPr>
              <w:t>2.90x</w:t>
            </w:r>
          </w:p>
        </w:tc>
        <w:tc>
          <w:tcPr>
            <w:tcW w:w="10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2.54x</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2.72x</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2.49x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(l)</w:t>
            </w:r>
          </w:p>
        </w:tc>
        <w:tc>
          <w:tcPr>
            <w:tcW w:w="19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2.42x</w:t>
            </w:r>
          </w:p>
        </w:tc>
        <w:tc>
          <w:tcPr>
            <w:tcW w:w="1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2.35x  2.43x  2.36x</w:t>
            </w:r>
          </w:p>
        </w:tc>
      </w:tr>
      <w:tr>
        <w:trPr>
          <w:trHeight w:val="108"/>
        </w:trPr>
        <w:tc>
          <w:tcPr>
            <w:tcW w:w="96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($14.2 million) of the $47.2 million debt of the partnership with Clarion Lion Properties Fund.</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anytime thereafter.</w:t>
      </w:r>
    </w:p>
    <w:p>
      <w:pPr>
        <w:ind w:left="460" w:right="3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$300 million three-year revolving credit facility, with a one-year extension option. The weighted average effective rate, including the amortization of deferred financing fees, was 4.25% and 3.69% for the three months and year ended December 31, 2005, respectively.</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January 2004, the Trust purchased an interest rate swap on this note thereby locking in the LIBOR portion of the interest rate at 2.401% through October 2006.</w:t>
      </w:r>
    </w:p>
    <w:p>
      <w:pPr>
        <w:ind w:left="460" w:right="160" w:hanging="452"/>
        <w:spacing w:after="0" w:line="30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bonds bear interest at a variable rate determined weekly which would enable the bonds to be remarketed at 100% of their principal amount. The weighted average effective interest rate, including the amortization of deferred financing fees, was 4.27% for the three months ended December 31, 2005.</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9"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9"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as of December 31, 2005 is 9.08% on a basis of minimum rent and 12.07% including performance-based participation rent paid by the Trust for 2005.</w:t>
      </w:r>
    </w:p>
    <w:p>
      <w:pPr>
        <w:ind w:left="460" w:right="9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and discounts, if applicable, and excludes performance-based rent on capital lease obligations.</w:t>
      </w:r>
    </w:p>
    <w:p>
      <w:pPr>
        <w:ind w:left="460" w:right="1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B preferred shares. Adjusted EBITDA is reconciled to net income in the Glossary of Terms.</w:t>
      </w:r>
    </w:p>
    <w:p>
      <w:pPr>
        <w:sectPr>
          <w:pgSz w:w="11900" w:h="16838" w:orient="portrait"/>
          <w:cols w:equalWidth="0" w:num="1">
            <w:col w:w="11420"/>
          </w:cols>
          <w:pgMar w:left="240" w:top="1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Scheduled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498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Maturities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2006</w:t>
            </w: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201,064(1)</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155,747</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165,692</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179,394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185,899</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2010</w:t>
            </w: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2011</w:t>
            </w: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119,335</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2013</w:t>
            </w: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26,416</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2014</w:t>
            </w: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2015</w:t>
            </w: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145,807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153,008</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363,162</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1,186,551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1,391,968(2)</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-172720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-172720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-172720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-172720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-172720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-172720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-172720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Maturities in 2006 include a $100 million term loan and $55.5 million drawn under the Trust’s $300 million three-year revolving credit facility.</w:t>
      </w:r>
    </w:p>
    <w:p>
      <w:pPr>
        <w:spacing w:after="0" w:line="32"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discount recorded for GAAP purposes on certain senior notes and debentures.</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0" w:type="dxa"/>
            <w:vAlign w:val="bottom"/>
            <w:gridSpan w:val="2"/>
          </w:tcPr>
          <w:p>
            <w:pPr>
              <w:jc w:val="right"/>
              <w:ind w:right="440"/>
              <w:spacing w:after="0" w:line="159" w:lineRule="exact"/>
              <w:rPr>
                <w:sz w:val="20"/>
                <w:szCs w:val="20"/>
                <w:color w:val="auto"/>
              </w:rPr>
            </w:pPr>
            <w:r>
              <w:rPr>
                <w:rFonts w:ascii="Arial" w:cs="Arial" w:eastAsia="Arial" w:hAnsi="Arial"/>
                <w:sz w:val="14"/>
                <w:szCs w:val="14"/>
                <w:b w:val="1"/>
                <w:bCs w:val="1"/>
                <w:color w:val="auto"/>
                <w:w w:val="84"/>
              </w:rPr>
              <w:t>Projected</w:t>
            </w:r>
          </w:p>
        </w:tc>
        <w:tc>
          <w:tcPr>
            <w:tcW w:w="20" w:type="dxa"/>
            <w:vAlign w:val="bottom"/>
          </w:tcPr>
          <w:p>
            <w:pPr>
              <w:spacing w:after="0"/>
              <w:rPr>
                <w:sz w:val="13"/>
                <w:szCs w:val="13"/>
                <w:color w:val="auto"/>
              </w:rPr>
            </w:pPr>
          </w:p>
        </w:tc>
        <w:tc>
          <w:tcPr>
            <w:tcW w:w="5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w w:val="81"/>
              </w:rPr>
              <w:t>Projected</w:t>
            </w:r>
          </w:p>
        </w:tc>
        <w:tc>
          <w:tcPr>
            <w:tcW w:w="300" w:type="dxa"/>
            <w:vAlign w:val="bottom"/>
          </w:tcPr>
          <w:p>
            <w:pPr>
              <w:spacing w:after="0"/>
              <w:rPr>
                <w:sz w:val="13"/>
                <w:szCs w:val="13"/>
                <w:color w:val="auto"/>
              </w:rPr>
            </w:pPr>
          </w:p>
        </w:tc>
        <w:tc>
          <w:tcPr>
            <w:tcW w:w="44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74"/>
        </w:trPr>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2620" w:type="dxa"/>
            <w:vAlign w:val="bottom"/>
            <w:gridSpan w:val="3"/>
          </w:tcPr>
          <w:p>
            <w:pPr>
              <w:ind w:left="280"/>
              <w:spacing w:after="0"/>
              <w:rPr>
                <w:sz w:val="20"/>
                <w:szCs w:val="20"/>
                <w:color w:val="auto"/>
              </w:rPr>
            </w:pPr>
            <w:r>
              <w:rPr>
                <w:rFonts w:ascii="Arial" w:cs="Arial" w:eastAsia="Arial" w:hAnsi="Arial"/>
                <w:sz w:val="14"/>
                <w:szCs w:val="14"/>
                <w:b w:val="1"/>
                <w:bCs w:val="1"/>
                <w:color w:val="auto"/>
              </w:rPr>
              <w:t>Location</w:t>
            </w: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Opportunity</w:t>
            </w: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ROI (2)</w:t>
            </w:r>
          </w:p>
        </w:tc>
        <w:tc>
          <w:tcPr>
            <w:tcW w:w="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Cost (1)</w:t>
            </w:r>
          </w:p>
        </w:tc>
        <w:tc>
          <w:tcPr>
            <w:tcW w:w="300" w:type="dxa"/>
            <w:vAlign w:val="bottom"/>
          </w:tcPr>
          <w:p>
            <w:pPr>
              <w:spacing w:after="0"/>
              <w:rPr>
                <w:sz w:val="15"/>
                <w:szCs w:val="15"/>
                <w:color w:val="auto"/>
              </w:rPr>
            </w:pPr>
          </w:p>
        </w:tc>
        <w:tc>
          <w:tcPr>
            <w:tcW w:w="440" w:type="dxa"/>
            <w:vAlign w:val="bottom"/>
            <w:gridSpan w:val="3"/>
          </w:tcPr>
          <w:p>
            <w:pPr>
              <w:ind w:left="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5"/>
              </w:rPr>
              <w:t>Projects Stabilized in 2005 (3)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Andorra</w:t>
            </w:r>
          </w:p>
        </w:tc>
        <w:tc>
          <w:tcPr>
            <w:tcW w:w="2620" w:type="dxa"/>
            <w:vAlign w:val="bottom"/>
            <w:gridSpan w:val="3"/>
          </w:tcPr>
          <w:p>
            <w:pPr>
              <w:ind w:left="280"/>
              <w:spacing w:after="0"/>
              <w:rPr>
                <w:sz w:val="20"/>
                <w:szCs w:val="20"/>
                <w:color w:val="auto"/>
              </w:rPr>
            </w:pPr>
            <w:r>
              <w:rPr>
                <w:rFonts w:ascii="Arial" w:cs="Arial" w:eastAsia="Arial" w:hAnsi="Arial"/>
                <w:sz w:val="18"/>
                <w:szCs w:val="18"/>
                <w:color w:val="auto"/>
              </w:rPr>
              <w:t>Philadelphia, PA</w:t>
            </w:r>
          </w:p>
        </w:tc>
        <w:tc>
          <w:tcPr>
            <w:tcW w:w="4060" w:type="dxa"/>
            <w:vAlign w:val="bottom"/>
            <w:gridSpan w:val="2"/>
          </w:tcPr>
          <w:p>
            <w:pPr>
              <w:spacing w:after="0"/>
              <w:rPr>
                <w:sz w:val="20"/>
                <w:szCs w:val="20"/>
                <w:color w:val="auto"/>
              </w:rPr>
            </w:pPr>
            <w:r>
              <w:rPr>
                <w:rFonts w:ascii="Arial" w:cs="Arial" w:eastAsia="Arial" w:hAnsi="Arial"/>
                <w:sz w:val="18"/>
                <w:szCs w:val="18"/>
                <w:color w:val="auto"/>
              </w:rPr>
              <w:t>Re-tenanting (new health club)</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3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Brunswick</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North Brunswick, NJ</w:t>
            </w: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Re-tenanting (new health club)</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Pan Am</w:t>
            </w:r>
          </w:p>
        </w:tc>
        <w:tc>
          <w:tcPr>
            <w:tcW w:w="2620" w:type="dxa"/>
            <w:vAlign w:val="bottom"/>
            <w:gridSpan w:val="3"/>
          </w:tcPr>
          <w:p>
            <w:pPr>
              <w:ind w:left="280"/>
              <w:spacing w:after="0"/>
              <w:rPr>
                <w:sz w:val="20"/>
                <w:szCs w:val="20"/>
                <w:color w:val="auto"/>
              </w:rPr>
            </w:pPr>
            <w:r>
              <w:rPr>
                <w:rFonts w:ascii="Arial" w:cs="Arial" w:eastAsia="Arial" w:hAnsi="Arial"/>
                <w:sz w:val="18"/>
                <w:szCs w:val="18"/>
                <w:color w:val="auto"/>
              </w:rPr>
              <w:t>Fairfax, VA</w:t>
            </w:r>
          </w:p>
        </w:tc>
        <w:tc>
          <w:tcPr>
            <w:tcW w:w="4060" w:type="dxa"/>
            <w:vAlign w:val="bottom"/>
            <w:gridSpan w:val="2"/>
          </w:tcPr>
          <w:p>
            <w:pPr>
              <w:spacing w:after="0"/>
              <w:rPr>
                <w:sz w:val="20"/>
                <w:szCs w:val="20"/>
                <w:color w:val="auto"/>
              </w:rPr>
            </w:pPr>
            <w:r>
              <w:rPr>
                <w:rFonts w:ascii="Arial" w:cs="Arial" w:eastAsia="Arial" w:hAnsi="Arial"/>
                <w:sz w:val="18"/>
                <w:szCs w:val="18"/>
                <w:color w:val="auto"/>
              </w:rPr>
              <w:t>Grocer expansion, small shop re-tenanting, site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3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improvements, addition of gas station</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Greenlawn, NY</w:t>
            </w: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Re-tenanting and new pad site (child care)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Bala Cynwyd</w:t>
            </w:r>
          </w:p>
        </w:tc>
        <w:tc>
          <w:tcPr>
            <w:tcW w:w="2620" w:type="dxa"/>
            <w:vAlign w:val="bottom"/>
            <w:gridSpan w:val="3"/>
          </w:tcPr>
          <w:p>
            <w:pPr>
              <w:ind w:left="280"/>
              <w:spacing w:after="0"/>
              <w:rPr>
                <w:sz w:val="20"/>
                <w:szCs w:val="20"/>
                <w:color w:val="auto"/>
              </w:rPr>
            </w:pPr>
            <w:r>
              <w:rPr>
                <w:rFonts w:ascii="Arial" w:cs="Arial" w:eastAsia="Arial" w:hAnsi="Arial"/>
                <w:sz w:val="18"/>
                <w:szCs w:val="18"/>
                <w:color w:val="auto"/>
              </w:rPr>
              <w:t>Philadelphia, PA</w:t>
            </w:r>
          </w:p>
        </w:tc>
        <w:tc>
          <w:tcPr>
            <w:tcW w:w="4060" w:type="dxa"/>
            <w:vAlign w:val="bottom"/>
            <w:gridSpan w:val="2"/>
          </w:tcPr>
          <w:p>
            <w:pPr>
              <w:spacing w:after="0"/>
              <w:rPr>
                <w:sz w:val="20"/>
                <w:szCs w:val="20"/>
                <w:color w:val="auto"/>
              </w:rPr>
            </w:pPr>
            <w:r>
              <w:rPr>
                <w:rFonts w:ascii="Arial" w:cs="Arial" w:eastAsia="Arial" w:hAnsi="Arial"/>
                <w:sz w:val="18"/>
                <w:szCs w:val="18"/>
                <w:color w:val="auto"/>
              </w:rPr>
              <w:t>Re-tenanting (new health club)</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13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Plaza</w:t>
            </w:r>
          </w:p>
        </w:tc>
        <w:tc>
          <w:tcPr>
            <w:tcW w:w="2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Bristol, CT</w:t>
            </w: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 relocation, canopy and façade renovation</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Rutgers Plaza</w:t>
            </w:r>
          </w:p>
        </w:tc>
        <w:tc>
          <w:tcPr>
            <w:tcW w:w="2620" w:type="dxa"/>
            <w:vAlign w:val="bottom"/>
            <w:gridSpan w:val="3"/>
          </w:tcPr>
          <w:p>
            <w:pPr>
              <w:ind w:left="280"/>
              <w:spacing w:after="0"/>
              <w:rPr>
                <w:sz w:val="20"/>
                <w:szCs w:val="20"/>
                <w:color w:val="auto"/>
              </w:rPr>
            </w:pPr>
            <w:r>
              <w:rPr>
                <w:rFonts w:ascii="Arial" w:cs="Arial" w:eastAsia="Arial" w:hAnsi="Arial"/>
                <w:sz w:val="18"/>
                <w:szCs w:val="18"/>
                <w:color w:val="auto"/>
              </w:rPr>
              <w:t>Franklin, NJ</w:t>
            </w:r>
          </w:p>
        </w:tc>
        <w:tc>
          <w:tcPr>
            <w:tcW w:w="4060" w:type="dxa"/>
            <w:vAlign w:val="bottom"/>
            <w:gridSpan w:val="2"/>
          </w:tcPr>
          <w:p>
            <w:pPr>
              <w:spacing w:after="0"/>
              <w:rPr>
                <w:sz w:val="20"/>
                <w:szCs w:val="20"/>
                <w:color w:val="auto"/>
              </w:rPr>
            </w:pPr>
            <w:r>
              <w:rPr>
                <w:rFonts w:ascii="Arial" w:cs="Arial" w:eastAsia="Arial" w:hAnsi="Arial"/>
                <w:sz w:val="18"/>
                <w:szCs w:val="18"/>
                <w:color w:val="auto"/>
              </w:rPr>
              <w:t>Grocer re-location and expansion and backfill of</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13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existing grocer space</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Stabilized in 2005 (3) (4)</w:t>
            </w:r>
          </w:p>
        </w:tc>
        <w:tc>
          <w:tcPr>
            <w:tcW w:w="10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Projects Anticipated to Stabilize in 2006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Santana Phase IV</w:t>
            </w:r>
          </w:p>
        </w:tc>
        <w:tc>
          <w:tcPr>
            <w:tcW w:w="2300" w:type="dxa"/>
            <w:vAlign w:val="bottom"/>
          </w:tcPr>
          <w:p>
            <w:pPr>
              <w:ind w:left="240"/>
              <w:spacing w:after="0"/>
              <w:rPr>
                <w:sz w:val="20"/>
                <w:szCs w:val="20"/>
                <w:color w:val="auto"/>
              </w:rPr>
            </w:pPr>
            <w:r>
              <w:rPr>
                <w:rFonts w:ascii="Arial" w:cs="Arial" w:eastAsia="Arial" w:hAnsi="Arial"/>
                <w:sz w:val="18"/>
                <w:szCs w:val="18"/>
                <w:color w:val="auto"/>
              </w:rPr>
              <w:t>San Jose, CA</w:t>
            </w:r>
          </w:p>
        </w:tc>
        <w:tc>
          <w:tcPr>
            <w:tcW w:w="4340" w:type="dxa"/>
            <w:vAlign w:val="bottom"/>
          </w:tcPr>
          <w:p>
            <w:pPr>
              <w:ind w:left="280"/>
              <w:spacing w:after="0"/>
              <w:rPr>
                <w:sz w:val="20"/>
                <w:szCs w:val="20"/>
                <w:color w:val="auto"/>
              </w:rPr>
            </w:pPr>
            <w:r>
              <w:rPr>
                <w:rFonts w:ascii="Arial" w:cs="Arial" w:eastAsia="Arial" w:hAnsi="Arial"/>
                <w:sz w:val="18"/>
                <w:szCs w:val="18"/>
                <w:color w:val="auto"/>
              </w:rPr>
              <w:t>Building 7 residential re-build</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Mount Vernon / South Valley</w:t>
            </w:r>
          </w:p>
        </w:tc>
        <w:tc>
          <w:tcPr>
            <w:tcW w:w="2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Alexandria, VA</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Grocer expansion, small shop re-tenanting, site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improvements, addition of five pad site buildings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three anchors.</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Mercer Mall</w:t>
            </w:r>
          </w:p>
        </w:tc>
        <w:tc>
          <w:tcPr>
            <w:tcW w:w="2300" w:type="dxa"/>
            <w:vAlign w:val="bottom"/>
          </w:tcPr>
          <w:p>
            <w:pPr>
              <w:ind w:left="240"/>
              <w:spacing w:after="0"/>
              <w:rPr>
                <w:sz w:val="20"/>
                <w:szCs w:val="20"/>
                <w:color w:val="auto"/>
              </w:rPr>
            </w:pPr>
            <w:r>
              <w:rPr>
                <w:rFonts w:ascii="Arial" w:cs="Arial" w:eastAsia="Arial" w:hAnsi="Arial"/>
                <w:sz w:val="18"/>
                <w:szCs w:val="18"/>
                <w:color w:val="auto"/>
              </w:rPr>
              <w:t>Lawrenceville , NJ</w:t>
            </w:r>
          </w:p>
        </w:tc>
        <w:tc>
          <w:tcPr>
            <w:tcW w:w="4340" w:type="dxa"/>
            <w:vAlign w:val="bottom"/>
          </w:tcPr>
          <w:p>
            <w:pPr>
              <w:ind w:left="280"/>
              <w:spacing w:after="0"/>
              <w:rPr>
                <w:sz w:val="20"/>
                <w:szCs w:val="20"/>
                <w:color w:val="auto"/>
              </w:rPr>
            </w:pPr>
            <w:r>
              <w:rPr>
                <w:rFonts w:ascii="Arial" w:cs="Arial" w:eastAsia="Arial" w:hAnsi="Arial"/>
                <w:sz w:val="18"/>
                <w:szCs w:val="18"/>
                <w:color w:val="auto"/>
              </w:rPr>
              <w:t>Demolish, redevelop and re-tenant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2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Leesburg, VA</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Demolish, redevelop and re-tenant the former Kmart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&amp; Peebles.</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20"/>
                <w:szCs w:val="20"/>
                <w:color w:val="auto"/>
              </w:rPr>
            </w:pPr>
            <w:r>
              <w:rPr>
                <w:rFonts w:ascii="Arial" w:cs="Arial" w:eastAsia="Arial" w:hAnsi="Arial"/>
                <w:sz w:val="18"/>
                <w:szCs w:val="18"/>
                <w:color w:val="auto"/>
              </w:rPr>
              <w:t>Village of Shirlington - Phase II</w:t>
            </w:r>
          </w:p>
        </w:tc>
        <w:tc>
          <w:tcPr>
            <w:tcW w:w="2300" w:type="dxa"/>
            <w:vAlign w:val="bottom"/>
          </w:tcPr>
          <w:p>
            <w:pPr>
              <w:ind w:left="240"/>
              <w:spacing w:after="0"/>
              <w:rPr>
                <w:sz w:val="20"/>
                <w:szCs w:val="20"/>
                <w:color w:val="auto"/>
              </w:rPr>
            </w:pPr>
            <w:r>
              <w:rPr>
                <w:rFonts w:ascii="Arial" w:cs="Arial" w:eastAsia="Arial" w:hAnsi="Arial"/>
                <w:sz w:val="18"/>
                <w:szCs w:val="18"/>
                <w:color w:val="auto"/>
              </w:rPr>
              <w:t>Arlington, VA</w:t>
            </w:r>
          </w:p>
        </w:tc>
        <w:tc>
          <w:tcPr>
            <w:tcW w:w="4340" w:type="dxa"/>
            <w:vAlign w:val="bottom"/>
          </w:tcPr>
          <w:p>
            <w:pPr>
              <w:ind w:left="280"/>
              <w:spacing w:after="0"/>
              <w:rPr>
                <w:sz w:val="20"/>
                <w:szCs w:val="20"/>
                <w:color w:val="auto"/>
              </w:rPr>
            </w:pPr>
            <w:r>
              <w:rPr>
                <w:rFonts w:ascii="Arial" w:cs="Arial" w:eastAsia="Arial" w:hAnsi="Arial"/>
                <w:sz w:val="18"/>
                <w:szCs w:val="18"/>
                <w:color w:val="auto"/>
              </w:rPr>
              <w:t>Ground floor retail and parking garage as part of</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urban mixed-use development (by others)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Brick Plaza</w:t>
            </w:r>
          </w:p>
        </w:tc>
        <w:tc>
          <w:tcPr>
            <w:tcW w:w="2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Brick, NJ</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Re-tenanting (electronics)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00" w:type="dxa"/>
            <w:vAlign w:val="bottom"/>
            <w:gridSpan w:val="2"/>
          </w:tcPr>
          <w:p>
            <w:pPr>
              <w:spacing w:after="0"/>
              <w:rPr>
                <w:sz w:val="9"/>
                <w:szCs w:val="9"/>
                <w:color w:val="auto"/>
              </w:rPr>
            </w:pPr>
          </w:p>
        </w:tc>
        <w:tc>
          <w:tcPr>
            <w:tcW w:w="43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i w:val="1"/>
                <w:iCs w:val="1"/>
                <w:color w:val="auto"/>
                <w:w w:val="90"/>
              </w:rPr>
              <w:t>Subtotal: Projects Anticipated to Stabilize in 2006 (3) (4)</w:t>
            </w:r>
          </w:p>
        </w:tc>
        <w:tc>
          <w:tcPr>
            <w:tcW w:w="4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Projects Anticipated to Stabilize in 2007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Rockville Town Square</w:t>
            </w:r>
          </w:p>
        </w:tc>
        <w:tc>
          <w:tcPr>
            <w:tcW w:w="2500" w:type="dxa"/>
            <w:vAlign w:val="bottom"/>
          </w:tcPr>
          <w:p>
            <w:pPr>
              <w:ind w:left="200"/>
              <w:spacing w:after="0"/>
              <w:rPr>
                <w:sz w:val="20"/>
                <w:szCs w:val="20"/>
                <w:color w:val="auto"/>
              </w:rPr>
            </w:pPr>
            <w:r>
              <w:rPr>
                <w:rFonts w:ascii="Arial" w:cs="Arial" w:eastAsia="Arial" w:hAnsi="Arial"/>
                <w:sz w:val="18"/>
                <w:szCs w:val="18"/>
                <w:color w:val="auto"/>
              </w:rPr>
              <w:t>Rockville, MD</w:t>
            </w:r>
          </w:p>
        </w:tc>
        <w:tc>
          <w:tcPr>
            <w:tcW w:w="4100" w:type="dxa"/>
            <w:vAlign w:val="bottom"/>
          </w:tcPr>
          <w:p>
            <w:pPr>
              <w:ind w:left="40"/>
              <w:spacing w:after="0"/>
              <w:rPr>
                <w:sz w:val="20"/>
                <w:szCs w:val="20"/>
                <w:color w:val="auto"/>
              </w:rPr>
            </w:pPr>
            <w:r>
              <w:rPr>
                <w:rFonts w:ascii="Arial" w:cs="Arial" w:eastAsia="Arial" w:hAnsi="Arial"/>
                <w:sz w:val="18"/>
                <w:szCs w:val="18"/>
                <w:color w:val="auto"/>
              </w:rPr>
              <w:t>Ground floor retail as part of urban mixed-use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development (by others)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Willow Lawn</w:t>
            </w: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Richmond, VA</w:t>
            </w:r>
          </w:p>
        </w:tc>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Anchor re-tenanting, small shop demolition, façade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4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renovation, and site improvements</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Loehmann’s Plaza</w:t>
            </w:r>
          </w:p>
        </w:tc>
        <w:tc>
          <w:tcPr>
            <w:tcW w:w="2500" w:type="dxa"/>
            <w:vAlign w:val="bottom"/>
          </w:tcPr>
          <w:p>
            <w:pPr>
              <w:ind w:left="200"/>
              <w:spacing w:after="0"/>
              <w:rPr>
                <w:sz w:val="20"/>
                <w:szCs w:val="20"/>
                <w:color w:val="auto"/>
              </w:rPr>
            </w:pPr>
            <w:r>
              <w:rPr>
                <w:rFonts w:ascii="Arial" w:cs="Arial" w:eastAsia="Arial" w:hAnsi="Arial"/>
                <w:sz w:val="18"/>
                <w:szCs w:val="18"/>
                <w:color w:val="auto"/>
              </w:rPr>
              <w:t>Falls Church, VA</w:t>
            </w:r>
          </w:p>
        </w:tc>
        <w:tc>
          <w:tcPr>
            <w:tcW w:w="4100" w:type="dxa"/>
            <w:vAlign w:val="bottom"/>
          </w:tcPr>
          <w:p>
            <w:pPr>
              <w:ind w:left="40"/>
              <w:spacing w:after="0"/>
              <w:rPr>
                <w:sz w:val="20"/>
                <w:szCs w:val="20"/>
                <w:color w:val="auto"/>
              </w:rPr>
            </w:pPr>
            <w:r>
              <w:rPr>
                <w:rFonts w:ascii="Arial" w:cs="Arial" w:eastAsia="Arial" w:hAnsi="Arial"/>
                <w:sz w:val="18"/>
                <w:szCs w:val="18"/>
                <w:color w:val="auto"/>
              </w:rPr>
              <w:t>Grocer expansion, anchor relocation, façade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renovation and site improvements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9"/>
              </w:rPr>
              <w:t>Village of Shirlington - Phase III</w:t>
            </w: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Arlington, VA</w:t>
            </w:r>
          </w:p>
        </w:tc>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Ground floor retail below new office development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4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(by others)</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Leesburg Plaza - Pads</w:t>
            </w:r>
          </w:p>
        </w:tc>
        <w:tc>
          <w:tcPr>
            <w:tcW w:w="2500" w:type="dxa"/>
            <w:vAlign w:val="bottom"/>
          </w:tcPr>
          <w:p>
            <w:pPr>
              <w:ind w:left="200"/>
              <w:spacing w:after="0"/>
              <w:rPr>
                <w:sz w:val="20"/>
                <w:szCs w:val="20"/>
                <w:color w:val="auto"/>
              </w:rPr>
            </w:pPr>
            <w:r>
              <w:rPr>
                <w:rFonts w:ascii="Arial" w:cs="Arial" w:eastAsia="Arial" w:hAnsi="Arial"/>
                <w:sz w:val="18"/>
                <w:szCs w:val="18"/>
                <w:color w:val="auto"/>
              </w:rPr>
              <w:t>Leesburg, VA</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Two new retail buildings and a bank pad site will be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added</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20" w:type="dxa"/>
            <w:vAlign w:val="bottom"/>
            <w:gridSpan w:val="2"/>
          </w:tcPr>
          <w:p>
            <w:pPr>
              <w:spacing w:after="0"/>
              <w:rPr>
                <w:sz w:val="9"/>
                <w:szCs w:val="9"/>
                <w:color w:val="auto"/>
              </w:rPr>
            </w:pPr>
          </w:p>
        </w:tc>
        <w:tc>
          <w:tcPr>
            <w:tcW w:w="4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w w:val="95"/>
              </w:rPr>
              <w:t>Subtotal: Projects Anticipated to Stabilize in 2007 (3) (4)</w:t>
            </w:r>
          </w:p>
        </w:tc>
        <w:tc>
          <w:tcPr>
            <w:tcW w:w="4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gridSpan w:val="2"/>
          </w:tcPr>
          <w:p>
            <w:pPr>
              <w:spacing w:after="0"/>
              <w:rPr>
                <w:sz w:val="11"/>
                <w:szCs w:val="11"/>
                <w:color w:val="auto"/>
              </w:rPr>
            </w:pPr>
          </w:p>
        </w:tc>
        <w:tc>
          <w:tcPr>
            <w:tcW w:w="4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86"/>
              </w:rPr>
              <w:t>Total: Projects Anticipated to Stabilize in 2005, 2006 and 2007 (3) (4)</w:t>
            </w:r>
          </w:p>
        </w:tc>
        <w:tc>
          <w:tcPr>
            <w:tcW w:w="4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-329565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-329565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-329565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Redevelopments anticipated to stabilize in 2008 and 2009 include the next phase of Bethesda Row, Galaxy Building and Flourtown representing approximately $100 million of redevelopment capital. The Trust has a pipeline of potential, future redevelopment projects including Pike 7 and Westgate Mall and future phases of Santana Row, Assembly Square and Bala Cynwyd. (3)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6000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77" w:lineRule="exact"/>
        <w:rPr>
          <w:sz w:val="20"/>
          <w:szCs w:val="20"/>
          <w:color w:val="auto"/>
        </w:rPr>
      </w:pPr>
    </w:p>
    <w:p>
      <w:pPr>
        <w:jc w:val="both"/>
        <w:ind w:left="460" w:right="200" w:hanging="452"/>
        <w:spacing w:after="0" w:line="28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Anticipated Stabilization is the year in which 95% occupancy of the redeveloped space is anticipated to be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4" w:right="239" w:bottom="452"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5800" w:type="dxa"/>
            <w:vAlign w:val="bottom"/>
          </w:tcPr>
          <w:p>
            <w:pPr>
              <w:ind w:left="258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95"/>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Operational - Phases I, II and III (2) (5)</w:t>
            </w:r>
          </w:p>
        </w:tc>
        <w:tc>
          <w:tcPr>
            <w:tcW w:w="1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6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20"/>
                <w:szCs w:val="20"/>
                <w:color w:val="auto"/>
              </w:rPr>
            </w:pPr>
            <w:r>
              <w:rPr>
                <w:rFonts w:ascii="Arial" w:cs="Arial" w:eastAsia="Arial" w:hAnsi="Arial"/>
                <w:sz w:val="18"/>
                <w:szCs w:val="18"/>
                <w:color w:val="auto"/>
              </w:rPr>
              <w:t>563,000 sf</w:t>
            </w:r>
          </w:p>
        </w:tc>
        <w:tc>
          <w:tcPr>
            <w:tcW w:w="1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2"/>
              </w:rPr>
              <w:t>Retail was 94% leased as of December 31, 2005. Pink Stripes, Bella Boutique,</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Lucy and Furla opened in fourth quarter 2005.</w:t>
            </w:r>
          </w:p>
        </w:tc>
        <w:tc>
          <w:tcPr>
            <w:tcW w:w="0" w:type="dxa"/>
            <w:vAlign w:val="bottom"/>
          </w:tcPr>
          <w:p>
            <w:pPr>
              <w:spacing w:after="0"/>
              <w:rPr>
                <w:sz w:val="1"/>
                <w:szCs w:val="1"/>
                <w:color w:val="auto"/>
              </w:rPr>
            </w:pPr>
          </w:p>
        </w:tc>
      </w:tr>
      <w:tr>
        <w:trPr>
          <w:trHeight w:val="277"/>
        </w:trPr>
        <w:tc>
          <w:tcPr>
            <w:tcW w:w="36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1840" w:type="dxa"/>
            <w:vAlign w:val="bottom"/>
          </w:tcPr>
          <w:p>
            <w:pPr>
              <w:spacing w:after="0"/>
              <w:rPr>
                <w:sz w:val="20"/>
                <w:szCs w:val="20"/>
                <w:color w:val="auto"/>
              </w:rPr>
            </w:pPr>
            <w:r>
              <w:rPr>
                <w:rFonts w:ascii="Arial" w:cs="Arial" w:eastAsia="Arial" w:hAnsi="Arial"/>
                <w:sz w:val="18"/>
                <w:szCs w:val="18"/>
                <w:color w:val="auto"/>
              </w:rPr>
              <w:t>36 units</w:t>
            </w:r>
          </w:p>
        </w:tc>
        <w:tc>
          <w:tcPr>
            <w:tcW w:w="12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2"/>
              </w:rPr>
              <w:t>36 townhouse rental units in Building Eight were 94% leased on December 31,</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84"/>
        </w:trPr>
        <w:tc>
          <w:tcPr>
            <w:tcW w:w="3660" w:type="dxa"/>
            <w:vAlign w:val="bottom"/>
          </w:tcPr>
          <w:p>
            <w:pPr>
              <w:spacing w:after="0"/>
              <w:rPr>
                <w:sz w:val="20"/>
                <w:szCs w:val="20"/>
                <w:color w:val="auto"/>
              </w:rPr>
            </w:pPr>
            <w:r>
              <w:rPr>
                <w:rFonts w:ascii="Arial" w:cs="Arial" w:eastAsia="Arial" w:hAnsi="Arial"/>
                <w:sz w:val="18"/>
                <w:szCs w:val="18"/>
                <w:b w:val="1"/>
                <w:bCs w:val="1"/>
                <w:color w:val="auto"/>
              </w:rPr>
              <w:t>In Progress (3) (5)</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60" w:type="dxa"/>
            <w:vAlign w:val="bottom"/>
          </w:tcPr>
          <w:p>
            <w:pPr>
              <w:ind w:left="360"/>
              <w:spacing w:after="0"/>
              <w:rPr>
                <w:sz w:val="20"/>
                <w:szCs w:val="20"/>
                <w:color w:val="auto"/>
              </w:rPr>
            </w:pPr>
            <w:r>
              <w:rPr>
                <w:rFonts w:ascii="Arial" w:cs="Arial" w:eastAsia="Arial" w:hAnsi="Arial"/>
                <w:sz w:val="18"/>
                <w:szCs w:val="18"/>
                <w:color w:val="auto"/>
              </w:rPr>
              <w:t>Residential - for rent</w:t>
            </w:r>
          </w:p>
        </w:tc>
        <w:tc>
          <w:tcPr>
            <w:tcW w:w="1840" w:type="dxa"/>
            <w:vAlign w:val="bottom"/>
          </w:tcPr>
          <w:p>
            <w:pPr>
              <w:spacing w:after="0"/>
              <w:rPr>
                <w:sz w:val="20"/>
                <w:szCs w:val="20"/>
                <w:color w:val="auto"/>
              </w:rPr>
            </w:pPr>
            <w:r>
              <w:rPr>
                <w:rFonts w:ascii="Arial" w:cs="Arial" w:eastAsia="Arial" w:hAnsi="Arial"/>
                <w:sz w:val="18"/>
                <w:szCs w:val="18"/>
                <w:color w:val="auto"/>
              </w:rPr>
              <w:t>256 units</w:t>
            </w:r>
          </w:p>
        </w:tc>
        <w:tc>
          <w:tcPr>
            <w:tcW w:w="12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6"/>
              </w:rPr>
              <w:t>256 rental units being built on the Building Seven podium. Initial occupancy</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Phase IV</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89"/>
              </w:rPr>
              <w:t>commenced in April 2005 with lease-up expected to continue through 2006. As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86"/>
              </w:rPr>
              <w:t>December 31, 2005, 105 units (49 townhomes and 56 flats) have been leased at an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4"/>
              </w:rPr>
              <w:t>average rental rate of $2.56 per square foot per month. Projected cost of $70</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million is expected to yield 10% upon stabilization in 2006.</w:t>
            </w:r>
          </w:p>
        </w:tc>
        <w:tc>
          <w:tcPr>
            <w:tcW w:w="0" w:type="dxa"/>
            <w:vAlign w:val="bottom"/>
          </w:tcPr>
          <w:p>
            <w:pPr>
              <w:spacing w:after="0"/>
              <w:rPr>
                <w:sz w:val="1"/>
                <w:szCs w:val="1"/>
                <w:color w:val="auto"/>
              </w:rPr>
            </w:pPr>
          </w:p>
        </w:tc>
      </w:tr>
      <w:tr>
        <w:trPr>
          <w:trHeight w:val="426"/>
        </w:trPr>
        <w:tc>
          <w:tcPr>
            <w:tcW w:w="3660" w:type="dxa"/>
            <w:vAlign w:val="bottom"/>
          </w:tcPr>
          <w:p>
            <w:pPr>
              <w:ind w:left="440"/>
              <w:spacing w:after="0"/>
              <w:rPr>
                <w:sz w:val="20"/>
                <w:szCs w:val="20"/>
                <w:color w:val="auto"/>
              </w:rPr>
            </w:pPr>
            <w:r>
              <w:rPr>
                <w:rFonts w:ascii="Arial" w:cs="Arial" w:eastAsia="Arial" w:hAnsi="Arial"/>
                <w:sz w:val="18"/>
                <w:szCs w:val="18"/>
                <w:color w:val="auto"/>
              </w:rPr>
              <w:t>Residential - for sale</w:t>
            </w:r>
          </w:p>
        </w:tc>
        <w:tc>
          <w:tcPr>
            <w:tcW w:w="1840" w:type="dxa"/>
            <w:vAlign w:val="bottom"/>
          </w:tcPr>
          <w:p>
            <w:pPr>
              <w:spacing w:after="0"/>
              <w:rPr>
                <w:sz w:val="20"/>
                <w:szCs w:val="20"/>
                <w:color w:val="auto"/>
              </w:rPr>
            </w:pPr>
            <w:r>
              <w:rPr>
                <w:rFonts w:ascii="Arial" w:cs="Arial" w:eastAsia="Arial" w:hAnsi="Arial"/>
                <w:sz w:val="18"/>
                <w:szCs w:val="18"/>
                <w:color w:val="auto"/>
              </w:rPr>
              <w:t>219 units</w:t>
            </w:r>
          </w:p>
        </w:tc>
        <w:tc>
          <w:tcPr>
            <w:tcW w:w="12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3"/>
              </w:rPr>
              <w:t>Closings on the sale of loft and villa units commenced in August 2005 and are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3"/>
              </w:rPr>
              <w:t>proceeding in all three buildings. Projected gross sales proceeds increased to</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approximately $150 million. (4)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4"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Commitments/Closings:</w:t>
      </w:r>
    </w:p>
    <w:p>
      <w:pPr>
        <w:spacing w:after="0" w:line="56" w:lineRule="exact"/>
        <w:rPr>
          <w:sz w:val="20"/>
          <w:szCs w:val="20"/>
          <w:color w:val="auto"/>
        </w:rPr>
      </w:pPr>
    </w:p>
    <w:p>
      <w:pPr>
        <w:ind w:left="3680"/>
        <w:spacing w:after="0"/>
        <w:rPr>
          <w:sz w:val="20"/>
          <w:szCs w:val="20"/>
          <w:color w:val="auto"/>
        </w:rPr>
      </w:pPr>
      <w:r>
        <w:rPr>
          <w:rFonts w:ascii="Arial" w:cs="Arial" w:eastAsia="Arial" w:hAnsi="Arial"/>
          <w:sz w:val="16"/>
          <w:szCs w:val="16"/>
          <w:i w:val="1"/>
          <w:iCs w:val="1"/>
          <w:color w:val="auto"/>
        </w:rPr>
        <w:t>(as of February 13, 2006)</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152 units have been closed, with associated gross sales proceeds of $105.3 million.</w:t>
      </w:r>
    </w:p>
    <w:p>
      <w:pPr>
        <w:ind w:right="20"/>
        <w:spacing w:after="0" w:line="261" w:lineRule="auto"/>
        <w:rPr>
          <w:sz w:val="20"/>
          <w:szCs w:val="20"/>
          <w:color w:val="auto"/>
        </w:rPr>
      </w:pPr>
      <w:r>
        <w:rPr>
          <w:rFonts w:ascii="Arial" w:cs="Arial" w:eastAsia="Arial" w:hAnsi="Arial"/>
          <w:sz w:val="18"/>
          <w:szCs w:val="18"/>
          <w:color w:val="auto"/>
        </w:rPr>
        <w:t>30 units are under binding contracts, with associated gross sales proceeds of $20.3 million.</w:t>
      </w:r>
    </w:p>
    <w:p>
      <w:pPr>
        <w:spacing w:after="0" w:line="120" w:lineRule="exact"/>
        <w:rPr>
          <w:sz w:val="20"/>
          <w:szCs w:val="20"/>
          <w:color w:val="auto"/>
        </w:rPr>
      </w:pPr>
    </w:p>
    <w:p>
      <w:pPr>
        <w:sectPr>
          <w:pgSz w:w="11900" w:h="16838" w:orient="portrait"/>
          <w:cols w:equalWidth="0" w:num="2">
            <w:col w:w="5500" w:space="120"/>
            <w:col w:w="58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Units Closed</w:t>
            </w:r>
          </w:p>
        </w:tc>
        <w:tc>
          <w:tcPr>
            <w:tcW w:w="42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Units Under Contract</w:t>
            </w:r>
          </w:p>
        </w:tc>
        <w:tc>
          <w:tcPr>
            <w:tcW w:w="980" w:type="dxa"/>
            <w:vAlign w:val="bottom"/>
          </w:tcPr>
          <w:p>
            <w:pPr>
              <w:spacing w:after="0"/>
              <w:rPr>
                <w:sz w:val="20"/>
                <w:szCs w:val="20"/>
                <w:color w:val="auto"/>
              </w:rPr>
            </w:pPr>
            <w:r>
              <w:rPr>
                <w:rFonts w:ascii="Arial" w:cs="Arial" w:eastAsia="Arial" w:hAnsi="Arial"/>
                <w:sz w:val="14"/>
                <w:szCs w:val="14"/>
                <w:b w:val="1"/>
                <w:bCs w:val="1"/>
                <w:color w:val="auto"/>
                <w:w w:val="86"/>
              </w:rPr>
              <w:t>Units Remaining</w:t>
            </w:r>
          </w:p>
        </w:tc>
      </w:tr>
      <w:tr>
        <w:trPr>
          <w:trHeight w:val="95"/>
        </w:trPr>
        <w:tc>
          <w:tcPr>
            <w:tcW w:w="17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09"/>
        </w:trPr>
        <w:tc>
          <w:tcPr>
            <w:tcW w:w="1760" w:type="dxa"/>
            <w:vAlign w:val="bottom"/>
          </w:tcPr>
          <w:p>
            <w:pPr>
              <w:spacing w:after="0"/>
              <w:rPr>
                <w:sz w:val="24"/>
                <w:szCs w:val="24"/>
                <w:color w:val="auto"/>
              </w:rPr>
            </w:pPr>
          </w:p>
        </w:tc>
        <w:tc>
          <w:tcPr>
            <w:tcW w:w="3560" w:type="dxa"/>
            <w:vAlign w:val="bottom"/>
          </w:tcPr>
          <w:p>
            <w:pPr>
              <w:ind w:left="540"/>
              <w:spacing w:after="0"/>
              <w:rPr>
                <w:sz w:val="20"/>
                <w:szCs w:val="20"/>
                <w:color w:val="auto"/>
              </w:rPr>
            </w:pPr>
            <w:r>
              <w:rPr>
                <w:rFonts w:ascii="Arial" w:cs="Arial" w:eastAsia="Arial" w:hAnsi="Arial"/>
                <w:sz w:val="18"/>
                <w:szCs w:val="18"/>
                <w:i w:val="1"/>
                <w:iCs w:val="1"/>
                <w:color w:val="auto"/>
              </w:rPr>
              <w:t>Building Three (98 lofts)</w:t>
            </w:r>
          </w:p>
        </w:tc>
        <w:tc>
          <w:tcPr>
            <w:tcW w:w="740" w:type="dxa"/>
            <w:vAlign w:val="bottom"/>
          </w:tcPr>
          <w:p>
            <w:pPr>
              <w:ind w:left="280"/>
              <w:spacing w:after="0"/>
              <w:rPr>
                <w:sz w:val="20"/>
                <w:szCs w:val="20"/>
                <w:color w:val="auto"/>
              </w:rPr>
            </w:pPr>
            <w:r>
              <w:rPr>
                <w:rFonts w:ascii="Arial" w:cs="Arial" w:eastAsia="Arial" w:hAnsi="Arial"/>
                <w:sz w:val="18"/>
                <w:szCs w:val="18"/>
                <w:color w:val="auto"/>
              </w:rPr>
              <w:t>51</w:t>
            </w:r>
          </w:p>
        </w:tc>
        <w:tc>
          <w:tcPr>
            <w:tcW w:w="168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21</w:t>
            </w:r>
          </w:p>
        </w:tc>
        <w:tc>
          <w:tcPr>
            <w:tcW w:w="4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760" w:type="dxa"/>
            <w:vAlign w:val="bottom"/>
          </w:tcPr>
          <w:p>
            <w:pPr>
              <w:spacing w:after="0"/>
              <w:rPr>
                <w:sz w:val="18"/>
                <w:szCs w:val="18"/>
                <w:color w:val="auto"/>
              </w:rPr>
            </w:pPr>
          </w:p>
        </w:tc>
        <w:tc>
          <w:tcPr>
            <w:tcW w:w="3560" w:type="dxa"/>
            <w:vAlign w:val="bottom"/>
          </w:tcPr>
          <w:p>
            <w:pPr>
              <w:ind w:left="540"/>
              <w:spacing w:after="0"/>
              <w:rPr>
                <w:sz w:val="20"/>
                <w:szCs w:val="20"/>
                <w:color w:val="auto"/>
              </w:rPr>
            </w:pPr>
            <w:r>
              <w:rPr>
                <w:rFonts w:ascii="Arial" w:cs="Arial" w:eastAsia="Arial" w:hAnsi="Arial"/>
                <w:sz w:val="18"/>
                <w:szCs w:val="18"/>
                <w:i w:val="1"/>
                <w:iCs w:val="1"/>
                <w:color w:val="auto"/>
              </w:rPr>
              <w:t>Building Four (100 lofts)</w:t>
            </w:r>
          </w:p>
        </w:tc>
        <w:tc>
          <w:tcPr>
            <w:tcW w:w="740" w:type="dxa"/>
            <w:vAlign w:val="bottom"/>
          </w:tcPr>
          <w:p>
            <w:pPr>
              <w:ind w:left="280"/>
              <w:spacing w:after="0"/>
              <w:rPr>
                <w:sz w:val="20"/>
                <w:szCs w:val="20"/>
                <w:color w:val="auto"/>
              </w:rPr>
            </w:pPr>
            <w:r>
              <w:rPr>
                <w:rFonts w:ascii="Arial" w:cs="Arial" w:eastAsia="Arial" w:hAnsi="Arial"/>
                <w:sz w:val="18"/>
                <w:szCs w:val="18"/>
                <w:color w:val="auto"/>
              </w:rPr>
              <w:t>85</w:t>
            </w:r>
          </w:p>
        </w:tc>
        <w:tc>
          <w:tcPr>
            <w:tcW w:w="1680" w:type="dxa"/>
            <w:vAlign w:val="bottom"/>
            <w:gridSpan w:val="2"/>
          </w:tcPr>
          <w:p>
            <w:pPr>
              <w:jc w:val="center"/>
              <w:ind w:left="332"/>
              <w:spacing w:after="0"/>
              <w:rPr>
                <w:sz w:val="20"/>
                <w:szCs w:val="20"/>
                <w:color w:val="auto"/>
              </w:rPr>
            </w:pPr>
            <w:r>
              <w:rPr>
                <w:rFonts w:ascii="Arial" w:cs="Arial" w:eastAsia="Arial" w:hAnsi="Arial"/>
                <w:sz w:val="18"/>
                <w:szCs w:val="18"/>
                <w:color w:val="auto"/>
                <w:w w:val="99"/>
              </w:rPr>
              <w:t>7</w:t>
            </w:r>
          </w:p>
        </w:tc>
        <w:tc>
          <w:tcPr>
            <w:tcW w:w="4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22"/>
        </w:trPr>
        <w:tc>
          <w:tcPr>
            <w:tcW w:w="1760" w:type="dxa"/>
            <w:vAlign w:val="bottom"/>
          </w:tcPr>
          <w:p>
            <w:pPr>
              <w:spacing w:after="0"/>
              <w:rPr>
                <w:sz w:val="19"/>
                <w:szCs w:val="19"/>
                <w:color w:val="auto"/>
              </w:rPr>
            </w:pPr>
          </w:p>
        </w:tc>
        <w:tc>
          <w:tcPr>
            <w:tcW w:w="3560" w:type="dxa"/>
            <w:vAlign w:val="bottom"/>
          </w:tcPr>
          <w:p>
            <w:pPr>
              <w:ind w:left="540"/>
              <w:spacing w:after="0"/>
              <w:rPr>
                <w:sz w:val="20"/>
                <w:szCs w:val="20"/>
                <w:color w:val="auto"/>
              </w:rPr>
            </w:pPr>
            <w:r>
              <w:rPr>
                <w:rFonts w:ascii="Arial" w:cs="Arial" w:eastAsia="Arial" w:hAnsi="Arial"/>
                <w:sz w:val="18"/>
                <w:szCs w:val="18"/>
                <w:i w:val="1"/>
                <w:iCs w:val="1"/>
                <w:color w:val="auto"/>
              </w:rPr>
              <w:t>Building Six (21 villas)</w:t>
            </w:r>
          </w:p>
        </w:tc>
        <w:tc>
          <w:tcPr>
            <w:tcW w:w="740" w:type="dxa"/>
            <w:vAlign w:val="bottom"/>
          </w:tcPr>
          <w:p>
            <w:pPr>
              <w:ind w:left="280"/>
              <w:spacing w:after="0"/>
              <w:rPr>
                <w:sz w:val="20"/>
                <w:szCs w:val="20"/>
                <w:color w:val="auto"/>
              </w:rPr>
            </w:pPr>
            <w:r>
              <w:rPr>
                <w:rFonts w:ascii="Arial" w:cs="Arial" w:eastAsia="Arial" w:hAnsi="Arial"/>
                <w:sz w:val="18"/>
                <w:szCs w:val="18"/>
                <w:color w:val="auto"/>
              </w:rPr>
              <w:t>16</w:t>
            </w:r>
          </w:p>
        </w:tc>
        <w:tc>
          <w:tcPr>
            <w:tcW w:w="1680" w:type="dxa"/>
            <w:vAlign w:val="bottom"/>
            <w:gridSpan w:val="2"/>
          </w:tcPr>
          <w:p>
            <w:pPr>
              <w:jc w:val="center"/>
              <w:ind w:left="332"/>
              <w:spacing w:after="0"/>
              <w:rPr>
                <w:sz w:val="20"/>
                <w:szCs w:val="20"/>
                <w:color w:val="auto"/>
              </w:rPr>
            </w:pPr>
            <w:r>
              <w:rPr>
                <w:rFonts w:ascii="Arial" w:cs="Arial" w:eastAsia="Arial" w:hAnsi="Arial"/>
                <w:sz w:val="18"/>
                <w:szCs w:val="18"/>
                <w:color w:val="auto"/>
                <w:w w:val="99"/>
              </w:rPr>
              <w:t>2</w:t>
            </w:r>
          </w:p>
        </w:tc>
        <w:tc>
          <w:tcPr>
            <w:tcW w:w="4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358"/>
        </w:trPr>
        <w:tc>
          <w:tcPr>
            <w:tcW w:w="1760" w:type="dxa"/>
            <w:vAlign w:val="bottom"/>
          </w:tcPr>
          <w:p>
            <w:pPr>
              <w:spacing w:after="0"/>
              <w:rPr>
                <w:sz w:val="20"/>
                <w:szCs w:val="20"/>
                <w:color w:val="auto"/>
              </w:rPr>
            </w:pPr>
            <w:r>
              <w:rPr>
                <w:rFonts w:ascii="Arial" w:cs="Arial" w:eastAsia="Arial" w:hAnsi="Arial"/>
                <w:sz w:val="18"/>
                <w:szCs w:val="18"/>
                <w:b w:val="1"/>
                <w:bCs w:val="1"/>
                <w:color w:val="auto"/>
              </w:rPr>
              <w:t>Future (6)</w:t>
            </w:r>
          </w:p>
        </w:tc>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1760" w:type="dxa"/>
            <w:vAlign w:val="bottom"/>
          </w:tcPr>
          <w:p>
            <w:pPr>
              <w:ind w:left="440"/>
              <w:spacing w:after="0"/>
              <w:rPr>
                <w:sz w:val="20"/>
                <w:szCs w:val="20"/>
                <w:color w:val="auto"/>
              </w:rPr>
            </w:pPr>
            <w:r>
              <w:rPr>
                <w:rFonts w:ascii="Arial" w:cs="Arial" w:eastAsia="Arial" w:hAnsi="Arial"/>
                <w:sz w:val="18"/>
                <w:szCs w:val="18"/>
                <w:color w:val="auto"/>
              </w:rPr>
              <w:t>Retail</w:t>
            </w:r>
          </w:p>
        </w:tc>
        <w:tc>
          <w:tcPr>
            <w:tcW w:w="3560" w:type="dxa"/>
            <w:vAlign w:val="bottom"/>
          </w:tcPr>
          <w:p>
            <w:pPr>
              <w:ind w:left="1900"/>
              <w:spacing w:after="0"/>
              <w:rPr>
                <w:sz w:val="20"/>
                <w:szCs w:val="20"/>
                <w:color w:val="auto"/>
              </w:rPr>
            </w:pPr>
            <w:r>
              <w:rPr>
                <w:rFonts w:ascii="Arial" w:cs="Arial" w:eastAsia="Arial" w:hAnsi="Arial"/>
                <w:sz w:val="18"/>
                <w:szCs w:val="18"/>
                <w:color w:val="auto"/>
              </w:rPr>
              <w:t>125,000 sf</w:t>
            </w:r>
          </w:p>
        </w:tc>
        <w:tc>
          <w:tcPr>
            <w:tcW w:w="2840" w:type="dxa"/>
            <w:vAlign w:val="bottom"/>
            <w:gridSpan w:val="4"/>
          </w:tcPr>
          <w:p>
            <w:pPr>
              <w:ind w:left="300"/>
              <w:spacing w:after="0"/>
              <w:rPr>
                <w:sz w:val="20"/>
                <w:szCs w:val="20"/>
                <w:color w:val="auto"/>
              </w:rPr>
            </w:pPr>
            <w:r>
              <w:rPr>
                <w:rFonts w:ascii="Arial" w:cs="Arial" w:eastAsia="Arial" w:hAnsi="Arial"/>
                <w:sz w:val="18"/>
                <w:szCs w:val="18"/>
                <w:color w:val="auto"/>
                <w:w w:val="98"/>
              </w:rPr>
              <w:t>Currently being master planned.</w:t>
            </w:r>
          </w:p>
        </w:tc>
        <w:tc>
          <w:tcPr>
            <w:tcW w:w="980" w:type="dxa"/>
            <w:vAlign w:val="bottom"/>
          </w:tcPr>
          <w:p>
            <w:pPr>
              <w:spacing w:after="0"/>
              <w:rPr>
                <w:sz w:val="19"/>
                <w:szCs w:val="19"/>
                <w:color w:val="auto"/>
              </w:rPr>
            </w:pPr>
          </w:p>
        </w:tc>
      </w:tr>
      <w:tr>
        <w:trPr>
          <w:trHeight w:val="324"/>
        </w:trPr>
        <w:tc>
          <w:tcPr>
            <w:tcW w:w="17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3560" w:type="dxa"/>
            <w:vAlign w:val="bottom"/>
          </w:tcPr>
          <w:p>
            <w:pPr>
              <w:ind w:left="1900"/>
              <w:spacing w:after="0"/>
              <w:rPr>
                <w:sz w:val="20"/>
                <w:szCs w:val="20"/>
                <w:color w:val="auto"/>
              </w:rPr>
            </w:pPr>
            <w:r>
              <w:rPr>
                <w:rFonts w:ascii="Arial" w:cs="Arial" w:eastAsia="Arial" w:hAnsi="Arial"/>
                <w:sz w:val="18"/>
                <w:szCs w:val="18"/>
                <w:color w:val="auto"/>
              </w:rPr>
              <w:t>690 units</w:t>
            </w:r>
          </w:p>
        </w:tc>
        <w:tc>
          <w:tcPr>
            <w:tcW w:w="2840" w:type="dxa"/>
            <w:vAlign w:val="bottom"/>
            <w:gridSpan w:val="4"/>
          </w:tcPr>
          <w:p>
            <w:pPr>
              <w:ind w:left="300"/>
              <w:spacing w:after="0"/>
              <w:rPr>
                <w:sz w:val="20"/>
                <w:szCs w:val="20"/>
                <w:color w:val="auto"/>
              </w:rPr>
            </w:pPr>
            <w:r>
              <w:rPr>
                <w:rFonts w:ascii="Arial" w:cs="Arial" w:eastAsia="Arial" w:hAnsi="Arial"/>
                <w:sz w:val="18"/>
                <w:szCs w:val="18"/>
                <w:color w:val="auto"/>
                <w:w w:val="98"/>
              </w:rPr>
              <w:t>Currently being master planned.</w:t>
            </w:r>
          </w:p>
        </w:tc>
        <w:tc>
          <w:tcPr>
            <w:tcW w:w="980" w:type="dxa"/>
            <w:vAlign w:val="bottom"/>
          </w:tcPr>
          <w:p>
            <w:pPr>
              <w:spacing w:after="0"/>
              <w:rPr>
                <w:sz w:val="24"/>
                <w:szCs w:val="24"/>
                <w:color w:val="auto"/>
              </w:rPr>
            </w:pPr>
          </w:p>
        </w:tc>
      </w:tr>
      <w:tr>
        <w:trPr>
          <w:trHeight w:val="324"/>
        </w:trPr>
        <w:tc>
          <w:tcPr>
            <w:tcW w:w="1760" w:type="dxa"/>
            <w:vAlign w:val="bottom"/>
          </w:tcPr>
          <w:p>
            <w:pPr>
              <w:ind w:left="440"/>
              <w:spacing w:after="0"/>
              <w:rPr>
                <w:sz w:val="20"/>
                <w:szCs w:val="20"/>
                <w:color w:val="auto"/>
              </w:rPr>
            </w:pPr>
            <w:r>
              <w:rPr>
                <w:rFonts w:ascii="Arial" w:cs="Arial" w:eastAsia="Arial" w:hAnsi="Arial"/>
                <w:sz w:val="18"/>
                <w:szCs w:val="18"/>
                <w:color w:val="auto"/>
              </w:rPr>
              <w:t>Hotel</w:t>
            </w:r>
          </w:p>
        </w:tc>
        <w:tc>
          <w:tcPr>
            <w:tcW w:w="3560" w:type="dxa"/>
            <w:vAlign w:val="bottom"/>
          </w:tcPr>
          <w:p>
            <w:pPr>
              <w:ind w:left="1900"/>
              <w:spacing w:after="0"/>
              <w:rPr>
                <w:sz w:val="20"/>
                <w:szCs w:val="20"/>
                <w:color w:val="auto"/>
              </w:rPr>
            </w:pPr>
            <w:r>
              <w:rPr>
                <w:rFonts w:ascii="Arial" w:cs="Arial" w:eastAsia="Arial" w:hAnsi="Arial"/>
                <w:sz w:val="18"/>
                <w:szCs w:val="18"/>
                <w:color w:val="auto"/>
              </w:rPr>
              <w:t>191 rooms</w:t>
            </w:r>
          </w:p>
        </w:tc>
        <w:tc>
          <w:tcPr>
            <w:tcW w:w="2840" w:type="dxa"/>
            <w:vAlign w:val="bottom"/>
            <w:gridSpan w:val="4"/>
          </w:tcPr>
          <w:p>
            <w:pPr>
              <w:ind w:left="300"/>
              <w:spacing w:after="0"/>
              <w:rPr>
                <w:sz w:val="20"/>
                <w:szCs w:val="20"/>
                <w:color w:val="auto"/>
              </w:rPr>
            </w:pPr>
            <w:r>
              <w:rPr>
                <w:rFonts w:ascii="Arial" w:cs="Arial" w:eastAsia="Arial" w:hAnsi="Arial"/>
                <w:sz w:val="18"/>
                <w:szCs w:val="18"/>
                <w:color w:val="auto"/>
                <w:w w:val="98"/>
              </w:rPr>
              <w:t>Currently being master planned.</w:t>
            </w: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costs are projected final costs. Yield represents stabilized projected Property Operating Income divided by projected final costs.</w:t>
      </w:r>
    </w:p>
    <w:p>
      <w:pPr>
        <w:spacing w:after="0" w:line="15"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portions of the property currently open and operating which include luxury and lifestyle retail components, loft, townhome and villa residential units, and the 213-room Hotel Valencia Santana Row.</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and other significant activities being actively pursued at Santana Row.</w:t>
      </w:r>
    </w:p>
    <w:p>
      <w:pPr>
        <w:spacing w:after="0" w:line="9"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Projected gross sales proceeds represent management’s current estimate of total sales prices for the 219 units expected to be sold without taking into account any costs of sale, including, without limitation, any income taxes that may be paid.</w:t>
      </w: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$432 million of projected costs at Santana Row is expected to yield 7% upon both of the following having occurred: (1) stabilization of Phases I - IV (net of insurance proceeds), and (2) completion of the sale of 219 condominiums expected in 2006. The projected cost includes $11 million invested in joint ventures at Santana Row.</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Remaining entitlements for development or sale.</w:t>
      </w:r>
    </w:p>
    <w:p>
      <w:pPr>
        <w:sectPr>
          <w:pgSz w:w="11900" w:h="16838" w:orient="portrait"/>
          <w:cols w:equalWidth="0" w:num="1">
            <w:col w:w="11420"/>
          </w:cols>
          <w:pgMar w:left="240" w:top="27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 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880" w:type="dxa"/>
            <w:vAlign w:val="bottom"/>
            <w:gridSpan w:val="4"/>
          </w:tcPr>
          <w:p>
            <w:pPr>
              <w:ind w:left="240"/>
              <w:spacing w:after="0"/>
              <w:rPr>
                <w:sz w:val="20"/>
                <w:szCs w:val="20"/>
                <w:color w:val="auto"/>
              </w:rPr>
            </w:pPr>
            <w:r>
              <w:rPr>
                <w:rFonts w:ascii="Arial" w:cs="Arial" w:eastAsia="Arial" w:hAnsi="Arial"/>
                <w:sz w:val="14"/>
                <w:szCs w:val="14"/>
                <w:b w:val="1"/>
                <w:bCs w:val="1"/>
                <w:color w:val="auto"/>
              </w:rPr>
              <w:t>Property</w:t>
            </w: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City / State</w:t>
            </w:r>
          </w:p>
        </w:tc>
        <w:tc>
          <w:tcPr>
            <w:tcW w:w="100" w:type="dxa"/>
            <w:vAlign w:val="bottom"/>
          </w:tcPr>
          <w:p>
            <w:pPr>
              <w:spacing w:after="0"/>
              <w:rPr>
                <w:sz w:val="15"/>
                <w:szCs w:val="15"/>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Purchase price</w:t>
            </w: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95"/>
        </w:trPr>
        <w:tc>
          <w:tcPr>
            <w:tcW w:w="4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1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2005</w:t>
            </w:r>
          </w:p>
        </w:tc>
        <w:tc>
          <w:tcPr>
            <w:tcW w:w="28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3"/>
              </w:rPr>
              <w:t>Assembly Square/Sturtevant Street</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Somerville, MA</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551,233</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66,400</w:t>
            </w:r>
          </w:p>
        </w:tc>
        <w:tc>
          <w:tcPr>
            <w:tcW w:w="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K-Mart, TJ Maxx, Bed Bath and Beyond,</w:t>
            </w:r>
          </w:p>
        </w:tc>
        <w:tc>
          <w:tcPr>
            <w:tcW w:w="0" w:type="dxa"/>
            <w:vAlign w:val="bottom"/>
          </w:tcPr>
          <w:p>
            <w:pPr>
              <w:spacing w:after="0"/>
              <w:rPr>
                <w:sz w:val="1"/>
                <w:szCs w:val="1"/>
                <w:color w:val="auto"/>
              </w:rPr>
            </w:pPr>
          </w:p>
        </w:tc>
      </w:tr>
      <w:tr>
        <w:trPr>
          <w:trHeight w:val="224"/>
        </w:trPr>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Christmas Tree Shops</w:t>
            </w:r>
          </w:p>
        </w:tc>
        <w:tc>
          <w:tcPr>
            <w:tcW w:w="0" w:type="dxa"/>
            <w:vAlign w:val="bottom"/>
          </w:tcPr>
          <w:p>
            <w:pPr>
              <w:spacing w:after="0"/>
              <w:rPr>
                <w:sz w:val="1"/>
                <w:szCs w:val="1"/>
                <w:color w:val="auto"/>
              </w:rPr>
            </w:pPr>
          </w:p>
        </w:tc>
      </w:tr>
      <w:tr>
        <w:trPr>
          <w:trHeight w:val="222"/>
        </w:trPr>
        <w:tc>
          <w:tcPr>
            <w:tcW w:w="1620" w:type="dxa"/>
            <w:vAlign w:val="bottom"/>
            <w:gridSpan w:val="2"/>
          </w:tcPr>
          <w:p>
            <w:pPr>
              <w:spacing w:after="0"/>
              <w:rPr>
                <w:sz w:val="20"/>
                <w:szCs w:val="20"/>
                <w:color w:val="auto"/>
              </w:rPr>
            </w:pPr>
            <w:r>
              <w:rPr>
                <w:rFonts w:ascii="Arial" w:cs="Arial" w:eastAsia="Arial" w:hAnsi="Arial"/>
                <w:sz w:val="18"/>
                <w:szCs w:val="18"/>
                <w:color w:val="auto"/>
              </w:rPr>
              <w:t>December 29, 2005</w:t>
            </w:r>
          </w:p>
        </w:tc>
        <w:tc>
          <w:tcPr>
            <w:tcW w:w="2880" w:type="dxa"/>
            <w:vAlign w:val="bottom"/>
            <w:gridSpan w:val="4"/>
          </w:tcPr>
          <w:p>
            <w:pPr>
              <w:ind w:left="240"/>
              <w:spacing w:after="0"/>
              <w:rPr>
                <w:sz w:val="20"/>
                <w:szCs w:val="20"/>
                <w:color w:val="auto"/>
              </w:rPr>
            </w:pPr>
            <w:r>
              <w:rPr>
                <w:rFonts w:ascii="Arial" w:cs="Arial" w:eastAsia="Arial" w:hAnsi="Arial"/>
                <w:sz w:val="18"/>
                <w:szCs w:val="18"/>
                <w:color w:val="auto"/>
              </w:rPr>
              <w:t>Crow Canyon</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San Ramon, CA</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227,685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47,472</w:t>
            </w:r>
          </w:p>
        </w:tc>
        <w:tc>
          <w:tcPr>
            <w:tcW w:w="10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Albertson’s, Loehmann’s, Rite Aid</w:t>
            </w: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778,918</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113,872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87"/>
              </w:rPr>
              <w:t>Federal Realty Investment Trust Dispositions</w:t>
            </w:r>
          </w:p>
        </w:tc>
        <w:tc>
          <w:tcPr>
            <w:tcW w:w="1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400" w:type="dxa"/>
            <w:vAlign w:val="bottom"/>
            <w:tcBorders>
              <w:bottom w:val="single" w:sz="8" w:color="auto"/>
            </w:tcBorders>
            <w:gridSpan w:val="5"/>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880" w:type="dxa"/>
            <w:vAlign w:val="bottom"/>
            <w:gridSpan w:val="4"/>
          </w:tcPr>
          <w:p>
            <w:pPr>
              <w:ind w:left="240"/>
              <w:spacing w:after="0"/>
              <w:rPr>
                <w:sz w:val="20"/>
                <w:szCs w:val="20"/>
                <w:color w:val="auto"/>
              </w:rPr>
            </w:pPr>
            <w:r>
              <w:rPr>
                <w:rFonts w:ascii="Arial" w:cs="Arial" w:eastAsia="Arial" w:hAnsi="Arial"/>
                <w:sz w:val="14"/>
                <w:szCs w:val="14"/>
                <w:b w:val="1"/>
                <w:bCs w:val="1"/>
                <w:color w:val="auto"/>
              </w:rPr>
              <w:t>Property</w:t>
            </w: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City / State</w:t>
            </w:r>
          </w:p>
        </w:tc>
        <w:tc>
          <w:tcPr>
            <w:tcW w:w="100" w:type="dxa"/>
            <w:vAlign w:val="bottom"/>
          </w:tcPr>
          <w:p>
            <w:pPr>
              <w:spacing w:after="0"/>
              <w:rPr>
                <w:sz w:val="24"/>
                <w:szCs w:val="2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Sales price</w:t>
            </w: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1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2005</w:t>
            </w:r>
          </w:p>
        </w:tc>
        <w:tc>
          <w:tcPr>
            <w:tcW w:w="28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420 South Mill Avenue</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Tempe, AZ</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15,966</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February 15, 2005</w:t>
            </w:r>
          </w:p>
        </w:tc>
        <w:tc>
          <w:tcPr>
            <w:tcW w:w="2880" w:type="dxa"/>
            <w:vAlign w:val="bottom"/>
            <w:gridSpan w:val="4"/>
          </w:tcPr>
          <w:p>
            <w:pPr>
              <w:ind w:left="240"/>
              <w:spacing w:after="0"/>
              <w:rPr>
                <w:sz w:val="20"/>
                <w:szCs w:val="20"/>
                <w:color w:val="auto"/>
              </w:rPr>
            </w:pPr>
            <w:r>
              <w:rPr>
                <w:rFonts w:ascii="Arial" w:cs="Arial" w:eastAsia="Arial" w:hAnsi="Arial"/>
                <w:sz w:val="18"/>
                <w:szCs w:val="18"/>
                <w:color w:val="auto"/>
              </w:rPr>
              <w:t>501 South Mill Avenue</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Tempe, AZ</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 2005</w:t>
            </w:r>
          </w:p>
        </w:tc>
        <w:tc>
          <w:tcPr>
            <w:tcW w:w="28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Andary Building</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Winter Park, FL</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June 2, 2005</w:t>
            </w:r>
          </w:p>
        </w:tc>
        <w:tc>
          <w:tcPr>
            <w:tcW w:w="2880" w:type="dxa"/>
            <w:vAlign w:val="bottom"/>
            <w:gridSpan w:val="4"/>
          </w:tcPr>
          <w:p>
            <w:pPr>
              <w:ind w:left="240"/>
              <w:spacing w:after="0"/>
              <w:rPr>
                <w:sz w:val="20"/>
                <w:szCs w:val="20"/>
                <w:color w:val="auto"/>
              </w:rPr>
            </w:pPr>
            <w:r>
              <w:rPr>
                <w:rFonts w:ascii="Arial" w:cs="Arial" w:eastAsia="Arial" w:hAnsi="Arial"/>
                <w:sz w:val="18"/>
                <w:szCs w:val="18"/>
                <w:color w:val="auto"/>
              </w:rPr>
              <w:t>Cone Building</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Winter Park, FL</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24,846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12, 2005</w:t>
            </w:r>
          </w:p>
        </w:tc>
        <w:tc>
          <w:tcPr>
            <w:tcW w:w="28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Shaw’s Plaza</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Carver, MA</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spacing w:after="0"/>
              <w:rPr>
                <w:sz w:val="20"/>
                <w:szCs w:val="20"/>
                <w:color w:val="auto"/>
              </w:rPr>
            </w:pPr>
            <w:r>
              <w:rPr>
                <w:rFonts w:ascii="Arial" w:cs="Arial" w:eastAsia="Arial" w:hAnsi="Arial"/>
                <w:sz w:val="18"/>
                <w:szCs w:val="18"/>
                <w:color w:val="auto"/>
              </w:rPr>
              <w:t>August - December</w:t>
            </w:r>
          </w:p>
        </w:tc>
        <w:tc>
          <w:tcPr>
            <w:tcW w:w="2880" w:type="dxa"/>
            <w:vAlign w:val="bottom"/>
            <w:gridSpan w:val="4"/>
          </w:tcPr>
          <w:p>
            <w:pPr>
              <w:ind w:left="240"/>
              <w:spacing w:after="0"/>
              <w:rPr>
                <w:sz w:val="20"/>
                <w:szCs w:val="20"/>
                <w:color w:val="auto"/>
              </w:rPr>
            </w:pPr>
            <w:r>
              <w:rPr>
                <w:rFonts w:ascii="Arial" w:cs="Arial" w:eastAsia="Arial" w:hAnsi="Arial"/>
                <w:sz w:val="18"/>
                <w:szCs w:val="18"/>
                <w:color w:val="auto"/>
                <w:w w:val="95"/>
              </w:rPr>
              <w:t>Santana Row condominiums - 130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gridSpan w:val="2"/>
          </w:tcPr>
          <w:p>
            <w:pPr>
              <w:ind w:left="220"/>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19"/>
                <w:szCs w:val="19"/>
                <w:color w:val="auto"/>
              </w:rPr>
            </w:pPr>
          </w:p>
        </w:tc>
        <w:tc>
          <w:tcPr>
            <w:tcW w:w="2640" w:type="dxa"/>
            <w:vAlign w:val="bottom"/>
            <w:gridSpan w:val="3"/>
          </w:tcPr>
          <w:p>
            <w:pPr>
              <w:ind w:left="220"/>
              <w:spacing w:after="0"/>
              <w:rPr>
                <w:sz w:val="20"/>
                <w:szCs w:val="20"/>
                <w:color w:val="auto"/>
              </w:rPr>
            </w:pPr>
            <w:r>
              <w:rPr>
                <w:rFonts w:ascii="Arial" w:cs="Arial" w:eastAsia="Arial" w:hAnsi="Arial"/>
                <w:sz w:val="18"/>
                <w:szCs w:val="18"/>
                <w:color w:val="auto"/>
              </w:rPr>
              <w:t>units</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San Jose, CA</w:t>
            </w:r>
          </w:p>
        </w:tc>
        <w:tc>
          <w:tcPr>
            <w:tcW w:w="100" w:type="dxa"/>
            <w:vAlign w:val="bottom"/>
          </w:tcPr>
          <w:p>
            <w:pPr>
              <w:spacing w:after="0"/>
              <w:rPr>
                <w:sz w:val="19"/>
                <w:szCs w:val="19"/>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89,188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w:t>
            </w:r>
          </w:p>
        </w:tc>
        <w:tc>
          <w:tcPr>
            <w:tcW w:w="28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143,732</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119,259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-2224405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-2224405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-2224405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-2224405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-2224405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12477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Mortgage or</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Grocery</w:t>
            </w: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Year</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Ownership</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1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60" w:type="dxa"/>
            <w:vAlign w:val="bottom"/>
          </w:tcPr>
          <w:p>
            <w:pPr>
              <w:spacing w:after="0"/>
              <w:rPr>
                <w:sz w:val="12"/>
                <w:szCs w:val="12"/>
                <w:color w:val="auto"/>
              </w:rPr>
            </w:pPr>
          </w:p>
        </w:tc>
        <w:tc>
          <w:tcPr>
            <w:tcW w:w="13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Other Principal</w:t>
            </w:r>
          </w:p>
        </w:tc>
        <w:tc>
          <w:tcPr>
            <w:tcW w:w="0" w:type="dxa"/>
            <w:vAlign w:val="bottom"/>
          </w:tcPr>
          <w:p>
            <w:pPr>
              <w:spacing w:after="0"/>
              <w:rPr>
                <w:sz w:val="1"/>
                <w:szCs w:val="1"/>
                <w:color w:val="auto"/>
              </w:rPr>
            </w:pPr>
          </w:p>
        </w:tc>
      </w:tr>
      <w:tr>
        <w:trPr>
          <w:trHeight w:val="174"/>
        </w:trPr>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Property Name</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MSA Description</w:t>
            </w:r>
          </w:p>
        </w:tc>
        <w:tc>
          <w:tcPr>
            <w:tcW w:w="16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Acquired</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Investment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Percentage</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GLA (1)</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 Leased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Obligation</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w w:val="97"/>
              </w:rPr>
              <w:t>GLA (2)  Grocery Anchor (2)</w:t>
            </w:r>
          </w:p>
        </w:tc>
        <w:tc>
          <w:tcPr>
            <w:tcW w:w="60" w:type="dxa"/>
            <w:vAlign w:val="bottom"/>
          </w:tcPr>
          <w:p>
            <w:pPr>
              <w:spacing w:after="0"/>
              <w:rPr>
                <w:sz w:val="15"/>
                <w:szCs w:val="15"/>
                <w:color w:val="auto"/>
              </w:rPr>
            </w:pPr>
          </w:p>
        </w:tc>
        <w:tc>
          <w:tcPr>
            <w:tcW w:w="1300" w:type="dxa"/>
            <w:vAlign w:val="bottom"/>
          </w:tcPr>
          <w:p>
            <w:pPr>
              <w:ind w:left="4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(in thousands)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980" w:type="dxa"/>
            <w:vAlign w:val="bottom"/>
            <w:gridSpan w:val="6"/>
          </w:tcPr>
          <w:p>
            <w:pPr>
              <w:spacing w:after="0"/>
              <w:rPr>
                <w:sz w:val="20"/>
                <w:szCs w:val="20"/>
                <w:color w:val="auto"/>
              </w:rPr>
            </w:pPr>
            <w:r>
              <w:rPr>
                <w:rFonts w:ascii="Arial" w:cs="Arial" w:eastAsia="Arial" w:hAnsi="Arial"/>
                <w:sz w:val="18"/>
                <w:szCs w:val="18"/>
                <w:b w:val="1"/>
                <w:bCs w:val="1"/>
                <w:color w:val="auto"/>
              </w:rPr>
              <w:t>Washington Metropolitan Area</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Bethesda Row</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1993-98</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82,821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2720" w:type="dxa"/>
            <w:vAlign w:val="bottom"/>
            <w:gridSpan w:val="5"/>
            <w:shd w:val="clear" w:color="auto" w:fill="CCEEFF"/>
          </w:tcPr>
          <w:p>
            <w:pPr>
              <w:jc w:val="right"/>
              <w:ind w:right="412"/>
              <w:spacing w:after="0"/>
              <w:rPr>
                <w:sz w:val="20"/>
                <w:szCs w:val="20"/>
                <w:color w:val="auto"/>
              </w:rPr>
            </w:pPr>
            <w:r>
              <w:rPr>
                <w:rFonts w:ascii="Arial" w:cs="Arial" w:eastAsia="Arial" w:hAnsi="Arial"/>
                <w:sz w:val="18"/>
                <w:szCs w:val="18"/>
                <w:color w:val="auto"/>
                <w:w w:val="93"/>
              </w:rPr>
              <w:t>$   12,576 40,000 Giant Food</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Barnes &amp; Noble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Landmark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Theater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w w:val="90"/>
              </w:rPr>
              <w:t>Congressional Plaza</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1965</w:t>
            </w:r>
          </w:p>
        </w:tc>
        <w:tc>
          <w:tcPr>
            <w:tcW w:w="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68,678(4)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64.1%</w:t>
            </w:r>
          </w:p>
        </w:tc>
        <w:tc>
          <w:tcPr>
            <w:tcW w:w="700" w:type="dxa"/>
            <w:vAlign w:val="bottom"/>
          </w:tcPr>
          <w:p>
            <w:pPr>
              <w:jc w:val="right"/>
              <w:spacing w:after="0"/>
              <w:rPr>
                <w:sz w:val="20"/>
                <w:szCs w:val="20"/>
                <w:color w:val="auto"/>
              </w:rPr>
            </w:pPr>
            <w:r>
              <w:rPr>
                <w:rFonts w:ascii="Arial" w:cs="Arial" w:eastAsia="Arial" w:hAnsi="Arial"/>
                <w:sz w:val="18"/>
                <w:szCs w:val="18"/>
                <w:color w:val="auto"/>
              </w:rPr>
              <w:t>338,000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28,000 Whole Foods</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Container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98"/>
              </w:rPr>
              <w:t>Store / Tower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Courthouse Center</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Falls Plaza</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8,165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73,000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51,000 Giant Food</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Falls Plaza-East</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CVS / Staples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Federal Plaza</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62,251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247,000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34,676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TJ Maxx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CompUSA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Friendship Center</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33,309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Borders / Linens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 Things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Maggiano’s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5"/>
              </w:rPr>
              <w:t>Gaithersburg Square 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23,802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196,000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Beyond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89"/>
              </w:rPr>
              <w:t>Borders / 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Idylwood Plaza</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15,084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30,000 Whole Foods</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Laurel</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46,100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387,000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61,000 Giant Food</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w w:val="97"/>
              </w:rPr>
              <w:t>Marshalls / Toys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R 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28,841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2720" w:type="dxa"/>
            <w:vAlign w:val="bottom"/>
            <w:gridSpan w:val="5"/>
            <w:shd w:val="clear" w:color="auto" w:fill="CCEEFF"/>
          </w:tcPr>
          <w:p>
            <w:pPr>
              <w:jc w:val="right"/>
              <w:ind w:right="412"/>
              <w:spacing w:after="0"/>
              <w:rPr>
                <w:sz w:val="20"/>
                <w:szCs w:val="20"/>
                <w:color w:val="auto"/>
              </w:rPr>
            </w:pPr>
            <w:r>
              <w:rPr>
                <w:rFonts w:ascii="Arial" w:cs="Arial" w:eastAsia="Arial" w:hAnsi="Arial"/>
                <w:sz w:val="18"/>
                <w:szCs w:val="18"/>
                <w:color w:val="auto"/>
              </w:rPr>
              <w:t>9,881 55,000 Giant Food</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Pier One / Office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Loehmann’s Plaza</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26,084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251,000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Bally’s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Loehmann’s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Mid-Pike Plaza</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Linens ‘n Things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Toys R Us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Bally’s / AC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Filene’s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Mount Vernon</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41,077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277,000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720" w:type="dxa"/>
            <w:vAlign w:val="bottom"/>
            <w:gridSpan w:val="5"/>
          </w:tcPr>
          <w:p>
            <w:pPr>
              <w:jc w:val="right"/>
              <w:ind w:right="132"/>
              <w:spacing w:after="0"/>
              <w:rPr>
                <w:sz w:val="20"/>
                <w:szCs w:val="20"/>
                <w:color w:val="auto"/>
              </w:rPr>
            </w:pPr>
            <w:r>
              <w:rPr>
                <w:rFonts w:ascii="Arial" w:cs="Arial" w:eastAsia="Arial" w:hAnsi="Arial"/>
                <w:sz w:val="18"/>
                <w:szCs w:val="18"/>
                <w:color w:val="auto"/>
              </w:rPr>
              <w:t>12,556 54,000 Shoppers Food</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Warehouse</w:t>
            </w:r>
          </w:p>
        </w:tc>
        <w:tc>
          <w:tcPr>
            <w:tcW w:w="6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Beyond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Old Keene Mill</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24,000 Whole Foods</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Pan Am</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27,187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227,000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63,000 Safeway</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Micro Center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Pentagon Row</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87,382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45,000 Harris Teeter</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Bally’s / Bed,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Beyond / DSW</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Cost Plus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Pike 7</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33,689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164,000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w w:val="89"/>
              </w:rPr>
              <w:t>Staples / TJ Maxx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 Tower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Quince Orchard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19,876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24,000 Magruders</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Circuit City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Staples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Rockville Town</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10,742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20" w:type="dxa"/>
            <w:vAlign w:val="bottom"/>
            <w:gridSpan w:val="3"/>
          </w:tcPr>
          <w:p>
            <w:pPr>
              <w:ind w:left="200"/>
              <w:spacing w:after="0"/>
              <w:rPr>
                <w:sz w:val="20"/>
                <w:szCs w:val="20"/>
                <w:color w:val="auto"/>
              </w:rPr>
            </w:pPr>
            <w:r>
              <w:rPr>
                <w:rFonts w:ascii="Arial" w:cs="Arial" w:eastAsia="Arial" w:hAnsi="Arial"/>
                <w:sz w:val="18"/>
                <w:szCs w:val="18"/>
                <w:color w:val="auto"/>
              </w:rPr>
              <w:t>Square</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Rollingwood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Apartments</w:t>
            </w: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w w:val="96"/>
              </w:rPr>
              <w:t>Sam’s Park &amp; Shop</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12,170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51,000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Petco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 Valley</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Home Depot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Tower</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19,006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109,000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Virginia Fine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92"/>
              </w:rPr>
              <w:t>Wine / Talbots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Trader Joes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MD-VA</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Village at</w:t>
            </w:r>
          </w:p>
        </w:tc>
        <w:tc>
          <w:tcPr>
            <w:tcW w:w="1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33,837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201,000</w:t>
            </w: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w w:val="92"/>
              </w:rPr>
              <w:t>Cineplex Odeon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20" w:type="dxa"/>
            <w:vAlign w:val="bottom"/>
            <w:gridSpan w:val="3"/>
          </w:tcPr>
          <w:p>
            <w:pPr>
              <w:ind w:left="200"/>
              <w:spacing w:after="0"/>
              <w:rPr>
                <w:sz w:val="20"/>
                <w:szCs w:val="20"/>
                <w:color w:val="auto"/>
              </w:rPr>
            </w:pPr>
            <w:r>
              <w:rPr>
                <w:rFonts w:ascii="Arial" w:cs="Arial" w:eastAsia="Arial" w:hAnsi="Arial"/>
                <w:sz w:val="18"/>
                <w:szCs w:val="18"/>
                <w:color w:val="auto"/>
              </w:rPr>
              <w:t>Shirlington</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MD-VA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w w:val="95"/>
              </w:rPr>
              <w:t>Carlyle Grand</w:t>
            </w:r>
          </w:p>
        </w:tc>
        <w:tc>
          <w:tcPr>
            <w:tcW w:w="0" w:type="dxa"/>
            <w:vAlign w:val="bottom"/>
          </w:tcPr>
          <w:p>
            <w:pPr>
              <w:spacing w:after="0"/>
              <w:rPr>
                <w:sz w:val="1"/>
                <w:szCs w:val="1"/>
                <w:color w:val="auto"/>
              </w:rPr>
            </w:pPr>
          </w:p>
        </w:tc>
      </w:tr>
    </w:tbl>
    <w:p>
      <w:pPr>
        <w:sectPr>
          <w:pgSz w:w="11900" w:h="16909" w:orient="portrait"/>
          <w:cols w:equalWidth="0" w:num="1">
            <w:col w:w="11420"/>
          </w:cols>
          <w:pgMar w:left="240" w:top="274"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Café</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Wildwood</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Washington, DC-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17,496</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26,910 20,000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Balducci’s</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MD-VA</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color w:val="auto"/>
                <w:w w:val="92"/>
              </w:rPr>
              <w:t>Total Washington Metropolitan Area</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760,389</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4,803,000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20" w:type="dxa"/>
            <w:vAlign w:val="bottom"/>
            <w:gridSpan w:val="5"/>
          </w:tcPr>
          <w:p>
            <w:pPr>
              <w:spacing w:after="0"/>
              <w:rPr>
                <w:sz w:val="20"/>
                <w:szCs w:val="20"/>
                <w:color w:val="auto"/>
              </w:rPr>
            </w:pPr>
            <w:r>
              <w:rPr>
                <w:rFonts w:ascii="Arial" w:cs="Arial" w:eastAsia="Arial" w:hAnsi="Arial"/>
                <w:sz w:val="18"/>
                <w:szCs w:val="18"/>
                <w:b w:val="1"/>
                <w:bCs w:val="1"/>
                <w:color w:val="auto"/>
              </w:rPr>
              <w:t>New York / New Jersey</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Allwood</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Bergen-Passaic, 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3,061 50,000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Stop &amp; Shop</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Blue Star</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Middlesex-Somerset-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39,786</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410,000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spacing w:after="0"/>
              <w:rPr>
                <w:sz w:val="20"/>
                <w:szCs w:val="20"/>
                <w:color w:val="auto"/>
              </w:rPr>
            </w:pPr>
            <w:r>
              <w:rPr>
                <w:rFonts w:ascii="Arial" w:cs="Arial" w:eastAsia="Arial" w:hAnsi="Arial"/>
                <w:sz w:val="18"/>
                <w:szCs w:val="18"/>
                <w:color w:val="auto"/>
              </w:rPr>
              <w:t>23,366 43,000</w:t>
            </w:r>
          </w:p>
        </w:tc>
        <w:tc>
          <w:tcPr>
            <w:tcW w:w="1220" w:type="dxa"/>
            <w:vAlign w:val="bottom"/>
          </w:tcPr>
          <w:p>
            <w:pPr>
              <w:ind w:left="40"/>
              <w:spacing w:after="0"/>
              <w:rPr>
                <w:sz w:val="20"/>
                <w:szCs w:val="20"/>
                <w:color w:val="auto"/>
              </w:rPr>
            </w:pPr>
            <w:r>
              <w:rPr>
                <w:rFonts w:ascii="Arial" w:cs="Arial" w:eastAsia="Arial" w:hAnsi="Arial"/>
                <w:sz w:val="18"/>
                <w:szCs w:val="18"/>
                <w:color w:val="auto"/>
              </w:rPr>
              <w:t>Shop Rite</w:t>
            </w:r>
          </w:p>
        </w:tc>
        <w:tc>
          <w:tcPr>
            <w:tcW w:w="1460" w:type="dxa"/>
            <w:vAlign w:val="bottom"/>
          </w:tcPr>
          <w:p>
            <w:pPr>
              <w:ind w:left="160"/>
              <w:spacing w:after="0"/>
              <w:rPr>
                <w:sz w:val="20"/>
                <w:szCs w:val="20"/>
                <w:color w:val="auto"/>
              </w:rPr>
            </w:pPr>
            <w:r>
              <w:rPr>
                <w:rFonts w:ascii="Arial" w:cs="Arial" w:eastAsia="Arial" w:hAnsi="Arial"/>
                <w:sz w:val="18"/>
                <w:szCs w:val="18"/>
                <w:color w:val="auto"/>
                <w:w w:val="94"/>
              </w:rPr>
              <w:t>Kohl’s / Michaels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Hunterdon, NJ</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 Toys R Us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Brick Plaza</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Monmouth-Ocean,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55,411</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32,099 66,000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A&amp;P</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Loews Theatre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NJ</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Barnes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Noble / Sports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Authority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Brunswick</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Middlesex-Somerset-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23,716</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303,000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260" w:type="dxa"/>
            <w:vAlign w:val="bottom"/>
          </w:tcPr>
          <w:p>
            <w:pPr>
              <w:jc w:val="right"/>
              <w:spacing w:after="0"/>
              <w:rPr>
                <w:sz w:val="20"/>
                <w:szCs w:val="20"/>
                <w:color w:val="auto"/>
              </w:rPr>
            </w:pPr>
            <w:r>
              <w:rPr>
                <w:rFonts w:ascii="Arial" w:cs="Arial" w:eastAsia="Arial" w:hAnsi="Arial"/>
                <w:sz w:val="18"/>
                <w:szCs w:val="18"/>
                <w:color w:val="auto"/>
              </w:rPr>
              <w:t>9,727 55,000</w:t>
            </w:r>
          </w:p>
        </w:tc>
        <w:tc>
          <w:tcPr>
            <w:tcW w:w="1220" w:type="dxa"/>
            <w:vAlign w:val="bottom"/>
          </w:tcPr>
          <w:p>
            <w:pPr>
              <w:ind w:left="40"/>
              <w:spacing w:after="0"/>
              <w:rPr>
                <w:sz w:val="20"/>
                <w:szCs w:val="20"/>
                <w:color w:val="auto"/>
              </w:rPr>
            </w:pPr>
            <w:r>
              <w:rPr>
                <w:rFonts w:ascii="Arial" w:cs="Arial" w:eastAsia="Arial" w:hAnsi="Arial"/>
                <w:sz w:val="18"/>
                <w:szCs w:val="18"/>
                <w:color w:val="auto"/>
              </w:rPr>
              <w:t>A&amp;P</w:t>
            </w:r>
          </w:p>
        </w:tc>
        <w:tc>
          <w:tcPr>
            <w:tcW w:w="1460" w:type="dxa"/>
            <w:vAlign w:val="bottom"/>
          </w:tcPr>
          <w:p>
            <w:pPr>
              <w:ind w:left="160"/>
              <w:spacing w:after="0"/>
              <w:rPr>
                <w:sz w:val="20"/>
                <w:szCs w:val="20"/>
                <w:color w:val="auto"/>
              </w:rPr>
            </w:pPr>
            <w:r>
              <w:rPr>
                <w:rFonts w:ascii="Arial" w:cs="Arial" w:eastAsia="Arial" w:hAnsi="Arial"/>
                <w:sz w:val="18"/>
                <w:szCs w:val="18"/>
                <w:color w:val="auto"/>
                <w:w w:val="94"/>
              </w:rPr>
              <w:t>A.J. Wright / L.A.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Hunterdon, NJ</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Fitness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Clifton</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Bergen-Passaic, 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2,847</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Drug Fair / Dollar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Express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Forest Hills</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New York, NY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24,036</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86,000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w w:val="92"/>
              </w:rPr>
              <w:t>Midway Theatre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w w:val="87"/>
              </w:rPr>
              <w:t>Duane Reade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Gap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Fresh Meadows</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New York, NY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66,038</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Filene’s Basement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Kohl’s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Cineplex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Odeon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Greenlawn Plaza</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Nassau-Suffolk, NY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2000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11,964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102,000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spacing w:after="0"/>
              <w:rPr>
                <w:sz w:val="20"/>
                <w:szCs w:val="20"/>
                <w:color w:val="auto"/>
              </w:rPr>
            </w:pPr>
            <w:r>
              <w:rPr>
                <w:rFonts w:ascii="Arial" w:cs="Arial" w:eastAsia="Arial" w:hAnsi="Arial"/>
                <w:sz w:val="18"/>
                <w:szCs w:val="18"/>
                <w:color w:val="auto"/>
              </w:rPr>
              <w:t>46,000</w:t>
            </w:r>
          </w:p>
        </w:tc>
        <w:tc>
          <w:tcPr>
            <w:tcW w:w="1220" w:type="dxa"/>
            <w:vAlign w:val="bottom"/>
          </w:tcPr>
          <w:p>
            <w:pPr>
              <w:ind w:left="40"/>
              <w:spacing w:after="0"/>
              <w:rPr>
                <w:sz w:val="20"/>
                <w:szCs w:val="20"/>
                <w:color w:val="auto"/>
              </w:rPr>
            </w:pPr>
            <w:r>
              <w:rPr>
                <w:rFonts w:ascii="Arial" w:cs="Arial" w:eastAsia="Arial" w:hAnsi="Arial"/>
                <w:sz w:val="18"/>
                <w:szCs w:val="18"/>
                <w:color w:val="auto"/>
              </w:rPr>
              <w:t>Waldbaum’s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Hamilton</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Trenton, 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4,220 53,000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Shop Rite</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 Moore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Stevens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Furniture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Hauppauge</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Nassau-Suffolk, NY</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26,616</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131,000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spacing w:after="0"/>
              <w:rPr>
                <w:sz w:val="20"/>
                <w:szCs w:val="20"/>
                <w:color w:val="auto"/>
              </w:rPr>
            </w:pPr>
            <w:r>
              <w:rPr>
                <w:rFonts w:ascii="Arial" w:cs="Arial" w:eastAsia="Arial" w:hAnsi="Arial"/>
                <w:sz w:val="18"/>
                <w:szCs w:val="18"/>
                <w:color w:val="auto"/>
              </w:rPr>
              <w:t>16,283 61,000</w:t>
            </w:r>
          </w:p>
        </w:tc>
        <w:tc>
          <w:tcPr>
            <w:tcW w:w="1220" w:type="dxa"/>
            <w:vAlign w:val="bottom"/>
          </w:tcPr>
          <w:p>
            <w:pPr>
              <w:ind w:left="40"/>
              <w:spacing w:after="0"/>
              <w:rPr>
                <w:sz w:val="20"/>
                <w:szCs w:val="20"/>
                <w:color w:val="auto"/>
              </w:rPr>
            </w:pPr>
            <w:r>
              <w:rPr>
                <w:rFonts w:ascii="Arial" w:cs="Arial" w:eastAsia="Arial" w:hAnsi="Arial"/>
                <w:sz w:val="18"/>
                <w:szCs w:val="18"/>
                <w:color w:val="auto"/>
              </w:rPr>
              <w:t>Shop Rite</w:t>
            </w:r>
          </w:p>
        </w:tc>
        <w:tc>
          <w:tcPr>
            <w:tcW w:w="1460" w:type="dxa"/>
            <w:vAlign w:val="bottom"/>
          </w:tcPr>
          <w:p>
            <w:pPr>
              <w:ind w:left="160"/>
              <w:spacing w:after="0"/>
              <w:rPr>
                <w:sz w:val="20"/>
                <w:szCs w:val="20"/>
                <w:color w:val="auto"/>
              </w:rPr>
            </w:pPr>
            <w:r>
              <w:rPr>
                <w:rFonts w:ascii="Arial" w:cs="Arial" w:eastAsia="Arial" w:hAnsi="Arial"/>
                <w:sz w:val="18"/>
                <w:szCs w:val="18"/>
                <w:color w:val="auto"/>
              </w:rPr>
              <w:t>AC Moore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Huntington</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Nassau-Suffolk, NY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12,492</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Toys R Us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Beyond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Barnes &amp;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Noble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Mercer Mall</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Trenton, 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2003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94,614</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499,000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260" w:type="dxa"/>
            <w:vAlign w:val="bottom"/>
          </w:tcPr>
          <w:p>
            <w:pPr>
              <w:jc w:val="right"/>
              <w:spacing w:after="0"/>
              <w:rPr>
                <w:sz w:val="20"/>
                <w:szCs w:val="20"/>
                <w:color w:val="auto"/>
              </w:rPr>
            </w:pPr>
            <w:r>
              <w:rPr>
                <w:rFonts w:ascii="Arial" w:cs="Arial" w:eastAsia="Arial" w:hAnsi="Arial"/>
                <w:sz w:val="18"/>
                <w:szCs w:val="18"/>
                <w:color w:val="auto"/>
              </w:rPr>
              <w:t>58,887 75,000</w:t>
            </w:r>
          </w:p>
        </w:tc>
        <w:tc>
          <w:tcPr>
            <w:tcW w:w="1220" w:type="dxa"/>
            <w:vAlign w:val="bottom"/>
          </w:tcPr>
          <w:p>
            <w:pPr>
              <w:ind w:left="40"/>
              <w:spacing w:after="0"/>
              <w:rPr>
                <w:sz w:val="20"/>
                <w:szCs w:val="20"/>
                <w:color w:val="auto"/>
              </w:rPr>
            </w:pPr>
            <w:r>
              <w:rPr>
                <w:rFonts w:ascii="Arial" w:cs="Arial" w:eastAsia="Arial" w:hAnsi="Arial"/>
                <w:sz w:val="18"/>
                <w:szCs w:val="18"/>
                <w:color w:val="auto"/>
              </w:rPr>
              <w:t>Shop Rite</w:t>
            </w:r>
          </w:p>
        </w:tc>
        <w:tc>
          <w:tcPr>
            <w:tcW w:w="1460" w:type="dxa"/>
            <w:vAlign w:val="bottom"/>
          </w:tcPr>
          <w:p>
            <w:pPr>
              <w:ind w:left="1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w w:val="89"/>
              </w:rPr>
              <w:t>Beyond / DSW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 TJ Maxx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Raymour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Flanigan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Rutgers</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Middlesex-Somerset-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11,268 74,000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Stop &amp; Shop</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Kmart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Hunterdon, NJ</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Troy</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Newark, 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1980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20,096</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202,000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spacing w:after="0"/>
              <w:rPr>
                <w:sz w:val="20"/>
                <w:szCs w:val="20"/>
                <w:color w:val="auto"/>
              </w:rPr>
            </w:pPr>
            <w:r>
              <w:rPr>
                <w:rFonts w:ascii="Arial" w:cs="Arial" w:eastAsia="Arial" w:hAnsi="Arial"/>
                <w:sz w:val="18"/>
                <w:szCs w:val="18"/>
                <w:color w:val="auto"/>
              </w:rPr>
              <w:t>64,000</w:t>
            </w:r>
          </w:p>
        </w:tc>
        <w:tc>
          <w:tcPr>
            <w:tcW w:w="1220" w:type="dxa"/>
            <w:vAlign w:val="bottom"/>
          </w:tcPr>
          <w:p>
            <w:pPr>
              <w:ind w:left="40"/>
              <w:spacing w:after="0"/>
              <w:rPr>
                <w:sz w:val="20"/>
                <w:szCs w:val="20"/>
                <w:color w:val="auto"/>
              </w:rPr>
            </w:pPr>
            <w:r>
              <w:rPr>
                <w:rFonts w:ascii="Arial" w:cs="Arial" w:eastAsia="Arial" w:hAnsi="Arial"/>
                <w:sz w:val="18"/>
                <w:szCs w:val="18"/>
                <w:color w:val="auto"/>
              </w:rPr>
              <w:t>Pathmark</w:t>
            </w:r>
          </w:p>
        </w:tc>
        <w:tc>
          <w:tcPr>
            <w:tcW w:w="1460" w:type="dxa"/>
            <w:vAlign w:val="bottom"/>
          </w:tcPr>
          <w:p>
            <w:pPr>
              <w:ind w:left="160"/>
              <w:spacing w:after="0"/>
              <w:rPr>
                <w:sz w:val="20"/>
                <w:szCs w:val="20"/>
                <w:color w:val="auto"/>
              </w:rPr>
            </w:pPr>
            <w:r>
              <w:rPr>
                <w:rFonts w:ascii="Arial" w:cs="Arial" w:eastAsia="Arial" w:hAnsi="Arial"/>
                <w:sz w:val="18"/>
                <w:szCs w:val="18"/>
                <w:color w:val="auto"/>
              </w:rPr>
              <w:t>AC Moore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Comp USA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Toys R Us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color w:val="auto"/>
              </w:rPr>
              <w:t>Total New York / New Jersey</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419,676</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3,411,000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320" w:type="dxa"/>
            <w:vAlign w:val="bottom"/>
            <w:gridSpan w:val="5"/>
          </w:tcPr>
          <w:p>
            <w:pPr>
              <w:spacing w:after="0"/>
              <w:rPr>
                <w:sz w:val="20"/>
                <w:szCs w:val="20"/>
                <w:color w:val="auto"/>
              </w:rPr>
            </w:pPr>
            <w:r>
              <w:rPr>
                <w:rFonts w:ascii="Arial" w:cs="Arial" w:eastAsia="Arial" w:hAnsi="Arial"/>
                <w:sz w:val="18"/>
                <w:szCs w:val="18"/>
                <w:b w:val="1"/>
                <w:bCs w:val="1"/>
                <w:color w:val="auto"/>
              </w:rPr>
              <w:t>Philadelphia Metropolitan Area</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Andorra</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22,917</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Acme Markets</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Kohl’s / Staples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 Fitness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Bala Cynwyd</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26,050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280,000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spacing w:after="0"/>
              <w:rPr>
                <w:sz w:val="20"/>
                <w:szCs w:val="20"/>
                <w:color w:val="auto"/>
              </w:rPr>
            </w:pPr>
            <w:r>
              <w:rPr>
                <w:rFonts w:ascii="Arial" w:cs="Arial" w:eastAsia="Arial" w:hAnsi="Arial"/>
                <w:sz w:val="18"/>
                <w:szCs w:val="18"/>
                <w:color w:val="auto"/>
              </w:rPr>
              <w:t>45,000</w:t>
            </w:r>
          </w:p>
        </w:tc>
        <w:tc>
          <w:tcPr>
            <w:tcW w:w="1220" w:type="dxa"/>
            <w:vAlign w:val="bottom"/>
          </w:tcPr>
          <w:p>
            <w:pPr>
              <w:ind w:left="40"/>
              <w:spacing w:after="0"/>
              <w:rPr>
                <w:sz w:val="20"/>
                <w:szCs w:val="20"/>
                <w:color w:val="auto"/>
              </w:rPr>
            </w:pPr>
            <w:r>
              <w:rPr>
                <w:rFonts w:ascii="Arial" w:cs="Arial" w:eastAsia="Arial" w:hAnsi="Arial"/>
                <w:sz w:val="18"/>
                <w:szCs w:val="18"/>
                <w:color w:val="auto"/>
              </w:rPr>
              <w:t>Acme Markets</w:t>
            </w:r>
          </w:p>
        </w:tc>
        <w:tc>
          <w:tcPr>
            <w:tcW w:w="1460" w:type="dxa"/>
            <w:vAlign w:val="bottom"/>
          </w:tcPr>
          <w:p>
            <w:pPr>
              <w:ind w:left="160"/>
              <w:spacing w:after="0"/>
              <w:rPr>
                <w:sz w:val="20"/>
                <w:szCs w:val="20"/>
                <w:color w:val="auto"/>
              </w:rPr>
            </w:pPr>
            <w:r>
              <w:rPr>
                <w:rFonts w:ascii="Arial" w:cs="Arial" w:eastAsia="Arial" w:hAnsi="Arial"/>
                <w:sz w:val="18"/>
                <w:szCs w:val="18"/>
                <w:color w:val="auto"/>
              </w:rPr>
              <w:t>Lord &amp; Taylor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L.A. Fitness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Ellisburg Circle</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29,128</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Genuardi’s</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Beyond / Stein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Feasterville</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1980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11,680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tcPr>
          <w:p>
            <w:pPr>
              <w:jc w:val="right"/>
              <w:spacing w:after="0"/>
              <w:rPr>
                <w:sz w:val="20"/>
                <w:szCs w:val="20"/>
                <w:color w:val="auto"/>
              </w:rPr>
            </w:pPr>
            <w:r>
              <w:rPr>
                <w:rFonts w:ascii="Arial" w:cs="Arial" w:eastAsia="Arial" w:hAnsi="Arial"/>
                <w:sz w:val="18"/>
                <w:szCs w:val="18"/>
                <w:color w:val="auto"/>
              </w:rPr>
              <w:t>53,000</w:t>
            </w:r>
          </w:p>
        </w:tc>
        <w:tc>
          <w:tcPr>
            <w:tcW w:w="1220" w:type="dxa"/>
            <w:vAlign w:val="bottom"/>
          </w:tcPr>
          <w:p>
            <w:pPr>
              <w:ind w:left="40"/>
              <w:spacing w:after="0"/>
              <w:rPr>
                <w:sz w:val="20"/>
                <w:szCs w:val="20"/>
                <w:color w:val="auto"/>
              </w:rPr>
            </w:pPr>
            <w:r>
              <w:rPr>
                <w:rFonts w:ascii="Arial" w:cs="Arial" w:eastAsia="Arial" w:hAnsi="Arial"/>
                <w:sz w:val="18"/>
                <w:szCs w:val="18"/>
                <w:color w:val="auto"/>
              </w:rPr>
              <w:t>Genuardi’s</w:t>
            </w:r>
          </w:p>
        </w:tc>
        <w:tc>
          <w:tcPr>
            <w:tcW w:w="1460" w:type="dxa"/>
            <w:vAlign w:val="bottom"/>
          </w:tcPr>
          <w:p>
            <w:pPr>
              <w:ind w:left="160"/>
              <w:spacing w:after="0"/>
              <w:rPr>
                <w:sz w:val="20"/>
                <w:szCs w:val="20"/>
                <w:color w:val="auto"/>
              </w:rPr>
            </w:pPr>
            <w:r>
              <w:rPr>
                <w:rFonts w:ascii="Arial" w:cs="Arial" w:eastAsia="Arial" w:hAnsi="Arial"/>
                <w:sz w:val="18"/>
                <w:szCs w:val="18"/>
                <w:color w:val="auto"/>
              </w:rPr>
              <w:t>OfficeMax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Flourtown</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9,295</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Genuardi’s</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2"/>
              </w:rPr>
              <w:t>Langhorne Square</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1985</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17,891</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216,000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1260" w:type="dxa"/>
            <w:vAlign w:val="bottom"/>
          </w:tcPr>
          <w:p>
            <w:pPr>
              <w:jc w:val="right"/>
              <w:spacing w:after="0"/>
              <w:rPr>
                <w:sz w:val="20"/>
                <w:szCs w:val="20"/>
                <w:color w:val="auto"/>
              </w:rPr>
            </w:pPr>
            <w:r>
              <w:rPr>
                <w:rFonts w:ascii="Arial" w:cs="Arial" w:eastAsia="Arial" w:hAnsi="Arial"/>
                <w:sz w:val="18"/>
                <w:szCs w:val="18"/>
                <w:color w:val="auto"/>
              </w:rPr>
              <w:t>55,000</w:t>
            </w:r>
          </w:p>
        </w:tc>
        <w:tc>
          <w:tcPr>
            <w:tcW w:w="1220" w:type="dxa"/>
            <w:vAlign w:val="bottom"/>
          </w:tcPr>
          <w:p>
            <w:pPr>
              <w:ind w:left="40"/>
              <w:spacing w:after="0"/>
              <w:rPr>
                <w:sz w:val="20"/>
                <w:szCs w:val="20"/>
                <w:color w:val="auto"/>
              </w:rPr>
            </w:pPr>
            <w:r>
              <w:rPr>
                <w:rFonts w:ascii="Arial" w:cs="Arial" w:eastAsia="Arial" w:hAnsi="Arial"/>
                <w:sz w:val="18"/>
                <w:szCs w:val="18"/>
                <w:color w:val="auto"/>
              </w:rPr>
              <w:t>Redner’s</w:t>
            </w:r>
          </w:p>
        </w:tc>
        <w:tc>
          <w:tcPr>
            <w:tcW w:w="1460" w:type="dxa"/>
            <w:vAlign w:val="bottom"/>
          </w:tcPr>
          <w:p>
            <w:pPr>
              <w:ind w:left="16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Warehouse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Mkts.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Lawrence Park</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28,301</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30,615 53,000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Acme Markets</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 / TJ Maxx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Northeast</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1983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22,111</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287,000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w w:val="95"/>
              </w:rPr>
              <w:t>Burlington Coat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Marshalls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w w:val="86"/>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Willow Grove</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26,533</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Barnes &amp; Noble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Marshalls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Toys R 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Wynnewood</w:t>
            </w:r>
          </w:p>
        </w:tc>
        <w:tc>
          <w:tcPr>
            <w:tcW w:w="1900" w:type="dxa"/>
            <w:vAlign w:val="bottom"/>
            <w:gridSpan w:val="3"/>
          </w:tcPr>
          <w:p>
            <w:pPr>
              <w:ind w:left="120"/>
              <w:spacing w:after="0"/>
              <w:rPr>
                <w:sz w:val="20"/>
                <w:szCs w:val="20"/>
                <w:color w:val="auto"/>
              </w:rPr>
            </w:pPr>
            <w:r>
              <w:rPr>
                <w:rFonts w:ascii="Arial" w:cs="Arial" w:eastAsia="Arial" w:hAnsi="Arial"/>
                <w:sz w:val="18"/>
                <w:szCs w:val="18"/>
                <w:color w:val="auto"/>
              </w:rPr>
              <w:t>Philadelphia, PA-NJ</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35,534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255,000</w:t>
            </w: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1260" w:type="dxa"/>
            <w:vAlign w:val="bottom"/>
          </w:tcPr>
          <w:p>
            <w:pPr>
              <w:jc w:val="right"/>
              <w:spacing w:after="0"/>
              <w:rPr>
                <w:sz w:val="20"/>
                <w:szCs w:val="20"/>
                <w:color w:val="auto"/>
              </w:rPr>
            </w:pPr>
            <w:r>
              <w:rPr>
                <w:rFonts w:ascii="Arial" w:cs="Arial" w:eastAsia="Arial" w:hAnsi="Arial"/>
                <w:sz w:val="18"/>
                <w:szCs w:val="18"/>
                <w:color w:val="auto"/>
              </w:rPr>
              <w:t>31,200 98,000</w:t>
            </w:r>
          </w:p>
        </w:tc>
        <w:tc>
          <w:tcPr>
            <w:tcW w:w="1220" w:type="dxa"/>
            <w:vAlign w:val="bottom"/>
          </w:tcPr>
          <w:p>
            <w:pPr>
              <w:ind w:left="40"/>
              <w:spacing w:after="0"/>
              <w:rPr>
                <w:sz w:val="20"/>
                <w:szCs w:val="20"/>
                <w:color w:val="auto"/>
              </w:rPr>
            </w:pPr>
            <w:r>
              <w:rPr>
                <w:rFonts w:ascii="Arial" w:cs="Arial" w:eastAsia="Arial" w:hAnsi="Arial"/>
                <w:sz w:val="18"/>
                <w:szCs w:val="18"/>
                <w:color w:val="auto"/>
              </w:rPr>
              <w:t>Genuardi’s</w:t>
            </w:r>
          </w:p>
        </w:tc>
        <w:tc>
          <w:tcPr>
            <w:tcW w:w="1460" w:type="dxa"/>
            <w:vAlign w:val="bottom"/>
          </w:tcPr>
          <w:p>
            <w:pPr>
              <w:ind w:left="1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Beyond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w w:val="99"/>
              </w:rPr>
              <w:t>Borders / Old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Navy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color w:val="auto"/>
                <w:w w:val="91"/>
              </w:rPr>
              <w:t>Total Philadelphia Metropolitan Area</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229,440</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2,439,000</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Boston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Assembly</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Boston-Worcester-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103,382</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552,000</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240" w:type="dxa"/>
            <w:vAlign w:val="bottom"/>
            <w:shd w:val="clear" w:color="auto" w:fill="CCEEFF"/>
          </w:tcPr>
          <w:p>
            <w:pPr>
              <w:spacing w:after="0"/>
              <w:rPr>
                <w:sz w:val="17"/>
                <w:szCs w:val="17"/>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Bed, Bath &amp;</w:t>
            </w:r>
          </w:p>
        </w:tc>
      </w:tr>
      <w:tr>
        <w:trPr>
          <w:trHeight w:val="216"/>
        </w:trPr>
        <w:tc>
          <w:tcPr>
            <w:tcW w:w="1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Square/Sturtevant</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Lawrence-Lowell-</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Beyond /</w:t>
            </w:r>
          </w:p>
        </w:tc>
      </w:tr>
      <w:tr>
        <w:trPr>
          <w:trHeight w:val="216"/>
        </w:trPr>
        <w:tc>
          <w:tcPr>
            <w:tcW w:w="1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Street</w:t>
            </w: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Brockton, MA</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Christmas Tree</w:t>
            </w:r>
          </w:p>
        </w:tc>
      </w:tr>
      <w:tr>
        <w:trPr>
          <w:trHeight w:val="216"/>
        </w:trPr>
        <w:tc>
          <w:tcPr>
            <w:tcW w:w="1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Shops / Kmart</w:t>
            </w:r>
          </w:p>
        </w:tc>
      </w:tr>
      <w:tr>
        <w:trPr>
          <w:trHeight w:val="216"/>
        </w:trPr>
        <w:tc>
          <w:tcPr>
            <w:tcW w:w="1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Staples / TJ</w:t>
            </w:r>
          </w:p>
        </w:tc>
      </w:tr>
      <w:tr>
        <w:trPr>
          <w:trHeight w:val="224"/>
        </w:trPr>
        <w:tc>
          <w:tcPr>
            <w:tcW w:w="15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Maxx</w:t>
            </w:r>
          </w:p>
        </w:tc>
      </w:tr>
      <w:tr>
        <w:trPr>
          <w:trHeight w:val="208"/>
        </w:trPr>
        <w:tc>
          <w:tcPr>
            <w:tcW w:w="1500" w:type="dxa"/>
            <w:vAlign w:val="bottom"/>
          </w:tcPr>
          <w:p>
            <w:pPr>
              <w:spacing w:after="0"/>
              <w:rPr>
                <w:sz w:val="20"/>
                <w:szCs w:val="20"/>
                <w:color w:val="auto"/>
              </w:rPr>
            </w:pPr>
            <w:r>
              <w:rPr>
                <w:rFonts w:ascii="Arial" w:cs="Arial" w:eastAsia="Arial" w:hAnsi="Arial"/>
                <w:sz w:val="18"/>
                <w:szCs w:val="18"/>
                <w:color w:val="auto"/>
              </w:rPr>
              <w:t>Dedham Plaza</w:t>
            </w:r>
          </w:p>
        </w:tc>
        <w:tc>
          <w:tcPr>
            <w:tcW w:w="1720" w:type="dxa"/>
            <w:vAlign w:val="bottom"/>
          </w:tcPr>
          <w:p>
            <w:pPr>
              <w:ind w:left="40"/>
              <w:spacing w:after="0"/>
              <w:rPr>
                <w:sz w:val="20"/>
                <w:szCs w:val="20"/>
                <w:color w:val="auto"/>
              </w:rPr>
            </w:pPr>
            <w:r>
              <w:rPr>
                <w:rFonts w:ascii="Arial" w:cs="Arial" w:eastAsia="Arial" w:hAnsi="Arial"/>
                <w:sz w:val="18"/>
                <w:szCs w:val="18"/>
                <w:color w:val="auto"/>
              </w:rPr>
              <w:t>Boston-Worcester-</w:t>
            </w:r>
          </w:p>
        </w:tc>
        <w:tc>
          <w:tcPr>
            <w:tcW w:w="560" w:type="dxa"/>
            <w:vAlign w:val="bottom"/>
          </w:tcPr>
          <w:p>
            <w:pPr>
              <w:jc w:val="right"/>
              <w:spacing w:after="0"/>
              <w:rPr>
                <w:sz w:val="20"/>
                <w:szCs w:val="20"/>
                <w:color w:val="auto"/>
              </w:rPr>
            </w:pPr>
            <w:r>
              <w:rPr>
                <w:rFonts w:ascii="Arial" w:cs="Arial" w:eastAsia="Arial" w:hAnsi="Arial"/>
                <w:sz w:val="18"/>
                <w:szCs w:val="18"/>
                <w:color w:val="auto"/>
              </w:rPr>
              <w:t>1993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29,894</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241,000</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2240" w:type="dxa"/>
            <w:vAlign w:val="bottom"/>
          </w:tcPr>
          <w:p>
            <w:pPr>
              <w:ind w:left="460"/>
              <w:spacing w:after="0"/>
              <w:rPr>
                <w:sz w:val="20"/>
                <w:szCs w:val="20"/>
                <w:color w:val="auto"/>
              </w:rPr>
            </w:pPr>
            <w:r>
              <w:rPr>
                <w:rFonts w:ascii="Arial" w:cs="Arial" w:eastAsia="Arial" w:hAnsi="Arial"/>
                <w:sz w:val="18"/>
                <w:szCs w:val="18"/>
                <w:color w:val="auto"/>
              </w:rPr>
              <w:t>80,000 Star Market</w:t>
            </w:r>
          </w:p>
        </w:tc>
        <w:tc>
          <w:tcPr>
            <w:tcW w:w="1420" w:type="dxa"/>
            <w:vAlign w:val="bottom"/>
          </w:tcPr>
          <w:p>
            <w:pPr>
              <w:ind w:left="120"/>
              <w:spacing w:after="0"/>
              <w:rPr>
                <w:sz w:val="20"/>
                <w:szCs w:val="20"/>
                <w:color w:val="auto"/>
              </w:rPr>
            </w:pPr>
            <w:r>
              <w:rPr>
                <w:rFonts w:ascii="Arial" w:cs="Arial" w:eastAsia="Arial" w:hAnsi="Arial"/>
                <w:sz w:val="18"/>
                <w:szCs w:val="18"/>
                <w:color w:val="auto"/>
              </w:rPr>
              <w:t>Pier One</w:t>
            </w:r>
          </w:p>
        </w:tc>
      </w:tr>
      <w:tr>
        <w:trPr>
          <w:trHeight w:val="216"/>
        </w:trPr>
        <w:tc>
          <w:tcPr>
            <w:tcW w:w="1500" w:type="dxa"/>
            <w:vAlign w:val="bottom"/>
          </w:tcPr>
          <w:p>
            <w:pPr>
              <w:spacing w:after="0"/>
              <w:rPr>
                <w:sz w:val="18"/>
                <w:szCs w:val="18"/>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Lawrence-Lowell-</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Brockton, MA</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0"/>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7"/>
              </w:rPr>
              <w:t>Queen Anne Plaza</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Boston-Worcester-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14,983</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50,000 Victory</w:t>
            </w:r>
          </w:p>
        </w:tc>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TJ Maxx</w:t>
            </w:r>
          </w:p>
        </w:tc>
      </w:tr>
      <w:tr>
        <w:trPr>
          <w:trHeight w:val="216"/>
        </w:trPr>
        <w:tc>
          <w:tcPr>
            <w:tcW w:w="1500" w:type="dxa"/>
            <w:vAlign w:val="bottom"/>
            <w:shd w:val="clear" w:color="auto" w:fill="CCEEFF"/>
          </w:tcPr>
          <w:p>
            <w:pPr>
              <w:spacing w:after="0"/>
              <w:rPr>
                <w:sz w:val="18"/>
                <w:szCs w:val="18"/>
                <w:color w:val="auto"/>
              </w:rPr>
            </w:pP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Lawrence-Lowell-</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4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7"/>
              </w:rPr>
              <w:t>Supermarket</w:t>
            </w:r>
          </w:p>
        </w:tc>
        <w:tc>
          <w:tcPr>
            <w:tcW w:w="1420" w:type="dxa"/>
            <w:vAlign w:val="bottom"/>
            <w:shd w:val="clear" w:color="auto" w:fill="CCEEFF"/>
          </w:tcPr>
          <w:p>
            <w:pPr>
              <w:spacing w:after="0"/>
              <w:rPr>
                <w:sz w:val="18"/>
                <w:szCs w:val="18"/>
                <w:color w:val="auto"/>
              </w:rPr>
            </w:pPr>
          </w:p>
        </w:tc>
      </w:tr>
      <w:tr>
        <w:trPr>
          <w:trHeight w:val="224"/>
        </w:trPr>
        <w:tc>
          <w:tcPr>
            <w:tcW w:w="1500" w:type="dxa"/>
            <w:vAlign w:val="bottom"/>
            <w:shd w:val="clear" w:color="auto" w:fill="CCEEFF"/>
          </w:tcPr>
          <w:p>
            <w:pPr>
              <w:spacing w:after="0"/>
              <w:rPr>
                <w:sz w:val="19"/>
                <w:szCs w:val="19"/>
                <w:color w:val="auto"/>
              </w:rPr>
            </w:pPr>
          </w:p>
        </w:tc>
        <w:tc>
          <w:tcPr>
            <w:tcW w:w="1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Brockton, MA</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08"/>
        </w:trPr>
        <w:tc>
          <w:tcPr>
            <w:tcW w:w="1500" w:type="dxa"/>
            <w:vAlign w:val="bottom"/>
          </w:tcPr>
          <w:p>
            <w:pPr>
              <w:spacing w:after="0"/>
              <w:rPr>
                <w:sz w:val="20"/>
                <w:szCs w:val="20"/>
                <w:color w:val="auto"/>
              </w:rPr>
            </w:pPr>
            <w:r>
              <w:rPr>
                <w:rFonts w:ascii="Arial" w:cs="Arial" w:eastAsia="Arial" w:hAnsi="Arial"/>
                <w:sz w:val="18"/>
                <w:szCs w:val="18"/>
                <w:color w:val="auto"/>
              </w:rPr>
              <w:t>Saugus Plaza</w:t>
            </w:r>
          </w:p>
        </w:tc>
        <w:tc>
          <w:tcPr>
            <w:tcW w:w="1720" w:type="dxa"/>
            <w:vAlign w:val="bottom"/>
          </w:tcPr>
          <w:p>
            <w:pPr>
              <w:ind w:left="40"/>
              <w:spacing w:after="0"/>
              <w:rPr>
                <w:sz w:val="20"/>
                <w:szCs w:val="20"/>
                <w:color w:val="auto"/>
              </w:rPr>
            </w:pPr>
            <w:r>
              <w:rPr>
                <w:rFonts w:ascii="Arial" w:cs="Arial" w:eastAsia="Arial" w:hAnsi="Arial"/>
                <w:sz w:val="18"/>
                <w:szCs w:val="18"/>
                <w:color w:val="auto"/>
              </w:rPr>
              <w:t>Boston-Worcester-</w:t>
            </w:r>
          </w:p>
        </w:tc>
        <w:tc>
          <w:tcPr>
            <w:tcW w:w="560" w:type="dxa"/>
            <w:vAlign w:val="bottom"/>
          </w:tcPr>
          <w:p>
            <w:pPr>
              <w:jc w:val="right"/>
              <w:spacing w:after="0"/>
              <w:rPr>
                <w:sz w:val="20"/>
                <w:szCs w:val="20"/>
                <w:color w:val="auto"/>
              </w:rPr>
            </w:pPr>
            <w:r>
              <w:rPr>
                <w:rFonts w:ascii="Arial" w:cs="Arial" w:eastAsia="Arial" w:hAnsi="Arial"/>
                <w:sz w:val="18"/>
                <w:szCs w:val="18"/>
                <w:color w:val="auto"/>
              </w:rPr>
              <w:t>1996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13,533</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700" w:type="dxa"/>
            <w:vAlign w:val="bottom"/>
          </w:tcPr>
          <w:p>
            <w:pPr>
              <w:jc w:val="right"/>
              <w:spacing w:after="0"/>
              <w:rPr>
                <w:sz w:val="20"/>
                <w:szCs w:val="20"/>
                <w:color w:val="auto"/>
              </w:rPr>
            </w:pPr>
            <w:r>
              <w:rPr>
                <w:rFonts w:ascii="Arial" w:cs="Arial" w:eastAsia="Arial" w:hAnsi="Arial"/>
                <w:sz w:val="18"/>
                <w:szCs w:val="18"/>
                <w:color w:val="auto"/>
              </w:rPr>
              <w:t>171,000</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240" w:type="dxa"/>
            <w:vAlign w:val="bottom"/>
          </w:tcPr>
          <w:p>
            <w:pPr>
              <w:ind w:left="460"/>
              <w:spacing w:after="0"/>
              <w:rPr>
                <w:sz w:val="20"/>
                <w:szCs w:val="20"/>
                <w:color w:val="auto"/>
              </w:rPr>
            </w:pPr>
            <w:r>
              <w:rPr>
                <w:rFonts w:ascii="Arial" w:cs="Arial" w:eastAsia="Arial" w:hAnsi="Arial"/>
                <w:sz w:val="18"/>
                <w:szCs w:val="18"/>
                <w:color w:val="auto"/>
              </w:rPr>
              <w:t>55,000 Super Stop &amp;</w:t>
            </w:r>
          </w:p>
        </w:tc>
        <w:tc>
          <w:tcPr>
            <w:tcW w:w="1420" w:type="dxa"/>
            <w:vAlign w:val="bottom"/>
          </w:tcPr>
          <w:p>
            <w:pPr>
              <w:ind w:left="120"/>
              <w:spacing w:after="0"/>
              <w:rPr>
                <w:sz w:val="20"/>
                <w:szCs w:val="20"/>
                <w:color w:val="auto"/>
              </w:rPr>
            </w:pPr>
            <w:r>
              <w:rPr>
                <w:rFonts w:ascii="Arial" w:cs="Arial" w:eastAsia="Arial" w:hAnsi="Arial"/>
                <w:sz w:val="18"/>
                <w:szCs w:val="18"/>
                <w:color w:val="auto"/>
              </w:rPr>
              <w:t>Kmart</w:t>
            </w:r>
          </w:p>
        </w:tc>
      </w:tr>
      <w:tr>
        <w:trPr>
          <w:trHeight w:val="216"/>
        </w:trPr>
        <w:tc>
          <w:tcPr>
            <w:tcW w:w="1500" w:type="dxa"/>
            <w:vAlign w:val="bottom"/>
          </w:tcPr>
          <w:p>
            <w:pPr>
              <w:spacing w:after="0"/>
              <w:rPr>
                <w:sz w:val="18"/>
                <w:szCs w:val="18"/>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Lawrence-Lowell-</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ind w:left="1220"/>
              <w:spacing w:after="0"/>
              <w:rPr>
                <w:sz w:val="20"/>
                <w:szCs w:val="20"/>
                <w:color w:val="auto"/>
              </w:rPr>
            </w:pPr>
            <w:r>
              <w:rPr>
                <w:rFonts w:ascii="Arial" w:cs="Arial" w:eastAsia="Arial" w:hAnsi="Arial"/>
                <w:sz w:val="18"/>
                <w:szCs w:val="18"/>
                <w:color w:val="auto"/>
              </w:rPr>
              <w:t>Shop</w:t>
            </w:r>
          </w:p>
        </w:tc>
        <w:tc>
          <w:tcPr>
            <w:tcW w:w="142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Brockton, MA</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10"/>
        </w:trPr>
        <w:tc>
          <w:tcPr>
            <w:tcW w:w="1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02"/>
        </w:trPr>
        <w:tc>
          <w:tcPr>
            <w:tcW w:w="1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4"/>
              </w:rPr>
              <w:t>Total Boston</w:t>
            </w: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161,792</w:t>
            </w: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1,113,000</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2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ectPr>
          <w:pgSz w:w="11900" w:h="16900" w:orient="portrait"/>
          <w:cols w:equalWidth="0" w:num="1">
            <w:col w:w="11420"/>
          </w:cols>
          <w:pgMar w:left="240" w:top="274" w:right="239" w:bottom="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174"/>
        </w:trPr>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Property Name</w:t>
            </w:r>
          </w:p>
        </w:tc>
        <w:tc>
          <w:tcPr>
            <w:tcW w:w="16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2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Chicago</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2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gridSpan w:val="4"/>
          </w:tcPr>
          <w:p>
            <w:pPr>
              <w:spacing w:after="0"/>
              <w:rPr>
                <w:sz w:val="20"/>
                <w:szCs w:val="20"/>
                <w:color w:val="auto"/>
              </w:rPr>
            </w:pPr>
            <w:r>
              <w:rPr>
                <w:rFonts w:ascii="Arial" w:cs="Arial" w:eastAsia="Arial" w:hAnsi="Arial"/>
                <w:sz w:val="18"/>
                <w:szCs w:val="18"/>
                <w:color w:val="auto"/>
              </w:rPr>
              <w:t>Crossroads</w:t>
            </w:r>
          </w:p>
        </w:tc>
        <w:tc>
          <w:tcPr>
            <w:tcW w:w="16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22,406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8"/>
        </w:trPr>
        <w:tc>
          <w:tcPr>
            <w:tcW w:w="1220" w:type="dxa"/>
            <w:vAlign w:val="bottom"/>
            <w:gridSpan w:val="4"/>
          </w:tcPr>
          <w:p>
            <w:pPr>
              <w:spacing w:after="0"/>
              <w:rPr>
                <w:sz w:val="20"/>
                <w:szCs w:val="20"/>
                <w:color w:val="auto"/>
              </w:rPr>
            </w:pPr>
            <w:r>
              <w:rPr>
                <w:rFonts w:ascii="Arial" w:cs="Arial" w:eastAsia="Arial" w:hAnsi="Arial"/>
                <w:sz w:val="18"/>
                <w:szCs w:val="18"/>
                <w:color w:val="auto"/>
              </w:rPr>
              <w:t>Finley Square</w:t>
            </w:r>
          </w:p>
        </w:tc>
        <w:tc>
          <w:tcPr>
            <w:tcW w:w="1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29,012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2"/>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Garden Market</w:t>
            </w:r>
          </w:p>
        </w:tc>
        <w:tc>
          <w:tcPr>
            <w:tcW w:w="1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11,139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North Lake</w:t>
            </w:r>
          </w:p>
        </w:tc>
        <w:tc>
          <w:tcPr>
            <w:tcW w:w="1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13,078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1220" w:type="dxa"/>
            <w:vAlign w:val="bottom"/>
            <w:gridSpan w:val="4"/>
          </w:tcPr>
          <w:p>
            <w:pPr>
              <w:ind w:left="220"/>
              <w:spacing w:after="0"/>
              <w:rPr>
                <w:sz w:val="20"/>
                <w:szCs w:val="20"/>
                <w:color w:val="auto"/>
              </w:rPr>
            </w:pPr>
            <w:r>
              <w:rPr>
                <w:rFonts w:ascii="Arial" w:cs="Arial" w:eastAsia="Arial" w:hAnsi="Arial"/>
                <w:sz w:val="18"/>
                <w:szCs w:val="18"/>
                <w:color w:val="auto"/>
              </w:rPr>
              <w:t>Commons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840" w:type="dxa"/>
            <w:vAlign w:val="bottom"/>
            <w:gridSpan w:val="7"/>
            <w:vMerge w:val="restart"/>
          </w:tcPr>
          <w:p>
            <w:pPr>
              <w:ind w:left="440"/>
              <w:spacing w:after="0"/>
              <w:rPr>
                <w:sz w:val="20"/>
                <w:szCs w:val="20"/>
                <w:color w:val="auto"/>
              </w:rPr>
            </w:pPr>
            <w:r>
              <w:rPr>
                <w:rFonts w:ascii="Arial" w:cs="Arial" w:eastAsia="Arial" w:hAnsi="Arial"/>
                <w:sz w:val="18"/>
                <w:szCs w:val="18"/>
                <w:b w:val="1"/>
                <w:bCs w:val="1"/>
                <w:color w:val="auto"/>
              </w:rPr>
              <w:t>Total Chicago</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4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75,635</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40" w:type="dxa"/>
            <w:vAlign w:val="bottom"/>
            <w:gridSpan w:val="7"/>
          </w:tcPr>
          <w:p>
            <w:pPr>
              <w:spacing w:after="0"/>
              <w:rPr>
                <w:sz w:val="20"/>
                <w:szCs w:val="20"/>
                <w:color w:val="auto"/>
              </w:rPr>
            </w:pPr>
            <w:r>
              <w:rPr>
                <w:rFonts w:ascii="Arial" w:cs="Arial" w:eastAsia="Arial" w:hAnsi="Arial"/>
                <w:sz w:val="18"/>
                <w:szCs w:val="18"/>
                <w:b w:val="1"/>
                <w:bCs w:val="1"/>
                <w:color w:val="auto"/>
              </w:rPr>
              <w:t>East Region - Other</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gridSpan w:val="4"/>
          </w:tcPr>
          <w:p>
            <w:pPr>
              <w:spacing w:after="0"/>
              <w:rPr>
                <w:sz w:val="20"/>
                <w:szCs w:val="20"/>
                <w:color w:val="auto"/>
              </w:rPr>
            </w:pPr>
            <w:r>
              <w:rPr>
                <w:rFonts w:ascii="Arial" w:cs="Arial" w:eastAsia="Arial" w:hAnsi="Arial"/>
                <w:sz w:val="18"/>
                <w:szCs w:val="18"/>
                <w:color w:val="auto"/>
              </w:rPr>
              <w:t>Barracks Road</w:t>
            </w:r>
          </w:p>
        </w:tc>
        <w:tc>
          <w:tcPr>
            <w:tcW w:w="16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Charlottesville, VA</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41,251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858"/>
        </w:trPr>
        <w:tc>
          <w:tcPr>
            <w:tcW w:w="1220" w:type="dxa"/>
            <w:vAlign w:val="bottom"/>
            <w:gridSpan w:val="4"/>
          </w:tcPr>
          <w:p>
            <w:pPr>
              <w:spacing w:after="0"/>
              <w:rPr>
                <w:sz w:val="20"/>
                <w:szCs w:val="20"/>
                <w:color w:val="auto"/>
              </w:rPr>
            </w:pPr>
            <w:r>
              <w:rPr>
                <w:rFonts w:ascii="Arial" w:cs="Arial" w:eastAsia="Arial" w:hAnsi="Arial"/>
                <w:sz w:val="18"/>
                <w:szCs w:val="18"/>
                <w:color w:val="auto"/>
              </w:rPr>
              <w:t>Bristol Plaza</w:t>
            </w:r>
          </w:p>
        </w:tc>
        <w:tc>
          <w:tcPr>
            <w:tcW w:w="1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Hartford, CT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23,517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Eastgate</w:t>
            </w:r>
          </w:p>
        </w:tc>
        <w:tc>
          <w:tcPr>
            <w:tcW w:w="1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Raleigh-Durham-</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17,091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w w:val="99"/>
              </w:rPr>
              <w:t>Chapel Hill, NC</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20" w:type="dxa"/>
            <w:vAlign w:val="bottom"/>
            <w:gridSpan w:val="4"/>
          </w:tcPr>
          <w:p>
            <w:pPr>
              <w:spacing w:after="0"/>
              <w:rPr>
                <w:sz w:val="20"/>
                <w:szCs w:val="20"/>
                <w:color w:val="auto"/>
              </w:rPr>
            </w:pPr>
            <w:r>
              <w:rPr>
                <w:rFonts w:ascii="Arial" w:cs="Arial" w:eastAsia="Arial" w:hAnsi="Arial"/>
                <w:sz w:val="18"/>
                <w:szCs w:val="18"/>
                <w:color w:val="auto"/>
                <w:w w:val="95"/>
              </w:rPr>
              <w:t>Governor Plaza</w:t>
            </w:r>
          </w:p>
        </w:tc>
        <w:tc>
          <w:tcPr>
            <w:tcW w:w="16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Baltimore, MD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18,971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8"/>
        </w:trPr>
        <w:tc>
          <w:tcPr>
            <w:tcW w:w="1220" w:type="dxa"/>
            <w:vAlign w:val="bottom"/>
            <w:gridSpan w:val="4"/>
          </w:tcPr>
          <w:p>
            <w:pPr>
              <w:spacing w:after="0"/>
              <w:rPr>
                <w:sz w:val="20"/>
                <w:szCs w:val="20"/>
                <w:color w:val="auto"/>
              </w:rPr>
            </w:pPr>
            <w:r>
              <w:rPr>
                <w:rFonts w:ascii="Arial" w:cs="Arial" w:eastAsia="Arial" w:hAnsi="Arial"/>
                <w:sz w:val="18"/>
                <w:szCs w:val="18"/>
                <w:color w:val="auto"/>
              </w:rPr>
              <w:t>Gratiot Plaza</w:t>
            </w:r>
          </w:p>
        </w:tc>
        <w:tc>
          <w:tcPr>
            <w:tcW w:w="1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Detroit, MI</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18,039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2"/>
        </w:trPr>
        <w:tc>
          <w:tcPr>
            <w:tcW w:w="1220" w:type="dxa"/>
            <w:vAlign w:val="bottom"/>
            <w:gridSpan w:val="4"/>
          </w:tcPr>
          <w:p>
            <w:pPr>
              <w:spacing w:after="0"/>
              <w:rPr>
                <w:sz w:val="20"/>
                <w:szCs w:val="20"/>
                <w:color w:val="auto"/>
              </w:rPr>
            </w:pPr>
            <w:r>
              <w:rPr>
                <w:rFonts w:ascii="Arial" w:cs="Arial" w:eastAsia="Arial" w:hAnsi="Arial"/>
                <w:sz w:val="18"/>
                <w:szCs w:val="18"/>
                <w:color w:val="auto"/>
              </w:rPr>
              <w:t>Greenwich</w:t>
            </w:r>
          </w:p>
        </w:tc>
        <w:tc>
          <w:tcPr>
            <w:tcW w:w="1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New Haven-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15,993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220" w:type="dxa"/>
            <w:vAlign w:val="bottom"/>
            <w:gridSpan w:val="4"/>
          </w:tcPr>
          <w:p>
            <w:pPr>
              <w:ind w:left="220"/>
              <w:spacing w:after="0"/>
              <w:rPr>
                <w:sz w:val="20"/>
                <w:szCs w:val="20"/>
                <w:color w:val="auto"/>
              </w:rPr>
            </w:pPr>
            <w:r>
              <w:rPr>
                <w:rFonts w:ascii="Arial" w:cs="Arial" w:eastAsia="Arial" w:hAnsi="Arial"/>
                <w:sz w:val="18"/>
                <w:szCs w:val="18"/>
                <w:color w:val="auto"/>
              </w:rPr>
              <w:t>Avenue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Bridgeport-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Stamford-</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Waterbury</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Lancaster</w:t>
            </w:r>
          </w:p>
        </w:tc>
        <w:tc>
          <w:tcPr>
            <w:tcW w:w="1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Lancaster, PA</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220" w:type="dxa"/>
            <w:vAlign w:val="bottom"/>
            <w:gridSpan w:val="4"/>
          </w:tcPr>
          <w:p>
            <w:pPr>
              <w:spacing w:after="0"/>
              <w:rPr>
                <w:sz w:val="20"/>
                <w:szCs w:val="20"/>
                <w:color w:val="auto"/>
              </w:rPr>
            </w:pPr>
            <w:r>
              <w:rPr>
                <w:rFonts w:ascii="Arial" w:cs="Arial" w:eastAsia="Arial" w:hAnsi="Arial"/>
                <w:sz w:val="18"/>
                <w:szCs w:val="18"/>
                <w:color w:val="auto"/>
              </w:rPr>
              <w:t>Perring Plaza</w:t>
            </w:r>
          </w:p>
        </w:tc>
        <w:tc>
          <w:tcPr>
            <w:tcW w:w="16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Baltimore, MD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26,275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858"/>
        </w:trPr>
        <w:tc>
          <w:tcPr>
            <w:tcW w:w="1220" w:type="dxa"/>
            <w:vAlign w:val="bottom"/>
            <w:gridSpan w:val="4"/>
          </w:tcPr>
          <w:p>
            <w:pPr>
              <w:spacing w:after="0"/>
              <w:rPr>
                <w:sz w:val="20"/>
                <w:szCs w:val="20"/>
                <w:color w:val="auto"/>
              </w:rPr>
            </w:pPr>
            <w:r>
              <w:rPr>
                <w:rFonts w:ascii="Arial" w:cs="Arial" w:eastAsia="Arial" w:hAnsi="Arial"/>
                <w:sz w:val="18"/>
                <w:szCs w:val="18"/>
                <w:color w:val="auto"/>
                <w:w w:val="93"/>
              </w:rPr>
              <w:t>Shops at Willow</w:t>
            </w:r>
          </w:p>
        </w:tc>
        <w:tc>
          <w:tcPr>
            <w:tcW w:w="16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Richmond-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63,763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1220" w:type="dxa"/>
            <w:vAlign w:val="bottom"/>
            <w:gridSpan w:val="4"/>
          </w:tcPr>
          <w:p>
            <w:pPr>
              <w:ind w:left="220"/>
              <w:spacing w:after="0"/>
              <w:rPr>
                <w:sz w:val="20"/>
                <w:szCs w:val="20"/>
                <w:color w:val="auto"/>
              </w:rPr>
            </w:pPr>
            <w:r>
              <w:rPr>
                <w:rFonts w:ascii="Arial" w:cs="Arial" w:eastAsia="Arial" w:hAnsi="Arial"/>
                <w:sz w:val="18"/>
                <w:szCs w:val="18"/>
                <w:color w:val="auto"/>
              </w:rPr>
              <w:t>Lawn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w w:val="99"/>
              </w:rPr>
              <w:t>Petersburg, VA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840" w:type="dxa"/>
            <w:vAlign w:val="bottom"/>
            <w:gridSpan w:val="7"/>
            <w:vMerge w:val="restart"/>
          </w:tcPr>
          <w:p>
            <w:pPr>
              <w:ind w:left="440"/>
              <w:spacing w:after="0"/>
              <w:rPr>
                <w:sz w:val="20"/>
                <w:szCs w:val="20"/>
                <w:color w:val="auto"/>
              </w:rPr>
            </w:pPr>
            <w:r>
              <w:rPr>
                <w:rFonts w:ascii="Arial" w:cs="Arial" w:eastAsia="Arial" w:hAnsi="Arial"/>
                <w:sz w:val="18"/>
                <w:szCs w:val="18"/>
                <w:b w:val="1"/>
                <w:bCs w:val="1"/>
                <w:color w:val="auto"/>
              </w:rPr>
              <w:t>Total East Region - Other</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84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235,716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gridSpan w:val="7"/>
          </w:tcPr>
          <w:p>
            <w:pPr>
              <w:ind w:left="440"/>
              <w:spacing w:after="0"/>
              <w:rPr>
                <w:sz w:val="20"/>
                <w:szCs w:val="20"/>
                <w:color w:val="auto"/>
              </w:rPr>
            </w:pPr>
            <w:r>
              <w:rPr>
                <w:rFonts w:ascii="Arial" w:cs="Arial" w:eastAsia="Arial" w:hAnsi="Arial"/>
                <w:sz w:val="18"/>
                <w:szCs w:val="18"/>
                <w:b w:val="1"/>
                <w:bCs w:val="1"/>
                <w:color w:val="auto"/>
              </w:rPr>
              <w:t>Total East Region</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1,882,648</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20" w:type="dxa"/>
            <w:vAlign w:val="bottom"/>
            <w:gridSpan w:val="4"/>
          </w:tcPr>
          <w:p>
            <w:pPr>
              <w:spacing w:after="0"/>
              <w:rPr>
                <w:sz w:val="20"/>
                <w:szCs w:val="20"/>
                <w:color w:val="auto"/>
              </w:rPr>
            </w:pPr>
            <w:r>
              <w:rPr>
                <w:rFonts w:ascii="Arial" w:cs="Arial" w:eastAsia="Arial" w:hAnsi="Arial"/>
                <w:sz w:val="18"/>
                <w:szCs w:val="18"/>
                <w:b w:val="1"/>
                <w:bCs w:val="1"/>
                <w:color w:val="auto"/>
              </w:rPr>
              <w:t>West Region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California</w:t>
            </w:r>
          </w:p>
        </w:tc>
        <w:tc>
          <w:tcPr>
            <w:tcW w:w="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Grocery</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8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Anchor</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4"/>
        </w:trPr>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GLA (1)</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 Leased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Obligation</w:t>
            </w: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GLA (2)</w:t>
            </w:r>
          </w:p>
        </w:tc>
        <w:tc>
          <w:tcPr>
            <w:tcW w:w="1180" w:type="dxa"/>
            <w:vAlign w:val="bottom"/>
          </w:tcPr>
          <w:p>
            <w:pPr>
              <w:spacing w:after="0"/>
              <w:rPr>
                <w:sz w:val="20"/>
                <w:szCs w:val="20"/>
                <w:color w:val="auto"/>
              </w:rPr>
            </w:pPr>
            <w:r>
              <w:rPr>
                <w:rFonts w:ascii="Arial" w:cs="Arial" w:eastAsia="Arial" w:hAnsi="Arial"/>
                <w:sz w:val="14"/>
                <w:szCs w:val="14"/>
                <w:b w:val="1"/>
                <w:bCs w:val="1"/>
                <w:color w:val="auto"/>
                <w:w w:val="90"/>
              </w:rPr>
              <w:t>Grocery Anchor (2)</w:t>
            </w: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Other Principal Tenants</w:t>
            </w:r>
          </w:p>
        </w:tc>
      </w:tr>
      <w:tr>
        <w:trPr>
          <w:trHeight w:val="95"/>
        </w:trPr>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263"/>
        </w:trPr>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411"/>
        </w:trPr>
        <w:tc>
          <w:tcPr>
            <w:tcW w:w="800" w:type="dxa"/>
            <w:vAlign w:val="bottom"/>
          </w:tcPr>
          <w:p>
            <w:pPr>
              <w:jc w:val="right"/>
              <w:spacing w:after="0"/>
              <w:rPr>
                <w:sz w:val="20"/>
                <w:szCs w:val="20"/>
                <w:color w:val="auto"/>
              </w:rPr>
            </w:pPr>
            <w:r>
              <w:rPr>
                <w:rFonts w:ascii="Arial" w:cs="Arial" w:eastAsia="Arial" w:hAnsi="Arial"/>
                <w:sz w:val="18"/>
                <w:szCs w:val="18"/>
                <w:color w:val="auto"/>
              </w:rPr>
              <w:t>173,000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Comp USA /</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Golfsmith /</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Guitar Center</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314,000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Bed, Bath &amp;</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w w:val="90"/>
              </w:rPr>
              <w:t>Beyond / Sports</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Authority</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140,000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c>
          <w:tcPr>
            <w:tcW w:w="8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63,000</w:t>
            </w:r>
          </w:p>
        </w:tc>
        <w:tc>
          <w:tcPr>
            <w:tcW w:w="1180" w:type="dxa"/>
            <w:vAlign w:val="bottom"/>
          </w:tcPr>
          <w:p>
            <w:pPr>
              <w:spacing w:after="0"/>
              <w:rPr>
                <w:sz w:val="20"/>
                <w:szCs w:val="20"/>
                <w:color w:val="auto"/>
              </w:rPr>
            </w:pPr>
            <w:r>
              <w:rPr>
                <w:rFonts w:ascii="Arial" w:cs="Arial" w:eastAsia="Arial" w:hAnsi="Arial"/>
                <w:sz w:val="18"/>
                <w:szCs w:val="18"/>
                <w:color w:val="auto"/>
              </w:rPr>
              <w:t>Dominick’s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Walgreens</w:t>
            </w:r>
          </w:p>
        </w:tc>
      </w:tr>
      <w:tr>
        <w:trPr>
          <w:trHeight w:val="222"/>
        </w:trPr>
        <w:tc>
          <w:tcPr>
            <w:tcW w:w="800" w:type="dxa"/>
            <w:vAlign w:val="bottom"/>
          </w:tcPr>
          <w:p>
            <w:pPr>
              <w:jc w:val="right"/>
              <w:spacing w:after="0"/>
              <w:rPr>
                <w:sz w:val="20"/>
                <w:szCs w:val="20"/>
                <w:color w:val="auto"/>
              </w:rPr>
            </w:pPr>
            <w:r>
              <w:rPr>
                <w:rFonts w:ascii="Arial" w:cs="Arial" w:eastAsia="Arial" w:hAnsi="Arial"/>
                <w:sz w:val="18"/>
                <w:szCs w:val="18"/>
                <w:color w:val="auto"/>
              </w:rPr>
              <w:t>129,000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c>
          <w:tcPr>
            <w:tcW w:w="840" w:type="dxa"/>
            <w:vAlign w:val="bottom"/>
          </w:tcPr>
          <w:p>
            <w:pPr>
              <w:spacing w:after="0"/>
              <w:rPr>
                <w:sz w:val="19"/>
                <w:szCs w:val="19"/>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77,000</w:t>
            </w:r>
          </w:p>
        </w:tc>
        <w:tc>
          <w:tcPr>
            <w:tcW w:w="1180" w:type="dxa"/>
            <w:vAlign w:val="bottom"/>
          </w:tcPr>
          <w:p>
            <w:pPr>
              <w:spacing w:after="0"/>
              <w:rPr>
                <w:sz w:val="20"/>
                <w:szCs w:val="20"/>
                <w:color w:val="auto"/>
              </w:rPr>
            </w:pPr>
            <w:r>
              <w:rPr>
                <w:rFonts w:ascii="Arial" w:cs="Arial" w:eastAsia="Arial" w:hAnsi="Arial"/>
                <w:sz w:val="18"/>
                <w:szCs w:val="18"/>
                <w:color w:val="auto"/>
              </w:rPr>
              <w:t>Dominick’s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26"/>
        </w:trPr>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6"/>
        </w:trPr>
        <w:tc>
          <w:tcPr>
            <w:tcW w:w="800" w:type="dxa"/>
            <w:vAlign w:val="bottom"/>
          </w:tcPr>
          <w:p>
            <w:pPr>
              <w:jc w:val="right"/>
              <w:spacing w:after="0"/>
              <w:rPr>
                <w:sz w:val="20"/>
                <w:szCs w:val="20"/>
                <w:color w:val="auto"/>
              </w:rPr>
            </w:pPr>
            <w:r>
              <w:rPr>
                <w:rFonts w:ascii="Arial" w:cs="Arial" w:eastAsia="Arial" w:hAnsi="Arial"/>
                <w:sz w:val="18"/>
                <w:szCs w:val="18"/>
                <w:color w:val="auto"/>
              </w:rPr>
              <w:t>756,000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34"/>
        </w:trPr>
        <w:tc>
          <w:tcPr>
            <w:tcW w:w="800" w:type="dxa"/>
            <w:vAlign w:val="bottom"/>
          </w:tcPr>
          <w:p>
            <w:pPr>
              <w:jc w:val="right"/>
              <w:spacing w:after="0"/>
              <w:rPr>
                <w:sz w:val="20"/>
                <w:szCs w:val="20"/>
                <w:color w:val="auto"/>
              </w:rPr>
            </w:pPr>
            <w:r>
              <w:rPr>
                <w:rFonts w:ascii="Arial" w:cs="Arial" w:eastAsia="Arial" w:hAnsi="Arial"/>
                <w:sz w:val="18"/>
                <w:szCs w:val="18"/>
                <w:color w:val="auto"/>
              </w:rPr>
              <w:t>483,000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tcPr>
          <w:p>
            <w:pPr>
              <w:jc w:val="right"/>
              <w:spacing w:after="0"/>
              <w:rPr>
                <w:sz w:val="20"/>
                <w:szCs w:val="20"/>
                <w:color w:val="auto"/>
              </w:rPr>
            </w:pPr>
            <w:r>
              <w:rPr>
                <w:rFonts w:ascii="Arial" w:cs="Arial" w:eastAsia="Arial" w:hAnsi="Arial"/>
                <w:sz w:val="18"/>
                <w:szCs w:val="18"/>
                <w:color w:val="auto"/>
              </w:rPr>
              <w:t>43,193</w:t>
            </w: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91,000</w:t>
            </w:r>
          </w:p>
        </w:tc>
        <w:tc>
          <w:tcPr>
            <w:tcW w:w="1180" w:type="dxa"/>
            <w:vAlign w:val="bottom"/>
          </w:tcPr>
          <w:p>
            <w:pPr>
              <w:spacing w:after="0"/>
              <w:rPr>
                <w:sz w:val="20"/>
                <w:szCs w:val="20"/>
                <w:color w:val="auto"/>
              </w:rPr>
            </w:pPr>
            <w:r>
              <w:rPr>
                <w:rFonts w:ascii="Arial" w:cs="Arial" w:eastAsia="Arial" w:hAnsi="Arial"/>
                <w:sz w:val="18"/>
                <w:szCs w:val="18"/>
                <w:color w:val="auto"/>
              </w:rPr>
              <w:t>Harris Teeter /</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Bed, Bath &amp;</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Kroger</w:t>
            </w: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w w:val="87"/>
              </w:rPr>
              <w:t>Beyond / Barnes</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&amp; Noble / Old</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Navy</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277,000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8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74,000</w:t>
            </w:r>
          </w:p>
        </w:tc>
        <w:tc>
          <w:tcPr>
            <w:tcW w:w="1180" w:type="dxa"/>
            <w:vAlign w:val="bottom"/>
          </w:tcPr>
          <w:p>
            <w:pPr>
              <w:spacing w:after="0"/>
              <w:rPr>
                <w:sz w:val="20"/>
                <w:szCs w:val="20"/>
                <w:color w:val="auto"/>
              </w:rPr>
            </w:pPr>
            <w:r>
              <w:rPr>
                <w:rFonts w:ascii="Arial" w:cs="Arial" w:eastAsia="Arial" w:hAnsi="Arial"/>
                <w:sz w:val="18"/>
                <w:szCs w:val="18"/>
                <w:color w:val="auto"/>
              </w:rPr>
              <w:t>Stop &amp; Shop</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TJ Maxx</w:t>
            </w:r>
          </w:p>
        </w:tc>
      </w:tr>
      <w:tr>
        <w:trPr>
          <w:trHeight w:val="222"/>
        </w:trPr>
        <w:tc>
          <w:tcPr>
            <w:tcW w:w="800" w:type="dxa"/>
            <w:vAlign w:val="bottom"/>
          </w:tcPr>
          <w:p>
            <w:pPr>
              <w:jc w:val="right"/>
              <w:spacing w:after="0"/>
              <w:rPr>
                <w:sz w:val="20"/>
                <w:szCs w:val="20"/>
                <w:color w:val="auto"/>
              </w:rPr>
            </w:pPr>
            <w:r>
              <w:rPr>
                <w:rFonts w:ascii="Arial" w:cs="Arial" w:eastAsia="Arial" w:hAnsi="Arial"/>
                <w:sz w:val="18"/>
                <w:szCs w:val="18"/>
                <w:color w:val="auto"/>
              </w:rPr>
              <w:t>157,000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840" w:type="dxa"/>
            <w:vAlign w:val="bottom"/>
          </w:tcPr>
          <w:p>
            <w:pPr>
              <w:spacing w:after="0"/>
              <w:rPr>
                <w:sz w:val="19"/>
                <w:szCs w:val="19"/>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23,000</w:t>
            </w:r>
          </w:p>
        </w:tc>
        <w:tc>
          <w:tcPr>
            <w:tcW w:w="1180" w:type="dxa"/>
            <w:vAlign w:val="bottom"/>
          </w:tcPr>
          <w:p>
            <w:pPr>
              <w:spacing w:after="0"/>
              <w:rPr>
                <w:sz w:val="20"/>
                <w:szCs w:val="20"/>
                <w:color w:val="auto"/>
              </w:rPr>
            </w:pPr>
            <w:r>
              <w:rPr>
                <w:rFonts w:ascii="Arial" w:cs="Arial" w:eastAsia="Arial" w:hAnsi="Arial"/>
                <w:sz w:val="18"/>
                <w:szCs w:val="18"/>
                <w:color w:val="auto"/>
              </w:rPr>
              <w:t>Earth Fare</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Stein Mart</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268,000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Bally’s / Comp</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USA / Office</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Depot</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217,000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69,000</w:t>
            </w:r>
          </w:p>
        </w:tc>
        <w:tc>
          <w:tcPr>
            <w:tcW w:w="1180" w:type="dxa"/>
            <w:vAlign w:val="bottom"/>
          </w:tcPr>
          <w:p>
            <w:pPr>
              <w:spacing w:after="0"/>
              <w:rPr>
                <w:sz w:val="20"/>
                <w:szCs w:val="20"/>
                <w:color w:val="auto"/>
              </w:rPr>
            </w:pPr>
            <w:r>
              <w:rPr>
                <w:rFonts w:ascii="Arial" w:cs="Arial" w:eastAsia="Arial" w:hAnsi="Arial"/>
                <w:sz w:val="18"/>
                <w:szCs w:val="18"/>
                <w:color w:val="auto"/>
              </w:rPr>
              <w:t>Farmer Jacks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Bed, Bath &amp;</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Beyond / Best</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Buy / DSW</w:t>
            </w:r>
          </w:p>
        </w:tc>
      </w:tr>
      <w:tr>
        <w:trPr>
          <w:trHeight w:val="222"/>
        </w:trPr>
        <w:tc>
          <w:tcPr>
            <w:tcW w:w="800" w:type="dxa"/>
            <w:vAlign w:val="bottom"/>
          </w:tcPr>
          <w:p>
            <w:pPr>
              <w:jc w:val="right"/>
              <w:spacing w:after="0"/>
              <w:rPr>
                <w:sz w:val="20"/>
                <w:szCs w:val="20"/>
                <w:color w:val="auto"/>
              </w:rPr>
            </w:pPr>
            <w:r>
              <w:rPr>
                <w:rFonts w:ascii="Arial" w:cs="Arial" w:eastAsia="Arial" w:hAnsi="Arial"/>
                <w:sz w:val="18"/>
                <w:szCs w:val="18"/>
                <w:color w:val="auto"/>
              </w:rPr>
              <w:t>42,000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w w:val="94"/>
              </w:rPr>
              <w:t>Saks Fifth Avenue</w:t>
            </w:r>
          </w:p>
        </w:tc>
      </w:tr>
      <w:tr>
        <w:trPr>
          <w:trHeight w:val="858"/>
        </w:trPr>
        <w:tc>
          <w:tcPr>
            <w:tcW w:w="800" w:type="dxa"/>
            <w:vAlign w:val="bottom"/>
          </w:tcPr>
          <w:p>
            <w:pPr>
              <w:jc w:val="right"/>
              <w:spacing w:after="0"/>
              <w:rPr>
                <w:sz w:val="20"/>
                <w:szCs w:val="20"/>
                <w:color w:val="auto"/>
              </w:rPr>
            </w:pPr>
            <w:r>
              <w:rPr>
                <w:rFonts w:ascii="Arial" w:cs="Arial" w:eastAsia="Arial" w:hAnsi="Arial"/>
                <w:sz w:val="18"/>
                <w:szCs w:val="18"/>
                <w:color w:val="auto"/>
              </w:rPr>
              <w:t>107,000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tcPr>
          <w:p>
            <w:pPr>
              <w:jc w:val="right"/>
              <w:spacing w:after="0"/>
              <w:rPr>
                <w:sz w:val="20"/>
                <w:szCs w:val="20"/>
                <w:color w:val="auto"/>
              </w:rPr>
            </w:pPr>
            <w:r>
              <w:rPr>
                <w:rFonts w:ascii="Arial" w:cs="Arial" w:eastAsia="Arial" w:hAnsi="Arial"/>
                <w:sz w:val="18"/>
                <w:szCs w:val="18"/>
                <w:color w:val="auto"/>
              </w:rPr>
              <w:t>4,907</w:t>
            </w: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39,000</w:t>
            </w:r>
          </w:p>
        </w:tc>
        <w:tc>
          <w:tcPr>
            <w:tcW w:w="1180" w:type="dxa"/>
            <w:vAlign w:val="bottom"/>
          </w:tcPr>
          <w:p>
            <w:pPr>
              <w:spacing w:after="0"/>
              <w:rPr>
                <w:sz w:val="20"/>
                <w:szCs w:val="20"/>
                <w:color w:val="auto"/>
              </w:rPr>
            </w:pPr>
            <w:r>
              <w:rPr>
                <w:rFonts w:ascii="Arial" w:cs="Arial" w:eastAsia="Arial" w:hAnsi="Arial"/>
                <w:sz w:val="18"/>
                <w:szCs w:val="18"/>
                <w:color w:val="auto"/>
              </w:rPr>
              <w:t>Giant Food</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Michaels</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401,000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58,000</w:t>
            </w:r>
          </w:p>
        </w:tc>
        <w:tc>
          <w:tcPr>
            <w:tcW w:w="1180" w:type="dxa"/>
            <w:vAlign w:val="bottom"/>
          </w:tcPr>
          <w:p>
            <w:pPr>
              <w:spacing w:after="0"/>
              <w:rPr>
                <w:sz w:val="20"/>
                <w:szCs w:val="20"/>
                <w:color w:val="auto"/>
              </w:rPr>
            </w:pPr>
            <w:r>
              <w:rPr>
                <w:rFonts w:ascii="Arial" w:cs="Arial" w:eastAsia="Arial" w:hAnsi="Arial"/>
                <w:sz w:val="18"/>
                <w:szCs w:val="18"/>
                <w:color w:val="auto"/>
                <w:w w:val="94"/>
              </w:rPr>
              <w:t>Shoppers Food</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Home Depot /</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Warehouse</w:t>
            </w: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w w:val="93"/>
              </w:rPr>
              <w:t>Burlington Coat</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Factory / Jo-</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Ann Stores</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467,000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86%</w:t>
            </w:r>
          </w:p>
        </w:tc>
        <w:tc>
          <w:tcPr>
            <w:tcW w:w="8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60,000</w:t>
            </w:r>
          </w:p>
        </w:tc>
        <w:tc>
          <w:tcPr>
            <w:tcW w:w="1180" w:type="dxa"/>
            <w:vAlign w:val="bottom"/>
          </w:tcPr>
          <w:p>
            <w:pPr>
              <w:spacing w:after="0"/>
              <w:rPr>
                <w:sz w:val="20"/>
                <w:szCs w:val="20"/>
                <w:color w:val="auto"/>
              </w:rPr>
            </w:pPr>
            <w:r>
              <w:rPr>
                <w:rFonts w:ascii="Arial" w:cs="Arial" w:eastAsia="Arial" w:hAnsi="Arial"/>
                <w:sz w:val="18"/>
                <w:szCs w:val="18"/>
                <w:color w:val="auto"/>
              </w:rPr>
              <w:t>Kroger</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w w:val="99"/>
              </w:rPr>
              <w:t>Old Navy / Tower</w:t>
            </w:r>
          </w:p>
        </w:tc>
      </w:tr>
      <w:tr>
        <w:trPr>
          <w:trHeight w:val="216"/>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Records /</w:t>
            </w:r>
          </w:p>
        </w:tc>
      </w:tr>
      <w:tr>
        <w:trPr>
          <w:trHeight w:val="222"/>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Staples</w:t>
            </w:r>
          </w:p>
        </w:tc>
      </w:tr>
      <w:tr>
        <w:trPr>
          <w:trHeight w:val="110"/>
        </w:trPr>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316"/>
        </w:trPr>
        <w:tc>
          <w:tcPr>
            <w:tcW w:w="800" w:type="dxa"/>
            <w:vAlign w:val="bottom"/>
          </w:tcPr>
          <w:p>
            <w:pPr>
              <w:jc w:val="right"/>
              <w:spacing w:after="0"/>
              <w:rPr>
                <w:sz w:val="20"/>
                <w:szCs w:val="20"/>
                <w:color w:val="auto"/>
              </w:rPr>
            </w:pPr>
            <w:r>
              <w:rPr>
                <w:rFonts w:ascii="Arial" w:cs="Arial" w:eastAsia="Arial" w:hAnsi="Arial"/>
                <w:sz w:val="18"/>
                <w:szCs w:val="18"/>
                <w:color w:val="auto"/>
                <w:w w:val="97"/>
              </w:rPr>
              <w:t>2,419,000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800" w:type="dxa"/>
            <w:vAlign w:val="bottom"/>
          </w:tcPr>
          <w:p>
            <w:pPr>
              <w:jc w:val="right"/>
              <w:spacing w:after="0"/>
              <w:rPr>
                <w:sz w:val="20"/>
                <w:szCs w:val="20"/>
                <w:color w:val="auto"/>
              </w:rPr>
            </w:pPr>
            <w:r>
              <w:rPr>
                <w:rFonts w:ascii="Arial" w:cs="Arial" w:eastAsia="Arial" w:hAnsi="Arial"/>
                <w:sz w:val="18"/>
                <w:szCs w:val="18"/>
                <w:color w:val="auto"/>
                <w:w w:val="86"/>
              </w:rPr>
              <w:t>14,941,000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-5777865</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-5229225</wp:posOffset>
            </wp:positionV>
            <wp:extent cx="7246620" cy="411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-4680585</wp:posOffset>
            </wp:positionV>
            <wp:extent cx="7246620" cy="274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-4260215</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-3917315</wp:posOffset>
            </wp:positionV>
            <wp:extent cx="7246620" cy="548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-3230880</wp:posOffset>
            </wp:positionV>
            <wp:extent cx="7246620" cy="274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-2545080</wp:posOffset>
            </wp:positionV>
            <wp:extent cx="7246620" cy="411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-1584325</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-898525</wp:posOffset>
            </wp:positionV>
            <wp:extent cx="7246620" cy="411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-340995</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69850</wp:posOffset>
            </wp:positionV>
            <wp:extent cx="72466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50" w:lineRule="exact"/>
        <w:rPr>
          <w:sz w:val="20"/>
          <w:szCs w:val="20"/>
          <w:color w:val="auto"/>
        </w:rPr>
      </w:pPr>
    </w:p>
    <w:p>
      <w:pPr>
        <w:sectPr>
          <w:pgSz w:w="11900" w:h="16900" w:orient="portrait"/>
          <w:cols w:equalWidth="0" w:num="2">
            <w:col w:w="5320" w:space="180"/>
            <w:col w:w="5920"/>
          </w:cols>
          <w:pgMar w:left="240" w:top="274" w:right="239" w:bottom="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Colorado Blvd</w:t>
            </w:r>
          </w:p>
        </w:tc>
        <w:tc>
          <w:tcPr>
            <w:tcW w:w="1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 Angeles-Long</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1996-</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16,707</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69,000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Pottery Barn /</w:t>
            </w:r>
          </w:p>
        </w:tc>
      </w:tr>
      <w:tr>
        <w:trPr>
          <w:trHeight w:val="216"/>
        </w:trPr>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Beach, CA</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1998</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Banana</w:t>
            </w:r>
          </w:p>
        </w:tc>
      </w:tr>
      <w:tr>
        <w:trPr>
          <w:trHeight w:val="224"/>
        </w:trPr>
        <w:tc>
          <w:tcPr>
            <w:tcW w:w="1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Republic</w:t>
            </w: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Crow Canyon</w:t>
            </w:r>
          </w:p>
        </w:tc>
        <w:tc>
          <w:tcPr>
            <w:tcW w:w="1560" w:type="dxa"/>
            <w:vAlign w:val="bottom"/>
          </w:tcPr>
          <w:p>
            <w:pPr>
              <w:ind w:left="80"/>
              <w:spacing w:after="0"/>
              <w:rPr>
                <w:sz w:val="20"/>
                <w:szCs w:val="20"/>
                <w:color w:val="auto"/>
              </w:rPr>
            </w:pPr>
            <w:r>
              <w:rPr>
                <w:rFonts w:ascii="Arial" w:cs="Arial" w:eastAsia="Arial" w:hAnsi="Arial"/>
                <w:sz w:val="18"/>
                <w:szCs w:val="18"/>
                <w:color w:val="auto"/>
              </w:rPr>
              <w:t>San Ramon, CA</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2005</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50,585</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228,000</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98%</w:t>
            </w:r>
          </w:p>
        </w:tc>
        <w:tc>
          <w:tcPr>
            <w:tcW w:w="1340" w:type="dxa"/>
            <w:vAlign w:val="bottom"/>
          </w:tcPr>
          <w:p>
            <w:pPr>
              <w:jc w:val="right"/>
              <w:spacing w:after="0"/>
              <w:rPr>
                <w:sz w:val="20"/>
                <w:szCs w:val="20"/>
                <w:color w:val="auto"/>
              </w:rPr>
            </w:pPr>
            <w:r>
              <w:rPr>
                <w:rFonts w:ascii="Arial" w:cs="Arial" w:eastAsia="Arial" w:hAnsi="Arial"/>
                <w:sz w:val="18"/>
                <w:szCs w:val="18"/>
                <w:color w:val="auto"/>
              </w:rPr>
              <w:t>22,258 58,000</w:t>
            </w:r>
          </w:p>
        </w:tc>
        <w:tc>
          <w:tcPr>
            <w:tcW w:w="1240" w:type="dxa"/>
            <w:vAlign w:val="bottom"/>
          </w:tcPr>
          <w:p>
            <w:pPr>
              <w:ind w:left="40"/>
              <w:spacing w:after="0"/>
              <w:rPr>
                <w:sz w:val="20"/>
                <w:szCs w:val="20"/>
                <w:color w:val="auto"/>
              </w:rPr>
            </w:pPr>
            <w:r>
              <w:rPr>
                <w:rFonts w:ascii="Arial" w:cs="Arial" w:eastAsia="Arial" w:hAnsi="Arial"/>
                <w:sz w:val="18"/>
                <w:szCs w:val="18"/>
                <w:color w:val="auto"/>
              </w:rPr>
              <w:t>Albertson’s</w:t>
            </w:r>
          </w:p>
        </w:tc>
        <w:tc>
          <w:tcPr>
            <w:tcW w:w="1480" w:type="dxa"/>
            <w:vAlign w:val="bottom"/>
          </w:tcPr>
          <w:p>
            <w:pPr>
              <w:ind w:left="80"/>
              <w:spacing w:after="0"/>
              <w:rPr>
                <w:sz w:val="20"/>
                <w:szCs w:val="20"/>
                <w:color w:val="auto"/>
              </w:rPr>
            </w:pPr>
            <w:r>
              <w:rPr>
                <w:rFonts w:ascii="Arial" w:cs="Arial" w:eastAsia="Arial" w:hAnsi="Arial"/>
                <w:sz w:val="18"/>
                <w:szCs w:val="18"/>
                <w:color w:val="auto"/>
                <w:w w:val="95"/>
              </w:rPr>
              <w:t>Loehmann’s / Rite</w:t>
            </w:r>
          </w:p>
        </w:tc>
      </w:tr>
      <w:tr>
        <w:trPr>
          <w:trHeight w:val="222"/>
        </w:trPr>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Arial" w:cs="Arial" w:eastAsia="Arial" w:hAnsi="Arial"/>
                <w:sz w:val="18"/>
                <w:szCs w:val="18"/>
                <w:color w:val="auto"/>
              </w:rPr>
              <w:t>Aid</w:t>
            </w: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Escondido</w:t>
            </w:r>
          </w:p>
        </w:tc>
        <w:tc>
          <w:tcPr>
            <w:tcW w:w="1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 Diego, CA</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1996</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25,887</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70.0%</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222,000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Plus / TJ</w:t>
            </w:r>
          </w:p>
        </w:tc>
      </w:tr>
      <w:tr>
        <w:trPr>
          <w:trHeight w:val="216"/>
        </w:trPr>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Maxx / Toys R</w:t>
            </w:r>
          </w:p>
        </w:tc>
      </w:tr>
      <w:tr>
        <w:trPr>
          <w:trHeight w:val="224"/>
        </w:trPr>
        <w:tc>
          <w:tcPr>
            <w:tcW w:w="1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w:t>
            </w: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Fifth Ave</w:t>
            </w:r>
          </w:p>
        </w:tc>
        <w:tc>
          <w:tcPr>
            <w:tcW w:w="1560" w:type="dxa"/>
            <w:vAlign w:val="bottom"/>
          </w:tcPr>
          <w:p>
            <w:pPr>
              <w:ind w:left="80"/>
              <w:spacing w:after="0"/>
              <w:rPr>
                <w:sz w:val="20"/>
                <w:szCs w:val="20"/>
                <w:color w:val="auto"/>
              </w:rPr>
            </w:pPr>
            <w:r>
              <w:rPr>
                <w:rFonts w:ascii="Arial" w:cs="Arial" w:eastAsia="Arial" w:hAnsi="Arial"/>
                <w:sz w:val="18"/>
                <w:szCs w:val="18"/>
                <w:color w:val="auto"/>
              </w:rPr>
              <w:t>San Diego, CA</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1996-</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12,718</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51,000</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99%</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Urban Outfitters</w:t>
            </w:r>
          </w:p>
        </w:tc>
      </w:tr>
      <w:tr>
        <w:trPr>
          <w:trHeight w:val="222"/>
        </w:trPr>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1997</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Hermosa Ave</w:t>
            </w:r>
          </w:p>
        </w:tc>
        <w:tc>
          <w:tcPr>
            <w:tcW w:w="1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 Angeles-Long</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1997</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4,721</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90.0%</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23,000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4"/>
        </w:trPr>
        <w:tc>
          <w:tcPr>
            <w:tcW w:w="1300" w:type="dxa"/>
            <w:vAlign w:val="bottom"/>
            <w:shd w:val="clear" w:color="auto" w:fill="CCEEFF"/>
          </w:tcPr>
          <w:p>
            <w:pPr>
              <w:spacing w:after="0"/>
              <w:rPr>
                <w:sz w:val="19"/>
                <w:szCs w:val="19"/>
                <w:color w:val="auto"/>
              </w:rPr>
            </w:pPr>
          </w:p>
        </w:tc>
        <w:tc>
          <w:tcPr>
            <w:tcW w:w="1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Beach, CA</w:t>
            </w: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rPr>
              <w:t>Hollywood Blvd</w:t>
            </w:r>
          </w:p>
        </w:tc>
        <w:tc>
          <w:tcPr>
            <w:tcW w:w="1560" w:type="dxa"/>
            <w:vAlign w:val="bottom"/>
          </w:tcPr>
          <w:p>
            <w:pPr>
              <w:ind w:left="80"/>
              <w:spacing w:after="0"/>
              <w:rPr>
                <w:sz w:val="20"/>
                <w:szCs w:val="20"/>
                <w:color w:val="auto"/>
              </w:rPr>
            </w:pPr>
            <w:r>
              <w:rPr>
                <w:rFonts w:ascii="Arial" w:cs="Arial" w:eastAsia="Arial" w:hAnsi="Arial"/>
                <w:sz w:val="18"/>
                <w:szCs w:val="18"/>
                <w:color w:val="auto"/>
              </w:rPr>
              <w:t>Los Angeles-Long</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1999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27,984</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90.0%</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149,000</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Hollywood</w:t>
            </w:r>
          </w:p>
        </w:tc>
      </w:tr>
      <w:tr>
        <w:trPr>
          <w:trHeight w:val="216"/>
        </w:trPr>
        <w:tc>
          <w:tcPr>
            <w:tcW w:w="1300" w:type="dxa"/>
            <w:vAlign w:val="bottom"/>
          </w:tcPr>
          <w:p>
            <w:pPr>
              <w:spacing w:after="0"/>
              <w:rPr>
                <w:sz w:val="18"/>
                <w:szCs w:val="18"/>
                <w:color w:val="auto"/>
              </w:rPr>
            </w:pPr>
          </w:p>
        </w:tc>
        <w:tc>
          <w:tcPr>
            <w:tcW w:w="1560" w:type="dxa"/>
            <w:vAlign w:val="bottom"/>
          </w:tcPr>
          <w:p>
            <w:pPr>
              <w:ind w:left="300"/>
              <w:spacing w:after="0"/>
              <w:rPr>
                <w:sz w:val="20"/>
                <w:szCs w:val="20"/>
                <w:color w:val="auto"/>
              </w:rPr>
            </w:pPr>
            <w:r>
              <w:rPr>
                <w:rFonts w:ascii="Arial" w:cs="Arial" w:eastAsia="Arial" w:hAnsi="Arial"/>
                <w:sz w:val="18"/>
                <w:szCs w:val="18"/>
                <w:color w:val="auto"/>
              </w:rPr>
              <w:t>Beach, CA</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Arial" w:cs="Arial" w:eastAsia="Arial" w:hAnsi="Arial"/>
                <w:sz w:val="18"/>
                <w:szCs w:val="18"/>
                <w:color w:val="auto"/>
              </w:rPr>
              <w:t>Entertainment</w:t>
            </w:r>
          </w:p>
        </w:tc>
      </w:tr>
      <w:tr>
        <w:trPr>
          <w:trHeight w:val="222"/>
        </w:trPr>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Arial" w:cs="Arial" w:eastAsia="Arial" w:hAnsi="Arial"/>
                <w:sz w:val="18"/>
                <w:szCs w:val="18"/>
                <w:color w:val="auto"/>
              </w:rPr>
              <w:t>Museum</w:t>
            </w: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Kings Court</w:t>
            </w:r>
          </w:p>
        </w:tc>
        <w:tc>
          <w:tcPr>
            <w:tcW w:w="1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 Jose, CA</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1998</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11,433</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79,000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Lunardi’s Super</w:t>
            </w:r>
          </w:p>
        </w:tc>
        <w:tc>
          <w:tcPr>
            <w:tcW w:w="1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Longs Drug Store</w:t>
            </w:r>
          </w:p>
        </w:tc>
      </w:tr>
      <w:tr>
        <w:trPr>
          <w:trHeight w:val="224"/>
        </w:trPr>
        <w:tc>
          <w:tcPr>
            <w:tcW w:w="1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w:t>
            </w:r>
          </w:p>
        </w:tc>
        <w:tc>
          <w:tcPr>
            <w:tcW w:w="1480" w:type="dxa"/>
            <w:vAlign w:val="bottom"/>
            <w:shd w:val="clear" w:color="auto" w:fill="CCEEFF"/>
          </w:tcPr>
          <w:p>
            <w:pPr>
              <w:spacing w:after="0"/>
              <w:rPr>
                <w:sz w:val="19"/>
                <w:szCs w:val="19"/>
                <w:color w:val="auto"/>
              </w:rPr>
            </w:pPr>
          </w:p>
        </w:tc>
      </w:tr>
      <w:tr>
        <w:trPr>
          <w:trHeight w:val="208"/>
        </w:trPr>
        <w:tc>
          <w:tcPr>
            <w:tcW w:w="1300" w:type="dxa"/>
            <w:vAlign w:val="bottom"/>
          </w:tcPr>
          <w:p>
            <w:pPr>
              <w:spacing w:after="0"/>
              <w:rPr>
                <w:sz w:val="20"/>
                <w:szCs w:val="20"/>
                <w:color w:val="auto"/>
              </w:rPr>
            </w:pPr>
            <w:r>
              <w:rPr>
                <w:rFonts w:ascii="Arial" w:cs="Arial" w:eastAsia="Arial" w:hAnsi="Arial"/>
                <w:sz w:val="18"/>
                <w:szCs w:val="18"/>
                <w:color w:val="auto"/>
                <w:w w:val="94"/>
              </w:rPr>
              <w:t>Old Town Center</w:t>
            </w:r>
          </w:p>
        </w:tc>
        <w:tc>
          <w:tcPr>
            <w:tcW w:w="1560" w:type="dxa"/>
            <w:vAlign w:val="bottom"/>
          </w:tcPr>
          <w:p>
            <w:pPr>
              <w:ind w:left="80"/>
              <w:spacing w:after="0"/>
              <w:rPr>
                <w:sz w:val="20"/>
                <w:szCs w:val="20"/>
                <w:color w:val="auto"/>
              </w:rPr>
            </w:pPr>
            <w:r>
              <w:rPr>
                <w:rFonts w:ascii="Arial" w:cs="Arial" w:eastAsia="Arial" w:hAnsi="Arial"/>
                <w:sz w:val="18"/>
                <w:szCs w:val="18"/>
                <w:color w:val="auto"/>
              </w:rPr>
              <w:t>San Jose, CA</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1997</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33,371</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100.0%</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95,000</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98%</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w w:val="90"/>
              </w:rPr>
              <w:t>Borders / Gap Kids</w:t>
            </w:r>
          </w:p>
        </w:tc>
      </w:tr>
      <w:tr>
        <w:trPr>
          <w:trHeight w:val="216"/>
        </w:trPr>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Arial" w:cs="Arial" w:eastAsia="Arial" w:hAnsi="Arial"/>
                <w:sz w:val="18"/>
                <w:szCs w:val="18"/>
                <w:color w:val="auto"/>
              </w:rPr>
              <w:t>/ Banana</w:t>
            </w:r>
          </w:p>
        </w:tc>
      </w:tr>
      <w:tr>
        <w:trPr>
          <w:trHeight w:val="222"/>
        </w:trPr>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Arial" w:cs="Arial" w:eastAsia="Arial" w:hAnsi="Arial"/>
                <w:sz w:val="18"/>
                <w:szCs w:val="18"/>
                <w:color w:val="auto"/>
              </w:rPr>
              <w:t>Republic</w:t>
            </w: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Santana Row</w:t>
            </w:r>
          </w:p>
        </w:tc>
        <w:tc>
          <w:tcPr>
            <w:tcW w:w="1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 Jose, CA</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1997</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482,977</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563,000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Crate &amp; Barrel /</w:t>
            </w:r>
          </w:p>
        </w:tc>
      </w:tr>
      <w:tr>
        <w:trPr>
          <w:trHeight w:val="216"/>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(Phase I, II &amp;</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Container Store</w:t>
            </w:r>
          </w:p>
        </w:tc>
      </w:tr>
      <w:tr>
        <w:trPr>
          <w:trHeight w:val="222"/>
        </w:trPr>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III)</w:t>
            </w: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Best Buy /</w:t>
            </w:r>
          </w:p>
        </w:tc>
      </w:tr>
      <w:tr>
        <w:trPr>
          <w:trHeight w:val="72"/>
        </w:trPr>
        <w:tc>
          <w:tcPr>
            <w:tcW w:w="13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274" w:right="239" w:bottom="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Borders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CineArts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Theatre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Third St</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Los Angeles-Long</w:t>
            </w:r>
          </w:p>
        </w:tc>
        <w:tc>
          <w:tcPr>
            <w:tcW w:w="660" w:type="dxa"/>
            <w:vAlign w:val="bottom"/>
          </w:tcPr>
          <w:p>
            <w:pPr>
              <w:jc w:val="right"/>
              <w:spacing w:after="0"/>
              <w:rPr>
                <w:sz w:val="20"/>
                <w:szCs w:val="20"/>
                <w:color w:val="auto"/>
              </w:rPr>
            </w:pPr>
            <w:r>
              <w:rPr>
                <w:rFonts w:ascii="Arial" w:cs="Arial" w:eastAsia="Arial" w:hAnsi="Arial"/>
                <w:sz w:val="18"/>
                <w:szCs w:val="18"/>
                <w:color w:val="auto"/>
              </w:rPr>
              <w:t>1996-</w:t>
            </w:r>
          </w:p>
        </w:tc>
        <w:tc>
          <w:tcPr>
            <w:tcW w:w="840" w:type="dxa"/>
            <w:vAlign w:val="bottom"/>
          </w:tcPr>
          <w:p>
            <w:pPr>
              <w:jc w:val="right"/>
              <w:spacing w:after="0"/>
              <w:rPr>
                <w:sz w:val="20"/>
                <w:szCs w:val="20"/>
                <w:color w:val="auto"/>
              </w:rPr>
            </w:pPr>
            <w:r>
              <w:rPr>
                <w:rFonts w:ascii="Arial" w:cs="Arial" w:eastAsia="Arial" w:hAnsi="Arial"/>
                <w:sz w:val="18"/>
                <w:szCs w:val="18"/>
                <w:color w:val="auto"/>
              </w:rPr>
              <w:t>75,428</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211,000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w w:val="99"/>
              </w:rPr>
              <w:t>J. Crew / Banana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Promenade</w:t>
            </w:r>
          </w:p>
        </w:tc>
        <w:tc>
          <w:tcPr>
            <w:tcW w:w="32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Beach, CA</w:t>
            </w: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rPr>
              <w:t>Republic / 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rPr>
              <w:t>Navy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7"/>
              </w:rPr>
              <w:t>Abercrombie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rPr>
              <w:t>Fitch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Westgate</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San Jose, CA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114,761</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38,000 Safeway</w:t>
            </w: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Target / Burlington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Coat Factory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Barnes &amp; Noble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Ross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5"/>
              </w:rPr>
              <w:t>150 Post Street</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8"/>
              </w:rPr>
              <w:t>San Francisco, CA</w:t>
            </w:r>
          </w:p>
        </w:tc>
        <w:tc>
          <w:tcPr>
            <w:tcW w:w="660" w:type="dxa"/>
            <w:vAlign w:val="bottom"/>
          </w:tcPr>
          <w:p>
            <w:pPr>
              <w:jc w:val="right"/>
              <w:spacing w:after="0"/>
              <w:rPr>
                <w:sz w:val="20"/>
                <w:szCs w:val="20"/>
                <w:color w:val="auto"/>
              </w:rPr>
            </w:pPr>
            <w:r>
              <w:rPr>
                <w:rFonts w:ascii="Arial" w:cs="Arial" w:eastAsia="Arial" w:hAnsi="Arial"/>
                <w:sz w:val="18"/>
                <w:szCs w:val="18"/>
                <w:color w:val="auto"/>
              </w:rPr>
              <w:t>1997</w:t>
            </w:r>
          </w:p>
        </w:tc>
        <w:tc>
          <w:tcPr>
            <w:tcW w:w="840" w:type="dxa"/>
            <w:vAlign w:val="bottom"/>
          </w:tcPr>
          <w:p>
            <w:pPr>
              <w:jc w:val="right"/>
              <w:spacing w:after="0"/>
              <w:rPr>
                <w:sz w:val="20"/>
                <w:szCs w:val="20"/>
                <w:color w:val="auto"/>
              </w:rPr>
            </w:pPr>
            <w:r>
              <w:rPr>
                <w:rFonts w:ascii="Arial" w:cs="Arial" w:eastAsia="Arial" w:hAnsi="Arial"/>
                <w:sz w:val="18"/>
                <w:szCs w:val="18"/>
                <w:color w:val="auto"/>
              </w:rPr>
              <w:t>36,147</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103,000</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Brooks Brothers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color w:val="auto"/>
              </w:rPr>
              <w:t>Total California</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892,719</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2,439,000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880" w:type="dxa"/>
            <w:vAlign w:val="bottom"/>
            <w:gridSpan w:val="5"/>
          </w:tcPr>
          <w:p>
            <w:pPr>
              <w:spacing w:after="0"/>
              <w:rPr>
                <w:sz w:val="20"/>
                <w:szCs w:val="20"/>
                <w:color w:val="auto"/>
              </w:rPr>
            </w:pPr>
            <w:r>
              <w:rPr>
                <w:rFonts w:ascii="Arial" w:cs="Arial" w:eastAsia="Arial" w:hAnsi="Arial"/>
                <w:sz w:val="18"/>
                <w:szCs w:val="18"/>
                <w:b w:val="1"/>
                <w:bCs w:val="1"/>
                <w:color w:val="auto"/>
              </w:rPr>
              <w:t>West Region - Other</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St</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San Antonio, TX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62,955</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Hotel Valencia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gridSpan w:val="4"/>
          </w:tcPr>
          <w:p>
            <w:pPr>
              <w:ind w:left="420"/>
              <w:spacing w:after="0"/>
              <w:rPr>
                <w:sz w:val="20"/>
                <w:szCs w:val="20"/>
                <w:color w:val="auto"/>
              </w:rPr>
            </w:pPr>
            <w:r>
              <w:rPr>
                <w:rFonts w:ascii="Arial" w:cs="Arial" w:eastAsia="Arial" w:hAnsi="Arial"/>
                <w:sz w:val="18"/>
                <w:szCs w:val="18"/>
                <w:b w:val="1"/>
                <w:bCs w:val="1"/>
                <w:color w:val="auto"/>
              </w:rPr>
              <w:t>Total West Region</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955,674</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2,610,000</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$ 2,838,322</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17,551,000</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419,713</w:t>
            </w: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-172720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-172720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-172720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-172720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-172720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-172720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-172720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-172720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7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redevelopment square footage not yet in service, Santana Row residential, future phases of Santana Row, Rollingwood and The Crest at Congressional Apartments.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investment includes dollars associated with the 146 units of The Crest at Congressional.</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Currently under contract to acquire the retail square footage upon completion of development.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is currently parked with a Section 1031 exchange agent for a potential “reverse” exchange.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four properties, three at 100% and one at 90%.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nine properties, eight at 100% and one at 90%.</w:t>
      </w:r>
    </w:p>
    <w:p>
      <w:pPr>
        <w:sectPr>
          <w:pgSz w:w="11900" w:h="16838" w:orient="portrait"/>
          <w:cols w:equalWidth="0" w:num="1">
            <w:col w:w="11420"/>
          </w:cols>
          <w:pgMar w:left="240" w:top="1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 by Metropolitan Area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03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30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03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Metro</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54,456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 New Jersey</w:t>
            </w: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Philadelphia Metro</w:t>
            </w: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31,878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operating income</w:t>
            </w: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2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0" w:type="dxa"/>
            <w:vAlign w:val="bottom"/>
          </w:tcPr>
          <w:p>
            <w:pPr>
              <w:spacing w:after="0"/>
              <w:rPr>
                <w:sz w:val="24"/>
                <w:szCs w:val="24"/>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2,215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0" w:type="dxa"/>
            <w:vAlign w:val="bottom"/>
          </w:tcPr>
          <w:p>
            <w:pPr>
              <w:spacing w:after="0"/>
              <w:rPr>
                <w:sz w:val="18"/>
                <w:szCs w:val="18"/>
                <w:color w:val="auto"/>
              </w:rPr>
            </w:pPr>
          </w:p>
        </w:tc>
        <w:tc>
          <w:tcPr>
            <w:tcW w:w="1030" w:type="dxa"/>
            <w:vAlign w:val="bottom"/>
            <w:gridSpan w:val="2"/>
          </w:tcPr>
          <w:p>
            <w:pPr>
              <w:jc w:val="right"/>
              <w:spacing w:after="0"/>
              <w:rPr>
                <w:sz w:val="20"/>
                <w:szCs w:val="20"/>
                <w:color w:val="auto"/>
              </w:rPr>
            </w:pPr>
            <w:r>
              <w:rPr>
                <w:rFonts w:ascii="Arial" w:cs="Arial" w:eastAsia="Arial" w:hAnsi="Arial"/>
                <w:sz w:val="18"/>
                <w:szCs w:val="18"/>
                <w:color w:val="auto"/>
              </w:rPr>
              <w:t>(88,566)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30" w:type="dxa"/>
            <w:vAlign w:val="bottom"/>
          </w:tcPr>
          <w:p>
            <w:pPr>
              <w:spacing w:after="0"/>
              <w:rPr>
                <w:sz w:val="18"/>
                <w:szCs w:val="18"/>
                <w:color w:val="auto"/>
              </w:rPr>
            </w:pPr>
          </w:p>
        </w:tc>
        <w:tc>
          <w:tcPr>
            <w:tcW w:w="1030" w:type="dxa"/>
            <w:vAlign w:val="bottom"/>
            <w:gridSpan w:val="2"/>
          </w:tcPr>
          <w:p>
            <w:pPr>
              <w:jc w:val="right"/>
              <w:spacing w:after="0"/>
              <w:rPr>
                <w:sz w:val="20"/>
                <w:szCs w:val="20"/>
                <w:color w:val="auto"/>
              </w:rPr>
            </w:pPr>
            <w:r>
              <w:rPr>
                <w:rFonts w:ascii="Arial" w:cs="Arial" w:eastAsia="Arial" w:hAnsi="Arial"/>
                <w:sz w:val="18"/>
                <w:szCs w:val="18"/>
                <w:color w:val="auto"/>
              </w:rPr>
              <w:t>(89,457)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Results from discontinued operations</w:t>
            </w:r>
          </w:p>
        </w:tc>
        <w:tc>
          <w:tcPr>
            <w:tcW w:w="13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29,390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3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-172720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30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operating income consists of rental income, other property income and mortgage interest income, less rental expenses and real estate taxes and excludes the operating results from discontinued operations.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Comprised of properties located in regions that have fewer than five properties.</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Comparable (2) (7)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Prior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Cash Basis</w:t>
            </w:r>
          </w:p>
        </w:tc>
        <w:tc>
          <w:tcPr>
            <w:tcW w:w="1240" w:type="dxa"/>
            <w:vAlign w:val="bottom"/>
            <w:gridSpan w:val="7"/>
          </w:tcPr>
          <w:p>
            <w:pPr>
              <w:ind w:left="100"/>
              <w:spacing w:after="0" w:line="149" w:lineRule="exact"/>
              <w:rPr>
                <w:sz w:val="20"/>
                <w:szCs w:val="20"/>
                <w:color w:val="auto"/>
              </w:rPr>
            </w:pPr>
            <w:r>
              <w:rPr>
                <w:rFonts w:ascii="Arial" w:cs="Arial" w:eastAsia="Arial" w:hAnsi="Arial"/>
                <w:sz w:val="14"/>
                <w:szCs w:val="14"/>
                <w:b w:val="1"/>
                <w:bCs w:val="1"/>
                <w:color w:val="auto"/>
              </w:rPr>
              <w:t>Straight-lined</w:t>
            </w: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1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 of Comparable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GLA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(4) Per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Increase</w:t>
            </w:r>
          </w:p>
        </w:tc>
        <w:tc>
          <w:tcPr>
            <w:tcW w:w="124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Basis % Increase</w:t>
            </w: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1"/>
              </w:rPr>
              <w:t>Leases Signed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Signed</w:t>
            </w:r>
          </w:p>
        </w:tc>
        <w:tc>
          <w:tcPr>
            <w:tcW w:w="8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Sq. Ft.</w:t>
            </w:r>
          </w:p>
        </w:tc>
        <w:tc>
          <w:tcPr>
            <w:tcW w:w="10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w w:val="88"/>
              </w:rPr>
              <w:t>Increase in Rent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1240" w:type="dxa"/>
            <w:vAlign w:val="bottom"/>
            <w:gridSpan w:val="7"/>
          </w:tcPr>
          <w:p>
            <w:pPr>
              <w:ind w:left="40"/>
              <w:spacing w:after="0"/>
              <w:rPr>
                <w:sz w:val="20"/>
                <w:szCs w:val="20"/>
                <w:color w:val="auto"/>
              </w:rPr>
            </w:pPr>
            <w:r>
              <w:rPr>
                <w:rFonts w:ascii="Arial" w:cs="Arial" w:eastAsia="Arial" w:hAnsi="Arial"/>
                <w:sz w:val="14"/>
                <w:szCs w:val="14"/>
                <w:b w:val="1"/>
                <w:bCs w:val="1"/>
                <w:color w:val="auto"/>
              </w:rPr>
              <w:t>Over Prior Rent</w:t>
            </w:r>
          </w:p>
        </w:tc>
        <w:tc>
          <w:tcPr>
            <w:tcW w:w="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Term (5)</w:t>
            </w:r>
          </w:p>
        </w:tc>
        <w:tc>
          <w:tcPr>
            <w:tcW w:w="80" w:type="dxa"/>
            <w:vAlign w:val="bottom"/>
          </w:tcPr>
          <w:p>
            <w:pPr>
              <w:spacing w:after="0"/>
              <w:rPr>
                <w:sz w:val="15"/>
                <w:szCs w:val="15"/>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&amp; Incentives (6)</w:t>
            </w:r>
          </w:p>
        </w:tc>
        <w:tc>
          <w:tcPr>
            <w:tcW w:w="120" w:type="dxa"/>
            <w:vAlign w:val="bottom"/>
          </w:tcPr>
          <w:p>
            <w:pPr>
              <w:spacing w:after="0"/>
              <w:rPr>
                <w:sz w:val="15"/>
                <w:szCs w:val="15"/>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266,018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$18.31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389,590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18%</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2,522,399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gridSpan w:val="2"/>
          </w:tcPr>
          <w:p>
            <w:pPr>
              <w:ind w:left="220"/>
              <w:spacing w:after="0"/>
              <w:rPr>
                <w:sz w:val="20"/>
                <w:szCs w:val="20"/>
                <w:color w:val="auto"/>
              </w:rPr>
            </w:pPr>
            <w:r>
              <w:rPr>
                <w:rFonts w:ascii="Arial" w:cs="Arial" w:eastAsia="Arial" w:hAnsi="Arial"/>
                <w:sz w:val="18"/>
                <w:szCs w:val="18"/>
                <w:color w:val="auto"/>
                <w:w w:val="89"/>
              </w:rPr>
              <w:t>2005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61%</w:t>
            </w:r>
          </w:p>
        </w:tc>
        <w:tc>
          <w:tcPr>
            <w:tcW w:w="720" w:type="dxa"/>
            <w:vAlign w:val="bottom"/>
          </w:tcPr>
          <w:p>
            <w:pPr>
              <w:jc w:val="right"/>
              <w:spacing w:after="0"/>
              <w:rPr>
                <w:sz w:val="20"/>
                <w:szCs w:val="20"/>
                <w:color w:val="auto"/>
              </w:rPr>
            </w:pPr>
            <w:r>
              <w:rPr>
                <w:rFonts w:ascii="Arial" w:cs="Arial" w:eastAsia="Arial" w:hAnsi="Arial"/>
                <w:sz w:val="18"/>
                <w:szCs w:val="18"/>
                <w:color w:val="auto"/>
              </w:rPr>
              <w:t>197,246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6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$23.10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303,787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color w:val="auto"/>
                <w:w w:val="88"/>
              </w:rPr>
              <w:t>17%</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469,514</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$26.12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289,432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18%</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267,390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gridSpan w:val="2"/>
          </w:tcPr>
          <w:p>
            <w:pPr>
              <w:ind w:left="220"/>
              <w:spacing w:after="0"/>
              <w:rPr>
                <w:sz w:val="20"/>
                <w:szCs w:val="20"/>
                <w:color w:val="auto"/>
              </w:rPr>
            </w:pPr>
            <w:r>
              <w:rPr>
                <w:rFonts w:ascii="Arial" w:cs="Arial" w:eastAsia="Arial" w:hAnsi="Arial"/>
                <w:sz w:val="18"/>
                <w:szCs w:val="18"/>
                <w:color w:val="auto"/>
                <w:w w:val="89"/>
              </w:rPr>
              <w:t>2005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64%</w:t>
            </w:r>
          </w:p>
        </w:tc>
        <w:tc>
          <w:tcPr>
            <w:tcW w:w="720" w:type="dxa"/>
            <w:vAlign w:val="bottom"/>
          </w:tcPr>
          <w:p>
            <w:pPr>
              <w:jc w:val="right"/>
              <w:spacing w:after="0"/>
              <w:rPr>
                <w:sz w:val="20"/>
                <w:szCs w:val="20"/>
                <w:color w:val="auto"/>
              </w:rPr>
            </w:pPr>
            <w:r>
              <w:rPr>
                <w:rFonts w:ascii="Arial" w:cs="Arial" w:eastAsia="Arial" w:hAnsi="Arial"/>
                <w:sz w:val="18"/>
                <w:szCs w:val="18"/>
                <w:color w:val="auto"/>
              </w:rPr>
              <w:t>162,672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25.43</w:t>
            </w:r>
          </w:p>
        </w:tc>
        <w:tc>
          <w:tcPr>
            <w:tcW w:w="6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$22.86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418,304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color w:val="auto"/>
                <w:w w:val="88"/>
              </w:rPr>
              <w:t>22%</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747,137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$21.83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1,401,113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19%</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3,259,303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280" w:type="dxa"/>
            <w:vAlign w:val="bottom"/>
            <w:gridSpan w:val="10"/>
          </w:tcPr>
          <w:p>
            <w:pPr>
              <w:spacing w:after="0"/>
              <w:rPr>
                <w:sz w:val="20"/>
                <w:szCs w:val="20"/>
                <w:color w:val="auto"/>
              </w:rPr>
            </w:pPr>
            <w:r>
              <w:rPr>
                <w:rFonts w:ascii="Arial" w:cs="Arial" w:eastAsia="Arial" w:hAnsi="Arial"/>
                <w:sz w:val="18"/>
                <w:szCs w:val="18"/>
                <w:b w:val="1"/>
                <w:bCs w:val="1"/>
                <w:color w:val="auto"/>
                <w:w w:val="99"/>
              </w:rPr>
              <w:t>New Lease Summary - Comparable (2)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Prior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Cash Basis</w:t>
            </w:r>
          </w:p>
        </w:tc>
        <w:tc>
          <w:tcPr>
            <w:tcW w:w="1240" w:type="dxa"/>
            <w:vAlign w:val="bottom"/>
            <w:gridSpan w:val="7"/>
          </w:tcPr>
          <w:p>
            <w:pPr>
              <w:ind w:left="100"/>
              <w:spacing w:after="0" w:line="149" w:lineRule="exact"/>
              <w:rPr>
                <w:sz w:val="20"/>
                <w:szCs w:val="20"/>
                <w:color w:val="auto"/>
              </w:rPr>
            </w:pPr>
            <w:r>
              <w:rPr>
                <w:rFonts w:ascii="Arial" w:cs="Arial" w:eastAsia="Arial" w:hAnsi="Arial"/>
                <w:sz w:val="14"/>
                <w:szCs w:val="14"/>
                <w:b w:val="1"/>
                <w:bCs w:val="1"/>
                <w:color w:val="auto"/>
              </w:rPr>
              <w:t>Straight-lined</w:t>
            </w: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1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 of Comparable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GLA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(4) Per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Increase</w:t>
            </w:r>
          </w:p>
        </w:tc>
        <w:tc>
          <w:tcPr>
            <w:tcW w:w="124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Basis % Increase</w:t>
            </w: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1"/>
              </w:rPr>
              <w:t>Leases Signed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Signed</w:t>
            </w:r>
          </w:p>
        </w:tc>
        <w:tc>
          <w:tcPr>
            <w:tcW w:w="8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Sq. Ft.</w:t>
            </w:r>
          </w:p>
        </w:tc>
        <w:tc>
          <w:tcPr>
            <w:tcW w:w="100" w:type="dxa"/>
            <w:vAlign w:val="bottom"/>
          </w:tcPr>
          <w:p>
            <w:pPr>
              <w:spacing w:after="0"/>
              <w:rPr>
                <w:sz w:val="15"/>
                <w:szCs w:val="15"/>
                <w:color w:val="auto"/>
              </w:rPr>
            </w:pPr>
          </w:p>
        </w:tc>
        <w:tc>
          <w:tcPr>
            <w:tcW w:w="2180" w:type="dxa"/>
            <w:vAlign w:val="bottom"/>
            <w:gridSpan w:val="12"/>
          </w:tcPr>
          <w:p>
            <w:pPr>
              <w:spacing w:after="0"/>
              <w:rPr>
                <w:sz w:val="20"/>
                <w:szCs w:val="20"/>
                <w:color w:val="auto"/>
              </w:rPr>
            </w:pPr>
            <w:r>
              <w:rPr>
                <w:rFonts w:ascii="Arial" w:cs="Arial" w:eastAsia="Arial" w:hAnsi="Arial"/>
                <w:sz w:val="14"/>
                <w:szCs w:val="14"/>
                <w:b w:val="1"/>
                <w:bCs w:val="1"/>
                <w:color w:val="auto"/>
              </w:rPr>
              <w:t>Increase in Rent Over Prior Rent</w:t>
            </w:r>
          </w:p>
        </w:tc>
        <w:tc>
          <w:tcPr>
            <w:tcW w:w="1240" w:type="dxa"/>
            <w:vAlign w:val="bottom"/>
            <w:gridSpan w:val="7"/>
          </w:tcPr>
          <w:p>
            <w:pPr>
              <w:ind w:left="40"/>
              <w:spacing w:after="0"/>
              <w:rPr>
                <w:sz w:val="20"/>
                <w:szCs w:val="20"/>
                <w:color w:val="auto"/>
              </w:rPr>
            </w:pPr>
            <w:r>
              <w:rPr>
                <w:rFonts w:ascii="Arial" w:cs="Arial" w:eastAsia="Arial" w:hAnsi="Arial"/>
                <w:sz w:val="14"/>
                <w:szCs w:val="14"/>
                <w:b w:val="1"/>
                <w:bCs w:val="1"/>
                <w:color w:val="auto"/>
              </w:rPr>
              <w:t>Over Prior Rent</w:t>
            </w:r>
          </w:p>
        </w:tc>
        <w:tc>
          <w:tcPr>
            <w:tcW w:w="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Term (5)</w:t>
            </w:r>
          </w:p>
        </w:tc>
        <w:tc>
          <w:tcPr>
            <w:tcW w:w="80" w:type="dxa"/>
            <w:vAlign w:val="bottom"/>
          </w:tcPr>
          <w:p>
            <w:pPr>
              <w:spacing w:after="0"/>
              <w:rPr>
                <w:sz w:val="15"/>
                <w:szCs w:val="15"/>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&amp; Incentives (6)</w:t>
            </w:r>
          </w:p>
        </w:tc>
        <w:tc>
          <w:tcPr>
            <w:tcW w:w="120" w:type="dxa"/>
            <w:vAlign w:val="bottom"/>
          </w:tcPr>
          <w:p>
            <w:pPr>
              <w:spacing w:after="0"/>
              <w:rPr>
                <w:sz w:val="15"/>
                <w:szCs w:val="15"/>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$17.98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1,206,955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50%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3,764,025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gridSpan w:val="2"/>
          </w:tcPr>
          <w:p>
            <w:pPr>
              <w:ind w:left="220"/>
              <w:spacing w:after="0"/>
              <w:rPr>
                <w:sz w:val="20"/>
                <w:szCs w:val="20"/>
                <w:color w:val="auto"/>
              </w:rPr>
            </w:pPr>
            <w:r>
              <w:rPr>
                <w:rFonts w:ascii="Arial" w:cs="Arial" w:eastAsia="Arial" w:hAnsi="Arial"/>
                <w:sz w:val="18"/>
                <w:szCs w:val="18"/>
                <w:color w:val="auto"/>
                <w:w w:val="89"/>
              </w:rPr>
              <w:t>2005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39%</w:t>
            </w:r>
          </w:p>
        </w:tc>
        <w:tc>
          <w:tcPr>
            <w:tcW w:w="720" w:type="dxa"/>
            <w:vAlign w:val="bottom"/>
          </w:tcPr>
          <w:p>
            <w:pPr>
              <w:jc w:val="right"/>
              <w:spacing w:after="0"/>
              <w:rPr>
                <w:sz w:val="20"/>
                <w:szCs w:val="20"/>
                <w:color w:val="auto"/>
              </w:rPr>
            </w:pPr>
            <w:r>
              <w:rPr>
                <w:rFonts w:ascii="Arial" w:cs="Arial" w:eastAsia="Arial" w:hAnsi="Arial"/>
                <w:sz w:val="18"/>
                <w:szCs w:val="18"/>
                <w:color w:val="auto"/>
              </w:rPr>
              <w:t>197,380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6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$17.27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1,300,320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color w:val="auto"/>
                <w:w w:val="88"/>
              </w:rPr>
              <w:t>52%</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5,405,665</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$19.10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1,594,789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95%</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1,775,952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gridSpan w:val="2"/>
          </w:tcPr>
          <w:p>
            <w:pPr>
              <w:ind w:left="220"/>
              <w:spacing w:after="0"/>
              <w:rPr>
                <w:sz w:val="20"/>
                <w:szCs w:val="20"/>
                <w:color w:val="auto"/>
              </w:rPr>
            </w:pPr>
            <w:r>
              <w:rPr>
                <w:rFonts w:ascii="Arial" w:cs="Arial" w:eastAsia="Arial" w:hAnsi="Arial"/>
                <w:sz w:val="18"/>
                <w:szCs w:val="18"/>
                <w:color w:val="auto"/>
                <w:w w:val="89"/>
              </w:rPr>
              <w:t>2005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36%</w:t>
            </w:r>
          </w:p>
        </w:tc>
        <w:tc>
          <w:tcPr>
            <w:tcW w:w="720" w:type="dxa"/>
            <w:vAlign w:val="bottom"/>
          </w:tcPr>
          <w:p>
            <w:pPr>
              <w:jc w:val="right"/>
              <w:spacing w:after="0"/>
              <w:rPr>
                <w:sz w:val="20"/>
                <w:szCs w:val="20"/>
                <w:color w:val="auto"/>
              </w:rPr>
            </w:pPr>
            <w:r>
              <w:rPr>
                <w:rFonts w:ascii="Arial" w:cs="Arial" w:eastAsia="Arial" w:hAnsi="Arial"/>
                <w:sz w:val="18"/>
                <w:szCs w:val="18"/>
                <w:color w:val="auto"/>
              </w:rPr>
              <w:t>62,410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27.05</w:t>
            </w:r>
          </w:p>
        </w:tc>
        <w:tc>
          <w:tcPr>
            <w:tcW w:w="6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$21.97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316,818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color w:val="auto"/>
                <w:w w:val="88"/>
              </w:rPr>
              <w:t>36%</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1,785,819</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567,932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$18.41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4,418,882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59%</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10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7"/>
              </w:rPr>
              <w:t>$ 12,731,461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280" w:type="dxa"/>
            <w:vAlign w:val="bottom"/>
            <w:gridSpan w:val="10"/>
          </w:tcPr>
          <w:p>
            <w:pPr>
              <w:spacing w:after="0"/>
              <w:rPr>
                <w:sz w:val="20"/>
                <w:szCs w:val="20"/>
                <w:color w:val="auto"/>
              </w:rPr>
            </w:pPr>
            <w:r>
              <w:rPr>
                <w:rFonts w:ascii="Arial" w:cs="Arial" w:eastAsia="Arial" w:hAnsi="Arial"/>
                <w:sz w:val="18"/>
                <w:szCs w:val="18"/>
                <w:b w:val="1"/>
                <w:bCs w:val="1"/>
                <w:color w:val="auto"/>
                <w:w w:val="97"/>
              </w:rPr>
              <w:t>Total Lease Summary - Comparable (2)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Prior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Cash Basis</w:t>
            </w:r>
          </w:p>
        </w:tc>
        <w:tc>
          <w:tcPr>
            <w:tcW w:w="1240" w:type="dxa"/>
            <w:vAlign w:val="bottom"/>
            <w:gridSpan w:val="7"/>
          </w:tcPr>
          <w:p>
            <w:pPr>
              <w:ind w:left="100"/>
              <w:spacing w:after="0" w:line="149" w:lineRule="exact"/>
              <w:rPr>
                <w:sz w:val="20"/>
                <w:szCs w:val="20"/>
                <w:color w:val="auto"/>
              </w:rPr>
            </w:pPr>
            <w:r>
              <w:rPr>
                <w:rFonts w:ascii="Arial" w:cs="Arial" w:eastAsia="Arial" w:hAnsi="Arial"/>
                <w:sz w:val="14"/>
                <w:szCs w:val="14"/>
                <w:b w:val="1"/>
                <w:bCs w:val="1"/>
                <w:color w:val="auto"/>
              </w:rPr>
              <w:t>Straight-lined</w:t>
            </w: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1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 of Comparable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GLA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(4) Per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Increase</w:t>
            </w:r>
          </w:p>
        </w:tc>
        <w:tc>
          <w:tcPr>
            <w:tcW w:w="124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Basis % Increase</w:t>
            </w: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1"/>
              </w:rPr>
              <w:t>Leases Signed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Signed</w:t>
            </w:r>
          </w:p>
        </w:tc>
        <w:tc>
          <w:tcPr>
            <w:tcW w:w="8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Sq. Ft.</w:t>
            </w:r>
          </w:p>
        </w:tc>
        <w:tc>
          <w:tcPr>
            <w:tcW w:w="100" w:type="dxa"/>
            <w:vAlign w:val="bottom"/>
          </w:tcPr>
          <w:p>
            <w:pPr>
              <w:spacing w:after="0"/>
              <w:rPr>
                <w:sz w:val="15"/>
                <w:szCs w:val="15"/>
                <w:color w:val="auto"/>
              </w:rPr>
            </w:pPr>
          </w:p>
        </w:tc>
        <w:tc>
          <w:tcPr>
            <w:tcW w:w="2180" w:type="dxa"/>
            <w:vAlign w:val="bottom"/>
            <w:gridSpan w:val="12"/>
          </w:tcPr>
          <w:p>
            <w:pPr>
              <w:spacing w:after="0"/>
              <w:rPr>
                <w:sz w:val="20"/>
                <w:szCs w:val="20"/>
                <w:color w:val="auto"/>
              </w:rPr>
            </w:pPr>
            <w:r>
              <w:rPr>
                <w:rFonts w:ascii="Arial" w:cs="Arial" w:eastAsia="Arial" w:hAnsi="Arial"/>
                <w:sz w:val="14"/>
                <w:szCs w:val="14"/>
                <w:b w:val="1"/>
                <w:bCs w:val="1"/>
                <w:color w:val="auto"/>
              </w:rPr>
              <w:t>Increase in Rent Over Prior Rent</w:t>
            </w:r>
          </w:p>
        </w:tc>
        <w:tc>
          <w:tcPr>
            <w:tcW w:w="1240" w:type="dxa"/>
            <w:vAlign w:val="bottom"/>
            <w:gridSpan w:val="7"/>
          </w:tcPr>
          <w:p>
            <w:pPr>
              <w:ind w:left="40"/>
              <w:spacing w:after="0"/>
              <w:rPr>
                <w:sz w:val="20"/>
                <w:szCs w:val="20"/>
                <w:color w:val="auto"/>
              </w:rPr>
            </w:pPr>
            <w:r>
              <w:rPr>
                <w:rFonts w:ascii="Arial" w:cs="Arial" w:eastAsia="Arial" w:hAnsi="Arial"/>
                <w:sz w:val="14"/>
                <w:szCs w:val="14"/>
                <w:b w:val="1"/>
                <w:bCs w:val="1"/>
                <w:color w:val="auto"/>
              </w:rPr>
              <w:t>Over Prior Rent</w:t>
            </w:r>
          </w:p>
        </w:tc>
        <w:tc>
          <w:tcPr>
            <w:tcW w:w="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Term (5)</w:t>
            </w:r>
          </w:p>
        </w:tc>
        <w:tc>
          <w:tcPr>
            <w:tcW w:w="80" w:type="dxa"/>
            <w:vAlign w:val="bottom"/>
          </w:tcPr>
          <w:p>
            <w:pPr>
              <w:spacing w:after="0"/>
              <w:rPr>
                <w:sz w:val="15"/>
                <w:szCs w:val="15"/>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&amp; Incentives (6)</w:t>
            </w:r>
          </w:p>
        </w:tc>
        <w:tc>
          <w:tcPr>
            <w:tcW w:w="120" w:type="dxa"/>
            <w:vAlign w:val="bottom"/>
          </w:tcPr>
          <w:p>
            <w:pPr>
              <w:spacing w:after="0"/>
              <w:rPr>
                <w:sz w:val="15"/>
                <w:szCs w:val="15"/>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453,953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$18.17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1,596,545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31%</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6,286,424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gridSpan w:val="2"/>
          </w:tcPr>
          <w:p>
            <w:pPr>
              <w:ind w:left="220"/>
              <w:spacing w:after="0"/>
              <w:rPr>
                <w:sz w:val="20"/>
                <w:szCs w:val="20"/>
                <w:color w:val="auto"/>
              </w:rPr>
            </w:pPr>
            <w:r>
              <w:rPr>
                <w:rFonts w:ascii="Arial" w:cs="Arial" w:eastAsia="Arial" w:hAnsi="Arial"/>
                <w:sz w:val="18"/>
                <w:szCs w:val="18"/>
                <w:color w:val="auto"/>
                <w:w w:val="89"/>
              </w:rPr>
              <w:t>2005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394,626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24.25</w:t>
            </w:r>
          </w:p>
        </w:tc>
        <w:tc>
          <w:tcPr>
            <w:tcW w:w="6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$20.19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1,604,107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color w:val="auto"/>
                <w:w w:val="88"/>
              </w:rPr>
              <w:t>32%</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5,875,179</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$22.63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1,884,221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51%</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gridSpan w:val="2"/>
          </w:tcPr>
          <w:p>
            <w:pPr>
              <w:ind w:left="220"/>
              <w:spacing w:after="0"/>
              <w:rPr>
                <w:sz w:val="20"/>
                <w:szCs w:val="20"/>
                <w:color w:val="auto"/>
              </w:rPr>
            </w:pPr>
            <w:r>
              <w:rPr>
                <w:rFonts w:ascii="Arial" w:cs="Arial" w:eastAsia="Arial" w:hAnsi="Arial"/>
                <w:sz w:val="18"/>
                <w:szCs w:val="18"/>
                <w:color w:val="auto"/>
                <w:w w:val="89"/>
              </w:rPr>
              <w:t>2005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320" w:type="dxa"/>
            <w:vAlign w:val="bottom"/>
            <w:gridSpan w:val="5"/>
          </w:tcPr>
          <w:p>
            <w:pPr>
              <w:jc w:val="right"/>
              <w:ind w:right="6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225,082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25.88</w:t>
            </w:r>
          </w:p>
        </w:tc>
        <w:tc>
          <w:tcPr>
            <w:tcW w:w="6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$22.61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735,122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4"/>
          </w:tcPr>
          <w:p>
            <w:pPr>
              <w:jc w:val="right"/>
              <w:ind w:right="12"/>
              <w:spacing w:after="0"/>
              <w:rPr>
                <w:sz w:val="20"/>
                <w:szCs w:val="20"/>
                <w:color w:val="auto"/>
              </w:rPr>
            </w:pPr>
            <w:r>
              <w:rPr>
                <w:rFonts w:ascii="Arial" w:cs="Arial" w:eastAsia="Arial" w:hAnsi="Arial"/>
                <w:sz w:val="18"/>
                <w:szCs w:val="18"/>
                <w:color w:val="auto"/>
                <w:w w:val="88"/>
              </w:rPr>
              <w:t>25%</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1,785,819</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3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1,315,069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60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color w:val="auto"/>
                <w:w w:val="90"/>
              </w:rPr>
              <w:t>$20.35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5,819,995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88"/>
              </w:rPr>
              <w:t>34%</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0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7"/>
              </w:rPr>
              <w:t>$ 15,990,764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5"/>
        </w:trPr>
        <w:tc>
          <w:tcPr>
            <w:tcW w:w="4780" w:type="dxa"/>
            <w:vAlign w:val="bottom"/>
            <w:gridSpan w:val="15"/>
          </w:tcPr>
          <w:p>
            <w:pPr>
              <w:spacing w:after="0"/>
              <w:rPr>
                <w:sz w:val="20"/>
                <w:szCs w:val="20"/>
                <w:color w:val="auto"/>
              </w:rPr>
            </w:pPr>
            <w:r>
              <w:rPr>
                <w:rFonts w:ascii="Arial" w:cs="Arial" w:eastAsia="Arial" w:hAnsi="Arial"/>
                <w:sz w:val="18"/>
                <w:szCs w:val="18"/>
                <w:b w:val="1"/>
                <w:bCs w:val="1"/>
                <w:color w:val="auto"/>
                <w:w w:val="92"/>
              </w:rPr>
              <w:t>Total Lease Summary - Comparable and Non-comparable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2"/>
              </w:rPr>
              <w:t>Weighted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Tenant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220" w:type="dxa"/>
            <w:vAlign w:val="bottom"/>
          </w:tcPr>
          <w:p>
            <w:pPr>
              <w:spacing w:after="0"/>
              <w:rPr>
                <w:sz w:val="12"/>
                <w:szCs w:val="12"/>
                <w:color w:val="auto"/>
              </w:rPr>
            </w:pPr>
          </w:p>
        </w:tc>
        <w:tc>
          <w:tcPr>
            <w:tcW w:w="8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&amp;</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Signed</w:t>
            </w:r>
          </w:p>
        </w:tc>
        <w:tc>
          <w:tcPr>
            <w:tcW w:w="220" w:type="dxa"/>
            <w:vAlign w:val="bottom"/>
          </w:tcPr>
          <w:p>
            <w:pPr>
              <w:spacing w:after="0"/>
              <w:rPr>
                <w:sz w:val="15"/>
                <w:szCs w:val="15"/>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Signed</w:t>
            </w: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Term (5)</w:t>
            </w: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Incentives (6)</w:t>
            </w:r>
          </w:p>
        </w:tc>
        <w:tc>
          <w:tcPr>
            <w:tcW w:w="120" w:type="dxa"/>
            <w:vAlign w:val="bottom"/>
          </w:tcPr>
          <w:p>
            <w:pPr>
              <w:spacing w:after="0"/>
              <w:rPr>
                <w:sz w:val="15"/>
                <w:szCs w:val="15"/>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0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5"/>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4th Quarter 2005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532,500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8,738,711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3rd Quarter 2005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79"/>
              </w:rPr>
              <w:t>93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441,018</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7,049,748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2nd Quarter 2005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84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268,926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2,965,405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1st Quarter 2005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79"/>
              </w:rPr>
              <w:t>60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256,897</w:t>
            </w:r>
          </w:p>
        </w:tc>
        <w:tc>
          <w:tcPr>
            <w:tcW w:w="10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2,696,110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0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gridSpan w:val="5"/>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gridSpan w:val="3"/>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1,499,341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$21,449,974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-7325360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-7325360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-7325360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-7325360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-7325360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-7325360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-7325360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-7325360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-7325360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-7325360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-7325360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-7325360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-7325360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-7325360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-7325360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-7325360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-7325360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-7325360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-7325360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-7325360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-7325360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-7325360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-7325360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-7325360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-7325360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-7325360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-7325360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-4744085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-4744085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-4744085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-4744085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-4744085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-4744085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-4744085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-4744085</wp:posOffset>
            </wp:positionV>
            <wp:extent cx="147066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7066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-4744085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-4744085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-4744085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-4744085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-4744085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-4744085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-4744085</wp:posOffset>
            </wp:positionV>
            <wp:extent cx="114490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44905" cy="2984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-2162810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-2162810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-2162810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-2162810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-2162810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-2162810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-2162810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-2162810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-2162810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-2162810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-2162810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-2162810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-2162810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-2162810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-2162810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-2162810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-2162810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-2162810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-2162810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-2162810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-2162810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-2162810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-2162810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-2162810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-2162810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-2162810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-2162810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-172720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-172720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-172720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-172720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-172720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-172720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-172720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-172720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Notes:</w:t>
      </w:r>
    </w:p>
    <w:p>
      <w:pPr>
        <w:sectPr>
          <w:pgSz w:w="11900" w:h="16838" w:orient="portrait"/>
          <w:cols w:equalWidth="0" w:num="1">
            <w:col w:w="11420"/>
          </w:cols>
          <w:pgMar w:left="240" w:top="274" w:right="239" w:bottom="0" w:gutter="0" w:footer="0" w:header="0"/>
          <w:type w:val="continuous"/>
        </w:sectPr>
      </w:pPr>
    </w:p>
    <w:bookmarkStart w:id="29" w:name="page30"/>
    <w:bookmarkEnd w:id="29"/>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ectPr>
          <w:pgSz w:w="11900" w:h="16838" w:orient="portrait"/>
          <w:cols w:equalWidth="0" w:num="1">
            <w:col w:w="11132"/>
          </w:cols>
          <w:pgMar w:left="248" w:top="199" w:right="5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Anchor Tenants (1)</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Small Shop Tenants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Minimum Rent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 of Small</w:t>
            </w: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of</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14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Anchor SF</w:t>
            </w:r>
          </w:p>
        </w:tc>
        <w:tc>
          <w:tcPr>
            <w:tcW w:w="16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3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300" w:type="dxa"/>
            <w:vAlign w:val="bottom"/>
          </w:tcPr>
          <w:p>
            <w:pPr>
              <w:spacing w:after="0"/>
              <w:rPr>
                <w:sz w:val="15"/>
                <w:szCs w:val="15"/>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5"/>
                <w:szCs w:val="15"/>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Expiring SF</w:t>
            </w:r>
          </w:p>
        </w:tc>
        <w:tc>
          <w:tcPr>
            <w:tcW w:w="3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Total SF</w:t>
            </w: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2006</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660,000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2007</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986,000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24.84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1,887,000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2008</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928,000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1,821,000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2009</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1,153,000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965,000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2,118,000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2010</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929,000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2011</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15.10</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726,000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28.69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1,304,000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2012</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2013</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283,000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891,000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2014</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2015</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284,000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847,000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2,749,000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598,000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3,344,000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9,550,000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7,063,000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16,613,000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84"/>
              </w:rPr>
              <w:t>Assumes lease options are exercised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Anchor Tenants (1)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Small Shop Tenants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40" w:type="dxa"/>
            <w:vAlign w:val="bottom"/>
            <w:gridSpan w:val="3"/>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Minimum Rent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 of Small</w:t>
            </w: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of</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140" w:type="dxa"/>
            <w:vAlign w:val="bottom"/>
          </w:tcPr>
          <w:p>
            <w:pPr>
              <w:spacing w:after="0"/>
              <w:rPr>
                <w:sz w:val="15"/>
                <w:szCs w:val="15"/>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Anchor SF</w:t>
            </w:r>
          </w:p>
        </w:tc>
        <w:tc>
          <w:tcPr>
            <w:tcW w:w="16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PSF (2)</w:t>
            </w:r>
          </w:p>
        </w:tc>
        <w:tc>
          <w:tcPr>
            <w:tcW w:w="3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300" w:type="dxa"/>
            <w:vAlign w:val="bottom"/>
          </w:tcPr>
          <w:p>
            <w:pPr>
              <w:spacing w:after="0"/>
              <w:rPr>
                <w:sz w:val="15"/>
                <w:szCs w:val="15"/>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Shop SF</w:t>
            </w:r>
          </w:p>
        </w:tc>
        <w:tc>
          <w:tcPr>
            <w:tcW w:w="160" w:type="dxa"/>
            <w:vAlign w:val="bottom"/>
          </w:tcPr>
          <w:p>
            <w:pPr>
              <w:spacing w:after="0"/>
              <w:rPr>
                <w:sz w:val="15"/>
                <w:szCs w:val="15"/>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Expiring SF</w:t>
            </w:r>
          </w:p>
        </w:tc>
        <w:tc>
          <w:tcPr>
            <w:tcW w:w="3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Total SF</w:t>
            </w: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2006</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442,000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2007</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9.61</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523,000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2008</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2009</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564,000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28.34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795,000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2010</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498,000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2011</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14.86</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568,000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24.68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2012</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471,000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2013</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13.08</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316,000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27.16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2014</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2015</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216,000</w:t>
            </w:r>
          </w:p>
        </w:tc>
        <w:tc>
          <w:tcPr>
            <w:tcW w:w="16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15.31</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444,000</w:t>
            </w: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660,000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7,704,000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2,255,000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9,961,000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9,550,000</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7,063,000</w:t>
            </w: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16,613,000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-3114675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-3114675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-3114675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-3114675</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-3114675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-3114675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-3114675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-3114675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-3114675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-3114675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-3114675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-3114675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-3114675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-3114675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-3114675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-3114675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-3114675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-3114675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-3114675</wp:posOffset>
            </wp:positionV>
            <wp:extent cx="57023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0230" cy="2984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-172720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-172720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-172720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-172720</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-172720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-172720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-172720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-172720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-172720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-172720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-172720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-172720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-172720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-172720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-172720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-172720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December 31,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occupied square footage as of December 31, 2005.</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w w:val="88"/>
              </w:rPr>
              <w:t>At December 31, 2005</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w w:val="88"/>
              </w:rPr>
              <w:t>At December 31, 2004</w:t>
            </w:r>
          </w:p>
        </w:tc>
        <w:tc>
          <w:tcPr>
            <w:tcW w:w="64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600" w:type="dxa"/>
            <w:vAlign w:val="bottom"/>
          </w:tcPr>
          <w:p>
            <w:pPr>
              <w:ind w:left="280"/>
              <w:spacing w:after="0"/>
              <w:rPr>
                <w:sz w:val="20"/>
                <w:szCs w:val="20"/>
                <w:color w:val="auto"/>
              </w:rPr>
            </w:pPr>
            <w:r>
              <w:rPr>
                <w:rFonts w:ascii="Arial" w:cs="Arial" w:eastAsia="Arial" w:hAnsi="Arial"/>
                <w:sz w:val="14"/>
                <w:szCs w:val="14"/>
                <w:b w:val="1"/>
                <w:bCs w:val="1"/>
                <w:color w:val="auto"/>
              </w:rPr>
              <w:t>Size</w:t>
            </w:r>
          </w:p>
        </w:tc>
        <w:tc>
          <w:tcPr>
            <w:tcW w:w="1380" w:type="dxa"/>
            <w:vAlign w:val="bottom"/>
          </w:tcPr>
          <w:p>
            <w:pPr>
              <w:ind w:left="620"/>
              <w:spacing w:after="0"/>
              <w:rPr>
                <w:sz w:val="20"/>
                <w:szCs w:val="20"/>
                <w:color w:val="auto"/>
              </w:rPr>
            </w:pPr>
            <w:r>
              <w:rPr>
                <w:rFonts w:ascii="Arial" w:cs="Arial" w:eastAsia="Arial" w:hAnsi="Arial"/>
                <w:sz w:val="14"/>
                <w:szCs w:val="14"/>
                <w:b w:val="1"/>
                <w:bCs w:val="1"/>
                <w:color w:val="auto"/>
              </w:rPr>
              <w:t>Leased</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22"/>
                <w:szCs w:val="22"/>
                <w:color w:val="auto"/>
              </w:rPr>
            </w:pPr>
          </w:p>
        </w:tc>
        <w:tc>
          <w:tcPr>
            <w:tcW w:w="600" w:type="dxa"/>
            <w:vAlign w:val="bottom"/>
          </w:tcPr>
          <w:p>
            <w:pPr>
              <w:ind w:left="280"/>
              <w:spacing w:after="0"/>
              <w:rPr>
                <w:sz w:val="20"/>
                <w:szCs w:val="20"/>
                <w:color w:val="auto"/>
              </w:rPr>
            </w:pPr>
            <w:r>
              <w:rPr>
                <w:rFonts w:ascii="Arial" w:cs="Arial" w:eastAsia="Arial" w:hAnsi="Arial"/>
                <w:sz w:val="14"/>
                <w:szCs w:val="14"/>
                <w:b w:val="1"/>
                <w:bCs w:val="1"/>
                <w:color w:val="auto"/>
              </w:rPr>
              <w:t>Size</w:t>
            </w:r>
          </w:p>
        </w:tc>
        <w:tc>
          <w:tcPr>
            <w:tcW w:w="1380" w:type="dxa"/>
            <w:vAlign w:val="bottom"/>
          </w:tcPr>
          <w:p>
            <w:pPr>
              <w:ind w:left="620"/>
              <w:spacing w:after="0"/>
              <w:rPr>
                <w:sz w:val="20"/>
                <w:szCs w:val="20"/>
                <w:color w:val="auto"/>
              </w:rPr>
            </w:pPr>
            <w:r>
              <w:rPr>
                <w:rFonts w:ascii="Arial" w:cs="Arial" w:eastAsia="Arial" w:hAnsi="Arial"/>
                <w:sz w:val="14"/>
                <w:szCs w:val="14"/>
                <w:b w:val="1"/>
                <w:bCs w:val="1"/>
                <w:color w:val="auto"/>
              </w:rPr>
              <w:t>Leased</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w w:val="86"/>
              </w:rPr>
              <w:t>Leased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8321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60325</wp:posOffset>
            </wp:positionV>
            <wp:extent cx="353314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17,551,000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16,900,000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16,069,000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464</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436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385"/>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2040" w:type="dxa"/>
            <w:vAlign w:val="bottom"/>
            <w:gridSpan w:val="4"/>
          </w:tcPr>
          <w:p>
            <w:pPr>
              <w:ind w:left="680"/>
              <w:spacing w:after="0"/>
              <w:rPr>
                <w:sz w:val="20"/>
                <w:szCs w:val="20"/>
                <w:color w:val="auto"/>
              </w:rPr>
            </w:pPr>
            <w:r>
              <w:rPr>
                <w:rFonts w:ascii="Arial" w:cs="Arial" w:eastAsia="Arial" w:hAnsi="Arial"/>
                <w:sz w:val="14"/>
                <w:szCs w:val="14"/>
                <w:b w:val="1"/>
                <w:bCs w:val="1"/>
                <w:color w:val="auto"/>
                <w:w w:val="92"/>
              </w:rPr>
              <w:t>At December 31, 2005</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ind w:left="680"/>
              <w:spacing w:after="0"/>
              <w:rPr>
                <w:sz w:val="20"/>
                <w:szCs w:val="20"/>
                <w:color w:val="auto"/>
              </w:rPr>
            </w:pPr>
            <w:r>
              <w:rPr>
                <w:rFonts w:ascii="Arial" w:cs="Arial" w:eastAsia="Arial" w:hAnsi="Arial"/>
                <w:sz w:val="14"/>
                <w:szCs w:val="14"/>
                <w:b w:val="1"/>
                <w:bCs w:val="1"/>
                <w:color w:val="auto"/>
                <w:w w:val="92"/>
              </w:rPr>
              <w:t>At December 31, 2004</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gridSpan w:val="2"/>
          </w:tcPr>
          <w:p>
            <w:pPr>
              <w:spacing w:after="0"/>
              <w:rPr>
                <w:sz w:val="8"/>
                <w:szCs w:val="8"/>
                <w:color w:val="auto"/>
              </w:rPr>
            </w:pPr>
          </w:p>
        </w:tc>
        <w:tc>
          <w:tcPr>
            <w:tcW w:w="14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12,966,000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13,361,000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12,920,000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402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93.9%</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portfolio statistics at December 31, 2005 include Rollingwood, The Crest at Congressional and the residential units in Building Eight (36 units) at Santana Row. Residential units in Buildings Three, Four, Six and Seven at Santana Row are excluded from overall portfolio statistics as we have either commenced closing sales of the units (Buildings Three, Four and Six - 219 units) or the units are still under development and have not reached stabilization (Building Seven - 256 units). Overall portfolio statistics at December 31, 2004 included Rollingwood, The Crest at Congressional and the residential units in Buildings Three, Four, Six and Eight (255 units) at Santana Row. Same center statistics at December 31, 2005 and 2004 include only Rollingwood and The Crest at Congressional.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Percentage of</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Annualized</w:t>
            </w: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74"/>
        </w:trPr>
        <w:tc>
          <w:tcPr>
            <w:tcW w:w="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7"/>
              </w:rPr>
              <w:t>Rank</w:t>
            </w:r>
          </w:p>
        </w:tc>
        <w:tc>
          <w:tcPr>
            <w:tcW w:w="260" w:type="dxa"/>
            <w:vAlign w:val="bottom"/>
          </w:tcPr>
          <w:p>
            <w:pPr>
              <w:spacing w:after="0"/>
              <w:rPr>
                <w:sz w:val="15"/>
                <w:szCs w:val="15"/>
                <w:color w:val="auto"/>
              </w:rPr>
            </w:pPr>
          </w:p>
        </w:tc>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Tenant Name</w:t>
            </w:r>
          </w:p>
        </w:tc>
        <w:tc>
          <w:tcPr>
            <w:tcW w:w="100" w:type="dxa"/>
            <w:vAlign w:val="bottom"/>
          </w:tcPr>
          <w:p>
            <w:pPr>
              <w:spacing w:after="0"/>
              <w:rPr>
                <w:sz w:val="15"/>
                <w:szCs w:val="15"/>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Base Rent</w:t>
            </w: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Base Rent</w:t>
            </w: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Tenant GLA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Ahold USA,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Bed, Bath &amp; Beyond,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6,742,000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840" w:type="dxa"/>
            <w:vAlign w:val="bottom"/>
          </w:tcPr>
          <w:p>
            <w:pPr>
              <w:jc w:val="right"/>
              <w:spacing w:after="0"/>
              <w:rPr>
                <w:sz w:val="20"/>
                <w:szCs w:val="20"/>
                <w:color w:val="auto"/>
              </w:rPr>
            </w:pPr>
            <w:r>
              <w:rPr>
                <w:rFonts w:ascii="Arial" w:cs="Arial" w:eastAsia="Arial" w:hAnsi="Arial"/>
                <w:sz w:val="18"/>
                <w:szCs w:val="18"/>
                <w:color w:val="auto"/>
              </w:rPr>
              <w:t>509,000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Safeway,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Gap,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6,321,000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840" w:type="dxa"/>
            <w:vAlign w:val="bottom"/>
          </w:tcPr>
          <w:p>
            <w:pPr>
              <w:jc w:val="right"/>
              <w:spacing w:after="0"/>
              <w:rPr>
                <w:sz w:val="20"/>
                <w:szCs w:val="20"/>
                <w:color w:val="auto"/>
              </w:rPr>
            </w:pPr>
            <w:r>
              <w:rPr>
                <w:rFonts w:ascii="Arial" w:cs="Arial" w:eastAsia="Arial" w:hAnsi="Arial"/>
                <w:sz w:val="18"/>
                <w:szCs w:val="18"/>
                <w:color w:val="auto"/>
              </w:rPr>
              <w:t>224,000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TJX 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CVS 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840" w:type="dxa"/>
            <w:vAlign w:val="bottom"/>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0.81%</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Barnes &amp; Noble,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Best Buy Stores, L.P.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3,394,000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840" w:type="dxa"/>
            <w:vAlign w:val="bottom"/>
          </w:tcPr>
          <w:p>
            <w:pPr>
              <w:jc w:val="right"/>
              <w:spacing w:after="0"/>
              <w:rPr>
                <w:sz w:val="20"/>
                <w:szCs w:val="20"/>
                <w:color w:val="auto"/>
              </w:rPr>
            </w:pPr>
            <w:r>
              <w:rPr>
                <w:rFonts w:ascii="Arial" w:cs="Arial" w:eastAsia="Arial" w:hAnsi="Arial"/>
                <w:sz w:val="18"/>
                <w:szCs w:val="18"/>
                <w:color w:val="auto"/>
              </w:rPr>
              <w:t>97,000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Wakefern Food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Retail Ventures (DSW/Filene’s Basement)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2,994,000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0.97%</w:t>
            </w:r>
          </w:p>
        </w:tc>
        <w:tc>
          <w:tcPr>
            <w:tcW w:w="840" w:type="dxa"/>
            <w:vAlign w:val="bottom"/>
          </w:tcPr>
          <w:p>
            <w:pPr>
              <w:jc w:val="right"/>
              <w:spacing w:after="0"/>
              <w:rPr>
                <w:sz w:val="20"/>
                <w:szCs w:val="20"/>
                <w:color w:val="auto"/>
              </w:rPr>
            </w:pPr>
            <w:r>
              <w:rPr>
                <w:rFonts w:ascii="Arial" w:cs="Arial" w:eastAsia="Arial" w:hAnsi="Arial"/>
                <w:sz w:val="18"/>
                <w:szCs w:val="18"/>
                <w:color w:val="auto"/>
              </w:rPr>
              <w:t>155,000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0.88%</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Borders Group,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Michaels Stores,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2,858,000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840" w:type="dxa"/>
            <w:vAlign w:val="bottom"/>
          </w:tcPr>
          <w:p>
            <w:pPr>
              <w:jc w:val="right"/>
              <w:spacing w:after="0"/>
              <w:rPr>
                <w:sz w:val="20"/>
                <w:szCs w:val="20"/>
                <w:color w:val="auto"/>
              </w:rPr>
            </w:pPr>
            <w:r>
              <w:rPr>
                <w:rFonts w:ascii="Arial" w:cs="Arial" w:eastAsia="Arial" w:hAnsi="Arial"/>
                <w:sz w:val="18"/>
                <w:szCs w:val="18"/>
                <w:color w:val="auto"/>
              </w:rPr>
              <w:t>189,000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OPNET Technologies,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Staples,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2,462,000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840" w:type="dxa"/>
            <w:vAlign w:val="bottom"/>
          </w:tcPr>
          <w:p>
            <w:pPr>
              <w:jc w:val="right"/>
              <w:spacing w:after="0"/>
              <w:rPr>
                <w:sz w:val="20"/>
                <w:szCs w:val="20"/>
                <w:color w:val="auto"/>
              </w:rPr>
            </w:pPr>
            <w:r>
              <w:rPr>
                <w:rFonts w:ascii="Arial" w:cs="Arial" w:eastAsia="Arial" w:hAnsi="Arial"/>
                <w:sz w:val="18"/>
                <w:szCs w:val="18"/>
                <w:color w:val="auto"/>
              </w:rPr>
              <w:t>128,000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MTS, Inc. (Tower Records)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Great Atlantic &amp; Pacific Tea Co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2,408,000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0.78%</w:t>
            </w:r>
          </w:p>
        </w:tc>
        <w:tc>
          <w:tcPr>
            <w:tcW w:w="840" w:type="dxa"/>
            <w:vAlign w:val="bottom"/>
          </w:tcPr>
          <w:p>
            <w:pPr>
              <w:jc w:val="right"/>
              <w:spacing w:after="0"/>
              <w:rPr>
                <w:sz w:val="20"/>
                <w:szCs w:val="20"/>
                <w:color w:val="auto"/>
              </w:rPr>
            </w:pPr>
            <w:r>
              <w:rPr>
                <w:rFonts w:ascii="Arial" w:cs="Arial" w:eastAsia="Arial" w:hAnsi="Arial"/>
                <w:sz w:val="18"/>
                <w:szCs w:val="18"/>
                <w:color w:val="auto"/>
              </w:rPr>
              <w:t>236,000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CompUSA,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The Container Store,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2,354,000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0.76%</w:t>
            </w:r>
          </w:p>
        </w:tc>
        <w:tc>
          <w:tcPr>
            <w:tcW w:w="840" w:type="dxa"/>
            <w:vAlign w:val="bottom"/>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0.30%</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 Fitness International LLC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Dollar Tree Stores,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2,278,000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840" w:type="dxa"/>
            <w:vAlign w:val="bottom"/>
          </w:tcPr>
          <w:p>
            <w:pPr>
              <w:jc w:val="right"/>
              <w:spacing w:after="0"/>
              <w:rPr>
                <w:sz w:val="20"/>
                <w:szCs w:val="20"/>
                <w:color w:val="auto"/>
              </w:rPr>
            </w:pPr>
            <w:r>
              <w:rPr>
                <w:rFonts w:ascii="Arial" w:cs="Arial" w:eastAsia="Arial" w:hAnsi="Arial"/>
                <w:sz w:val="18"/>
                <w:szCs w:val="18"/>
                <w:color w:val="auto"/>
              </w:rPr>
              <w:t>173,000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0.99%</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Dress Barn,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Home Depot,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2,207,000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0.71%</w:t>
            </w:r>
          </w:p>
        </w:tc>
        <w:tc>
          <w:tcPr>
            <w:tcW w:w="840" w:type="dxa"/>
            <w:vAlign w:val="bottom"/>
          </w:tcPr>
          <w:p>
            <w:pPr>
              <w:jc w:val="right"/>
              <w:spacing w:after="0"/>
              <w:rPr>
                <w:sz w:val="20"/>
                <w:szCs w:val="20"/>
                <w:color w:val="auto"/>
              </w:rPr>
            </w:pPr>
            <w:r>
              <w:rPr>
                <w:rFonts w:ascii="Arial" w:cs="Arial" w:eastAsia="Arial" w:hAnsi="Arial"/>
                <w:sz w:val="18"/>
                <w:szCs w:val="18"/>
                <w:color w:val="auto"/>
              </w:rPr>
              <w:t>218,000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Albertsons,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Office Depot,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2,108,000</w:t>
            </w:r>
          </w:p>
        </w:tc>
        <w:tc>
          <w:tcPr>
            <w:tcW w:w="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0.68%</w:t>
            </w:r>
          </w:p>
        </w:tc>
        <w:tc>
          <w:tcPr>
            <w:tcW w:w="840" w:type="dxa"/>
            <w:vAlign w:val="bottom"/>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0.81%</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Bally’s Health &amp; Tennis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Totals - Top 25 Tenants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85,657,000</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309,663,000 (1)</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17,551,000 (2)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-309880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-309880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-309880</wp:posOffset>
            </wp:positionV>
            <wp:extent cx="3873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-309880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-309880</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-309880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-309880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-309880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-309880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-309880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-309880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annual in-place contractual rent as of December 31,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Cumulative effect of change in accounting (SFAS No. 123R)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real estate &amp; joint venture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 of initial direct costs of leases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attributable to operating partnership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Funds from operations available for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Funds from operations available for common shareholders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6000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2006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10718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 millions except per share</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amounts)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10718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to  $</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r>
      <w:tr>
        <w:trPr>
          <w:trHeight w:val="216"/>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110"/>
        </w:trPr>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24"/>
                <w:szCs w:val="24"/>
                <w:color w:val="auto"/>
              </w:rPr>
            </w:pPr>
          </w:p>
        </w:tc>
      </w:tr>
      <w:tr>
        <w:trPr>
          <w:trHeight w:val="222"/>
        </w:trPr>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bl>
    <w:p>
      <w:pPr>
        <w:ind w:left="1460" w:hanging="1116"/>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(11)</w:t>
      </w:r>
    </w:p>
    <w:p>
      <w:pPr>
        <w:spacing w:after="0" w:line="255"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177    to</w:t>
      </w: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-202565</wp:posOffset>
            </wp:positionV>
            <wp:extent cx="36004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-202565</wp:posOffset>
            </wp:positionV>
            <wp:extent cx="3771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77470</wp:posOffset>
            </wp:positionV>
            <wp:extent cx="3898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77470</wp:posOffset>
            </wp:positionV>
            <wp:extent cx="4070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3600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19" w:lineRule="exact"/>
        <w:rPr>
          <w:sz w:val="20"/>
          <w:szCs w:val="20"/>
          <w:color w:val="auto"/>
        </w:rPr>
      </w:pPr>
    </w:p>
    <w:p>
      <w:pPr>
        <w:spacing w:after="0"/>
        <w:tabs>
          <w:tab w:leader="none" w:pos="240" w:val="left"/>
          <w:tab w:leader="none" w:pos="840" w:val="left"/>
          <w:tab w:leader="none" w:pos="1360" w:val="left"/>
        </w:tabs>
        <w:rPr>
          <w:sz w:val="20"/>
          <w:szCs w:val="20"/>
          <w:color w:val="auto"/>
        </w:rPr>
      </w:pPr>
      <w:r>
        <w:rPr>
          <w:rFonts w:ascii="Arial" w:cs="Arial" w:eastAsia="Arial" w:hAnsi="Arial"/>
          <w:sz w:val="18"/>
          <w:szCs w:val="18"/>
          <w:color w:val="auto"/>
        </w:rPr>
        <w:t>$</w:t>
        <w:tab/>
        <w:t>3.30</w:t>
      </w:r>
      <w:r>
        <w:rPr>
          <w:sz w:val="20"/>
          <w:szCs w:val="20"/>
          <w:color w:val="auto"/>
        </w:rPr>
        <w:tab/>
      </w: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3600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80010</wp:posOffset>
            </wp:positionV>
            <wp:extent cx="3771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2">
            <w:col w:w="8940" w:space="720"/>
            <w:col w:w="176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Clarion Lion Properties Fund</w:t>
      </w:r>
    </w:p>
    <w:p>
      <w:pPr>
        <w:sectPr>
          <w:pgSz w:w="11900" w:h="16838" w:orient="portrait"/>
          <w:cols w:equalWidth="0" w:num="1">
            <w:col w:w="10219"/>
          </w:cols>
          <w:pgMar w:left="240" w:top="274"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88"/>
              </w:rPr>
              <w:t>Twelve months ended</w:t>
            </w:r>
          </w:p>
        </w:tc>
        <w:tc>
          <w:tcPr>
            <w:tcW w:w="0" w:type="dxa"/>
            <w:vAlign w:val="bottom"/>
          </w:tcPr>
          <w:p>
            <w:pPr>
              <w:spacing w:after="0"/>
              <w:rPr>
                <w:sz w:val="1"/>
                <w:szCs w:val="1"/>
                <w:color w:val="auto"/>
              </w:rPr>
            </w:pPr>
          </w:p>
        </w:tc>
      </w:tr>
      <w:tr>
        <w:trPr>
          <w:trHeight w:val="174"/>
        </w:trPr>
        <w:tc>
          <w:tcPr>
            <w:tcW w:w="8040" w:type="dxa"/>
            <w:vAlign w:val="bottom"/>
            <w:gridSpan w:val="5"/>
          </w:tcPr>
          <w:p>
            <w:pPr>
              <w:spacing w:after="0"/>
              <w:rPr>
                <w:sz w:val="20"/>
                <w:szCs w:val="20"/>
                <w:color w:val="auto"/>
              </w:rPr>
            </w:pPr>
            <w:r>
              <w:rPr>
                <w:rFonts w:ascii="Arial" w:cs="Arial" w:eastAsia="Arial" w:hAnsi="Arial"/>
                <w:sz w:val="14"/>
                <w:szCs w:val="14"/>
                <w:b w:val="1"/>
                <w:bCs w:val="1"/>
                <w:color w:val="auto"/>
              </w:rPr>
              <w:t>CONSOLIDATED OPERATING RESULTS</w:t>
            </w:r>
          </w:p>
        </w:tc>
        <w:tc>
          <w:tcPr>
            <w:tcW w:w="20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5"/>
              </w:rPr>
              <w:t>December 31, 2005</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tcPr>
          <w:p>
            <w:pPr>
              <w:ind w:left="420"/>
              <w:spacing w:after="0"/>
              <w:rPr>
                <w:sz w:val="20"/>
                <w:szCs w:val="20"/>
                <w:color w:val="auto"/>
              </w:rPr>
            </w:pPr>
            <w:r>
              <w:rPr>
                <w:rFonts w:ascii="Arial" w:cs="Arial" w:eastAsia="Arial" w:hAnsi="Arial"/>
                <w:sz w:val="18"/>
                <w:szCs w:val="18"/>
                <w:color w:val="auto"/>
              </w:rPr>
              <w:t>Rental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2,166</w:t>
            </w:r>
          </w:p>
        </w:tc>
        <w:tc>
          <w:tcPr>
            <w:tcW w:w="8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tcPr>
          <w:p>
            <w:pPr>
              <w:ind w:left="420"/>
              <w:spacing w:after="0"/>
              <w:rPr>
                <w:sz w:val="20"/>
                <w:szCs w:val="20"/>
                <w:color w:val="auto"/>
              </w:rPr>
            </w:pPr>
            <w:r>
              <w:rPr>
                <w:rFonts w:ascii="Arial" w:cs="Arial" w:eastAsia="Arial" w:hAnsi="Arial"/>
                <w:sz w:val="18"/>
                <w:szCs w:val="18"/>
                <w:color w:val="auto"/>
              </w:rPr>
              <w:t>Real estate taxes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40" w:type="dxa"/>
            <w:vAlign w:val="bottom"/>
            <w:gridSpan w:val="5"/>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4"/>
                <w:szCs w:val="24"/>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gridSpan w:val="2"/>
          </w:tcPr>
          <w:p>
            <w:pPr>
              <w:jc w:val="center"/>
              <w:ind w:right="1060"/>
              <w:spacing w:after="0" w:line="136"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1"/>
                <w:szCs w:val="11"/>
                <w:color w:val="auto"/>
              </w:rPr>
            </w:pPr>
          </w:p>
        </w:tc>
        <w:tc>
          <w:tcPr>
            <w:tcW w:w="104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4"/>
        </w:trPr>
        <w:tc>
          <w:tcPr>
            <w:tcW w:w="8040" w:type="dxa"/>
            <w:vAlign w:val="bottom"/>
            <w:gridSpan w:val="5"/>
          </w:tcPr>
          <w:p>
            <w:pPr>
              <w:spacing w:after="0"/>
              <w:rPr>
                <w:sz w:val="20"/>
                <w:szCs w:val="20"/>
                <w:color w:val="auto"/>
              </w:rPr>
            </w:pPr>
            <w:r>
              <w:rPr>
                <w:rFonts w:ascii="Arial" w:cs="Arial" w:eastAsia="Arial" w:hAnsi="Arial"/>
                <w:sz w:val="14"/>
                <w:szCs w:val="14"/>
                <w:b w:val="1"/>
                <w:bCs w:val="1"/>
                <w:color w:val="auto"/>
              </w:rPr>
              <w:t>CONSOLIDATED BALANCE SHEETS</w:t>
            </w:r>
          </w:p>
        </w:tc>
        <w:tc>
          <w:tcPr>
            <w:tcW w:w="20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7"/>
              </w:rPr>
              <w:t>December 31, 2005</w:t>
            </w: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tcPr>
          <w:p>
            <w:pPr>
              <w:spacing w:after="0"/>
              <w:rPr>
                <w:sz w:val="20"/>
                <w:szCs w:val="20"/>
                <w:color w:val="auto"/>
              </w:rPr>
            </w:pPr>
            <w:r>
              <w:rPr>
                <w:rFonts w:ascii="Arial" w:cs="Arial" w:eastAsia="Arial" w:hAnsi="Arial"/>
                <w:sz w:val="18"/>
                <w:szCs w:val="18"/>
                <w:color w:val="auto"/>
              </w:rPr>
              <w:t>Real estate, at cost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81,768</w:t>
            </w:r>
          </w:p>
        </w:tc>
        <w:tc>
          <w:tcPr>
            <w:tcW w:w="8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(2,718)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4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1,452</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Mortgages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4"/>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5,506</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52,731</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40" w:type="dxa"/>
            <w:vAlign w:val="bottom"/>
            <w:gridSpan w:val="5"/>
          </w:tcPr>
          <w:p>
            <w:pPr>
              <w:spacing w:after="0"/>
              <w:rPr>
                <w:sz w:val="20"/>
                <w:szCs w:val="20"/>
                <w:color w:val="auto"/>
              </w:rPr>
            </w:pPr>
            <w:r>
              <w:rPr>
                <w:rFonts w:ascii="Arial" w:cs="Arial" w:eastAsia="Arial" w:hAnsi="Arial"/>
                <w:sz w:val="18"/>
                <w:szCs w:val="18"/>
                <w:color w:val="auto"/>
              </w:rPr>
              <w:t>Partners’ Capital</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31,370</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84,101</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-3425190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-3425190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-3425190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-3425190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-3425190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-3425190</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-1512570</wp:posOffset>
            </wp:positionV>
            <wp:extent cx="78422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-1512570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-1512570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-1512570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7"/>
              </w:rPr>
              <w:t>Interest Rate as of</w:t>
            </w: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00" w:type="dxa"/>
            <w:vAlign w:val="bottom"/>
            <w:gridSpan w:val="5"/>
          </w:tcPr>
          <w:p>
            <w:pPr>
              <w:spacing w:after="0"/>
              <w:rPr>
                <w:sz w:val="20"/>
                <w:szCs w:val="20"/>
                <w:color w:val="auto"/>
              </w:rPr>
            </w:pPr>
            <w:r>
              <w:rPr>
                <w:rFonts w:ascii="Arial" w:cs="Arial" w:eastAsia="Arial" w:hAnsi="Arial"/>
                <w:sz w:val="14"/>
                <w:szCs w:val="14"/>
                <w:b w:val="1"/>
                <w:bCs w:val="1"/>
                <w:color w:val="auto"/>
              </w:rPr>
              <w:t>Mortgage Loans</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Maturity</w:t>
            </w:r>
          </w:p>
        </w:tc>
        <w:tc>
          <w:tcPr>
            <w:tcW w:w="18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5"/>
              </w:rPr>
              <w:t>December 31, 2005</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gridSpan w:val="3"/>
          </w:tcPr>
          <w:p>
            <w:pPr>
              <w:ind w:left="7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Secured Fixed Rate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Campus Plaza</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8"/>
          </w:tcPr>
          <w:p>
            <w:pPr>
              <w:jc w:val="right"/>
              <w:ind w:right="382"/>
              <w:spacing w:after="0"/>
              <w:rPr>
                <w:sz w:val="20"/>
                <w:szCs w:val="20"/>
                <w:color w:val="auto"/>
              </w:rPr>
            </w:pPr>
            <w:r>
              <w:rPr>
                <w:rFonts w:ascii="Arial" w:cs="Arial" w:eastAsia="Arial" w:hAnsi="Arial"/>
                <w:sz w:val="18"/>
                <w:szCs w:val="18"/>
                <w:color w:val="auto"/>
              </w:rPr>
              <w:t>12/01/09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4.530% (a)</w:t>
            </w:r>
          </w:p>
        </w:tc>
        <w:tc>
          <w:tcPr>
            <w:tcW w:w="31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gridSpan w:val="8"/>
            <w:shd w:val="clear" w:color="auto" w:fill="CCEEFF"/>
          </w:tcPr>
          <w:p>
            <w:pPr>
              <w:jc w:val="right"/>
              <w:ind w:right="382"/>
              <w:spacing w:after="0"/>
              <w:rPr>
                <w:sz w:val="20"/>
                <w:szCs w:val="20"/>
                <w:color w:val="auto"/>
              </w:rPr>
            </w:pPr>
            <w:r>
              <w:rPr>
                <w:rFonts w:ascii="Arial" w:cs="Arial" w:eastAsia="Arial" w:hAnsi="Arial"/>
                <w:sz w:val="18"/>
                <w:szCs w:val="18"/>
                <w:color w:val="auto"/>
              </w:rPr>
              <w:t>12/01/09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4.530% (a)</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Plaza del Mercado</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8"/>
          </w:tcPr>
          <w:p>
            <w:pPr>
              <w:jc w:val="right"/>
              <w:ind w:right="382"/>
              <w:spacing w:after="0"/>
              <w:rPr>
                <w:sz w:val="20"/>
                <w:szCs w:val="20"/>
                <w:color w:val="auto"/>
              </w:rPr>
            </w:pPr>
            <w:r>
              <w:rPr>
                <w:rFonts w:ascii="Arial" w:cs="Arial" w:eastAsia="Arial" w:hAnsi="Arial"/>
                <w:sz w:val="18"/>
                <w:szCs w:val="18"/>
                <w:color w:val="auto"/>
              </w:rPr>
              <w:t>07/05/14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5.770% (b)</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20" w:type="dxa"/>
            <w:vAlign w:val="bottom"/>
            <w:gridSpan w:val="8"/>
            <w:shd w:val="clear" w:color="auto" w:fill="CCEEFF"/>
          </w:tcPr>
          <w:p>
            <w:pPr>
              <w:jc w:val="right"/>
              <w:ind w:right="382"/>
              <w:spacing w:after="0"/>
              <w:rPr>
                <w:sz w:val="20"/>
                <w:szCs w:val="20"/>
                <w:color w:val="auto"/>
              </w:rPr>
            </w:pPr>
            <w:r>
              <w:rPr>
                <w:rFonts w:ascii="Arial" w:cs="Arial" w:eastAsia="Arial" w:hAnsi="Arial"/>
                <w:sz w:val="18"/>
                <w:szCs w:val="18"/>
                <w:color w:val="auto"/>
              </w:rPr>
              <w:t>12/01/14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5.120% (a)</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Total Fixed Rate Debt</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1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DEBT MATURITIES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50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00" w:type="dxa"/>
            <w:vAlign w:val="bottom"/>
            <w:gridSpan w:val="5"/>
          </w:tcPr>
          <w:p>
            <w:pPr>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Scheduled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Percent of</w:t>
            </w: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5500" w:type="dxa"/>
            <w:vAlign w:val="bottom"/>
            <w:gridSpan w:val="5"/>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Amortization</w:t>
            </w: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Debt Maturing</w:t>
            </w:r>
          </w:p>
        </w:tc>
        <w:tc>
          <w:tcPr>
            <w:tcW w:w="1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2006</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23,400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23,585</w:t>
            </w:r>
          </w:p>
        </w:tc>
        <w:tc>
          <w:tcPr>
            <w:tcW w:w="100" w:type="dxa"/>
            <w:vAlign w:val="bottom"/>
          </w:tcPr>
          <w:p>
            <w:pPr>
              <w:spacing w:after="0"/>
              <w:rPr>
                <w:sz w:val="18"/>
                <w:szCs w:val="18"/>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2010</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2011</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2013</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2014</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22,396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540" w:type="dxa"/>
            <w:vAlign w:val="bottom"/>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$1,429</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$ 45,796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1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-2788285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-2788285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-2788285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-172720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-172720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-172720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3898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-172720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 is interest only until July 5, 2007, after which principal and interest payments are due based on a 30-year amortization schedule.</w:t>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Grocery</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84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8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Anchor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2260" w:type="dxa"/>
            <w:vAlign w:val="bottom"/>
            <w:gridSpan w:val="4"/>
          </w:tcPr>
          <w:p>
            <w:pPr>
              <w:ind w:left="100"/>
              <w:spacing w:after="0"/>
              <w:rPr>
                <w:sz w:val="20"/>
                <w:szCs w:val="20"/>
                <w:color w:val="auto"/>
              </w:rPr>
            </w:pPr>
            <w:r>
              <w:rPr>
                <w:rFonts w:ascii="Arial" w:cs="Arial" w:eastAsia="Arial" w:hAnsi="Arial"/>
                <w:sz w:val="14"/>
                <w:szCs w:val="14"/>
                <w:b w:val="1"/>
                <w:bCs w:val="1"/>
                <w:color w:val="auto"/>
              </w:rPr>
              <w:t>MSA Description</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8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Investment</w:t>
            </w:r>
          </w:p>
        </w:tc>
        <w:tc>
          <w:tcPr>
            <w:tcW w:w="80" w:type="dxa"/>
            <w:vAlign w:val="bottom"/>
          </w:tcPr>
          <w:p>
            <w:pPr>
              <w:spacing w:after="0"/>
              <w:rPr>
                <w:sz w:val="15"/>
                <w:szCs w:val="15"/>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GLA</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 Leased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Obligation</w:t>
            </w: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GLA (1)</w:t>
            </w:r>
          </w:p>
        </w:tc>
        <w:tc>
          <w:tcPr>
            <w:tcW w:w="1140" w:type="dxa"/>
            <w:vAlign w:val="bottom"/>
          </w:tcPr>
          <w:p>
            <w:pPr>
              <w:spacing w:after="0"/>
              <w:rPr>
                <w:sz w:val="20"/>
                <w:szCs w:val="20"/>
                <w:color w:val="auto"/>
              </w:rPr>
            </w:pPr>
            <w:r>
              <w:rPr>
                <w:rFonts w:ascii="Arial" w:cs="Arial" w:eastAsia="Arial" w:hAnsi="Arial"/>
                <w:sz w:val="14"/>
                <w:szCs w:val="14"/>
                <w:b w:val="1"/>
                <w:bCs w:val="1"/>
                <w:color w:val="auto"/>
                <w:w w:val="87"/>
              </w:rPr>
              <w:t>Grocery Anchor (1)</w:t>
            </w:r>
          </w:p>
        </w:tc>
        <w:tc>
          <w:tcPr>
            <w:tcW w:w="100" w:type="dxa"/>
            <w:vAlign w:val="bottom"/>
          </w:tcPr>
          <w:p>
            <w:pPr>
              <w:spacing w:after="0"/>
              <w:rPr>
                <w:sz w:val="15"/>
                <w:szCs w:val="15"/>
                <w:color w:val="auto"/>
              </w:rPr>
            </w:pPr>
          </w:p>
        </w:tc>
        <w:tc>
          <w:tcPr>
            <w:tcW w:w="1980" w:type="dxa"/>
            <w:vAlign w:val="bottom"/>
          </w:tcPr>
          <w:p>
            <w:pPr>
              <w:ind w:left="30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60" w:type="dxa"/>
            <w:vAlign w:val="bottom"/>
            <w:gridSpan w:val="10"/>
          </w:tcPr>
          <w:p>
            <w:pPr>
              <w:spacing w:after="0"/>
              <w:rPr>
                <w:sz w:val="20"/>
                <w:szCs w:val="20"/>
                <w:color w:val="auto"/>
              </w:rPr>
            </w:pPr>
            <w:r>
              <w:rPr>
                <w:rFonts w:ascii="Arial" w:cs="Arial" w:eastAsia="Arial" w:hAnsi="Arial"/>
                <w:sz w:val="18"/>
                <w:szCs w:val="18"/>
                <w:b w:val="1"/>
                <w:bCs w:val="1"/>
                <w:color w:val="auto"/>
              </w:rPr>
              <w:t>Washington Metropolitan Area</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1"/>
              </w:rPr>
              <w:t>Plaza del Mercado</w:t>
            </w: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Washington, DC-MD-VA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25,000 Giant Food</w:t>
            </w: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9"/>
            <w:shd w:val="clear" w:color="auto" w:fill="CCEEFF"/>
          </w:tcPr>
          <w:p>
            <w:pPr>
              <w:ind w:left="420"/>
              <w:spacing w:after="0"/>
              <w:rPr>
                <w:sz w:val="20"/>
                <w:szCs w:val="20"/>
                <w:color w:val="auto"/>
              </w:rPr>
            </w:pPr>
            <w:r>
              <w:rPr>
                <w:rFonts w:ascii="Arial" w:cs="Arial" w:eastAsia="Arial" w:hAnsi="Arial"/>
                <w:sz w:val="18"/>
                <w:szCs w:val="18"/>
                <w:b w:val="1"/>
                <w:bCs w:val="1"/>
                <w:color w:val="auto"/>
              </w:rPr>
              <w:t>Total Washington Metropolitan Area</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400" w:type="dxa"/>
            <w:vAlign w:val="bottom"/>
            <w:gridSpan w:val="6"/>
          </w:tcPr>
          <w:p>
            <w:pPr>
              <w:spacing w:after="0"/>
              <w:rPr>
                <w:sz w:val="20"/>
                <w:szCs w:val="20"/>
                <w:color w:val="auto"/>
              </w:rPr>
            </w:pPr>
            <w:r>
              <w:rPr>
                <w:rFonts w:ascii="Arial" w:cs="Arial" w:eastAsia="Arial" w:hAnsi="Arial"/>
                <w:sz w:val="18"/>
                <w:szCs w:val="18"/>
                <w:b w:val="1"/>
                <w:bCs w:val="1"/>
                <w:color w:val="auto"/>
              </w:rPr>
              <w:t>New England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Boston-Worcester-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8"/>
              </w:rPr>
              <w:t>Lawrence-Lowell-Brockton,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Shaw’s</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MA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123,000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63,000</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Supermarket</w:t>
            </w: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Arial" w:cs="Arial" w:eastAsia="Arial" w:hAnsi="Arial"/>
                <w:sz w:val="18"/>
                <w:szCs w:val="18"/>
                <w:color w:val="auto"/>
              </w:rPr>
              <w:t>Campus Plaza</w:t>
            </w:r>
          </w:p>
        </w:tc>
        <w:tc>
          <w:tcPr>
            <w:tcW w:w="2260" w:type="dxa"/>
            <w:vAlign w:val="bottom"/>
            <w:gridSpan w:val="4"/>
          </w:tcPr>
          <w:p>
            <w:pPr>
              <w:ind w:left="100"/>
              <w:spacing w:after="0"/>
              <w:rPr>
                <w:sz w:val="20"/>
                <w:szCs w:val="20"/>
                <w:color w:val="auto"/>
              </w:rPr>
            </w:pPr>
            <w:r>
              <w:rPr>
                <w:rFonts w:ascii="Arial" w:cs="Arial" w:eastAsia="Arial" w:hAnsi="Arial"/>
                <w:sz w:val="18"/>
                <w:szCs w:val="18"/>
                <w:color w:val="auto"/>
              </w:rPr>
              <w:t>Boston-Worcester-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4"/>
          </w:tcPr>
          <w:p>
            <w:pPr>
              <w:ind w:left="100"/>
              <w:spacing w:after="0"/>
              <w:rPr>
                <w:sz w:val="20"/>
                <w:szCs w:val="20"/>
                <w:color w:val="auto"/>
              </w:rPr>
            </w:pPr>
            <w:r>
              <w:rPr>
                <w:rFonts w:ascii="Arial" w:cs="Arial" w:eastAsia="Arial" w:hAnsi="Arial"/>
                <w:sz w:val="18"/>
                <w:szCs w:val="18"/>
                <w:color w:val="auto"/>
                <w:w w:val="98"/>
              </w:rPr>
              <w:t>Lawrence-Lowell-Brockton,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Roche</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4"/>
          </w:tcPr>
          <w:p>
            <w:pPr>
              <w:ind w:left="100"/>
              <w:spacing w:after="0"/>
              <w:rPr>
                <w:sz w:val="20"/>
                <w:szCs w:val="20"/>
                <w:color w:val="auto"/>
              </w:rPr>
            </w:pPr>
            <w:r>
              <w:rPr>
                <w:rFonts w:ascii="Arial" w:cs="Arial" w:eastAsia="Arial" w:hAnsi="Arial"/>
                <w:sz w:val="18"/>
                <w:szCs w:val="18"/>
                <w:color w:val="auto"/>
              </w:rPr>
              <w:t>MA</w:t>
            </w:r>
          </w:p>
        </w:tc>
        <w:tc>
          <w:tcPr>
            <w:tcW w:w="540" w:type="dxa"/>
            <w:vAlign w:val="bottom"/>
          </w:tcPr>
          <w:p>
            <w:pPr>
              <w:jc w:val="right"/>
              <w:spacing w:after="0"/>
              <w:rPr>
                <w:sz w:val="20"/>
                <w:szCs w:val="20"/>
                <w:color w:val="auto"/>
              </w:rPr>
            </w:pPr>
            <w:r>
              <w:rPr>
                <w:rFonts w:ascii="Arial" w:cs="Arial" w:eastAsia="Arial" w:hAnsi="Arial"/>
                <w:sz w:val="18"/>
                <w:szCs w:val="18"/>
                <w:color w:val="auto"/>
              </w:rPr>
              <w:t>2004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21,940</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117,000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840" w:type="dxa"/>
            <w:vAlign w:val="bottom"/>
          </w:tcPr>
          <w:p>
            <w:pPr>
              <w:jc w:val="right"/>
              <w:spacing w:after="0"/>
              <w:rPr>
                <w:sz w:val="20"/>
                <w:szCs w:val="20"/>
                <w:color w:val="auto"/>
              </w:rPr>
            </w:pPr>
            <w:r>
              <w:rPr>
                <w:rFonts w:ascii="Arial" w:cs="Arial" w:eastAsia="Arial" w:hAnsi="Arial"/>
                <w:sz w:val="18"/>
                <w:szCs w:val="18"/>
                <w:color w:val="auto"/>
              </w:rPr>
              <w:t>11,000</w:t>
            </w:r>
          </w:p>
        </w:tc>
        <w:tc>
          <w:tcPr>
            <w:tcW w:w="660" w:type="dxa"/>
            <w:vAlign w:val="bottom"/>
            <w:gridSpan w:val="3"/>
          </w:tcPr>
          <w:p>
            <w:pPr>
              <w:ind w:left="80"/>
              <w:spacing w:after="0"/>
              <w:rPr>
                <w:sz w:val="20"/>
                <w:szCs w:val="20"/>
                <w:color w:val="auto"/>
              </w:rPr>
            </w:pPr>
            <w:r>
              <w:rPr>
                <w:rFonts w:ascii="Arial" w:cs="Arial" w:eastAsia="Arial" w:hAnsi="Arial"/>
                <w:sz w:val="18"/>
                <w:szCs w:val="18"/>
                <w:color w:val="auto"/>
              </w:rPr>
              <w:t>46,000</w:t>
            </w:r>
          </w:p>
        </w:tc>
        <w:tc>
          <w:tcPr>
            <w:tcW w:w="1140" w:type="dxa"/>
            <w:vAlign w:val="bottom"/>
          </w:tcPr>
          <w:p>
            <w:pPr>
              <w:spacing w:after="0"/>
              <w:rPr>
                <w:sz w:val="20"/>
                <w:szCs w:val="20"/>
                <w:color w:val="auto"/>
              </w:rPr>
            </w:pPr>
            <w:r>
              <w:rPr>
                <w:rFonts w:ascii="Arial" w:cs="Arial" w:eastAsia="Arial" w:hAnsi="Arial"/>
                <w:sz w:val="18"/>
                <w:szCs w:val="18"/>
                <w:color w:val="auto"/>
              </w:rPr>
              <w:t>Brothers</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Burlington Coat Factory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Boston-Worcester-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8"/>
              </w:rPr>
              <w:t>Lawrence-Lowell-Brockton,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MA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38,000</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Foodmaster</w:t>
            </w:r>
          </w:p>
        </w:tc>
        <w:tc>
          <w:tcPr>
            <w:tcW w:w="2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9"/>
            <w:shd w:val="clear" w:color="auto" w:fill="CCEEFF"/>
          </w:tcPr>
          <w:p>
            <w:pPr>
              <w:ind w:left="420"/>
              <w:spacing w:after="0"/>
              <w:rPr>
                <w:sz w:val="20"/>
                <w:szCs w:val="20"/>
                <w:color w:val="auto"/>
              </w:rPr>
            </w:pPr>
            <w:r>
              <w:rPr>
                <w:rFonts w:ascii="Arial" w:cs="Arial" w:eastAsia="Arial" w:hAnsi="Arial"/>
                <w:sz w:val="18"/>
                <w:szCs w:val="18"/>
                <w:b w:val="1"/>
                <w:bCs w:val="1"/>
                <w:color w:val="auto"/>
              </w:rPr>
              <w:t>Total New England</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60,865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640" w:type="dxa"/>
            <w:vAlign w:val="bottom"/>
            <w:gridSpan w:val="9"/>
          </w:tcPr>
          <w:p>
            <w:pPr>
              <w:ind w:left="420"/>
              <w:spacing w:after="0"/>
              <w:rPr>
                <w:sz w:val="20"/>
                <w:szCs w:val="20"/>
                <w:color w:val="auto"/>
              </w:rPr>
            </w:pPr>
            <w:r>
              <w:rPr>
                <w:rFonts w:ascii="Arial" w:cs="Arial" w:eastAsia="Arial" w:hAnsi="Arial"/>
                <w:sz w:val="18"/>
                <w:szCs w:val="18"/>
                <w:b w:val="1"/>
                <w:bCs w:val="1"/>
                <w:color w:val="auto"/>
              </w:rPr>
              <w:t>Total East Region</w:t>
            </w:r>
          </w:p>
        </w:tc>
        <w:tc>
          <w:tcPr>
            <w:tcW w:w="5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81,768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466,000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Grand Totals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-172720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-172720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-172720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-172720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-172720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-172720</wp:posOffset>
            </wp:positionV>
            <wp:extent cx="3873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58"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Adjusted EBITDA is a non-GAAP measure that means net income or loss plus interest expense, income taxes,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adjusted for gain or loss on sale of assets and impairment provisions.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years ended December 31, 2005 and 2004 is as follows:</w:t>
      </w:r>
    </w:p>
    <w:p>
      <w:pPr>
        <w:spacing w:after="0" w:line="96"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60325</wp:posOffset>
            </wp:positionV>
            <wp:extent cx="10375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$ 114,612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91,503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Other interest income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(30,748)</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(14,052)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$261,717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64706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2"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OverallPortfolio: </w:t>
      </w:r>
      <w:r>
        <w:rPr>
          <w:rFonts w:ascii="Arial" w:cs="Arial" w:eastAsia="Arial" w:hAnsi="Arial"/>
          <w:sz w:val="18"/>
          <w:szCs w:val="18"/>
          <w:color w:val="auto"/>
        </w:rPr>
        <w:t>Includes all operating properties owned in reporting period.</w:t>
      </w:r>
    </w:p>
    <w:p>
      <w:pPr>
        <w:spacing w:after="0" w:line="15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 but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3"/>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2019-12-13T00:51:15Z</dcterms:created>
  <dcterms:modified xsi:type="dcterms:W3CDTF">2019-12-13T00:51:15Z</dcterms:modified>
</cp:coreProperties>
</file>