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2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143510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(Rule 14a-101)</w:t>
      </w:r>
    </w:p>
    <w:p>
      <w:pPr>
        <w:jc w:val="center"/>
        <w:ind w:right="-1004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INFORMATION REQUIRED IN PROXY STATEMENT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SCHEDULE 14A INFORMATION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143510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4"/>
        <w:spacing w:after="0" w:line="161" w:lineRule="exact"/>
        <w:tabs>
          <w:tab w:leader="none" w:pos="27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☐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Check the appropriate box: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Preliminary Proxy Statement</w:t>
      </w:r>
    </w:p>
    <w:p>
      <w:pPr>
        <w:spacing w:after="0" w:line="118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54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Definitive Proxy Statement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Definitive Additional Materials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Soliciting Material Pursuant to §240.14a-12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9"/>
          <w:szCs w:val="39"/>
          <w:b w:val="1"/>
          <w:bCs w:val="1"/>
          <w:color w:val="auto"/>
        </w:rPr>
        <w:t>FEDERAL REALTY INVESTMENT TRUST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Not applicable.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30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Payment of Filing Fee (Check all boxes that apply):</w:t>
      </w: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 fee required.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Fee paid previously with preliminary materials.</w:t>
      </w:r>
    </w:p>
    <w:p>
      <w:pPr>
        <w:spacing w:after="0" w:line="122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Fee computed on table in exhibit required by Item 25 (b) per Exchange Act Rules 14a-6 (i) (1) and D-11.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83185</wp:posOffset>
            </wp:positionV>
            <wp:extent cx="69951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126365</wp:posOffset>
            </wp:positionV>
            <wp:extent cx="69951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346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2022-03-25T07:12:27Z</dcterms:created>
  <dcterms:modified xsi:type="dcterms:W3CDTF">2022-03-25T07:12:27Z</dcterms:modified>
</cp:coreProperties>
</file>