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604" w:space="720"/>
            <w:col w:w="27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909 Rose Avenue</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856"/>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20852</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5.00% Series C Cumulative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Preferred Share of Beneficial Interest, $.01 par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884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81" w:lineRule="exact"/>
        <w:rPr>
          <w:sz w:val="24"/>
          <w:szCs w:val="24"/>
          <w:color w:val="auto"/>
        </w:rPr>
      </w:pPr>
    </w:p>
    <w:p>
      <w:pPr>
        <w:ind w:left="4"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Term Loan Agreement</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16, 2021, Federal Realty Investment Trust (the “Company”) entered into an amendment (the “Amendment”) to its Term Loan Agreement, dated May 6, 2020, among the Company, as Borrower, the financial institutions party thereto and their permitted assignees, as Lenders, PNC Bank, National Association, as Administrative Agent, and the other parties thereto (the “Agreement”). Among other things, the Amendment extended the maturity date of the unsecured term loan outstanding under the Agreement from May 6, 2021 to April 16, 2024. Under the Amendment, the Company has the right, exercisable two times, to extend the maturity date by twelve months. The Amendment also reduced the applicable margins used to calculate the interest rates on loans outstanding under the Agreement, as set forth therein, to the amounts provided in the following table:</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Applicable Margin for</w:t>
            </w:r>
          </w:p>
        </w:tc>
        <w:tc>
          <w:tcPr>
            <w:tcW w:w="26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540" w:type="dxa"/>
            <w:vAlign w:val="bottom"/>
          </w:tcPr>
          <w:p>
            <w:pPr>
              <w:spacing w:after="0"/>
              <w:rPr>
                <w:sz w:val="12"/>
                <w:szCs w:val="12"/>
                <w:color w:val="auto"/>
              </w:rPr>
            </w:pPr>
          </w:p>
        </w:tc>
        <w:tc>
          <w:tcPr>
            <w:tcW w:w="45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Borrower’s Credit Rating (S&amp;P/Moody’s or equivalent)</w:t>
            </w:r>
          </w:p>
        </w:tc>
        <w:tc>
          <w:tcPr>
            <w:tcW w:w="2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Margin for all</w:t>
            </w:r>
          </w:p>
        </w:tc>
        <w:tc>
          <w:tcPr>
            <w:tcW w:w="0" w:type="dxa"/>
            <w:vAlign w:val="bottom"/>
          </w:tcPr>
          <w:p>
            <w:pPr>
              <w:spacing w:after="0"/>
              <w:rPr>
                <w:sz w:val="1"/>
                <w:szCs w:val="1"/>
                <w:color w:val="auto"/>
              </w:rPr>
            </w:pPr>
          </w:p>
        </w:tc>
      </w:tr>
      <w:tr>
        <w:trPr>
          <w:trHeight w:val="163"/>
        </w:trPr>
        <w:tc>
          <w:tcPr>
            <w:tcW w:w="340" w:type="dxa"/>
            <w:vAlign w:val="bottom"/>
            <w:tcBorders>
              <w:bottom w:val="single" w:sz="8" w:color="auto"/>
            </w:tcBorders>
            <w:vMerge w:val="continue"/>
          </w:tcPr>
          <w:p>
            <w:pPr>
              <w:spacing w:after="0"/>
              <w:rPr>
                <w:sz w:val="13"/>
                <w:szCs w:val="13"/>
                <w:color w:val="auto"/>
              </w:rPr>
            </w:pPr>
          </w:p>
        </w:tc>
        <w:tc>
          <w:tcPr>
            <w:tcW w:w="540" w:type="dxa"/>
            <w:vAlign w:val="bottom"/>
          </w:tcPr>
          <w:p>
            <w:pPr>
              <w:spacing w:after="0"/>
              <w:rPr>
                <w:sz w:val="13"/>
                <w:szCs w:val="13"/>
                <w:color w:val="auto"/>
              </w:rPr>
            </w:pPr>
          </w:p>
        </w:tc>
        <w:tc>
          <w:tcPr>
            <w:tcW w:w="45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all LIBOR Loans</w:t>
            </w:r>
          </w:p>
        </w:tc>
        <w:tc>
          <w:tcPr>
            <w:tcW w:w="150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540" w:type="dxa"/>
            <w:vAlign w:val="bottom"/>
            <w:vMerge w:val="restart"/>
            <w:shd w:val="clear" w:color="auto" w:fill="CCEEFF"/>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4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A/A2 (or equivalent) or better</w:t>
            </w:r>
          </w:p>
        </w:tc>
        <w:tc>
          <w:tcPr>
            <w:tcW w:w="54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0.750%</w:t>
            </w:r>
          </w:p>
        </w:tc>
        <w:tc>
          <w:tcPr>
            <w:tcW w:w="26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5100" w:type="dxa"/>
            <w:vAlign w:val="bottom"/>
            <w:gridSpan w:val="2"/>
          </w:tcPr>
          <w:p>
            <w:pPr>
              <w:ind w:left="540"/>
              <w:spacing w:after="0"/>
              <w:rPr>
                <w:sz w:val="20"/>
                <w:szCs w:val="20"/>
                <w:color w:val="auto"/>
              </w:rPr>
            </w:pPr>
            <w:r>
              <w:rPr>
                <w:rFonts w:ascii="Arial" w:cs="Arial" w:eastAsia="Arial" w:hAnsi="Arial"/>
                <w:sz w:val="18"/>
                <w:szCs w:val="18"/>
                <w:color w:val="auto"/>
              </w:rPr>
              <w:t>A-/A3 (or equivalent)</w:t>
            </w:r>
          </w:p>
        </w:tc>
        <w:tc>
          <w:tcPr>
            <w:tcW w:w="2320" w:type="dxa"/>
            <w:vAlign w:val="bottom"/>
            <w:gridSpan w:val="3"/>
          </w:tcPr>
          <w:p>
            <w:pPr>
              <w:jc w:val="right"/>
              <w:ind w:right="260"/>
              <w:spacing w:after="0"/>
              <w:rPr>
                <w:sz w:val="20"/>
                <w:szCs w:val="20"/>
                <w:color w:val="auto"/>
              </w:rPr>
            </w:pPr>
            <w:r>
              <w:rPr>
                <w:rFonts w:ascii="Arial" w:cs="Arial" w:eastAsia="Arial" w:hAnsi="Arial"/>
                <w:sz w:val="18"/>
                <w:szCs w:val="18"/>
                <w:color w:val="auto"/>
              </w:rPr>
              <w:t>0.800%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0.800%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5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BBB+/Baa1 (or equivalent)</w:t>
            </w:r>
          </w:p>
        </w:tc>
        <w:tc>
          <w:tcPr>
            <w:tcW w:w="2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0.850%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5100" w:type="dxa"/>
            <w:vAlign w:val="bottom"/>
            <w:gridSpan w:val="2"/>
          </w:tcPr>
          <w:p>
            <w:pPr>
              <w:ind w:left="540"/>
              <w:spacing w:after="0"/>
              <w:rPr>
                <w:sz w:val="20"/>
                <w:szCs w:val="20"/>
                <w:color w:val="auto"/>
              </w:rPr>
            </w:pPr>
            <w:r>
              <w:rPr>
                <w:rFonts w:ascii="Arial" w:cs="Arial" w:eastAsia="Arial" w:hAnsi="Arial"/>
                <w:sz w:val="18"/>
                <w:szCs w:val="18"/>
                <w:color w:val="auto"/>
              </w:rPr>
              <w:t>BBB/Baa2 (or equivalent)</w:t>
            </w:r>
          </w:p>
        </w:tc>
        <w:tc>
          <w:tcPr>
            <w:tcW w:w="232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5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BBB-/Baa3 (or equivalent)</w:t>
            </w:r>
          </w:p>
        </w:tc>
        <w:tc>
          <w:tcPr>
            <w:tcW w:w="2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5100" w:type="dxa"/>
            <w:vAlign w:val="bottom"/>
            <w:gridSpan w:val="2"/>
          </w:tcPr>
          <w:p>
            <w:pPr>
              <w:ind w:left="540"/>
              <w:spacing w:after="0"/>
              <w:rPr>
                <w:sz w:val="20"/>
                <w:szCs w:val="20"/>
                <w:color w:val="auto"/>
              </w:rPr>
            </w:pPr>
            <w:r>
              <w:rPr>
                <w:rFonts w:ascii="Arial" w:cs="Arial" w:eastAsia="Arial" w:hAnsi="Arial"/>
                <w:sz w:val="18"/>
                <w:szCs w:val="18"/>
                <w:color w:val="auto"/>
              </w:rPr>
              <w:t>Lower than BBB-/Baa3 (or equivalent)</w:t>
            </w:r>
          </w:p>
        </w:tc>
        <w:tc>
          <w:tcPr>
            <w:tcW w:w="2320" w:type="dxa"/>
            <w:vAlign w:val="bottom"/>
            <w:gridSpan w:val="3"/>
          </w:tcPr>
          <w:p>
            <w:pPr>
              <w:jc w:val="right"/>
              <w:ind w:right="260"/>
              <w:spacing w:after="0"/>
              <w:rPr>
                <w:sz w:val="20"/>
                <w:szCs w:val="20"/>
                <w:color w:val="auto"/>
              </w:rPr>
            </w:pPr>
            <w:r>
              <w:rPr>
                <w:rFonts w:ascii="Arial" w:cs="Arial" w:eastAsia="Arial" w:hAnsi="Arial"/>
                <w:sz w:val="18"/>
                <w:szCs w:val="18"/>
                <w:color w:val="auto"/>
              </w:rPr>
              <w:t>1.650%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Amendment, the Company repaid $100,000,000 of principal amount outstanding under the Agreement, leaving $300,000,000 as the remaining principal amount outstanding thereunder. The Amendment also added an accordion feature allowing the Company to increase the principal balance under the Agreement to up to $500,000,000.</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summary of the Amendment does not constitute a complete description of, and is qualified in its entirety by reference to, the terms and conditions of the Amendment, which is filed herewith as Exhibit 10.1.</w:t>
      </w:r>
    </w:p>
    <w:p>
      <w:pPr>
        <w:sectPr>
          <w:pgSz w:w="11900" w:h="16838" w:orient="portrait"/>
          <w:cols w:equalWidth="0" w:num="1">
            <w:col w:w="10880"/>
          </w:cols>
          <w:pgMar w:left="440" w:top="297"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0140" w:type="dxa"/>
            <w:vAlign w:val="bottom"/>
            <w:gridSpan w:val="3"/>
            <w:vMerge w:val="restart"/>
          </w:tcPr>
          <w:p>
            <w:pPr>
              <w:ind w:left="4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01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98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First Amendment to Term Loan Agreement, dated as of April 16, 2021, by and among the Lenders, New Lenders, Departing Lenders (as</w:t>
              </w:r>
            </w:hyperlink>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each such term is defined therein) and PNC Bank, National Association, as Administrative Agent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Interactive Data File is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940"/>
          </w:cols>
          <w:pgMar w:left="440" w:top="301"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TERM LOAN AGREEMENT</w:t>
      </w:r>
    </w:p>
    <w:p>
      <w:pPr>
        <w:spacing w:after="0" w:line="225"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THIS FIRST AMENDMENT TO TERM LOAN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April 16, 2021, by and among FEDERAL REALTY INVESTMENT TRUST, a real estate investment trust formed under the laws of the State of Maryland (the “</w:t>
      </w:r>
      <w:r>
        <w:rPr>
          <w:rFonts w:ascii="Arial" w:cs="Arial" w:eastAsia="Arial" w:hAnsi="Arial"/>
          <w:sz w:val="18"/>
          <w:szCs w:val="18"/>
          <w:u w:val="single" w:color="auto"/>
          <w:color w:val="auto"/>
        </w:rPr>
        <w:t>Borrower</w:t>
      </w:r>
      <w:r>
        <w:rPr>
          <w:rFonts w:ascii="Arial" w:cs="Arial" w:eastAsia="Arial" w:hAnsi="Arial"/>
          <w:sz w:val="18"/>
          <w:szCs w:val="18"/>
          <w:color w:val="auto"/>
        </w:rPr>
        <w:t>”), each of the Lenders party hereto, BANK OF AMERICA, N.A. (“</w:t>
      </w:r>
      <w:r>
        <w:rPr>
          <w:rFonts w:ascii="Arial" w:cs="Arial" w:eastAsia="Arial" w:hAnsi="Arial"/>
          <w:sz w:val="18"/>
          <w:szCs w:val="18"/>
          <w:u w:val="single" w:color="auto"/>
          <w:color w:val="auto"/>
        </w:rPr>
        <w:t>BofA</w:t>
      </w:r>
      <w:r>
        <w:rPr>
          <w:rFonts w:ascii="Arial" w:cs="Arial" w:eastAsia="Arial" w:hAnsi="Arial"/>
          <w:sz w:val="18"/>
          <w:szCs w:val="18"/>
          <w:color w:val="auto"/>
        </w:rPr>
        <w:t>”), BNP PARIBAS (“</w:t>
      </w:r>
      <w:r>
        <w:rPr>
          <w:rFonts w:ascii="Arial" w:cs="Arial" w:eastAsia="Arial" w:hAnsi="Arial"/>
          <w:sz w:val="18"/>
          <w:szCs w:val="18"/>
          <w:u w:val="single" w:color="auto"/>
          <w:color w:val="auto"/>
        </w:rPr>
        <w:t>BNP</w:t>
      </w:r>
      <w:r>
        <w:rPr>
          <w:rFonts w:ascii="Arial" w:cs="Arial" w:eastAsia="Arial" w:hAnsi="Arial"/>
          <w:sz w:val="18"/>
          <w:szCs w:val="18"/>
          <w:color w:val="auto"/>
        </w:rPr>
        <w:t>”), THE BANK OF NOVA SCOTIA (“</w:t>
      </w:r>
      <w:r>
        <w:rPr>
          <w:rFonts w:ascii="Arial" w:cs="Arial" w:eastAsia="Arial" w:hAnsi="Arial"/>
          <w:sz w:val="18"/>
          <w:szCs w:val="18"/>
          <w:u w:val="single" w:color="auto"/>
          <w:color w:val="auto"/>
        </w:rPr>
        <w:t>Scotia Bank</w:t>
      </w:r>
      <w:r>
        <w:rPr>
          <w:rFonts w:ascii="Arial" w:cs="Arial" w:eastAsia="Arial" w:hAnsi="Arial"/>
          <w:sz w:val="18"/>
          <w:szCs w:val="18"/>
          <w:color w:val="auto"/>
        </w:rPr>
        <w:t>” and, together with BofA and BNP, each a “</w:t>
      </w:r>
      <w:r>
        <w:rPr>
          <w:rFonts w:ascii="Arial" w:cs="Arial" w:eastAsia="Arial" w:hAnsi="Arial"/>
          <w:sz w:val="18"/>
          <w:szCs w:val="18"/>
          <w:u w:val="single" w:color="auto"/>
          <w:color w:val="auto"/>
        </w:rPr>
        <w:t>New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New Lenders</w:t>
      </w:r>
      <w:r>
        <w:rPr>
          <w:rFonts w:ascii="Arial" w:cs="Arial" w:eastAsia="Arial" w:hAnsi="Arial"/>
          <w:sz w:val="18"/>
          <w:szCs w:val="18"/>
          <w:color w:val="auto"/>
        </w:rPr>
        <w:t>”), CITIBANK, N.A. (“</w:t>
      </w:r>
      <w:r>
        <w:rPr>
          <w:rFonts w:ascii="Arial" w:cs="Arial" w:eastAsia="Arial" w:hAnsi="Arial"/>
          <w:sz w:val="18"/>
          <w:szCs w:val="18"/>
          <w:u w:val="single" w:color="auto"/>
          <w:color w:val="auto"/>
        </w:rPr>
        <w:t>Citibank</w:t>
      </w:r>
      <w:r>
        <w:rPr>
          <w:rFonts w:ascii="Arial" w:cs="Arial" w:eastAsia="Arial" w:hAnsi="Arial"/>
          <w:sz w:val="18"/>
          <w:szCs w:val="18"/>
          <w:color w:val="auto"/>
        </w:rPr>
        <w:t>”), DEUTSCHE BANK AG NEW YORK BRANCH (“</w:t>
      </w:r>
      <w:r>
        <w:rPr>
          <w:rFonts w:ascii="Arial" w:cs="Arial" w:eastAsia="Arial" w:hAnsi="Arial"/>
          <w:sz w:val="18"/>
          <w:szCs w:val="18"/>
          <w:u w:val="single" w:color="auto"/>
          <w:color w:val="auto"/>
        </w:rPr>
        <w:t>Deutsche Bank</w:t>
      </w:r>
      <w:r>
        <w:rPr>
          <w:rFonts w:ascii="Arial" w:cs="Arial" w:eastAsia="Arial" w:hAnsi="Arial"/>
          <w:sz w:val="18"/>
          <w:szCs w:val="18"/>
          <w:color w:val="auto"/>
        </w:rPr>
        <w:t>” and, together with Citibank, each a “</w:t>
      </w:r>
      <w:r>
        <w:rPr>
          <w:rFonts w:ascii="Arial" w:cs="Arial" w:eastAsia="Arial" w:hAnsi="Arial"/>
          <w:sz w:val="18"/>
          <w:szCs w:val="18"/>
          <w:u w:val="single" w:color="auto"/>
          <w:color w:val="auto"/>
        </w:rPr>
        <w:t>Departing Lender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Departing Lenders</w:t>
      </w:r>
      <w:r>
        <w:rPr>
          <w:rFonts w:ascii="Arial" w:cs="Arial" w:eastAsia="Arial" w:hAnsi="Arial"/>
          <w:sz w:val="18"/>
          <w:szCs w:val="18"/>
          <w:color w:val="auto"/>
        </w:rPr>
        <w:t>”) and PNC BANK, NATIONAL ASSOCIATION,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9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WHEREAS, the Borrower, the Lenders from time to time party thereto (the “</w:t>
      </w:r>
      <w:r>
        <w:rPr>
          <w:rFonts w:ascii="Arial" w:cs="Arial" w:eastAsia="Arial" w:hAnsi="Arial"/>
          <w:sz w:val="17"/>
          <w:szCs w:val="17"/>
          <w:u w:val="single" w:color="auto"/>
          <w:color w:val="auto"/>
        </w:rPr>
        <w:t>Existing Lenders</w:t>
      </w:r>
      <w:r>
        <w:rPr>
          <w:rFonts w:ascii="Arial" w:cs="Arial" w:eastAsia="Arial" w:hAnsi="Arial"/>
          <w:sz w:val="17"/>
          <w:szCs w:val="17"/>
          <w:color w:val="auto"/>
        </w:rPr>
        <w:t>”), the Departing Lenders, the Administrative Agent and certain other parties have entered into that certain Term Loan Agreement dated as of May 6, 2020 (as in effect immediately prior to this Amendment, the “</w:t>
      </w:r>
      <w:r>
        <w:rPr>
          <w:rFonts w:ascii="Arial" w:cs="Arial" w:eastAsia="Arial" w:hAnsi="Arial"/>
          <w:sz w:val="17"/>
          <w:szCs w:val="17"/>
          <w:u w:val="single" w:color="auto"/>
          <w:color w:val="auto"/>
        </w:rPr>
        <w:t>Original Credit Agreement</w:t>
      </w:r>
      <w:r>
        <w:rPr>
          <w:rFonts w:ascii="Arial" w:cs="Arial" w:eastAsia="Arial" w:hAnsi="Arial"/>
          <w:sz w:val="17"/>
          <w:szCs w:val="17"/>
          <w:color w:val="auto"/>
        </w:rPr>
        <w:t>”; unless otherwise defined herein, capitalized terms shall have the respective meanings assigned to such terms in the Original Credit Agreement after giving effect to this Amendment (the “</w:t>
      </w:r>
      <w:r>
        <w:rPr>
          <w:rFonts w:ascii="Arial" w:cs="Arial" w:eastAsia="Arial" w:hAnsi="Arial"/>
          <w:sz w:val="17"/>
          <w:szCs w:val="17"/>
          <w:u w:val="single" w:color="auto"/>
          <w:color w:val="auto"/>
        </w:rPr>
        <w:t>Amended Credit Agreement</w:t>
      </w:r>
      <w:r>
        <w:rPr>
          <w:rFonts w:ascii="Arial" w:cs="Arial" w:eastAsia="Arial" w:hAnsi="Arial"/>
          <w:sz w:val="17"/>
          <w:szCs w:val="17"/>
          <w:color w:val="auto"/>
        </w:rPr>
        <w:t>”)), pursuant to which certain of the Lenders made certain credit extensions to the Borrower upon the terms and conditions set forth therein;</w:t>
      </w:r>
    </w:p>
    <w:p>
      <w:pPr>
        <w:spacing w:after="0" w:line="176"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WHEREAS, the Borrower has requested that the Lenders and the Administrative Agent agree that each Departing Lender shall cease to be a party to the Original Credit Agreement as evidenced by its execution and delivery of its respective signature page to this Amendment, and, subject to the satisfaction of the conditions set forth herein, the Administrative Agent and the Lenders signatory hereto agree, on the terms set forth herein;</w:t>
      </w:r>
    </w:p>
    <w:p>
      <w:pPr>
        <w:spacing w:after="0" w:line="14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WHEREAS, the Borrower has requested that the Lenders and the Administrative Agent amend certain provisions of the Original Credit Agreement, and, subject to the satisfaction of the conditions set forth herein, the Administrative Agent and the Lenders signatory hereto are willing to do so, on the terms set forth herein; and</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Outstanding Term Loans; Reallocation</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73" w:lineRule="auto"/>
        <w:tabs>
          <w:tab w:leader="none" w:pos="685"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Pursuant to the Original Credit Agreement, certain of the Existing Lenders made “Loans” (as defined in the Original Credit Agreement) denominated in Dollars to the Borrower. Such “Loans” shall be continued as, and shall constitute Loans under the Amended Credit Agreement. The Borrower hereby acknowledges and agrees that as of the First Amendment Date, the outstanding principal balance of the Loans is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shall for all purposes under the Amended Credit Agreement constitute and be referred to as Loans under the Amended Credit Agreement, without constituting a novation, but in all cases subject to the terms and conditions applicable to the Loans under the Amended Credit Agreement. Once repaid, the principal amount of the Loans (or any portion thereof) may not be reborrowed.</w:t>
      </w:r>
    </w:p>
    <w:p>
      <w:pPr>
        <w:spacing w:after="0" w:line="177" w:lineRule="exact"/>
        <w:rPr>
          <w:rFonts w:ascii="Arial" w:cs="Arial" w:eastAsia="Arial" w:hAnsi="Arial"/>
          <w:sz w:val="17"/>
          <w:szCs w:val="17"/>
          <w:color w:val="auto"/>
        </w:rPr>
      </w:pPr>
    </w:p>
    <w:p>
      <w:pPr>
        <w:ind w:right="120" w:firstLine="436"/>
        <w:spacing w:after="0" w:line="296"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Administrative Agent, the Borrower and each Lender (including each New Lender) agree that upon the effectiveness of this Amendment, the principal amount of all outstanding Loans shall be reallocated among the Lenders in accordance with their respective Loans (determined in accordance with the amount of each such Lender’s Loan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In order to effect such reallocations, any New Lender and each other Lender whose Loan exceeds its “Loan” under the Original Credit Agreement immediately prior to the effectiveness of this Amendment (each, an “</w:t>
      </w:r>
      <w:r>
        <w:rPr>
          <w:rFonts w:ascii="Arial" w:cs="Arial" w:eastAsia="Arial" w:hAnsi="Arial"/>
          <w:sz w:val="16"/>
          <w:szCs w:val="16"/>
          <w:u w:val="single" w:color="auto"/>
          <w:color w:val="auto"/>
        </w:rPr>
        <w:t>Assignee Lender</w:t>
      </w:r>
      <w:r>
        <w:rPr>
          <w:rFonts w:ascii="Arial" w:cs="Arial" w:eastAsia="Arial" w:hAnsi="Arial"/>
          <w:sz w:val="16"/>
          <w:szCs w:val="16"/>
          <w:color w:val="auto"/>
        </w:rPr>
        <w:t>”) shall be deemed to have purchased at par a portion of all right, title and interest in, and all obligations in</w:t>
      </w:r>
    </w:p>
    <w:p>
      <w:pPr>
        <w:sectPr>
          <w:pgSz w:w="11900" w:h="16838" w:orient="portrait"/>
          <w:cols w:equalWidth="0" w:num="1">
            <w:col w:w="11020"/>
          </w:cols>
          <w:pgMar w:left="440" w:top="121" w:right="439" w:bottom="1440" w:gutter="0" w:footer="0" w:header="0"/>
        </w:sectPr>
      </w:pPr>
    </w:p>
    <w:bookmarkStart w:id="5" w:name="page6"/>
    <w:bookmarkEnd w:id="5"/>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 of, the “Loan” under the Original Credit Agreement of the Departing Lenders who shall cease to be a “Lender” under the Amended Credit Agreement and each other Lender whose Loan will be less than its “Loan” under the Original Credit Agreement immediately prior to the effectiveness of this Amendment (each, an “</w:t>
      </w:r>
      <w:r>
        <w:rPr>
          <w:rFonts w:ascii="Arial" w:cs="Arial" w:eastAsia="Arial" w:hAnsi="Arial"/>
          <w:sz w:val="17"/>
          <w:szCs w:val="17"/>
          <w:u w:val="single" w:color="auto"/>
          <w:color w:val="auto"/>
        </w:rPr>
        <w:t>Assignor Lender</w:t>
      </w:r>
      <w:r>
        <w:rPr>
          <w:rFonts w:ascii="Arial" w:cs="Arial" w:eastAsia="Arial" w:hAnsi="Arial"/>
          <w:sz w:val="17"/>
          <w:szCs w:val="17"/>
          <w:color w:val="auto"/>
        </w:rPr>
        <w:t xml:space="preserve">”) as may be necessary such that, after giving effect to the payment referenced in Section 3(i) below, the outstanding principal amount of the Loan of each Lender will be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attached hereto. Such purchases shall be deemed to have been effected by way of, and subject to the terms and conditions of, Assignment and Assumptions without the payment of any related assignment fee, and, except for replacement Notes to be provided to the Assignee Lenders and, if applicable, the Assignor Lenders, in the principal amounts of their respective Loans upon the effectiveness of this Amendment, no other documents or instruments shall be, or shall be required to be, executed in connection with such assignments (all of which are hereby waived). The Assignee Lenders shall make the proceeds of such purchases available to the Administrative Agent who shall then make such amounts of the proceeds of such purchases available to the Assignor Lenders as is necessary to purchase in full at par the Loan owing to the Assignor Lender.</w:t>
      </w:r>
    </w:p>
    <w:p>
      <w:pPr>
        <w:spacing w:after="0" w:line="18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Specific Amendments to the Original Credit Agreement</w:t>
      </w:r>
      <w:r>
        <w:rPr>
          <w:rFonts w:ascii="Arial" w:cs="Arial" w:eastAsia="Arial" w:hAnsi="Arial"/>
          <w:sz w:val="18"/>
          <w:szCs w:val="18"/>
          <w:color w:val="auto"/>
        </w:rPr>
        <w:t>. As of the First Amendment Date, the parties hereto agree that the Original Credit Agreement shall be amended as follows:</w:t>
      </w:r>
    </w:p>
    <w:p>
      <w:pPr>
        <w:spacing w:after="0" w:line="62" w:lineRule="exact"/>
        <w:rPr>
          <w:sz w:val="20"/>
          <w:szCs w:val="20"/>
          <w:color w:val="auto"/>
        </w:rPr>
      </w:pPr>
    </w:p>
    <w:p>
      <w:pPr>
        <w:ind w:right="300" w:firstLine="436"/>
        <w:spacing w:after="0" w:line="277" w:lineRule="auto"/>
        <w:tabs>
          <w:tab w:leader="none" w:pos="6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Original Credit Agreement is amended by deleting the definitions of “Benchmark Transition Start Date” and “Federal Reserve Bank of New York’s Website” contained in Section 1.1. thereof.</w:t>
      </w:r>
    </w:p>
    <w:p>
      <w:pPr>
        <w:spacing w:after="0" w:line="170" w:lineRule="exact"/>
        <w:rPr>
          <w:rFonts w:ascii="Arial" w:cs="Arial" w:eastAsia="Arial" w:hAnsi="Arial"/>
          <w:sz w:val="18"/>
          <w:szCs w:val="18"/>
          <w:color w:val="auto"/>
        </w:rPr>
      </w:pPr>
    </w:p>
    <w:p>
      <w:pPr>
        <w:ind w:right="20" w:firstLine="436"/>
        <w:spacing w:after="0" w:line="279" w:lineRule="auto"/>
        <w:tabs>
          <w:tab w:leader="none" w:pos="6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Original Credit Agreement is further amended by restating the definitions of “Applicable Margin”, “Benchmark Replacement”, “Benchmark Replacement Conforming Changes”, “Benchmark Replacement Date”, “Benchmark Transition Event”, “Benchmark Unavailability Period”, “Early Opt-in Election”, “Fee Letter”, “Loans”, “Maturity Date”, “Relevant Governmental Body”, “Sanctioned Country”, “Sanctioned Person”, “Sanctions”, “SOFR”, “Term SOFR”, and “Unadjusted Benchmark Replacement” contained in Section 1.1. thereof in their entirety as follows:</w:t>
      </w:r>
    </w:p>
    <w:p>
      <w:pPr>
        <w:spacing w:after="0" w:line="59" w:lineRule="exact"/>
        <w:rPr>
          <w:sz w:val="20"/>
          <w:szCs w:val="20"/>
          <w:color w:val="auto"/>
        </w:rPr>
      </w:pPr>
    </w:p>
    <w:p>
      <w:pPr>
        <w:ind w:left="440" w:firstLine="42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Margin</w:t>
      </w:r>
      <w:r>
        <w:rPr>
          <w:rFonts w:ascii="Arial" w:cs="Arial" w:eastAsia="Arial" w:hAnsi="Arial"/>
          <w:sz w:val="17"/>
          <w:szCs w:val="17"/>
          <w:color w:val="auto"/>
        </w:rPr>
        <w:t>” means the percentage rate set forth in the table below corresponding to the level (each a “</w:t>
      </w:r>
      <w:r>
        <w:rPr>
          <w:rFonts w:ascii="Arial" w:cs="Arial" w:eastAsia="Arial" w:hAnsi="Arial"/>
          <w:sz w:val="17"/>
          <w:szCs w:val="17"/>
          <w:b w:val="1"/>
          <w:bCs w:val="1"/>
          <w:color w:val="auto"/>
        </w:rPr>
        <w:t>Level</w:t>
      </w:r>
      <w:r>
        <w:rPr>
          <w:rFonts w:ascii="Arial" w:cs="Arial" w:eastAsia="Arial" w:hAnsi="Arial"/>
          <w:sz w:val="17"/>
          <w:szCs w:val="17"/>
          <w:color w:val="auto"/>
        </w:rPr>
        <w:t>”) into which the Borrower’s Credit Rating then falls. As of the First Amendment Date, the Applicable Margin is determined based on Level 2.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Borrower’s Credit Rating</w:t>
            </w:r>
          </w:p>
        </w:tc>
        <w:tc>
          <w:tcPr>
            <w:tcW w:w="21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4"/>
              </w:rPr>
              <w:t>Applicable Margin for</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760" w:type="dxa"/>
            <w:vAlign w:val="bottom"/>
          </w:tcPr>
          <w:p>
            <w:pPr>
              <w:spacing w:after="0"/>
              <w:rPr>
                <w:sz w:val="12"/>
                <w:szCs w:val="12"/>
                <w:color w:val="auto"/>
              </w:rPr>
            </w:pPr>
          </w:p>
        </w:tc>
        <w:tc>
          <w:tcPr>
            <w:tcW w:w="38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(S&amp;P/Moody’s or</w:t>
            </w:r>
          </w:p>
        </w:tc>
        <w:tc>
          <w:tcPr>
            <w:tcW w:w="2160" w:type="dxa"/>
            <w:vAlign w:val="bottom"/>
            <w:gridSpan w:val="2"/>
            <w:vMerge w:val="continue"/>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Margin for all</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760" w:type="dxa"/>
            <w:vAlign w:val="bottom"/>
          </w:tcPr>
          <w:p>
            <w:pPr>
              <w:spacing w:after="0"/>
              <w:rPr>
                <w:sz w:val="14"/>
                <w:szCs w:val="14"/>
                <w:color w:val="auto"/>
              </w:rPr>
            </w:pPr>
          </w:p>
        </w:tc>
        <w:tc>
          <w:tcPr>
            <w:tcW w:w="38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equivalent)</w:t>
            </w:r>
          </w:p>
        </w:tc>
        <w:tc>
          <w:tcPr>
            <w:tcW w:w="21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all LIBOR Loans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760" w:type="dxa"/>
            <w:vAlign w:val="bottom"/>
            <w:vMerge w:val="restart"/>
            <w:shd w:val="clear" w:color="auto" w:fill="CCEEFF"/>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3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A/A2 (or equivalent) or better</w:t>
            </w:r>
          </w:p>
        </w:tc>
        <w:tc>
          <w:tcPr>
            <w:tcW w:w="64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0.750%</w:t>
            </w:r>
          </w:p>
        </w:tc>
        <w:tc>
          <w:tcPr>
            <w:tcW w:w="1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A-/A3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0.800%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0.800%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BBB+/Baa1 (or equivalent)</w:t>
            </w: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0.850%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BBB/Baa2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BBB-/Baa3 (or equivalent)</w:t>
            </w: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1.250%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Lower than BBB-/Baa3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1.650%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w:t>
      </w:r>
      <w:r>
        <w:rPr>
          <w:rFonts w:ascii="Arial" w:cs="Arial" w:eastAsia="Arial" w:hAnsi="Arial"/>
          <w:sz w:val="16"/>
          <w:szCs w:val="16"/>
          <w:color w:val="auto"/>
        </w:rPr>
        <w:t>” means, for any Available Tenor, the first alternative set forth in the order below that can be determined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03" w:lineRule="exact"/>
        <w:rPr>
          <w:sz w:val="20"/>
          <w:szCs w:val="20"/>
          <w:color w:val="auto"/>
        </w:rPr>
      </w:pPr>
    </w:p>
    <w:p>
      <w:pPr>
        <w:ind w:left="680" w:hanging="26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17" w:lineRule="exact"/>
        <w:rPr>
          <w:rFonts w:ascii="Arial" w:cs="Arial" w:eastAsia="Arial" w:hAnsi="Arial"/>
          <w:sz w:val="18"/>
          <w:szCs w:val="18"/>
          <w:color w:val="auto"/>
        </w:rPr>
      </w:pPr>
    </w:p>
    <w:p>
      <w:pPr>
        <w:ind w:right="60" w:firstLine="419"/>
        <w:spacing w:after="0" w:line="275" w:lineRule="auto"/>
        <w:tabs>
          <w:tab w:leader="none" w:pos="67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such Unadjusted Benchmark Replacement is displayed on a screen or other information service that publishes such rate from time to time as selected by the Administrative Agent in its reasonable discretion; provided, further, that, with respect to a Term SOFR Transition Event, on the applicable Benchmark Replacement Date, the “Benchmark Replacement” shall revert to and shall be determined as set forth in clause (1) of this definition. If the Benchmark Replacement as determined pursuant to clause (1), (2) or (3) above would be less than the Floor, the Benchmark Replacement will be deemed to be the Floor for the purposes of this Agreement and the other Loan Documents.</w:t>
      </w:r>
    </w:p>
    <w:p>
      <w:pPr>
        <w:spacing w:after="0" w:line="80" w:lineRule="exact"/>
        <w:rPr>
          <w:sz w:val="20"/>
          <w:szCs w:val="20"/>
          <w:color w:val="auto"/>
        </w:rPr>
      </w:pPr>
    </w:p>
    <w:p>
      <w:pPr>
        <w:ind w:right="460" w:firstLine="42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Available Tenor for any setting of such Unadjusted Benchmark Replacement:</w:t>
      </w:r>
    </w:p>
    <w:p>
      <w:pPr>
        <w:spacing w:after="0" w:line="49" w:lineRule="exact"/>
        <w:rPr>
          <w:sz w:val="20"/>
          <w:szCs w:val="20"/>
          <w:color w:val="auto"/>
        </w:rPr>
      </w:pPr>
    </w:p>
    <w:p>
      <w:pPr>
        <w:ind w:left="980" w:right="220" w:hanging="439"/>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10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880" w:top="262" w:right="499" w:bottom="1440" w:gutter="0" w:footer="0" w:header="0"/>
        </w:sectPr>
      </w:pPr>
    </w:p>
    <w:bookmarkStart w:id="7" w:name="page8"/>
    <w:bookmarkEnd w:id="7"/>
    <w:p>
      <w:pPr>
        <w:ind w:left="1520" w:right="100" w:hanging="533"/>
        <w:spacing w:after="0" w:line="279" w:lineRule="auto"/>
        <w:tabs>
          <w:tab w:leader="none" w:pos="1520" w:val="left"/>
        </w:tabs>
        <w:numPr>
          <w:ilvl w:val="1"/>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spread adjustment, or method for calculating or determining such spread adjustment, (which may be a positive or negative value or zero) as of the Reference Time such Benchmark Replacement is first set for such Available Tenor that has been selected or recommended by the Relevant Governmental Body for the replacement of such Benchmark with the applicable Unadjusted Benchmark Replacement for the applicable Corresponding Tenor;</w:t>
      </w:r>
    </w:p>
    <w:p>
      <w:pPr>
        <w:spacing w:after="0" w:line="76" w:lineRule="exact"/>
        <w:rPr>
          <w:rFonts w:ascii="Arial" w:cs="Arial" w:eastAsia="Arial" w:hAnsi="Arial"/>
          <w:sz w:val="17"/>
          <w:szCs w:val="17"/>
          <w:color w:val="auto"/>
        </w:rPr>
      </w:pPr>
    </w:p>
    <w:p>
      <w:pPr>
        <w:ind w:left="1520" w:hanging="533"/>
        <w:spacing w:after="0" w:line="259" w:lineRule="auto"/>
        <w:tabs>
          <w:tab w:leader="none" w:pos="1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Available Tenor that would apply to the fallback rate for a derivative transaction referencing the ISDA Definitions to be effective upon an index cessation event with respect to such Benchmark for the applicable Corresponding Tenor; and</w:t>
      </w:r>
    </w:p>
    <w:p>
      <w:pPr>
        <w:spacing w:after="0" w:line="92" w:lineRule="exact"/>
        <w:rPr>
          <w:rFonts w:ascii="Arial" w:cs="Arial" w:eastAsia="Arial" w:hAnsi="Arial"/>
          <w:sz w:val="18"/>
          <w:szCs w:val="18"/>
          <w:color w:val="auto"/>
        </w:rPr>
      </w:pPr>
    </w:p>
    <w:p>
      <w:pPr>
        <w:ind w:left="980" w:right="240" w:hanging="439"/>
        <w:spacing w:after="0" w:line="290"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w:t>
      </w:r>
    </w:p>
    <w:p>
      <w:pPr>
        <w:spacing w:after="0" w:line="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case of clause (1) above, such adjustment is displayed on a screen or other information service that publishes such Benchmark Replacement Adjustment from time to time as selected by the Administrative Agent in its reasonable discretion and (y)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52" w:lineRule="exact"/>
        <w:rPr>
          <w:sz w:val="20"/>
          <w:szCs w:val="20"/>
          <w:color w:val="auto"/>
        </w:rPr>
      </w:pPr>
    </w:p>
    <w:p>
      <w:pPr>
        <w:ind w:right="14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w:t>
      </w:r>
    </w:p>
    <w:p>
      <w:pPr>
        <w:spacing w:after="0" w:line="12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80" w:top="274" w:right="499" w:bottom="1440" w:gutter="0" w:footer="0" w:header="0"/>
        </w:sectPr>
      </w:pPr>
    </w:p>
    <w:bookmarkStart w:id="8" w:name="page9"/>
    <w:bookmarkEnd w:id="8"/>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Replacement Date</w:t>
      </w:r>
      <w:r>
        <w:rPr>
          <w:rFonts w:ascii="Arial" w:cs="Arial" w:eastAsia="Arial" w:hAnsi="Arial"/>
          <w:sz w:val="17"/>
          <w:szCs w:val="17"/>
          <w:color w:val="auto"/>
        </w:rPr>
        <w:t>” means the earliest to occur of the following events with respect to the then-current Benchmark:</w:t>
      </w:r>
    </w:p>
    <w:p>
      <w:pPr>
        <w:spacing w:after="0" w:line="146" w:lineRule="exact"/>
        <w:rPr>
          <w:sz w:val="20"/>
          <w:szCs w:val="20"/>
          <w:color w:val="auto"/>
        </w:rPr>
      </w:pPr>
    </w:p>
    <w:p>
      <w:pPr>
        <w:ind w:left="980" w:right="20" w:hanging="439"/>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92" w:lineRule="exact"/>
        <w:rPr>
          <w:rFonts w:ascii="Arial" w:cs="Arial" w:eastAsia="Arial" w:hAnsi="Arial"/>
          <w:sz w:val="18"/>
          <w:szCs w:val="18"/>
          <w:color w:val="auto"/>
        </w:rPr>
      </w:pPr>
    </w:p>
    <w:p>
      <w:pPr>
        <w:ind w:left="980" w:right="60" w:hanging="43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determined by the Administrative Agent, which date shall promptly follow the date of the public statement or publication of information referenced therein;</w:t>
      </w:r>
    </w:p>
    <w:p>
      <w:pPr>
        <w:spacing w:after="0" w:line="75" w:lineRule="exact"/>
        <w:rPr>
          <w:rFonts w:ascii="Arial" w:cs="Arial" w:eastAsia="Arial" w:hAnsi="Arial"/>
          <w:sz w:val="18"/>
          <w:szCs w:val="18"/>
          <w:color w:val="auto"/>
        </w:rPr>
      </w:pPr>
    </w:p>
    <w:p>
      <w:pPr>
        <w:jc w:val="both"/>
        <w:ind w:left="980" w:right="340" w:hanging="439"/>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set forth in the Term SOFR Notice provided to the Lenders and the Borrower pursuant to clauses (b) through (f) of Section 4.2, which date shall be at least 30 days from the date of the Term SOFR Notice; or</w:t>
      </w:r>
    </w:p>
    <w:p>
      <w:pPr>
        <w:spacing w:after="0" w:line="89" w:lineRule="exact"/>
        <w:rPr>
          <w:rFonts w:ascii="Arial" w:cs="Arial" w:eastAsia="Arial" w:hAnsi="Arial"/>
          <w:sz w:val="18"/>
          <w:szCs w:val="18"/>
          <w:color w:val="auto"/>
        </w:rPr>
      </w:pPr>
    </w:p>
    <w:p>
      <w:pPr>
        <w:ind w:left="980" w:hanging="439"/>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w:t>
      </w:r>
      <w:r>
        <w:rPr>
          <w:rFonts w:ascii="Arial" w:cs="Arial" w:eastAsia="Arial" w:hAnsi="Arial"/>
          <w:sz w:val="15"/>
          <w:szCs w:val="15"/>
          <w:color w:val="auto"/>
        </w:rPr>
        <w:t>th</w:t>
      </w:r>
      <w:r>
        <w:rPr>
          <w:rFonts w:ascii="Arial" w:cs="Arial" w:eastAsia="Arial" w:hAnsi="Arial"/>
          <w:sz w:val="18"/>
          <w:szCs w:val="18"/>
          <w:color w:val="auto"/>
        </w:rPr>
        <w:t>) Business Day after the date notice of such Early Opt-in Election is provided to the Lenders, so long as the Administrative Agent has not received, by 5:00 p.m. Eastern time on the fifth (5</w:t>
      </w:r>
      <w:r>
        <w:rPr>
          <w:rFonts w:ascii="Arial" w:cs="Arial" w:eastAsia="Arial" w:hAnsi="Arial"/>
          <w:sz w:val="15"/>
          <w:szCs w:val="15"/>
          <w:color w:val="auto"/>
        </w:rPr>
        <w:t>th</w:t>
      </w:r>
      <w:r>
        <w:rPr>
          <w:rFonts w:ascii="Arial" w:cs="Arial" w:eastAsia="Arial" w:hAnsi="Arial"/>
          <w:sz w:val="18"/>
          <w:szCs w:val="18"/>
          <w:color w:val="auto"/>
        </w:rPr>
        <w:t>) Business Day after the date notice of such Early Opt-in Election is provided to the Lenders, written notice of objection to such Early Opt-in Election from Lenders comprising the Requisite Lenders.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9" w:name="page10"/>
    <w:bookmarkEnd w:id="9"/>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Benchmark Transition Event</w:t>
      </w:r>
      <w:r>
        <w:rPr>
          <w:rFonts w:ascii="Arial" w:cs="Arial" w:eastAsia="Arial" w:hAnsi="Arial"/>
          <w:sz w:val="16"/>
          <w:szCs w:val="16"/>
          <w:color w:val="auto"/>
        </w:rPr>
        <w:t>” means the occurrence of one or more of the following events with respect to the then-current Benchmark:</w:t>
      </w:r>
    </w:p>
    <w:p>
      <w:pPr>
        <w:spacing w:after="0" w:line="158" w:lineRule="exact"/>
        <w:rPr>
          <w:sz w:val="20"/>
          <w:szCs w:val="20"/>
          <w:color w:val="auto"/>
        </w:rPr>
      </w:pPr>
    </w:p>
    <w:p>
      <w:pPr>
        <w:ind w:left="980" w:right="140" w:hanging="439"/>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93" w:lineRule="exact"/>
        <w:rPr>
          <w:rFonts w:ascii="Arial" w:cs="Arial" w:eastAsia="Arial" w:hAnsi="Arial"/>
          <w:sz w:val="18"/>
          <w:szCs w:val="18"/>
          <w:color w:val="auto"/>
        </w:rPr>
      </w:pPr>
    </w:p>
    <w:p>
      <w:pPr>
        <w:ind w:left="980" w:hanging="439"/>
        <w:spacing w:after="0" w:line="270"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6" w:lineRule="exact"/>
        <w:rPr>
          <w:rFonts w:ascii="Arial" w:cs="Arial" w:eastAsia="Arial" w:hAnsi="Arial"/>
          <w:sz w:val="17"/>
          <w:szCs w:val="17"/>
          <w:color w:val="auto"/>
        </w:rPr>
      </w:pPr>
    </w:p>
    <w:p>
      <w:pPr>
        <w:ind w:left="980" w:right="20" w:hanging="439"/>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such Benchmark (or the published component used in the calculation thereof) or a Governmental Authority having jurisdiction over the Administrative Agent announcing that all Available Tenors of such Benchmark (or such component thereof) are no longer representative.</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72" w:lineRule="exact"/>
        <w:rPr>
          <w:sz w:val="20"/>
          <w:szCs w:val="20"/>
          <w:color w:val="auto"/>
        </w:rPr>
      </w:pPr>
    </w:p>
    <w:p>
      <w:pPr>
        <w:ind w:right="16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clauses (b) through (f) of Section 4.2 and (y) ending at the time that a Benchmark Replacement has replaced the then-current Benchmark for all purposes hereunder and under any Loan Document in accordance with clauses (b) through (f) of Section 4.2.</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if the then-current Benchmark is USD LIBOR, the occurrence of:</w:t>
      </w:r>
    </w:p>
    <w:p>
      <w:pPr>
        <w:spacing w:after="0" w:line="135" w:lineRule="exact"/>
        <w:rPr>
          <w:sz w:val="20"/>
          <w:szCs w:val="20"/>
          <w:color w:val="auto"/>
        </w:rPr>
      </w:pPr>
    </w:p>
    <w:p>
      <w:pPr>
        <w:ind w:left="980" w:right="40" w:hanging="439"/>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0" w:right="439" w:bottom="1440" w:gutter="0" w:footer="0" w:header="0"/>
        </w:sectPr>
      </w:pPr>
    </w:p>
    <w:bookmarkStart w:id="10" w:name="page11"/>
    <w:bookmarkEnd w:id="10"/>
    <w:p>
      <w:pPr>
        <w:ind w:left="980" w:right="280" w:hanging="43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joint election by the Administrative Agent and the Borrower to trigger a fallback from USD LIBOR and the provision by the Administrative Agent of written notice of such election to the Lenders.</w:t>
      </w:r>
    </w:p>
    <w:p>
      <w:pPr>
        <w:spacing w:after="0" w:line="58" w:lineRule="exact"/>
        <w:rPr>
          <w:sz w:val="20"/>
          <w:szCs w:val="20"/>
          <w:color w:val="auto"/>
        </w:rPr>
      </w:pPr>
    </w:p>
    <w:p>
      <w:pPr>
        <w:ind w:right="24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collectively, (i) that certain fee letter dated May 4, 2020, by and among the Borrower, PNC Bank, and PNC Capital Markets LLC, (ii) that certain fee letter dated March 23, 2021, by and among the Borrower, PNC Bank, and PNC Capital Markets LLC and (iii) any other fee letter entered into with respect to the First Amendment.</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(i) a loan made by a Lender to the Borrower pursuant to Section 2.1 and (ii) Additional Loans.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means April 16, 2024, or such later date to which the Maturity Date may be extended pursuant to Section 2.13.</w:t>
      </w:r>
    </w:p>
    <w:p>
      <w:pPr>
        <w:spacing w:after="0" w:line="129" w:lineRule="exact"/>
        <w:rPr>
          <w:sz w:val="20"/>
          <w:szCs w:val="20"/>
          <w:color w:val="auto"/>
        </w:rPr>
      </w:pPr>
    </w:p>
    <w:p>
      <w:pPr>
        <w:ind w:right="240" w:firstLine="42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means the Federal Reserve Board or the Federal Reserve Bank of New York, or a committee officially endorsed or convened by the Federal Reserve Board or the Federal Reserve Bank of New York, or any successor thereto.</w:t>
      </w:r>
    </w:p>
    <w:p>
      <w:pPr>
        <w:spacing w:after="0" w:line="32" w:lineRule="exact"/>
        <w:rPr>
          <w:sz w:val="20"/>
          <w:szCs w:val="20"/>
          <w:color w:val="auto"/>
        </w:rPr>
      </w:pPr>
    </w:p>
    <w:p>
      <w:pPr>
        <w:ind w:right="60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or territory which is itself or whose government is, the subject or target of any Sanctions (including, as of the Effective Date, Cuba, Iran, North Korea, Syria and Crimea).</w:t>
      </w:r>
    </w:p>
    <w:p>
      <w:pPr>
        <w:spacing w:after="0" w:line="54" w:lineRule="exact"/>
        <w:rPr>
          <w:sz w:val="20"/>
          <w:szCs w:val="20"/>
          <w:color w:val="auto"/>
        </w:rPr>
      </w:pPr>
    </w:p>
    <w:p>
      <w:pPr>
        <w:ind w:right="20"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Her Majesty’s Treasury, or other relevant Sanctions authority, (b) any Person located, operating, organized or resident in a Sanctioned Country or (c) any Person owned or controlled by any such Person or Persons described in clauses (a) and (b), including a Person that is deemed by OFAC to be a Sanctions target based on the ownership of such legal entity by Sanctioned Peron(s).</w:t>
      </w:r>
    </w:p>
    <w:p>
      <w:pPr>
        <w:spacing w:after="0" w:line="79" w:lineRule="exact"/>
        <w:rPr>
          <w:sz w:val="20"/>
          <w:szCs w:val="20"/>
          <w:color w:val="auto"/>
        </w:rPr>
      </w:pPr>
    </w:p>
    <w:p>
      <w:pPr>
        <w:ind w:firstLine="423"/>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Sanctions</w:t>
      </w:r>
      <w:r>
        <w:rPr>
          <w:rFonts w:ascii="Arial" w:cs="Arial" w:eastAsia="Arial" w:hAnsi="Arial"/>
          <w:sz w:val="16"/>
          <w:szCs w:val="16"/>
          <w:color w:val="auto"/>
        </w:rPr>
        <w:t>” means any and all economic or financial sanctions, sectoral sanctions, secondary sanctions, trade embargoes and anti-terrorism laws, including but not limited to those enacted, imposed, administered or enforced from time to time by the U.S. government (including those administered by OFAC or the U.S. Department of State), the United Nations Security Council, the European Union, Her Majesty’s Treasury, or other relevant sanctions authority with jurisdiction over any Lender, the Borrower or any of its Subsidiaries or Affiliates.</w:t>
      </w:r>
    </w:p>
    <w:p>
      <w:pPr>
        <w:spacing w:after="0" w:line="43" w:lineRule="exact"/>
        <w:rPr>
          <w:sz w:val="20"/>
          <w:szCs w:val="20"/>
          <w:color w:val="auto"/>
        </w:rPr>
      </w:pPr>
    </w:p>
    <w:p>
      <w:pPr>
        <w:ind w:right="260"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SOFR</w:t>
      </w:r>
      <w:r>
        <w:rPr>
          <w:rFonts w:ascii="Arial" w:cs="Arial" w:eastAsia="Arial" w:hAnsi="Arial"/>
          <w:sz w:val="16"/>
          <w:szCs w:val="16"/>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8" w:lineRule="exact"/>
        <w:rPr>
          <w:sz w:val="20"/>
          <w:szCs w:val="20"/>
          <w:color w:val="auto"/>
        </w:rPr>
      </w:pPr>
    </w:p>
    <w:p>
      <w:pPr>
        <w:ind w:right="2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9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880" w:top="274" w:right="519" w:bottom="1440" w:gutter="0" w:footer="0" w:header="0"/>
        </w:sectPr>
      </w:pPr>
    </w:p>
    <w:bookmarkStart w:id="11" w:name="page12"/>
    <w:bookmarkEnd w:id="11"/>
    <w:p>
      <w:pPr>
        <w:ind w:left="340" w:right="18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66" w:lineRule="exact"/>
        <w:rPr>
          <w:sz w:val="20"/>
          <w:szCs w:val="20"/>
          <w:color w:val="auto"/>
        </w:rPr>
      </w:pPr>
    </w:p>
    <w:p>
      <w:pPr>
        <w:ind w:left="-100" w:right="420" w:firstLine="436"/>
        <w:spacing w:after="0" w:line="301" w:lineRule="auto"/>
        <w:tabs>
          <w:tab w:leader="none" w:pos="5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Original Credit Agreement is further amended by adding the following definitions of “Additional Loans”, “Available Tenor”, “Benchmark”, “Corresponding Tenor”, “Daily Simple SOFR”, “Erroneous Payment”, “Erroneous Payment Notice”, “First Amendment”, “First Amendment Date”, “Floor”, “ISDA Definitions”, “Reference Time”, “Secondary Term SOFR Conversion Date”, “SOFR Administrator”, “SOFR Administrator’s Website”, “Term SOFR Notice”, “Term SOFR Transition Event”, and “USD LIBOR” in the appropriate alphabetical location:</w:t>
      </w:r>
    </w:p>
    <w:p>
      <w:pPr>
        <w:spacing w:after="0" w:line="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Loans</w:t>
      </w:r>
      <w:r>
        <w:rPr>
          <w:rFonts w:ascii="Arial" w:cs="Arial" w:eastAsia="Arial" w:hAnsi="Arial"/>
          <w:sz w:val="18"/>
          <w:szCs w:val="18"/>
          <w:color w:val="auto"/>
        </w:rPr>
        <w:t>” has the meaning given that term in Section 2.16.</w:t>
      </w:r>
    </w:p>
    <w:p>
      <w:pPr>
        <w:spacing w:after="0" w:line="117" w:lineRule="exact"/>
        <w:rPr>
          <w:sz w:val="20"/>
          <w:szCs w:val="20"/>
          <w:color w:val="auto"/>
        </w:rPr>
      </w:pPr>
    </w:p>
    <w:p>
      <w:pPr>
        <w:ind w:left="340" w:right="20" w:firstLine="42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Tenor</w:t>
      </w:r>
      <w:r>
        <w:rPr>
          <w:rFonts w:ascii="Arial" w:cs="Arial" w:eastAsia="Arial" w:hAnsi="Arial"/>
          <w:sz w:val="18"/>
          <w:szCs w:val="18"/>
          <w:color w:val="auto"/>
        </w:rPr>
        <w:t>” means, as of any date of determination and with respect to the then-current Benchmark, as applicable, (x) if the then current Benchmark is a term rate or is based on a term rate, any tenor for such Benchmark that is or may be used for determining the length of an Interest Period pursuant to this Agreement as of such date and not including, for the avoidance of doubt, any tenor for such Benchmark that is then-removed from the definition of “Interest Period” pursuant to paragraph (e) of Section 4.2, or (y) if the then current Benchmark is not a term rate nor based on a term rate, any payment period for interest calculated with reference to such Benchmark pursuant to this Agreement as of such date.</w:t>
      </w:r>
    </w:p>
    <w:p>
      <w:pPr>
        <w:spacing w:after="0" w:line="79" w:lineRule="exact"/>
        <w:rPr>
          <w:sz w:val="20"/>
          <w:szCs w:val="20"/>
          <w:color w:val="auto"/>
        </w:rPr>
      </w:pPr>
    </w:p>
    <w:p>
      <w:pPr>
        <w:ind w:left="34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w:t>
      </w:r>
      <w:r>
        <w:rPr>
          <w:rFonts w:ascii="Arial" w:cs="Arial" w:eastAsia="Arial" w:hAnsi="Arial"/>
          <w:sz w:val="18"/>
          <w:szCs w:val="18"/>
          <w:color w:val="auto"/>
        </w:rPr>
        <w:t xml:space="preserve">” means, initially, USD LIBOR;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paragraph (b) of Section 4.2.</w:t>
      </w:r>
    </w:p>
    <w:p>
      <w:pPr>
        <w:spacing w:after="0" w:line="72" w:lineRule="exact"/>
        <w:rPr>
          <w:sz w:val="20"/>
          <w:szCs w:val="20"/>
          <w:color w:val="auto"/>
        </w:rPr>
      </w:pPr>
    </w:p>
    <w:p>
      <w:pPr>
        <w:ind w:left="340" w:right="500" w:firstLine="423"/>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32" w:lineRule="exact"/>
        <w:rPr>
          <w:sz w:val="20"/>
          <w:szCs w:val="20"/>
          <w:color w:val="auto"/>
        </w:rPr>
      </w:pPr>
    </w:p>
    <w:p>
      <w:pPr>
        <w:ind w:left="340" w:right="12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Simple SOFR</w:t>
      </w:r>
      <w:r>
        <w:rPr>
          <w:rFonts w:ascii="Arial" w:cs="Arial" w:eastAsia="Arial" w:hAnsi="Arial"/>
          <w:sz w:val="18"/>
          <w:szCs w:val="18"/>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7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w:t>
      </w:r>
      <w:r>
        <w:rPr>
          <w:rFonts w:ascii="Arial" w:cs="Arial" w:eastAsia="Arial" w:hAnsi="Arial"/>
          <w:sz w:val="18"/>
          <w:szCs w:val="18"/>
          <w:color w:val="auto"/>
        </w:rPr>
        <w:t>” has the meaning given that term in Section 11.10.(a).</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Erroneous Payment Notice</w:t>
      </w:r>
      <w:r>
        <w:rPr>
          <w:rFonts w:ascii="Arial" w:cs="Arial" w:eastAsia="Arial" w:hAnsi="Arial"/>
          <w:sz w:val="18"/>
          <w:szCs w:val="18"/>
          <w:color w:val="auto"/>
        </w:rPr>
        <w:t>” has the meaning given that term in Section 11.10.(b).</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First Amendment</w:t>
      </w:r>
      <w:r>
        <w:rPr>
          <w:rFonts w:ascii="Arial" w:cs="Arial" w:eastAsia="Arial" w:hAnsi="Arial"/>
          <w:sz w:val="16"/>
          <w:szCs w:val="16"/>
          <w:color w:val="auto"/>
        </w:rPr>
        <w:t>” means that certain First Amendment to Term Loan Agreement dated as of April 16, 2021 relating to this Agreement.</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Amendment Date</w:t>
      </w:r>
      <w:r>
        <w:rPr>
          <w:rFonts w:ascii="Arial" w:cs="Arial" w:eastAsia="Arial" w:hAnsi="Arial"/>
          <w:sz w:val="18"/>
          <w:szCs w:val="18"/>
          <w:color w:val="auto"/>
        </w:rPr>
        <w:t>” means April 16, 2021.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540" w:top="270" w:right="559" w:bottom="1440" w:gutter="0" w:footer="0" w:header="0"/>
        </w:sectPr>
      </w:pPr>
    </w:p>
    <w:bookmarkStart w:id="12" w:name="page13"/>
    <w:bookmarkEnd w:id="12"/>
    <w:p>
      <w:pPr>
        <w:ind w:left="440" w:right="860" w:firstLine="423"/>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USD LIBOR or, if no floor is specified, 0.000%.</w:t>
      </w:r>
    </w:p>
    <w:p>
      <w:pPr>
        <w:spacing w:after="0" w:line="8" w:lineRule="exact"/>
        <w:rPr>
          <w:sz w:val="20"/>
          <w:szCs w:val="20"/>
          <w:color w:val="auto"/>
        </w:rPr>
      </w:pPr>
    </w:p>
    <w:p>
      <w:pPr>
        <w:ind w:left="44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68" w:lineRule="exact"/>
        <w:rPr>
          <w:sz w:val="20"/>
          <w:szCs w:val="20"/>
          <w:color w:val="auto"/>
        </w:rPr>
      </w:pPr>
    </w:p>
    <w:p>
      <w:pPr>
        <w:ind w:left="440" w:right="120" w:firstLine="42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Time</w:t>
      </w:r>
      <w:r>
        <w:rPr>
          <w:rFonts w:ascii="Arial" w:cs="Arial" w:eastAsia="Arial" w:hAnsi="Arial"/>
          <w:sz w:val="18"/>
          <w:szCs w:val="18"/>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Administrative Agent in its reasonable discretion.</w:t>
      </w:r>
    </w:p>
    <w:p>
      <w:pPr>
        <w:spacing w:after="0" w:line="6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Term SOFR Conversion Date</w:t>
      </w:r>
      <w:r>
        <w:rPr>
          <w:rFonts w:ascii="Arial" w:cs="Arial" w:eastAsia="Arial" w:hAnsi="Arial"/>
          <w:sz w:val="18"/>
          <w:szCs w:val="18"/>
          <w:color w:val="auto"/>
        </w:rPr>
        <w:t>” has the meaning given that term in Section 4.2.(f).</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SOFR Administrator</w:t>
      </w:r>
      <w:r>
        <w:rPr>
          <w:rFonts w:ascii="Arial" w:cs="Arial" w:eastAsia="Arial" w:hAnsi="Arial"/>
          <w:sz w:val="17"/>
          <w:szCs w:val="17"/>
          <w:color w:val="auto"/>
        </w:rPr>
        <w:t>” means the Federal Reserve Bank of New York (or a successor administrator of the secured overnight financing</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rate).</w:t>
      </w:r>
    </w:p>
    <w:p>
      <w:pPr>
        <w:spacing w:after="0" w:line="99" w:lineRule="exact"/>
        <w:rPr>
          <w:sz w:val="20"/>
          <w:szCs w:val="20"/>
          <w:color w:val="auto"/>
        </w:rPr>
      </w:pPr>
    </w:p>
    <w:p>
      <w:pPr>
        <w:ind w:left="440" w:right="140" w:firstLine="423"/>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SOFR Administrator’s Website</w:t>
      </w:r>
      <w:r>
        <w:rPr>
          <w:rFonts w:ascii="Arial" w:cs="Arial" w:eastAsia="Arial" w:hAnsi="Arial"/>
          <w:sz w:val="16"/>
          <w:szCs w:val="16"/>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8" w:lineRule="exact"/>
        <w:rPr>
          <w:sz w:val="20"/>
          <w:szCs w:val="20"/>
          <w:color w:val="auto"/>
        </w:rPr>
      </w:pPr>
    </w:p>
    <w:p>
      <w:pPr>
        <w:ind w:left="44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Notice</w:t>
      </w:r>
      <w:r>
        <w:rPr>
          <w:rFonts w:ascii="Arial" w:cs="Arial" w:eastAsia="Arial" w:hAnsi="Arial"/>
          <w:sz w:val="18"/>
          <w:szCs w:val="18"/>
          <w:color w:val="auto"/>
        </w:rPr>
        <w:t>” means a notification by the Administrative Agent to the Lenders and the Borrower of the occurrence of a Term SOFR Transition Event.</w:t>
      </w:r>
    </w:p>
    <w:p>
      <w:pPr>
        <w:spacing w:after="0" w:line="54" w:lineRule="exact"/>
        <w:rPr>
          <w:sz w:val="20"/>
          <w:szCs w:val="20"/>
          <w:color w:val="auto"/>
        </w:rPr>
      </w:pPr>
    </w:p>
    <w:p>
      <w:pPr>
        <w:ind w:left="440" w:right="4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and is determinable for each Available Tenor, (b) the administration of Term SOFR is administratively feasible for the Administrative Agent and (c) a Benchmark Transition Event has previously occurred resulting in a Benchmark Replacement in accordance with clauses (b) through (f) of Section 4.2 that is not Term SOFR.</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LIBOR</w:t>
      </w:r>
      <w:r>
        <w:rPr>
          <w:rFonts w:ascii="Arial" w:cs="Arial" w:eastAsia="Arial" w:hAnsi="Arial"/>
          <w:sz w:val="18"/>
          <w:szCs w:val="18"/>
          <w:color w:val="auto"/>
        </w:rPr>
        <w:t>” means the London interbank offered rate for U.S. Dollars.</w:t>
      </w:r>
    </w:p>
    <w:p>
      <w:pPr>
        <w:spacing w:after="0" w:line="229" w:lineRule="exact"/>
        <w:rPr>
          <w:sz w:val="20"/>
          <w:szCs w:val="20"/>
          <w:color w:val="auto"/>
        </w:rPr>
      </w:pPr>
    </w:p>
    <w:p>
      <w:pPr>
        <w:ind w:right="320" w:firstLine="436"/>
        <w:spacing w:after="0" w:line="277"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restating the second sentence of the definition of “LIBOR” contained in Section 1.1. thereof in its entirety as follows:</w:t>
      </w:r>
    </w:p>
    <w:p>
      <w:pPr>
        <w:spacing w:after="0" w:line="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Notwithstanding the foregoing, (x) in no event shall LIBOR (including, without limitation, any Benchmark Replacement with respect</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thereto) be less than 0.000% and (y) unless otherwise specified in any amendment to this Agreement entered into in accordance with Section 4.2.</w:t>
      </w:r>
    </w:p>
    <w:p>
      <w:pPr>
        <w:spacing w:after="0" w:line="32" w:lineRule="exact"/>
        <w:rPr>
          <w:sz w:val="20"/>
          <w:szCs w:val="20"/>
          <w:color w:val="auto"/>
        </w:rPr>
      </w:pPr>
    </w:p>
    <w:p>
      <w:pPr>
        <w:ind w:left="440" w:right="240" w:hanging="4"/>
        <w:spacing w:after="0" w:line="260"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(f), in the event that a Benchmark Replacement with respect to LIBOR is implemented then all references herein to LIBOR shall be deemed references to such Benchmark Replacement.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left="244" w:hanging="244"/>
        <w:spacing w:after="0"/>
        <w:tabs>
          <w:tab w:leader="none" w:pos="244"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Credit Agreement is further amended by restating Section 1.4 thereof in its entirety as follows:</w:t>
      </w:r>
    </w:p>
    <w:p>
      <w:pPr>
        <w:spacing w:after="0" w:line="11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Section 1.4. LIBOR Notification.</w:t>
      </w:r>
    </w:p>
    <w:p>
      <w:pPr>
        <w:spacing w:after="0" w:line="121" w:lineRule="exact"/>
        <w:rPr>
          <w:rFonts w:ascii="Arial" w:cs="Arial" w:eastAsia="Arial" w:hAnsi="Arial"/>
          <w:sz w:val="18"/>
          <w:szCs w:val="18"/>
          <w:color w:val="auto"/>
        </w:rPr>
      </w:pPr>
    </w:p>
    <w:p>
      <w:pPr>
        <w:ind w:left="4" w:right="200" w:firstLine="419"/>
        <w:spacing w:after="0" w:line="257" w:lineRule="auto"/>
        <w:tabs>
          <w:tab w:leader="none" w:pos="6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Sections 4.2(b) through (f) of this Agreement provide a mechanism for determining an alternative rate of interest in the event that the London interbank offered rate is no longer available or in certain other circumstances. The Administrative Agent does not warrant or accept any responsibility for and shall not have any liability with respect to, the administration, submission or any other matter related to the London interbank offered rate or other rates in the definition of “LIBOR” or with respect to any alternative or successor rate thereto, or replacement rate therefor.</w:t>
      </w:r>
    </w:p>
    <w:p>
      <w:pPr>
        <w:spacing w:after="0" w:line="79" w:lineRule="exact"/>
        <w:rPr>
          <w:rFonts w:ascii="Arial" w:cs="Arial" w:eastAsia="Arial" w:hAnsi="Arial"/>
          <w:sz w:val="18"/>
          <w:szCs w:val="18"/>
          <w:color w:val="auto"/>
        </w:rPr>
      </w:pPr>
    </w:p>
    <w:p>
      <w:pPr>
        <w:ind w:left="4" w:right="100" w:firstLine="419"/>
        <w:spacing w:after="0" w:line="273" w:lineRule="auto"/>
        <w:tabs>
          <w:tab w:leader="none" w:pos="681" w:val="left"/>
        </w:tabs>
        <w:numPr>
          <w:ilvl w:val="1"/>
          <w:numId w:val="15"/>
        </w:numPr>
        <w:rPr>
          <w:rFonts w:ascii="Arial" w:cs="Arial" w:eastAsia="Arial" w:hAnsi="Arial"/>
          <w:sz w:val="17"/>
          <w:szCs w:val="17"/>
          <w:color w:val="auto"/>
        </w:rPr>
      </w:pPr>
      <w:r>
        <w:rPr>
          <w:rFonts w:ascii="Arial" w:cs="Arial" w:eastAsia="Arial" w:hAnsi="Arial"/>
          <w:sz w:val="17"/>
          <w:szCs w:val="17"/>
          <w:color w:val="auto"/>
        </w:rPr>
        <w:t>Without prejudice to any other provision of this Agreement, each Person party to this Agreement acknowledges and agrees for the benefit of each of the other Persons party hereto: (i) LIBOR and Benchmark Replacement (A) may be subject to methodological or other changes which could affect their value, (B) may not comply with Applicable Laws and regulations (such as the Regulation (EU) 2016/1011 of the European Parliament and of the Council, as amended (EU Benchmarks Regulation)) and/or (C) may be permanently discontinued; and (ii) the occurrence of any of the aforementioned events and/or a Benchmark Transition Event may have adverse consequences which may materially impact the economics of the financing transactions contemplated under this Agreement.</w:t>
      </w:r>
    </w:p>
    <w:p>
      <w:pPr>
        <w:spacing w:after="0" w:line="177" w:lineRule="exact"/>
        <w:rPr>
          <w:rFonts w:ascii="Arial" w:cs="Arial" w:eastAsia="Arial" w:hAnsi="Arial"/>
          <w:sz w:val="17"/>
          <w:szCs w:val="17"/>
          <w:color w:val="auto"/>
        </w:rPr>
      </w:pPr>
    </w:p>
    <w:p>
      <w:pPr>
        <w:ind w:left="224" w:hanging="224"/>
        <w:spacing w:after="0"/>
        <w:tabs>
          <w:tab w:leader="none" w:pos="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adding the following sentence to the end of Section 2.1.(a) as follows:</w:t>
      </w:r>
    </w:p>
    <w:p>
      <w:pPr>
        <w:spacing w:after="0" w:line="11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Additional Loans shall be made in accordance with Section 2.16.</w:t>
      </w:r>
    </w:p>
    <w:p>
      <w:pPr>
        <w:spacing w:after="0" w:line="225" w:lineRule="exact"/>
        <w:rPr>
          <w:sz w:val="20"/>
          <w:szCs w:val="20"/>
          <w:color w:val="auto"/>
        </w:rPr>
      </w:pPr>
    </w:p>
    <w:p>
      <w:pPr>
        <w:ind w:left="424" w:right="980" w:hanging="424"/>
        <w:spacing w:after="0" w:line="402"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restating the first sentence of Section 2.13 thereof in its entirety as follows: The Borrower shall have the right, exercisable two times, to extend the Maturity Date by twelve months.</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restating Section 2.16 thereof in its entirety as follows:</w:t>
      </w:r>
    </w:p>
    <w:p>
      <w:pPr>
        <w:spacing w:after="0" w:line="113" w:lineRule="exact"/>
        <w:rPr>
          <w:sz w:val="20"/>
          <w:szCs w:val="20"/>
          <w:color w:val="auto"/>
        </w:rPr>
      </w:pPr>
    </w:p>
    <w:p>
      <w:pPr>
        <w:ind w:left="4" w:firstLine="423"/>
        <w:spacing w:after="0" w:line="291" w:lineRule="auto"/>
        <w:rPr>
          <w:sz w:val="20"/>
          <w:szCs w:val="20"/>
          <w:color w:val="auto"/>
        </w:rPr>
      </w:pPr>
      <w:r>
        <w:rPr>
          <w:rFonts w:ascii="Arial" w:cs="Arial" w:eastAsia="Arial" w:hAnsi="Arial"/>
          <w:sz w:val="16"/>
          <w:szCs w:val="16"/>
          <w:b w:val="1"/>
          <w:bCs w:val="1"/>
          <w:color w:val="auto"/>
        </w:rPr>
        <w:t xml:space="preserve">Section 2.16. Additional Loans. </w:t>
      </w:r>
      <w:r>
        <w:rPr>
          <w:rFonts w:ascii="Arial" w:cs="Arial" w:eastAsia="Arial" w:hAnsi="Arial"/>
          <w:sz w:val="16"/>
          <w:szCs w:val="16"/>
          <w:color w:val="auto"/>
        </w:rPr>
        <w:t>The Borrower shall have the right at any time and from time to time, to but excluding the Maturity Date, to</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additional loans (“</w:t>
      </w:r>
      <w:r>
        <w:rPr>
          <w:rFonts w:ascii="Arial" w:cs="Arial" w:eastAsia="Arial" w:hAnsi="Arial"/>
          <w:sz w:val="16"/>
          <w:szCs w:val="16"/>
          <w:b w:val="1"/>
          <w:bCs w:val="1"/>
          <w:color w:val="auto"/>
        </w:rPr>
        <w:t>Additional Loans</w:t>
      </w:r>
      <w:r>
        <w:rPr>
          <w:rFonts w:ascii="Arial" w:cs="Arial" w:eastAsia="Arial" w:hAnsi="Arial"/>
          <w:sz w:val="16"/>
          <w:szCs w:val="16"/>
          <w:color w:val="auto"/>
        </w:rPr>
        <w:t xml:space="preserve">”) in an aggregate amount up to $200,000,000 by providing written notice to the Administrative Agent, which notice shall specify the principal amount of the requested Additional Loans and which shall be irrevocable once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such Additional Loans the aggregate principal amount of the Loans shall not exceed $500,000,000. Each such borrowing must be an aggregate minimum amount of $25,000,000 and integral multiples of $10,000,000 in excess thereof. Additional Loans shall be subject to the same terms and conditions of this Agreement that are applicable to all other Loans. The Administrative Agent, in consultation with the Borrower, shall manage all aspects of the syndication of such Additional Loans, including decisions as to the selection of the existing Lenders and/or other banks, financial institutions and other institutional lenders to be approached with respect to such Additional</w:t>
      </w:r>
    </w:p>
    <w:p>
      <w:pPr>
        <w:spacing w:after="0" w:line="9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14" w:name="page15"/>
    <w:bookmarkEnd w:id="1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and the allocations of such Additional Loans among such existing Lenders and/or other banks, financial institutions and other institutional lenders; provided, that any such other banks, financial institutions and other institutional lenders and any such allocations shall be reasonably acceptable to the Borrower. No Lender shall be obligated in any way whatsoever to make Additional Loans, and any new Lender becoming a party to this Agreement in connection with any such requested Additional Loans must be an Eligible Assignee. The making of the Additional Loans under this Section is subject to the following conditions precedent: (x) no Default or Event of Default shall be in existence on the effective date of such Additional Loans, (y)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effective date of such Additional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w:t>
      </w:r>
    </w:p>
    <w:p>
      <w:pPr>
        <w:spacing w:after="0" w:line="3" w:lineRule="exact"/>
        <w:rPr>
          <w:sz w:val="20"/>
          <w:szCs w:val="20"/>
          <w:color w:val="auto"/>
        </w:rPr>
      </w:pPr>
    </w:p>
    <w:p>
      <w:pPr>
        <w:ind w:left="4" w:hanging="4"/>
        <w:spacing w:after="0" w:line="267" w:lineRule="auto"/>
        <w:tabs>
          <w:tab w:leader="none" w:pos="2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Administrative Agent shall have received each of the following, in form and substance satisfactory to the Administrative Agent: (i) if not previously delivered to the Administrative Agent, copies certified by the Secretary or Assistant Secretary of all corporate, partnership, member or other necessary action taken by the applicable Loan Party to authorize such Additional Loans, (ii) an opinion of counsel to the Borrower and the other Loan Parties, addressed to the Administrative Agent and the Lenders covering such matters as reasonably requested by the Administrative Agent, and (iii) new Notes executed by the Borrower, payable to any new Lenders and replacement Notes executed by the Borrower, payable to any existing Lenders increasing the principal amount of their Loans, in the aggregate principal amount of such Lender’s Loans at the time of the effectiveness of the making of the applicable Additional Loans. In connection with any Additional Loans pursuant to this Section 2.16. any Lender becoming a party hereto shall (1) execute such documents and agreements as the Administrative Agent may reasonably request and (2) in the case of any Lender that is organized under the laws of a jurisdiction outside of the United States of America, provide to the Administrative Agent, its name, address, tax identification number and/or such other information as shall be necessary for the Administrative Agent to comply with the requirements of any Anti-Money Laundering Laws, including, without limitation, the PATRIOT Act and any applicable “know your customer” rules and regulations.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(i) The Original Credit Agreement is further amended by restating the first sentence of Section 3.5.(b) thereof in its entirety as follows:</w:t>
      </w:r>
    </w:p>
    <w:p>
      <w:pPr>
        <w:spacing w:after="0" w:line="129" w:lineRule="exact"/>
        <w:rPr>
          <w:sz w:val="20"/>
          <w:szCs w:val="20"/>
          <w:color w:val="auto"/>
        </w:rPr>
      </w:pPr>
    </w:p>
    <w:p>
      <w:pPr>
        <w:ind w:left="4" w:right="60" w:firstLine="423"/>
        <w:spacing w:after="0" w:line="263" w:lineRule="auto"/>
        <w:rPr>
          <w:sz w:val="20"/>
          <w:szCs w:val="20"/>
          <w:color w:val="auto"/>
        </w:rPr>
      </w:pPr>
      <w:r>
        <w:rPr>
          <w:rFonts w:ascii="Arial" w:cs="Arial" w:eastAsia="Arial" w:hAnsi="Arial"/>
          <w:sz w:val="18"/>
          <w:szCs w:val="18"/>
          <w:color w:val="auto"/>
        </w:rPr>
        <w:t>If the Borrower exercises its right to extend the Maturity Date in accordance with Section 2.13., the Borrower shall pay to the Administrative Agent for the account of each Lender a fee for each extension equal to 0.125% of the aggregate principal amount of such Lender’s Loan outstanding as of the effective date of such extension.</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5" w:name="page16"/>
    <w:bookmarkEnd w:id="15"/>
    <w:p>
      <w:pPr>
        <w:ind w:left="224" w:hanging="224"/>
        <w:spacing w:after="0"/>
        <w:tabs>
          <w:tab w:leader="none" w:pos="224"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Original Credit Agreement is further amended by restating Sections 4.2(b) through (e) thereof in their entirety as follows:</w:t>
      </w:r>
    </w:p>
    <w:p>
      <w:pPr>
        <w:spacing w:after="0" w:line="117" w:lineRule="exact"/>
        <w:rPr>
          <w:rFonts w:ascii="Arial" w:cs="Arial" w:eastAsia="Arial" w:hAnsi="Arial"/>
          <w:sz w:val="18"/>
          <w:szCs w:val="18"/>
          <w:color w:val="auto"/>
        </w:rPr>
      </w:pPr>
    </w:p>
    <w:p>
      <w:pPr>
        <w:ind w:left="4" w:right="60" w:firstLine="419"/>
        <w:spacing w:after="0" w:line="291"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Benchmark Replacement</w:t>
      </w:r>
      <w:r>
        <w:rPr>
          <w:rFonts w:ascii="Arial" w:cs="Arial" w:eastAsia="Arial" w:hAnsi="Arial"/>
          <w:sz w:val="16"/>
          <w:szCs w:val="16"/>
          <w:color w:val="auto"/>
        </w:rPr>
        <w:t>. Notwithstanding anything to the contrary herein or in any other Loan Document (and any agreement executed in connection with a Derivatives Contract shall be deemed not to be a “Loan Document” for purposes of clauses (b) through (f) of this</w:t>
      </w:r>
    </w:p>
    <w:p>
      <w:pPr>
        <w:ind w:left="4" w:right="60"/>
        <w:spacing w:after="0" w:line="267" w:lineRule="auto"/>
        <w:rPr>
          <w:rFonts w:ascii="Arial" w:cs="Arial" w:eastAsia="Arial" w:hAnsi="Arial"/>
          <w:sz w:val="16"/>
          <w:szCs w:val="16"/>
          <w:color w:val="auto"/>
        </w:rPr>
      </w:pPr>
      <w:r>
        <w:rPr>
          <w:rFonts w:ascii="Arial" w:cs="Arial" w:eastAsia="Arial" w:hAnsi="Arial"/>
          <w:sz w:val="17"/>
          <w:szCs w:val="17"/>
          <w:color w:val="auto"/>
        </w:rPr>
        <w:t>Section 4.2),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Eastern time on the fifth (5</w:t>
      </w:r>
      <w:r>
        <w:rPr>
          <w:rFonts w:ascii="Arial" w:cs="Arial" w:eastAsia="Arial" w:hAnsi="Arial"/>
          <w:sz w:val="14"/>
          <w:szCs w:val="14"/>
          <w:color w:val="auto"/>
        </w:rPr>
        <w:t>th</w:t>
      </w:r>
      <w:r>
        <w:rPr>
          <w:rFonts w:ascii="Arial" w:cs="Arial" w:eastAsia="Arial" w:hAnsi="Arial"/>
          <w:sz w:val="17"/>
          <w:szCs w:val="17"/>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Requisite Lenders.</w:t>
      </w:r>
    </w:p>
    <w:p>
      <w:pPr>
        <w:spacing w:after="0" w:line="77" w:lineRule="exact"/>
        <w:rPr>
          <w:rFonts w:ascii="Arial" w:cs="Arial" w:eastAsia="Arial" w:hAnsi="Arial"/>
          <w:sz w:val="16"/>
          <w:szCs w:val="16"/>
          <w:color w:val="auto"/>
        </w:rPr>
      </w:pPr>
    </w:p>
    <w:p>
      <w:pPr>
        <w:ind w:left="4" w:firstLine="419"/>
        <w:spacing w:after="0" w:line="279" w:lineRule="auto"/>
        <w:tabs>
          <w:tab w:leader="none" w:pos="671" w:val="left"/>
        </w:tabs>
        <w:numPr>
          <w:ilvl w:val="1"/>
          <w:numId w:val="18"/>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63" w:lineRule="exact"/>
        <w:rPr>
          <w:rFonts w:ascii="Arial" w:cs="Arial" w:eastAsia="Arial" w:hAnsi="Arial"/>
          <w:sz w:val="17"/>
          <w:szCs w:val="17"/>
          <w:color w:val="auto"/>
        </w:rPr>
      </w:pPr>
    </w:p>
    <w:p>
      <w:pPr>
        <w:ind w:left="684" w:hanging="261"/>
        <w:spacing w:after="0"/>
        <w:tabs>
          <w:tab w:leader="none" w:pos="684"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The Administrative Agent will promptly notify the Borrower and the Lenders of</w:t>
      </w:r>
    </w:p>
    <w:p>
      <w:pPr>
        <w:spacing w:after="0" w:line="46" w:lineRule="exact"/>
        <w:rPr>
          <w:rFonts w:ascii="Arial" w:cs="Arial" w:eastAsia="Arial" w:hAnsi="Arial"/>
          <w:sz w:val="16"/>
          <w:szCs w:val="16"/>
          <w:color w:val="auto"/>
        </w:rPr>
      </w:pPr>
    </w:p>
    <w:p>
      <w:pPr>
        <w:ind w:left="4" w:right="20" w:hanging="4"/>
        <w:spacing w:after="0" w:line="281" w:lineRule="auto"/>
        <w:tabs>
          <w:tab w:leader="none" w:pos="21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paragraph (e) below and (v) the commencement or conclusion of any Benchmark Unavailability Period. Any determination, decision or election that may be made by the Administrative Agent or, if applicable, any Lender (or group of Lenders) pursuant to clauses (b) through (f) of this Section 4.2,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clauses</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(f) of this Section 4.2 (including in the definitions of defined terms used in such clauses).</w:t>
      </w:r>
    </w:p>
    <w:p>
      <w:pPr>
        <w:spacing w:after="0" w:line="102" w:lineRule="exact"/>
        <w:rPr>
          <w:rFonts w:ascii="Arial" w:cs="Arial" w:eastAsia="Arial" w:hAnsi="Arial"/>
          <w:sz w:val="18"/>
          <w:szCs w:val="18"/>
          <w:color w:val="auto"/>
        </w:rPr>
      </w:pPr>
    </w:p>
    <w:p>
      <w:pPr>
        <w:jc w:val="both"/>
        <w:ind w:left="4" w:right="180" w:firstLine="419"/>
        <w:spacing w:after="0" w:line="263" w:lineRule="auto"/>
        <w:tabs>
          <w:tab w:leader="none" w:pos="671"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request for a Loan bearing interest based on USD LIBOR, conversion to or continuation of Loans bearing interest based on USD LIBOR to be made, converted or continued during</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16" w:name="page17"/>
    <w:bookmarkEnd w:id="16"/>
    <w:p>
      <w:pPr>
        <w:ind w:left="4"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Benchmark Unavailability Period and, failing that, the Borrower will be deemed to have converted any such request into a request for a Loan of or conversion to Loans bearing interest at a rate based on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1" w:lineRule="exact"/>
        <w:rPr>
          <w:sz w:val="20"/>
          <w:szCs w:val="20"/>
          <w:color w:val="auto"/>
        </w:rPr>
      </w:pPr>
    </w:p>
    <w:p>
      <w:pPr>
        <w:ind w:left="264" w:hanging="264"/>
        <w:spacing w:after="0"/>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adding a new clause (f) to Section 4.2 thereof as follows:</w:t>
      </w:r>
    </w:p>
    <w:p>
      <w:pPr>
        <w:spacing w:after="0" w:line="117" w:lineRule="exact"/>
        <w:rPr>
          <w:rFonts w:ascii="Arial" w:cs="Arial" w:eastAsia="Arial" w:hAnsi="Arial"/>
          <w:sz w:val="18"/>
          <w:szCs w:val="18"/>
          <w:color w:val="auto"/>
        </w:rPr>
      </w:pPr>
    </w:p>
    <w:p>
      <w:pPr>
        <w:ind w:left="4" w:right="80" w:firstLine="419"/>
        <w:spacing w:after="0" w:line="289" w:lineRule="auto"/>
        <w:tabs>
          <w:tab w:leader="none" w:pos="651"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Secondary Term SOFR Conversion</w:t>
      </w:r>
      <w:r>
        <w:rPr>
          <w:rFonts w:ascii="Arial" w:cs="Arial" w:eastAsia="Arial" w:hAnsi="Arial"/>
          <w:sz w:val="16"/>
          <w:szCs w:val="16"/>
          <w:color w:val="auto"/>
        </w:rPr>
        <w:t>. 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(i) the applicable Benchmark Replacement will replace the then-current Benchmark for all purposes hereunder or under any Loan Document in respect of such Benchmark setting (the “</w:t>
      </w:r>
      <w:r>
        <w:rPr>
          <w:rFonts w:ascii="Arial" w:cs="Arial" w:eastAsia="Arial" w:hAnsi="Arial"/>
          <w:sz w:val="16"/>
          <w:szCs w:val="16"/>
          <w:b w:val="1"/>
          <w:bCs w:val="1"/>
          <w:color w:val="auto"/>
        </w:rPr>
        <w:t>Secondary Term SOFR</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Date</w:t>
      </w:r>
      <w:r>
        <w:rPr>
          <w:rFonts w:ascii="Arial" w:cs="Arial" w:eastAsia="Arial" w:hAnsi="Arial"/>
          <w:sz w:val="16"/>
          <w:szCs w:val="16"/>
          <w:color w:val="auto"/>
        </w:rPr>
        <w:t>”) and subsequent Benchmark settings, without any amendment to, or further action or consent of any other party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any other Loan Document; and (ii) Loans outstanding on the Secondary Term SOFR Conversion Date bearing interest based on the then-current Benchmark shall be deemed to have been converted to Loans bearing interest at the Benchmark Replacement with a tenor approximately the same length as the interest payment period of the then-current Benchmark;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 (f) shall not be effective unless the Administrative Agent has delivered to the Lenders and the Borrower a Term SOFR Notice.</w:t>
      </w:r>
    </w:p>
    <w:p>
      <w:pPr>
        <w:spacing w:after="0" w:line="166" w:lineRule="exact"/>
        <w:rPr>
          <w:rFonts w:ascii="Arial" w:cs="Arial" w:eastAsia="Arial" w:hAnsi="Arial"/>
          <w:sz w:val="16"/>
          <w:szCs w:val="16"/>
          <w:color w:val="auto"/>
        </w:rPr>
      </w:pPr>
    </w:p>
    <w:p>
      <w:pPr>
        <w:ind w:left="224" w:hanging="224"/>
        <w:spacing w:after="0"/>
        <w:tabs>
          <w:tab w:leader="none" w:pos="2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restating the first sentence of Section 5.2 thereof in its entirety as follows:</w:t>
      </w:r>
    </w:p>
    <w:p>
      <w:pPr>
        <w:spacing w:after="0" w:line="117" w:lineRule="exact"/>
        <w:rPr>
          <w:sz w:val="20"/>
          <w:szCs w:val="20"/>
          <w:color w:val="auto"/>
        </w:rPr>
      </w:pPr>
    </w:p>
    <w:p>
      <w:pPr>
        <w:ind w:left="4" w:firstLine="423"/>
        <w:spacing w:after="0" w:line="269" w:lineRule="auto"/>
        <w:rPr>
          <w:sz w:val="20"/>
          <w:szCs w:val="20"/>
          <w:color w:val="auto"/>
        </w:rPr>
      </w:pPr>
      <w:r>
        <w:rPr>
          <w:rFonts w:ascii="Arial" w:cs="Arial" w:eastAsia="Arial" w:hAnsi="Arial"/>
          <w:sz w:val="17"/>
          <w:szCs w:val="17"/>
          <w:color w:val="auto"/>
        </w:rPr>
        <w:t>The obligations of Lenders to make the Loans are subject to the further conditions precedent that: (a) no Default or Event of Default shall exist as of the date of the making of the Loans or would exist immediately after giving effect thereto; (b) 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the Loans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with respect to Loans made available under Section 2.16., the Administrative Agent shall have received a timely Notice of Borrowing for such Loans.</w:t>
      </w:r>
    </w:p>
    <w:p>
      <w:pPr>
        <w:spacing w:after="0" w:line="11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 The Original Credit Agreement is further amended by restating Section 6.1(x)(i) thereof in its entirety as follows:</w:t>
      </w:r>
    </w:p>
    <w:p>
      <w:pPr>
        <w:spacing w:after="0" w:line="117" w:lineRule="exact"/>
        <w:rPr>
          <w:sz w:val="20"/>
          <w:szCs w:val="20"/>
          <w:color w:val="auto"/>
        </w:rPr>
      </w:pPr>
    </w:p>
    <w:p>
      <w:pPr>
        <w:ind w:left="224" w:hanging="224"/>
        <w:spacing w:after="0"/>
        <w:tabs>
          <w:tab w:leader="none" w:pos="2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None of (i) the Borrower, any Subsidiary, any of their respective directors, officers, or, to the knowledge of the Borrower or such Subsidiary,</w:t>
      </w:r>
    </w:p>
    <w:p>
      <w:pPr>
        <w:spacing w:after="0" w:line="46"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any of their respective employees or Affiliates, or (ii) any agent or representative of the Borrower or any Subsidiary that will act in any capacity in connection with or benefit from this Agreement, (A) is a Sanctioned Person or the subject or target of any Sanctions, (B) is owned or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7"/>
          <w:szCs w:val="17"/>
          <w:color w:val="auto"/>
        </w:rPr>
        <w:t>(n) The Original Credit Agreement is further amended by restating the second sentence of Section 6.2 thereof in its entirety as follows:</w:t>
      </w:r>
    </w:p>
    <w:p>
      <w:pPr>
        <w:spacing w:after="0" w:line="129" w:lineRule="exact"/>
        <w:rPr>
          <w:sz w:val="20"/>
          <w:szCs w:val="20"/>
          <w:color w:val="auto"/>
        </w:rPr>
      </w:pPr>
    </w:p>
    <w:p>
      <w:pPr>
        <w:ind w:left="4" w:right="120" w:firstLine="423"/>
        <w:spacing w:after="0" w:line="254" w:lineRule="auto"/>
        <w:rPr>
          <w:sz w:val="20"/>
          <w:szCs w:val="20"/>
          <w:color w:val="auto"/>
        </w:rPr>
      </w:pPr>
      <w:r>
        <w:rPr>
          <w:rFonts w:ascii="Arial" w:cs="Arial" w:eastAsia="Arial" w:hAnsi="Arial"/>
          <w:sz w:val="18"/>
          <w:szCs w:val="18"/>
          <w:color w:val="auto"/>
        </w:rPr>
        <w:t>All representations and warranties made under this Agreement and the other Loan Documents shall be deemed to be made at and as of the Agreement Date, the Effective Date, the date on which any extension of the Maturity Date is effectuated pursuant to Section 2.13., the date on which any Additional Loans are effected pursuant to Section 2.16.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(o) The Original Credit Agreement is further amended by adding a new Section 11.10 thereof as follows: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11.10. Erroneous Payments.</w:t>
      </w:r>
    </w:p>
    <w:p>
      <w:pPr>
        <w:spacing w:after="0" w:line="121" w:lineRule="exact"/>
        <w:rPr>
          <w:sz w:val="20"/>
          <w:szCs w:val="20"/>
          <w:color w:val="auto"/>
        </w:rPr>
      </w:pPr>
    </w:p>
    <w:p>
      <w:pPr>
        <w:ind w:left="4" w:firstLine="419"/>
        <w:spacing w:after="0" w:line="286" w:lineRule="auto"/>
        <w:tabs>
          <w:tab w:leader="none" w:pos="671"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6"/>
          <w:szCs w:val="16"/>
          <w:b w:val="1"/>
          <w:bCs w:val="1"/>
          <w:color w:val="auto"/>
        </w:rPr>
        <w:t>Erroneous Payment</w:t>
      </w:r>
      <w:r>
        <w:rPr>
          <w:rFonts w:ascii="Arial" w:cs="Arial" w:eastAsia="Arial" w:hAnsi="Arial"/>
          <w:sz w:val="16"/>
          <w:szCs w:val="16"/>
          <w:color w:val="auto"/>
        </w:rPr>
        <w:t>”) and demands the return of such Erroneous Payment (or a portion thereof), such Lender shall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clause (a) shall be conclusive, absent manifest error.</w:t>
      </w:r>
    </w:p>
    <w:p>
      <w:pPr>
        <w:spacing w:after="0" w:line="10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18" w:name="page19"/>
    <w:bookmarkEnd w:id="18"/>
    <w:p>
      <w:pPr>
        <w:ind w:left="440" w:firstLine="419"/>
        <w:spacing w:after="0" w:line="288" w:lineRule="auto"/>
        <w:tabs>
          <w:tab w:leader="none" w:pos="1118" w:val="left"/>
        </w:tabs>
        <w:numPr>
          <w:ilvl w:val="1"/>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immediately preceding clause (a), each Lender hereby further agrees that if it receives an Erroneous Payment from the Administrative Agent (or any of its Affiliates) (i) that is in an amount different than (other than a de minimis difference), or on a different date from, that specified in a notice of payment sent by the Administrative Agent (or any of its Affiliates) with respect to such Erroneous Payment (an “</w:t>
      </w:r>
      <w:r>
        <w:rPr>
          <w:rFonts w:ascii="Arial" w:cs="Arial" w:eastAsia="Arial" w:hAnsi="Arial"/>
          <w:sz w:val="16"/>
          <w:szCs w:val="16"/>
          <w:b w:val="1"/>
          <w:bCs w:val="1"/>
          <w:color w:val="auto"/>
        </w:rPr>
        <w:t>Erroneous Payment Notice</w:t>
      </w:r>
      <w:r>
        <w:rPr>
          <w:rFonts w:ascii="Arial" w:cs="Arial" w:eastAsia="Arial" w:hAnsi="Arial"/>
          <w:sz w:val="16"/>
          <w:szCs w:val="16"/>
          <w:color w:val="auto"/>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two (2) Business Days thereafter, return to the Administrative Agent the amount of any such Erroneous Payment (or portion thereof) that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pacing w:after="0" w:line="60" w:lineRule="exact"/>
        <w:rPr>
          <w:rFonts w:ascii="Arial" w:cs="Arial" w:eastAsia="Arial" w:hAnsi="Arial"/>
          <w:sz w:val="16"/>
          <w:szCs w:val="16"/>
          <w:color w:val="auto"/>
        </w:rPr>
      </w:pPr>
    </w:p>
    <w:p>
      <w:pPr>
        <w:ind w:left="440" w:firstLine="419"/>
        <w:spacing w:after="0" w:line="275" w:lineRule="auto"/>
        <w:tabs>
          <w:tab w:leader="none" w:pos="1108"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Borrower and each other Loan Party hereby agree that (i) in the event an Erroneous Payment (or portion thereof) is not recovered from any Lender that has received such Erroneous Payment (or portion thereof) for any reason, the Administrative Agent shall be subrogated to all the rights of such Lender with respect to such amount and (ii) an Erroneous Payment shall not pay, prepay, repay, discharge or otherwise satisfy any Obligations owed by the Borrower or any other Loan Party, except to the extent such Erroneous Payment is, and solely with respect to the amount of such Erroneous Payment that is, comprised of funds of the Borrower or any other Loan Party.</w:t>
      </w:r>
    </w:p>
    <w:p>
      <w:pPr>
        <w:spacing w:after="0" w:line="68" w:lineRule="exact"/>
        <w:rPr>
          <w:rFonts w:ascii="Arial" w:cs="Arial" w:eastAsia="Arial" w:hAnsi="Arial"/>
          <w:sz w:val="17"/>
          <w:szCs w:val="17"/>
          <w:color w:val="auto"/>
        </w:rPr>
      </w:pPr>
    </w:p>
    <w:p>
      <w:pPr>
        <w:ind w:left="440" w:firstLine="419"/>
        <w:spacing w:after="0" w:line="263" w:lineRule="auto"/>
        <w:tabs>
          <w:tab w:leader="none" w:pos="11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Each party’s obligations under this Section 11.10 shall survive the resignation or replacement of the Administrative Agent or any transfer of rights or obligations by, or the replacement of, a Lender, the termination of the Commitments or the repayment, satisfaction or discharge of all Obligations (or any portion thereof) under any Loan Document.</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replacing Schedule 6.1(i) thereto with Schedule 6.1(i) attached hereto.</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Original Credit Agreement is further amended by replacing Exhibit C thereto with Exhibit C attached hereto.</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receipt by the Administrative Agent of each of the following in form and substance satisfactory to the Administrative Agent:</w:t>
      </w:r>
    </w:p>
    <w:p>
      <w:pPr>
        <w:spacing w:after="0" w:line="76" w:lineRule="exact"/>
        <w:rPr>
          <w:sz w:val="20"/>
          <w:szCs w:val="20"/>
          <w:color w:val="auto"/>
        </w:rPr>
      </w:pPr>
    </w:p>
    <w:p>
      <w:pPr>
        <w:ind w:left="960" w:right="64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counterpart of this Amendment duly executed by the Borrower, the Administrative Agent, the Lenders, the New Lenders and the Departing Lenders;</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replacement Notes executed by the Borrower, payable to each applicable Lender and each New Lender and complying with the terms of Section 2.11.(a) of the Amended Credit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9" w:name="page20"/>
    <w:bookmarkEnd w:id="19"/>
    <w:p>
      <w:pPr>
        <w:ind w:left="540" w:hanging="532"/>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of Pillsbury Winthrop Shaw Pittman LLP, counsel to the Borrower, addressed to the Administrative Agent and the Lenders;</w:t>
      </w:r>
    </w:p>
    <w:p>
      <w:pPr>
        <w:spacing w:after="0" w:line="142" w:lineRule="exact"/>
        <w:rPr>
          <w:rFonts w:ascii="Arial" w:cs="Arial" w:eastAsia="Arial" w:hAnsi="Arial"/>
          <w:sz w:val="17"/>
          <w:szCs w:val="17"/>
          <w:color w:val="auto"/>
        </w:rPr>
      </w:pPr>
    </w:p>
    <w:p>
      <w:pPr>
        <w:ind w:left="540" w:right="60" w:hanging="532"/>
        <w:spacing w:after="0" w:line="271"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 or (ii) to the extent a certified copy of the certificate or articles of incorporation or formation, articles of organization, certificate of limited partnership, declaration of trust or other comparable organizational instrument (if any) of each Loan Party was previously delivered on the Agreement Date, a certification by the Secretary or Assistant Secretary (or other individual performing similar functions) of the Loan Parties that such certificate or articles of incorporation or formation, articles of organization, certificate of limited partnership, declaration of trust or other comparable organizational instrument (if any), as applicable, have not been amended, modified, supplemented or repealed since the Agreement Date;</w:t>
      </w:r>
    </w:p>
    <w:p>
      <w:pPr>
        <w:spacing w:after="0" w:line="83" w:lineRule="exact"/>
        <w:rPr>
          <w:rFonts w:ascii="Arial" w:cs="Arial" w:eastAsia="Arial" w:hAnsi="Arial"/>
          <w:sz w:val="17"/>
          <w:szCs w:val="17"/>
          <w:color w:val="auto"/>
        </w:rPr>
      </w:pPr>
    </w:p>
    <w:p>
      <w:pPr>
        <w:ind w:left="540" w:right="60" w:hanging="532"/>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certificate of good standing (or certificate of similar meaning) with respect to each Loan Party issued as of a recent date by the Secretary of State of the state of formation of each such Loan Party;</w:t>
      </w:r>
    </w:p>
    <w:p>
      <w:pPr>
        <w:spacing w:after="0" w:line="75"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the Notice of Borrowing, Notices of Conversion and Notices of Continuation;</w:t>
      </w:r>
    </w:p>
    <w:p>
      <w:pPr>
        <w:spacing w:after="0" w:line="92" w:lineRule="exact"/>
        <w:rPr>
          <w:rFonts w:ascii="Arial" w:cs="Arial" w:eastAsia="Arial" w:hAnsi="Arial"/>
          <w:sz w:val="18"/>
          <w:szCs w:val="18"/>
          <w:color w:val="auto"/>
        </w:rPr>
      </w:pPr>
    </w:p>
    <w:p>
      <w:pPr>
        <w:ind w:left="540" w:hanging="532"/>
        <w:spacing w:after="0" w:line="290"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(or other individual performing similar functions) of each Loan Party of (A)(i) the by-laws of such Loan Party, if a corporation, the operating agreement, if a limited liability company, the partnership agreement, if a limited or general partnership, or other comparable document in the case of any other form of legal entity or (ii) to the extent the by-laws, operating agreement, partnership agreement or comparable document of each Loan Party was previously delivered on the Agreement Date, a certification by the Secretary or Assistant Secretary (or other individual performing similar functions) of the Loan Parties that such by-laws, operating agreement, partnership agreement or comparable document, as applicable, has not been amended, modified, supplemented or repealed since the Agreement Date and (B) all corporate, partnership, member or other necessary action taken by such Loan Party to authorize the execution, delivery and performance of the Loan Documents to which it is a party;</w:t>
      </w:r>
    </w:p>
    <w:p>
      <w:pPr>
        <w:spacing w:after="0" w:line="70" w:lineRule="exact"/>
        <w:rPr>
          <w:rFonts w:ascii="Arial" w:cs="Arial" w:eastAsia="Arial" w:hAnsi="Arial"/>
          <w:sz w:val="16"/>
          <w:szCs w:val="16"/>
          <w:color w:val="auto"/>
        </w:rPr>
      </w:pPr>
    </w:p>
    <w:p>
      <w:pPr>
        <w:ind w:left="540" w:right="20" w:hanging="532"/>
        <w:spacing w:after="0" w:line="289" w:lineRule="auto"/>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certificate signed by a Responsible Officer of the Borrower certifying that immediately after giving effect to this Amendment and all the transactions contemplated herein, (A) each of the Borrower, the other Loan Parties, and the other Subsidiaries is Solvent, (B) no Default or Event of Default exists, and (C) the representations and warranties made or deemed made by the Borrower and each other Loan Party in the Loan Documents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60" w:top="274" w:right="479" w:bottom="1440" w:gutter="0" w:footer="0" w:header="0"/>
        </w:sectPr>
      </w:pPr>
    </w:p>
    <w:bookmarkStart w:id="20" w:name="page21"/>
    <w:bookmarkEnd w:id="20"/>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evidence of prepayment of the “Loans” under the Original Credit Agreement in an amount equal to $100,000,000;</w:t>
      </w:r>
    </w:p>
    <w:p>
      <w:pPr>
        <w:spacing w:after="0" w:line="130" w:lineRule="exact"/>
        <w:rPr>
          <w:rFonts w:ascii="Arial" w:cs="Arial" w:eastAsia="Arial" w:hAnsi="Arial"/>
          <w:sz w:val="18"/>
          <w:szCs w:val="18"/>
          <w:color w:val="auto"/>
        </w:rPr>
      </w:pPr>
    </w:p>
    <w:p>
      <w:pPr>
        <w:ind w:left="540" w:right="80" w:hanging="532"/>
        <w:spacing w:after="0" w:line="263"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evidence that all fees, expenses and reimbursement amounts due and payable to the Administrative Agent, each Lender, each New Lender and the arrangers, including without limitation, (A) the costs and expenses set forth in Section 10 hereto, and (ii) the reasonable fees and expenses of counsel to the Administrative Agent, have been paid;</w:t>
      </w:r>
    </w:p>
    <w:p>
      <w:pPr>
        <w:spacing w:after="0" w:line="89" w:lineRule="exact"/>
        <w:rPr>
          <w:rFonts w:ascii="Arial" w:cs="Arial" w:eastAsia="Arial" w:hAnsi="Arial"/>
          <w:sz w:val="18"/>
          <w:szCs w:val="18"/>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130" w:lineRule="exact"/>
        <w:rPr>
          <w:rFonts w:ascii="Arial" w:cs="Arial" w:eastAsia="Arial" w:hAnsi="Arial"/>
          <w:sz w:val="18"/>
          <w:szCs w:val="18"/>
          <w:color w:val="auto"/>
        </w:rPr>
      </w:pPr>
    </w:p>
    <w:p>
      <w:pPr>
        <w:ind w:left="1000" w:right="100" w:hanging="439"/>
        <w:spacing w:after="0" w:line="279" w:lineRule="auto"/>
        <w:tabs>
          <w:tab w:leader="none" w:pos="10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First Amendment Date that has had or could reasonably be expected to result in a Material Adverse Effect;</w:t>
      </w:r>
    </w:p>
    <w:p>
      <w:pPr>
        <w:spacing w:after="0" w:line="76" w:lineRule="exact"/>
        <w:rPr>
          <w:rFonts w:ascii="Arial" w:cs="Arial" w:eastAsia="Arial" w:hAnsi="Arial"/>
          <w:sz w:val="17"/>
          <w:szCs w:val="17"/>
          <w:color w:val="auto"/>
        </w:rPr>
      </w:pPr>
    </w:p>
    <w:p>
      <w:pPr>
        <w:ind w:left="1000" w:right="180" w:hanging="439"/>
        <w:spacing w:after="0" w:line="279" w:lineRule="auto"/>
        <w:tabs>
          <w:tab w:leader="none" w:pos="10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this Amendment and the other Loan Documents to which it is a party;</w:t>
      </w:r>
    </w:p>
    <w:p>
      <w:pPr>
        <w:spacing w:after="0" w:line="76" w:lineRule="exact"/>
        <w:rPr>
          <w:rFonts w:ascii="Arial" w:cs="Arial" w:eastAsia="Arial" w:hAnsi="Arial"/>
          <w:sz w:val="17"/>
          <w:szCs w:val="17"/>
          <w:color w:val="auto"/>
        </w:rPr>
      </w:pPr>
    </w:p>
    <w:p>
      <w:pPr>
        <w:ind w:left="1000" w:hanging="439"/>
        <w:spacing w:after="0" w:line="291"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this Amendment and the other Loan Documents to which it is a party;</w:t>
      </w:r>
    </w:p>
    <w:p>
      <w:pPr>
        <w:spacing w:after="0" w:line="71" w:lineRule="exact"/>
        <w:rPr>
          <w:rFonts w:ascii="Arial" w:cs="Arial" w:eastAsia="Arial" w:hAnsi="Arial"/>
          <w:sz w:val="16"/>
          <w:szCs w:val="16"/>
          <w:color w:val="auto"/>
        </w:rPr>
      </w:pPr>
    </w:p>
    <w:p>
      <w:pPr>
        <w:ind w:left="1000" w:right="160" w:hanging="439"/>
        <w:spacing w:after="0" w:line="311"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54" w:lineRule="exact"/>
        <w:rPr>
          <w:rFonts w:ascii="Arial" w:cs="Arial" w:eastAsia="Arial" w:hAnsi="Arial"/>
          <w:sz w:val="16"/>
          <w:szCs w:val="16"/>
          <w:color w:val="auto"/>
        </w:rPr>
      </w:pPr>
    </w:p>
    <w:p>
      <w:pPr>
        <w:ind w:left="1000" w:right="60" w:hanging="439"/>
        <w:spacing w:after="0" w:line="311"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First Amendment Date; and</w:t>
      </w:r>
    </w:p>
    <w:p>
      <w:pPr>
        <w:spacing w:after="0" w:line="54" w:lineRule="exact"/>
        <w:rPr>
          <w:rFonts w:ascii="Arial" w:cs="Arial" w:eastAsia="Arial" w:hAnsi="Arial"/>
          <w:sz w:val="16"/>
          <w:szCs w:val="16"/>
          <w:color w:val="auto"/>
        </w:rPr>
      </w:pPr>
    </w:p>
    <w:p>
      <w:pPr>
        <w:ind w:left="1000" w:right="100" w:hanging="439"/>
        <w:spacing w:after="0" w:line="277"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this Amendment.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60" w:top="274" w:right="47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w:t>
      </w:r>
      <w:r>
        <w:rPr>
          <w:rFonts w:ascii="Arial" w:cs="Arial" w:eastAsia="Arial" w:hAnsi="Arial"/>
          <w:sz w:val="18"/>
          <w:szCs w:val="18"/>
          <w:color w:val="auto"/>
        </w:rPr>
        <w:t>. The Borrower represents and warrants to the Administrative Agent and the Lenders that:</w:t>
      </w:r>
    </w:p>
    <w:p>
      <w:pPr>
        <w:spacing w:after="0" w:line="131" w:lineRule="exact"/>
        <w:rPr>
          <w:sz w:val="20"/>
          <w:szCs w:val="20"/>
          <w:color w:val="auto"/>
        </w:rPr>
      </w:pPr>
    </w:p>
    <w:p>
      <w:pPr>
        <w:ind w:left="960" w:right="60" w:hanging="532"/>
        <w:spacing w:after="0" w:line="271"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Authorization of Loan Documents and Borrowings</w:t>
      </w:r>
      <w:r>
        <w:rPr>
          <w:rFonts w:ascii="Arial" w:cs="Arial" w:eastAsia="Arial" w:hAnsi="Arial"/>
          <w:sz w:val="17"/>
          <w:szCs w:val="17"/>
          <w:color w:val="auto"/>
        </w:rPr>
        <w:t>. The Borrower has the right and power, and has taken all necessary action to authorize it, to execute and deliver this Amendment and to perform its obligations hereunder and under the Amended Credit Agreement in accordance with their respective terms and to consummate the transactions contemplated hereby and thereby. This Amendment has been duly executed and delivered by the duly authorized officers of the Borrower, and each of this Amendment and the Amended Credit Agreement is a legal, valid and binding obligation of the Borrower, enforceable against the Borrower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83" w:lineRule="exact"/>
        <w:rPr>
          <w:rFonts w:ascii="Arial" w:cs="Arial" w:eastAsia="Arial" w:hAnsi="Arial"/>
          <w:sz w:val="17"/>
          <w:szCs w:val="17"/>
          <w:color w:val="auto"/>
        </w:rPr>
      </w:pPr>
    </w:p>
    <w:p>
      <w:pPr>
        <w:ind w:left="960" w:right="78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and the Amended Credit Agreement constitute valid and binding agreements of the Borrower, enforceable against the Borrower in accordance with their terms.</w:t>
      </w:r>
    </w:p>
    <w:p>
      <w:pPr>
        <w:spacing w:after="0" w:line="75" w:lineRule="exact"/>
        <w:rPr>
          <w:rFonts w:ascii="Arial" w:cs="Arial" w:eastAsia="Arial" w:hAnsi="Arial"/>
          <w:sz w:val="18"/>
          <w:szCs w:val="18"/>
          <w:color w:val="auto"/>
        </w:rPr>
      </w:pPr>
    </w:p>
    <w:p>
      <w:pPr>
        <w:ind w:left="960" w:right="28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has occurred and is continuing as of the date hereof nor will exist immediately after giving effect to this Amendment.</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December 31, 2020,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Reaffirmation of Representations</w:t>
      </w:r>
      <w:r>
        <w:rPr>
          <w:rFonts w:ascii="Arial" w:cs="Arial" w:eastAsia="Arial" w:hAnsi="Arial"/>
          <w:sz w:val="17"/>
          <w:szCs w:val="17"/>
          <w:color w:val="auto"/>
        </w:rPr>
        <w:t>. The Borrower hereby repeats and reaffirms all representations and warranties made or deemed made by the Borrower to the Administrative Agent and the Lenders in the Original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1" w:lineRule="exact"/>
        <w:rPr>
          <w:sz w:val="20"/>
          <w:szCs w:val="20"/>
          <w:color w:val="auto"/>
        </w:rPr>
      </w:pPr>
    </w:p>
    <w:p>
      <w:pPr>
        <w:ind w:right="300" w:firstLine="440"/>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and Warranties of New Lenders</w:t>
      </w:r>
      <w:r>
        <w:rPr>
          <w:rFonts w:ascii="Arial" w:cs="Arial" w:eastAsia="Arial" w:hAnsi="Arial"/>
          <w:sz w:val="18"/>
          <w:szCs w:val="18"/>
          <w:color w:val="auto"/>
        </w:rPr>
        <w:t xml:space="preserve">. Upon the effectiveness of this Amendment, each New Lender acknowledges and agrees that it shall be a Lender under the Amended Credit Agreement having a Commitment in the amount, if any, set forth for such New Lender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such New Lender’s “Loan”. Accordingly, each New Lender shall have all of the rights and obligations of a Lender under the Amended Credit Agreement and the other Loan Documents with respect to such New Lender’s Commitment. Each New Lender (a) represents and warrants that (i) it has full power and authority,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22" w:name="page23"/>
    <w:bookmarkEnd w:id="22"/>
    <w:p>
      <w:pPr>
        <w:ind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has taken all actions necessary, to execute and deliver this Amendment and to consummate the transactions contemplated hereby and to become a Lender under the Amended Credit Agreement, (ii) it is sophisticated with respect to decisions to acquire assets of the type represented by such New Lender’s Loan, and either it, or the person exercising discretion in making its decision with respect to such New Lender’s Loan is experienced in such matters, (iii) it has received a copy of the Amended Credit Agreement, and has received or has been accorded the opportunity to receive copies of the most recent financial statements delivered pursuant to Section 8.1 or 8.2 thereof, as applicable, and such other documents and information as it deems appropriate to make its own credit analysis and decision to enter into this Amendment and to provide such New Lender’s Loan, and (iv) it has, independently and without reliance upon the Administrative Agent or any Lender and based on such documents and information as it has deemed appropriate, made its own credit analysis and decision to enter into this Amendment and to provide such New Lender’s Loan; and (b) agrees that (i) it will, independently and without reliance on the Administrative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2"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Additional Arranger</w:t>
      </w:r>
      <w:r>
        <w:rPr>
          <w:rFonts w:ascii="Arial" w:cs="Arial" w:eastAsia="Arial" w:hAnsi="Arial"/>
          <w:sz w:val="18"/>
          <w:szCs w:val="18"/>
          <w:color w:val="auto"/>
        </w:rPr>
        <w:t>. The parties hereto hereby acknowledge the appointment of TD Bank, N.A. as a Joint Lead Arranger and Syndication Agent in respect of the arrangement of the Loans on the First Amendment Date.</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Departing Lenders</w:t>
      </w:r>
      <w:r>
        <w:rPr>
          <w:rFonts w:ascii="Arial" w:cs="Arial" w:eastAsia="Arial" w:hAnsi="Arial"/>
          <w:sz w:val="18"/>
          <w:szCs w:val="18"/>
          <w:color w:val="auto"/>
        </w:rPr>
        <w:t>. The parties hereto, including each Departing Lender, hereby acknowledge and agree that on the First Amendment Date, the one or more term loans previously made to the Borrower by each Departing Lender under the Original Credit Agreement which remain outstanding immediately prior to the First Amendment Date shall be repaid in full under the Original Credit Agreement (accompanied by accrued and unpaid interest thereon) on a non-pro rata basis with the “Lenders” under and as defined in the Original Credit Agreement, and each Departing Lender shall not be a Lender or otherwise a party to the Amended Credit Agreement from and after the First Amendment Date. Each Departing Lender, the Lenders and the other parties hereto consent (which consent shall be deemed effective under the Original Credit Agreement) to such non-pro rata payment. For the avoidance of doubt, this Section 8 shall not create any obligation on the part of the Borrower in addition to the payment obligation set forth in Section 3(i) hereof.</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Certain References</w:t>
      </w:r>
      <w:r>
        <w:rPr>
          <w:rFonts w:ascii="Arial" w:cs="Arial" w:eastAsia="Arial" w:hAnsi="Arial"/>
          <w:sz w:val="18"/>
          <w:szCs w:val="18"/>
          <w:color w:val="auto"/>
        </w:rPr>
        <w:t>. Each reference to the Original Credit Agreement in any of the Loan Documents shall be deemed to be a reference to the Amended Credit Agreement. This Amendment is a Loan Document.</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Benefits</w:t>
      </w:r>
      <w:r>
        <w:rPr>
          <w:rFonts w:ascii="Arial" w:cs="Arial" w:eastAsia="Arial" w:hAnsi="Arial"/>
          <w:sz w:val="18"/>
          <w:szCs w:val="18"/>
          <w:color w:val="auto"/>
        </w:rPr>
        <w:t>. This Amendment shall be binding upon and shall inure to the benefit of the parties hereto and their respective successors and assigns.</w:t>
      </w:r>
    </w:p>
    <w:p>
      <w:pPr>
        <w:spacing w:after="0" w:line="170" w:lineRule="exact"/>
        <w:rPr>
          <w:sz w:val="20"/>
          <w:szCs w:val="20"/>
          <w:color w:val="auto"/>
        </w:rPr>
      </w:pPr>
    </w:p>
    <w:p>
      <w:pPr>
        <w:jc w:val="both"/>
        <w:ind w:right="180" w:firstLine="440"/>
        <w:spacing w:after="0" w:line="30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 APPLICABLE TO CONTRACTS EXECUTED, AND TO BE FULLY PERFORMED, IN SUCH STATE.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3" w:name="page24"/>
    <w:bookmarkEnd w:id="23"/>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Original Credit Agreement and the other Loan Documents remain in full force and effect. The amendments contained herein shall be deemed to have prospective application from and after the First Amendment Date only. The Amended Credit Agreement is hereby ratified and confirmed in all respects. Nothing in this Amendment shall limit, impair or constitute a waiver of the rights, powers or remedies available to the Administrative Agent or the Lenders under the Amended Credit Agreement or any other Loan Document.</w:t>
      </w:r>
    </w:p>
    <w:p>
      <w:pPr>
        <w:spacing w:after="0" w:line="188"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Release</w:t>
      </w:r>
      <w:r>
        <w:rPr>
          <w:rFonts w:ascii="Arial" w:cs="Arial" w:eastAsia="Arial" w:hAnsi="Arial"/>
          <w:sz w:val="18"/>
          <w:szCs w:val="18"/>
          <w:color w:val="auto"/>
        </w:rPr>
        <w:t>. In consideration of the amendments contained herein, the Borrower and each other Loan Party hereby waives and releases the Administrative Agent and each Lender from any and all claims and defenses, whether known or unknown, with respect to the Amended Credit Agreement and the other Loan Documents and the transactions contemplated thereby.</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to be an original and shall be binding upon all parties, their successors and assigns.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4" w:name="page25"/>
    <w:bookmarkEnd w:id="24"/>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First Amendment to Term Loan Agreement to be executed by their authorized officers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Danieal Guglielmone</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Arial" w:cs="Arial" w:eastAsia="Arial" w:hAnsi="Arial"/>
          <w:sz w:val="18"/>
          <w:szCs w:val="18"/>
          <w:color w:val="auto"/>
        </w:rPr>
        <w:t>Title:</w:t>
        <w:tab/>
        <w:t>Executive Vice President – Chief Financial</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Officers &amp; Treasurer</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640"/>
          </w:cols>
          <w:pgMar w:left="440" w:top="274" w:right="8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 and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Katie Chowdhry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14605</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Katie Chowdhry</w:t>
      </w:r>
    </w:p>
    <w:p>
      <w:pPr>
        <w:spacing w:after="0" w:line="23"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First Amendment to Term Loan Agreement for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WELLS FARGO BANK, NATIONAL ASSOCIATION,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Scott S.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Scott S. Solis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38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000"/>
          </w:cols>
          <w:pgMar w:left="1440" w:top="270"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M. Brandt,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M. Brandt,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REGIONS BANK,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Chalmers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Chalmers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TRUIST BANK,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Signature Page to First Amendment to Term Loan Agreement for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38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580"/>
          </w:cols>
          <w:pgMar w:left="1440" w:top="270" w:right="87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Signature Page to First Amendment to Term Loan Agreement for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BANK OF NOVA SCOTIA, as a New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Ajit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Ajit Goswami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 &amp; Industry Head</w:t>
      </w:r>
    </w:p>
    <w:p>
      <w:pPr>
        <w:spacing w:after="0" w:line="38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340"/>
          </w:cols>
          <w:pgMar w:left="1440" w:top="270" w:right="111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BNP PARIBAS, as a New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Goodall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Kyle Fitzpatrick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Signature Page to First Amendment to Term Loan Agreement for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BANK OF AMERICA, N.A., as a New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Cheryl Sneor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20"/>
          </w:cols>
          <w:pgMar w:left="1440" w:top="270" w:right="14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Signature Page to First Amendment to Term Loan Agreement for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undersigned Departing Lender hereby acknowledges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and agrees that, upon receipt of the payment described in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Section 8 of this Amendment, from and after the First</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Amendment Date, it is no longer a party to the Original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Credit Agreement and will not be a party to the Amended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CITIBANK, N.A., as a Departing Lender (and solely with</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 to Section 8 of this Amendment)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Tina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Tina Lin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800"/>
          </w:cols>
          <w:pgMar w:left="1440" w:top="270" w:right="65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Signature Page to First Amendment to Term Loan Agreement for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undersigned Departing Lender hereby acknowledges</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and agrees that, upon receipt of the payment described in</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Section 8 of this Amendment, from and after the First</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Amendment Date, it is no longer a party to the Original</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Credit Agreement and will not be a party to the Amended</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AG NEW YORK BRANCH, as 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Departing Lender (and solely with respect to Section 8 of</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this Amendment)</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Marko Lukin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9760"/>
      </w:cols>
      <w:pgMar w:left="1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lvl w:ilvl="1">
      <w:lvlJc w:val="left"/>
      <w:lvlText w:val="(%2)"/>
      <w:numFmt w:val="lowerLetter"/>
      <w:start w:val="1"/>
    </w:lvl>
  </w:abstractNum>
  <w:abstractNum w:abstractNumId="6">
    <w:nsid w:val="431BD7B7"/>
    <w:multiLevelType w:val="hybridMultilevel"/>
    <w:lvl w:ilvl="0">
      <w:lvlJc w:val="left"/>
      <w:lvlText w:val="(%1)"/>
      <w:numFmt w:val="decimal"/>
      <w:start w:val="2"/>
    </w:lvl>
    <w:lvl w:ilvl="1">
      <w:lvlJc w:val="left"/>
      <w:lvlText w:val="%2"/>
      <w:numFmt w:val="lowerLetter"/>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1)"/>
      <w:numFmt w:val="lowerLetter"/>
      <w:start w:val="3"/>
    </w:lvl>
  </w:abstractNum>
  <w:abstractNum w:abstractNumId="12">
    <w:nsid w:val="628C895D"/>
    <w:multiLevelType w:val="hybridMultilevel"/>
    <w:lvl w:ilvl="0">
      <w:lvlJc w:val="left"/>
      <w:lvlText w:val="(%1)"/>
      <w:numFmt w:val="lowerLetter"/>
      <w:start w:val="4"/>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lowerLetter"/>
      <w:start w:val="5"/>
    </w:lvl>
    <w:lvl w:ilvl="1">
      <w:lvlJc w:val="left"/>
      <w:lvlText w:val="(%2)"/>
      <w:numFmt w:val="lowerLetter"/>
      <w:start w:val="1"/>
    </w:lvl>
  </w:abstractNum>
  <w:abstractNum w:abstractNumId="15">
    <w:nsid w:val="2443A858"/>
    <w:multiLevelType w:val="hybridMultilevel"/>
    <w:lvl w:ilvl="0">
      <w:lvlJc w:val="left"/>
      <w:lvlText w:val="(%1)"/>
      <w:numFmt w:val="lowerLetter"/>
      <w:start w:val="7"/>
    </w:lvl>
  </w:abstractNum>
  <w:abstractNum w:abstractNumId="16">
    <w:nsid w:val="2D1D5AE9"/>
    <w:multiLevelType w:val="hybridMultilevel"/>
    <w:lvl w:ilvl="0">
      <w:lvlJc w:val="left"/>
      <w:lvlText w:val="(%1)"/>
      <w:numFmt w:val="lowerLetter"/>
      <w:start w:val="26"/>
    </w:lvl>
  </w:abstractNum>
  <w:abstractNum w:abstractNumId="17">
    <w:nsid w:val="6763845E"/>
    <w:multiLevelType w:val="hybridMultilevel"/>
    <w:lvl w:ilvl="0">
      <w:lvlJc w:val="left"/>
      <w:lvlText w:val="(%1)"/>
      <w:numFmt w:val="lowerLetter"/>
      <w:start w:val="10"/>
    </w:lvl>
    <w:lvl w:ilvl="1">
      <w:lvlJc w:val="left"/>
      <w:lvlText w:val="(%2)"/>
      <w:numFmt w:val="lowerLetter"/>
      <w:start w:val="2"/>
    </w:lvl>
  </w:abstractNum>
  <w:abstractNum w:abstractNumId="18">
    <w:nsid w:val="75A2A8D4"/>
    <w:multiLevelType w:val="hybridMultilevel"/>
    <w:lvl w:ilvl="0">
      <w:lvlJc w:val="left"/>
      <w:lvlText w:val="(%1)"/>
      <w:numFmt w:val="lowerLetter"/>
      <w:start w:val="9"/>
    </w:lvl>
    <w:lvl w:ilvl="1">
      <w:lvlJc w:val="left"/>
      <w:lvlText w:val="%2"/>
      <w:numFmt w:val="lowerLetter"/>
      <w:start w:val="1"/>
    </w:lvl>
  </w:abstractNum>
  <w:abstractNum w:abstractNumId="19">
    <w:nsid w:val="8EDBDAB"/>
    <w:multiLevelType w:val="hybridMultilevel"/>
    <w:lvl w:ilvl="0">
      <w:lvlJc w:val="left"/>
      <w:lvlText w:val="(%1)"/>
      <w:numFmt w:val="lowerLetter"/>
      <w:start w:val="2"/>
    </w:lvl>
    <w:lvl w:ilvl="1">
      <w:lvlJc w:val="left"/>
      <w:lvlText w:val="(%2)"/>
      <w:numFmt w:val="lowerLetter"/>
      <w:start w:val="5"/>
    </w:lvl>
  </w:abstractNum>
  <w:abstractNum w:abstractNumId="20">
    <w:nsid w:val="79838CB2"/>
    <w:multiLevelType w:val="hybridMultilevel"/>
    <w:lvl w:ilvl="0">
      <w:lvlJc w:val="left"/>
      <w:lvlText w:val="(%1)"/>
      <w:numFmt w:val="lowerLetter"/>
      <w:start w:val="11"/>
    </w:lvl>
    <w:lvl w:ilvl="1">
      <w:lvlJc w:val="left"/>
      <w:lvlText w:val="(%2)"/>
      <w:numFmt w:val="lowerLetter"/>
      <w:start w:val="6"/>
    </w:lvl>
  </w:abstractNum>
  <w:abstractNum w:abstractNumId="21">
    <w:nsid w:val="4353D0CD"/>
    <w:multiLevelType w:val="hybridMultilevel"/>
    <w:lvl w:ilvl="0">
      <w:lvlJc w:val="left"/>
      <w:lvlText w:val="(%1)"/>
      <w:numFmt w:val="lowerRoman"/>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lvl w:ilvl="1">
      <w:lvlJc w:val="left"/>
      <w:lvlText w:val="(%2)"/>
      <w:numFmt w:val="lowerLetter"/>
      <w:start w:val="2"/>
    </w:lvl>
  </w:abstractNum>
  <w:abstractNum w:abstractNumId="24">
    <w:nsid w:val="54E49EB4"/>
    <w:multiLevelType w:val="hybridMultilevel"/>
    <w:lvl w:ilvl="0">
      <w:lvlJc w:val="left"/>
      <w:lvlText w:val="(%1)"/>
      <w:numFmt w:val="lowerLetter"/>
      <w:start w:val="16"/>
    </w:lvl>
    <w:lvl w:ilvl="1">
      <w:lvlJc w:val="left"/>
      <w:lvlText w:val="%2"/>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3"/>
    </w:lvl>
  </w:abstractNum>
  <w:abstractNum w:abstractNumId="27">
    <w:nsid w:val="836C40E"/>
    <w:multiLevelType w:val="hybridMultilevel"/>
    <w:lvl w:ilvl="0">
      <w:lvlJc w:val="left"/>
      <w:lvlText w:val="(%1)"/>
      <w:numFmt w:val="lowerLetter"/>
      <w:start w:val="9"/>
    </w:lvl>
    <w:lvl w:ilvl="1">
      <w:lvlJc w:val="left"/>
      <w:lvlText w:val="(%2)"/>
      <w:numFmt w:val="upp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2021-04-19T15:36:53Z</dcterms:created>
  <dcterms:modified xsi:type="dcterms:W3CDTF">2021-04-19T15:36:53Z</dcterms:modified>
</cp:coreProperties>
</file>