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2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2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00" w:type="dxa"/>
            <w:vAlign w:val="bottom"/>
          </w:tcPr>
          <w:p>
            <w:pPr>
              <w:ind w:left="7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12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0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12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April 30, 2010 was 61,352,779.</w:t>
            </w:r>
          </w:p>
        </w:tc>
        <w:tc>
          <w:tcPr>
            <w:tcW w:w="2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84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QUARTERLY REPORT ON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2010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080" w:type="dxa"/>
            <w:vAlign w:val="bottom"/>
            <w:gridSpan w:val="12"/>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300" w:type="dxa"/>
            <w:vAlign w:val="bottom"/>
            <w:gridSpan w:val="1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2010 (unaudited) and December 31, 2009</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months ended March 31, 2010 and 2009</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1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 of Shareholders’ Equity (unaudited) for the three months ended March 31, 2010</w:t>
              </w:r>
            </w:hyperlink>
          </w:p>
        </w:tc>
        <w:tc>
          <w:tcPr>
            <w:tcW w:w="140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three months ended March 31, 2010 and 2009</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Consolidated Financial Statements (unaudited)</w:t>
              </w:r>
            </w:hyperlink>
          </w:p>
        </w:tc>
        <w:tc>
          <w:tcPr>
            <w:tcW w:w="3500" w:type="dxa"/>
            <w:vAlign w:val="bottom"/>
            <w:tcBorders>
              <w:top w:val="single" w:sz="8" w:color="0000EE"/>
            </w:tcBorders>
            <w:gridSpan w:val="7"/>
          </w:tcPr>
          <w:p>
            <w:pPr>
              <w:spacing w:after="0"/>
              <w:rPr>
                <w:sz w:val="17"/>
                <w:szCs w:val="17"/>
                <w:color w:val="auto"/>
              </w:rPr>
            </w:pPr>
          </w:p>
        </w:tc>
        <w:tc>
          <w:tcPr>
            <w:tcW w:w="13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78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248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Controls and Procedures</w:t>
              </w:r>
            </w:hyperlink>
          </w:p>
        </w:tc>
        <w:tc>
          <w:tcPr>
            <w:tcW w:w="7040" w:type="dxa"/>
            <w:vAlign w:val="bottom"/>
            <w:gridSpan w:val="11"/>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304"/>
        </w:trPr>
        <w:tc>
          <w:tcPr>
            <w:tcW w:w="25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PART II. OTHER INFORMATION</w:t>
              </w:r>
            </w:hyperlink>
          </w:p>
        </w:tc>
        <w:tc>
          <w:tcPr>
            <w:tcW w:w="7380" w:type="dxa"/>
            <w:vAlign w:val="bottom"/>
            <w:gridSpan w:val="14"/>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Legal Proceedings</w:t>
              </w:r>
            </w:hyperlink>
          </w:p>
        </w:tc>
        <w:tc>
          <w:tcPr>
            <w:tcW w:w="7460" w:type="dxa"/>
            <w:vAlign w:val="bottom"/>
            <w:gridSpan w:val="1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7880" w:type="dxa"/>
            <w:vAlign w:val="bottom"/>
            <w:gridSpan w:val="1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Unregistered Sales of Equity Securities and Use of Proceeds</w:t>
              </w:r>
            </w:hyperlink>
          </w:p>
        </w:tc>
        <w:tc>
          <w:tcPr>
            <w:tcW w:w="452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Defaults Upon Senior Securities</w:t>
              </w:r>
            </w:hyperlink>
          </w:p>
        </w:tc>
        <w:tc>
          <w:tcPr>
            <w:tcW w:w="6500" w:type="dxa"/>
            <w:vAlign w:val="bottom"/>
            <w:gridSpan w:val="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[Removed and Reserved]</w:t>
              </w:r>
            </w:hyperlink>
          </w:p>
        </w:tc>
        <w:tc>
          <w:tcPr>
            <w:tcW w:w="6980" w:type="dxa"/>
            <w:vAlign w:val="bottom"/>
            <w:gridSpan w:val="1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Other Information</w:t>
              </w:r>
            </w:hyperlink>
          </w:p>
        </w:tc>
        <w:tc>
          <w:tcPr>
            <w:tcW w:w="7480" w:type="dxa"/>
            <w:vAlign w:val="bottom"/>
            <w:gridSpan w:val="1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78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3"/>
        </w:trPr>
        <w:tc>
          <w:tcPr>
            <w:tcW w:w="10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160" w:type="dxa"/>
            <w:vAlign w:val="bottom"/>
            <w:gridSpan w:val="14"/>
          </w:tcPr>
          <w:p>
            <w:pPr>
              <w:ind w:left="45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balance sheet as of December 31, 2009,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months ended March 31, 2010 are not necessarily indicative of the results that may be expected for the full year.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4"/>
              <w:spacing w:after="0"/>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7"/>
              </w:rPr>
              <w:t>(In thousands,</w:t>
            </w:r>
          </w:p>
        </w:tc>
        <w:tc>
          <w:tcPr>
            <w:tcW w:w="420" w:type="dxa"/>
            <w:vAlign w:val="bottom"/>
            <w:gridSpan w:val="2"/>
          </w:tcPr>
          <w:p>
            <w:pPr>
              <w:ind w:left="140"/>
              <w:spacing w:after="0"/>
              <w:rPr>
                <w:sz w:val="20"/>
                <w:szCs w:val="20"/>
                <w:color w:val="auto"/>
              </w:rPr>
            </w:pPr>
            <w:r>
              <w:rPr>
                <w:rFonts w:ascii="Arial" w:cs="Arial" w:eastAsia="Arial" w:hAnsi="Arial"/>
                <w:sz w:val="11"/>
                <w:szCs w:val="11"/>
                <w:b w:val="1"/>
                <w:bCs w:val="1"/>
                <w:color w:val="auto"/>
                <w:w w:val="74"/>
              </w:rPr>
              <w:t>except</w:t>
            </w: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00" w:type="dxa"/>
            <w:vAlign w:val="bottom"/>
            <w:gridSpan w:val="3"/>
          </w:tcPr>
          <w:p>
            <w:pPr>
              <w:jc w:val="center"/>
              <w:ind w:right="184"/>
              <w:spacing w:after="0"/>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(including $86,554 and $68,643 of consolidated variable interest entities,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w w:val="92"/>
              </w:rPr>
              <w:t>3,650,711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3,626,476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3,788,881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3,759,234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3"/>
              </w:rPr>
              <w:t>Less accumulated depreciation and amortization (including $3,289 and $3,053 of consolidated variable interest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entities, respectively)</w:t>
            </w:r>
          </w:p>
        </w:tc>
        <w:tc>
          <w:tcPr>
            <w:tcW w:w="100" w:type="dxa"/>
            <w:vAlign w:val="bottom"/>
          </w:tcPr>
          <w:p>
            <w:pPr>
              <w:spacing w:after="0"/>
              <w:rPr>
                <w:sz w:val="20"/>
                <w:szCs w:val="20"/>
                <w:color w:val="auto"/>
              </w:rPr>
            </w:pPr>
          </w:p>
        </w:tc>
        <w:tc>
          <w:tcPr>
            <w:tcW w:w="1000" w:type="dxa"/>
            <w:vAlign w:val="bottom"/>
            <w:gridSpan w:val="2"/>
          </w:tcPr>
          <w:p>
            <w:pPr>
              <w:jc w:val="right"/>
              <w:ind w:right="124"/>
              <w:spacing w:after="0"/>
              <w:rPr>
                <w:sz w:val="20"/>
                <w:szCs w:val="20"/>
                <w:color w:val="auto"/>
              </w:rPr>
            </w:pPr>
            <w:r>
              <w:rPr>
                <w:rFonts w:ascii="Arial" w:cs="Arial" w:eastAsia="Arial" w:hAnsi="Arial"/>
                <w:sz w:val="18"/>
                <w:szCs w:val="18"/>
                <w:color w:val="auto"/>
              </w:rPr>
              <w:t>(963,173)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(938,087)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 estate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2,825,708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2,821,147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Mortgage notes receivable,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 of accumulated amortization of $7,484 and $8,291, respectively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3,096,344</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3,222,309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Mortgages payable (including $23,262 and $23,417 of consolidated variable interest entities,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537,129</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11,694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Senior notes and debentures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1,079,906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Security deposits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1,895,783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2,013,246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4"/>
              </w:rPr>
              <w:t>Preferred shares, authorized 15,000,000 shares, $.01 par: 5.417% Series 1 Cumulative Convertible Preferred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61,341,032 and 61,242,050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issued and outstanding, respectively</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1,656,369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1,653,177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(497,843)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(486,449)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shareholders’ equity of the Trust</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1,169,136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1,177,337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1,200,561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1,209,063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3,096,344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3,222,309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89"/>
              </w:rPr>
              <w:t>March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131,492</w:t>
            </w:r>
          </w:p>
        </w:tc>
        <w:tc>
          <w:tcPr>
            <w:tcW w:w="200" w:type="dxa"/>
            <w:vAlign w:val="bottom"/>
          </w:tcPr>
          <w:p>
            <w:pPr>
              <w:spacing w:after="0"/>
              <w:rPr>
                <w:sz w:val="18"/>
                <w:szCs w:val="18"/>
                <w:color w:val="auto"/>
              </w:rPr>
            </w:pPr>
          </w:p>
        </w:tc>
        <w:tc>
          <w:tcPr>
            <w:tcW w:w="40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131,076</w:t>
            </w: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22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96,898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(25,962)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(2,801)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8"/>
                <w:szCs w:val="18"/>
                <w:color w:val="auto"/>
              </w:rPr>
            </w:pPr>
          </w:p>
        </w:tc>
        <w:tc>
          <w:tcPr>
            <w:tcW w:w="9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(1,334)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Dividends on preferred shares</w:t>
            </w:r>
          </w:p>
        </w:tc>
        <w:tc>
          <w:tcPr>
            <w:tcW w:w="22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301"/>
              <w:spacing w:after="0"/>
              <w:rPr>
                <w:sz w:val="20"/>
                <w:szCs w:val="20"/>
                <w:color w:val="auto"/>
              </w:rPr>
            </w:pPr>
            <w:r>
              <w:rPr>
                <w:rFonts w:ascii="Arial" w:cs="Arial" w:eastAsia="Arial" w:hAnsi="Arial"/>
                <w:sz w:val="14"/>
                <w:szCs w:val="14"/>
                <w:b w:val="1"/>
                <w:bCs w:val="1"/>
                <w:color w:val="auto"/>
                <w:w w:val="88"/>
              </w:rPr>
              <w:t>Shareholders’ Equity of the Trust</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3"/>
              </w:rPr>
              <w:t>Preferred Shares</w:t>
            </w:r>
          </w:p>
        </w:tc>
        <w:tc>
          <w:tcPr>
            <w:tcW w:w="80" w:type="dxa"/>
            <w:vAlign w:val="bottom"/>
          </w:tcPr>
          <w:p>
            <w:pPr>
              <w:spacing w:after="0"/>
              <w:rPr>
                <w:sz w:val="12"/>
                <w:szCs w:val="12"/>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Common Shares</w:t>
            </w:r>
          </w:p>
        </w:tc>
        <w:tc>
          <w:tcPr>
            <w:tcW w:w="40" w:type="dxa"/>
            <w:vAlign w:val="bottom"/>
          </w:tcPr>
          <w:p>
            <w:pPr>
              <w:spacing w:after="0"/>
              <w:rPr>
                <w:sz w:val="12"/>
                <w:szCs w:val="12"/>
                <w:color w:val="auto"/>
              </w:rPr>
            </w:pPr>
          </w:p>
        </w:tc>
        <w:tc>
          <w:tcPr>
            <w:tcW w:w="80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Dividends in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4"/>
        </w:trPr>
        <w:tc>
          <w:tcPr>
            <w:tcW w:w="482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restart"/>
          </w:tcPr>
          <w:p>
            <w:pPr>
              <w:jc w:val="right"/>
              <w:ind w:right="121"/>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8"/>
                <w:szCs w:val="8"/>
                <w:color w:val="auto"/>
              </w:rPr>
            </w:pPr>
          </w:p>
        </w:tc>
        <w:tc>
          <w:tcPr>
            <w:tcW w:w="9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Excess of Net</w:t>
            </w: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0" w:type="dxa"/>
            <w:vAlign w:val="bottom"/>
          </w:tcPr>
          <w:p>
            <w:pPr>
              <w:spacing w:after="0"/>
              <w:rPr>
                <w:sz w:val="8"/>
                <w:szCs w:val="8"/>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35"/>
        </w:trPr>
        <w:tc>
          <w:tcPr>
            <w:tcW w:w="48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820" w:type="dxa"/>
            <w:vAlign w:val="bottom"/>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6"/>
              </w:rPr>
              <w:t>(In thousands, except</w:t>
            </w:r>
          </w:p>
        </w:tc>
        <w:tc>
          <w:tcPr>
            <w:tcW w:w="106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85"/>
              </w:rPr>
              <w:t>share data)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399,896</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$9,997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61,242,050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612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$1,653,177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 (486,449)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$ 1,209,063</w:t>
            </w:r>
          </w:p>
        </w:tc>
        <w:tc>
          <w:tcPr>
            <w:tcW w:w="0" w:type="dxa"/>
            <w:vAlign w:val="bottom"/>
          </w:tcPr>
          <w:p>
            <w:pPr>
              <w:spacing w:after="0"/>
              <w:rPr>
                <w:sz w:val="1"/>
                <w:szCs w:val="1"/>
                <w:color w:val="auto"/>
              </w:rPr>
            </w:pPr>
          </w:p>
        </w:tc>
      </w:tr>
      <w:tr>
        <w:trPr>
          <w:trHeight w:val="322"/>
        </w:trPr>
        <w:tc>
          <w:tcPr>
            <w:tcW w:w="4820" w:type="dxa"/>
            <w:vAlign w:val="bottom"/>
          </w:tcPr>
          <w:p>
            <w:pPr>
              <w:spacing w:after="0"/>
              <w:rPr>
                <w:sz w:val="20"/>
                <w:szCs w:val="20"/>
                <w:color w:val="auto"/>
              </w:rPr>
            </w:pPr>
            <w:r>
              <w:rPr>
                <w:rFonts w:ascii="Arial" w:cs="Arial" w:eastAsia="Arial" w:hAnsi="Arial"/>
                <w:sz w:val="18"/>
                <w:szCs w:val="18"/>
                <w:color w:val="auto"/>
              </w:rPr>
              <w:t>Net income/Comprehensive income</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29,220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4"/>
                <w:szCs w:val="2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30,554</w:t>
            </w: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 common shareholders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(40,479)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(40,479)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Dividends declared to preferred shareholders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 to noncontrolling interests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Common shares issued</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Shares issued under dividend reinvestment plan</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9,712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net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BALANCE AT MARCH 31, 2010</w:t>
            </w: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399,896</w:t>
            </w:r>
          </w:p>
        </w:tc>
        <w:tc>
          <w:tcPr>
            <w:tcW w:w="600" w:type="dxa"/>
            <w:vAlign w:val="bottom"/>
            <w:gridSpan w:val="2"/>
          </w:tcPr>
          <w:p>
            <w:pPr>
              <w:ind w:lef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61,341,032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w w:val="99"/>
              </w:rPr>
              <w:t>613</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1,656,369</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 (497,843)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31,425</w:t>
            </w:r>
          </w:p>
        </w:tc>
        <w:tc>
          <w:tcPr>
            <w:tcW w:w="1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1,200,561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413"/>
              <w:spacing w:after="0" w:line="142"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30,554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11,873</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28,592</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Litigation provision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20,632</w:t>
            </w: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Early extinguishment of senior notes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accounts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accounts payable and accrued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(8,034)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23"/>
        </w:trPr>
        <w:tc>
          <w:tcPr>
            <w:tcW w:w="9500" w:type="dxa"/>
            <w:vAlign w:val="bottom"/>
          </w:tcPr>
          <w:p>
            <w:pPr>
              <w:ind w:left="880"/>
              <w:spacing w:after="0"/>
              <w:rPr>
                <w:sz w:val="20"/>
                <w:szCs w:val="20"/>
                <w:color w:val="auto"/>
              </w:rPr>
            </w:pPr>
            <w:r>
              <w:rPr>
                <w:rFonts w:ascii="Arial" w:cs="Arial" w:eastAsia="Arial" w:hAnsi="Arial"/>
                <w:sz w:val="18"/>
                <w:szCs w:val="18"/>
                <w:color w:val="auto"/>
              </w:rPr>
              <w:t>Decrease in security deposits and other liabilities</w:t>
            </w:r>
          </w:p>
        </w:tc>
        <w:tc>
          <w:tcPr>
            <w:tcW w:w="100" w:type="dxa"/>
            <w:vAlign w:val="bottom"/>
          </w:tcPr>
          <w:p>
            <w:pPr>
              <w:spacing w:after="0"/>
              <w:rPr>
                <w:sz w:val="19"/>
                <w:szCs w:val="19"/>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(1,467)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(22,790)</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Capital expenditures—other</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(5,953)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Leasing costs</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(2,698)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mortgage and other notes receivable,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(11,243)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9500" w:type="dxa"/>
            <w:vAlign w:val="bottom"/>
            <w:vMerge w:val="restart"/>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(25,235)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(30,905)</w:t>
            </w:r>
          </w:p>
        </w:tc>
        <w:tc>
          <w:tcPr>
            <w:tcW w:w="0" w:type="dxa"/>
            <w:vAlign w:val="bottom"/>
          </w:tcPr>
          <w:p>
            <w:pPr>
              <w:spacing w:after="0"/>
              <w:rPr>
                <w:sz w:val="1"/>
                <w:szCs w:val="1"/>
                <w:color w:val="auto"/>
              </w:rPr>
            </w:pPr>
          </w:p>
        </w:tc>
      </w:tr>
      <w:tr>
        <w:trPr>
          <w:trHeight w:val="218"/>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Net borrowings under revolving credit facility, net of costs</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17,500</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senior notes, net of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148,616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Purchase and retirement of senior notes/debentures</w:t>
            </w: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8"/>
              </w:rPr>
              <w:t>(252,866)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(40,553)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(38,480)</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(1,635)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8"/>
              </w:rPr>
              <w:t>(145,521)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(34,444)</w:t>
            </w: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w w:val="88"/>
              </w:rPr>
              <w:t>(112,795)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18"/>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135,389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22,594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22,460</w:t>
            </w: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March 31, 2010, we owned or had a majority interest in community and neighborhood shopping centers and mixed-use properties which are operated as 84 predominantly retail real estate projects.</w:t>
      </w:r>
    </w:p>
    <w:p>
      <w:pPr>
        <w:spacing w:after="0" w:line="11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All significant intercompany transactions and balances are eliminated in consolidation. We account for our interests in joint ventures, which we do not control or manage, using the equity method of accounting. Certain 2009 amounts have been reclassified to conform to current period presentation.</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21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79"/>
              </w:rPr>
              <w:t>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27,489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24,950</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(1,527)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
        </w:trPr>
        <w:tc>
          <w:tcPr>
            <w:tcW w:w="9300" w:type="dxa"/>
            <w:vAlign w:val="bottom"/>
            <w:vMerge w:val="restart"/>
          </w:tcPr>
          <w:p>
            <w:pPr>
              <w:ind w:left="88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0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25,962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23,583</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32,620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24,033</w:t>
            </w:r>
          </w:p>
        </w:tc>
        <w:tc>
          <w:tcPr>
            <w:tcW w:w="0" w:type="dxa"/>
            <w:vAlign w:val="bottom"/>
          </w:tcPr>
          <w:p>
            <w:pPr>
              <w:spacing w:after="0"/>
              <w:rPr>
                <w:sz w:val="1"/>
                <w:szCs w:val="1"/>
                <w:color w:val="auto"/>
              </w:rPr>
            </w:pPr>
          </w:p>
        </w:tc>
      </w:tr>
      <w:tr>
        <w:trPr>
          <w:trHeight w:val="20"/>
        </w:trPr>
        <w:tc>
          <w:tcPr>
            <w:tcW w:w="9300" w:type="dxa"/>
            <w:vAlign w:val="bottom"/>
            <w:vMerge w:val="restart"/>
          </w:tcPr>
          <w:p>
            <w:pPr>
              <w:ind w:left="440"/>
              <w:spacing w:after="0"/>
              <w:rPr>
                <w:sz w:val="20"/>
                <w:szCs w:val="20"/>
                <w:color w:val="auto"/>
              </w:rPr>
            </w:pPr>
            <w:r>
              <w:rPr>
                <w:rFonts w:ascii="Arial" w:cs="Arial" w:eastAsia="Arial" w:hAnsi="Arial"/>
                <w:sz w:val="18"/>
                <w:szCs w:val="18"/>
                <w:color w:val="auto"/>
              </w:rPr>
              <w:t>Cash (received) paid for income taxes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0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(28)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June 2009, the Financial Accounting Standards Board (“FASB”) issued a new accounting standard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Under the new standard, the primary beneficiary has both the power to direct the activities that most significantly impact economic performance of the VIE and the obligation to absorb losses or the right to receive benefits that could potentially be significant to the VIE.</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adopted the standard effective January 1, 2010. The adoption did not have a material impact to our financial statements. The newly required balance sheet disclosures regarding assets and liabilities of a consolidated VIE have been parenthetically included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balance sheet. These parenthetical amounts relate to Melville Mall in Huntington, New York and a shopping center and adjacent commercial building in Norwalk, Connecticut, which is further discussed in Note 3 below.</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Although the adoption of this standard did not have a material impact to our financial statements, this standard could impact future consolidation of entities based on the specific facts and circumstances of those entities.</w:t>
      </w:r>
    </w:p>
    <w:p>
      <w:pPr>
        <w:spacing w:after="0" w:line="132"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During the quarter ended March 31, 2010, the FASB issued an amendment eliminating the requirement to disclose the date through which subsequent events have been evaluated, which was effective upon issuance of the amendment. Consequently, this disclosure is no longer included in the notes to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2—REAL ESTATE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2010, we had no acquisitions or dispositions.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3—MORTGAGE NOTES RECEIVABLE</w:t>
      </w:r>
    </w:p>
    <w:p>
      <w:pPr>
        <w:spacing w:after="0" w:line="96"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On March 30, 2010, we acquired the first mortgage loan on a shopping center located in Norwalk, Connecticut. The first mortgage loan has an outstanding principal balance of $10.9 million, bears interest at 7.25% and matures on September 1, 2032. Since November 5, 2008, we have held the second mortgage on this shopping center and a first mortgage on an adjacent commercial building which has an outstanding balance of $7.4 million at March 31, 2010. All of these loans are currently in default and foreclosure proceedings have been filed. If we foreclose on the properties, we believe the fair value of the properties approximates our carrying amount of these loans which are on non-accrual status.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the loans are in default, we have certain participating rights under the first mortgage loan agreement. Therefore, while we are not currently exercising those rights and do not expect to exercise certain of those rights, the loan agreement gives us the ability to direct the activities that most significantly impact the shopping center resulting in the entity being a VIE. Additionally, given our investment in both the first and second mortgage on the property, the overall decline in fair market value since the loans were initiated, and the current default status of the loans, we also have the obligation to absorb losses or rights to receive benefits that could potentially be significant to the VIE. Consequently, we have determined we are the primary beneficiary of this VIE and consolidated the shopping center and adjacent building as of March 30, 2010. Therefore, our investment in the property is included in “real estate” in the consolidated balance sheet as of March 31, 2010.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2010,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The Partnership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3"/>
          </w:tcPr>
          <w:p>
            <w:pPr>
              <w:jc w:val="center"/>
              <w:ind w:right="19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Revenue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4,655</w:t>
            </w:r>
          </w:p>
        </w:tc>
        <w:tc>
          <w:tcPr>
            <w:tcW w:w="36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4,082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4,060</w:t>
            </w:r>
          </w:p>
        </w:tc>
        <w:tc>
          <w:tcPr>
            <w:tcW w:w="20" w:type="dxa"/>
            <w:vAlign w:val="bottom"/>
          </w:tcPr>
          <w:p>
            <w:pPr>
              <w:spacing w:after="0"/>
              <w:rPr>
                <w:sz w:val="18"/>
                <w:szCs w:val="18"/>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573</w:t>
            </w:r>
          </w:p>
        </w:tc>
        <w:tc>
          <w:tcPr>
            <w:tcW w:w="36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628</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6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0" w:type="dxa"/>
            <w:vAlign w:val="bottom"/>
            <w:gridSpan w:val="3"/>
          </w:tcPr>
          <w:p>
            <w:pPr>
              <w:jc w:val="center"/>
              <w:ind w:right="272"/>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60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3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356"/>
              <w:spacing w:after="0" w:line="142" w:lineRule="exact"/>
              <w:rPr>
                <w:sz w:val="20"/>
                <w:szCs w:val="20"/>
                <w:color w:val="auto"/>
              </w:rPr>
            </w:pPr>
            <w:r>
              <w:rPr>
                <w:rFonts w:ascii="Arial" w:cs="Arial" w:eastAsia="Arial" w:hAnsi="Arial"/>
                <w:sz w:val="14"/>
                <w:szCs w:val="14"/>
                <w:b w:val="1"/>
                <w:bCs w:val="1"/>
                <w:color w:val="auto"/>
                <w:w w:val="79"/>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Real estate, net</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182,795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183,757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3,614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Other assets</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6,574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192,983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193,569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vMerge w:val="continue"/>
          </w:tcPr>
          <w:p>
            <w:pPr>
              <w:spacing w:after="0"/>
              <w:rPr>
                <w:sz w:val="18"/>
                <w:szCs w:val="18"/>
                <w:color w:val="auto"/>
              </w:rPr>
            </w:pP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57,732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57,780</w:t>
            </w:r>
          </w:p>
        </w:tc>
        <w:tc>
          <w:tcPr>
            <w:tcW w:w="0" w:type="dxa"/>
            <w:vAlign w:val="bottom"/>
          </w:tcPr>
          <w:p>
            <w:pPr>
              <w:spacing w:after="0"/>
              <w:rPr>
                <w:sz w:val="1"/>
                <w:szCs w:val="1"/>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6,108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Partners’ capital</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129,143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192,983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193,569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vMerge w:val="continue"/>
          </w:tcPr>
          <w:p>
            <w:pPr>
              <w:spacing w:after="0"/>
              <w:rPr>
                <w:sz w:val="18"/>
                <w:szCs w:val="18"/>
                <w:color w:val="auto"/>
              </w:rPr>
            </w:pP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17,320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17,334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35,453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28, 2010, we delivered notice exercising our option to extend the maturity date by one year to July 27, 2011 of our revolving credit facility, which bears interest at LIBOR plus 42.5 basis points. We paid an extension fee of $0.5 million which is being amortized over the remaining term of the revolving credit facility.</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March 1, 2010, we issued $150.0 million of fixed rate senior notes that mature on April 1, 2020 and bear interest at 5.90%. The net proceeds from this note offering after issuance discounts, underwriting fees and other costs were $148.5 million.</w:t>
      </w:r>
    </w:p>
    <w:p>
      <w:pPr>
        <w:spacing w:after="0" w:line="13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On various dates from February 25, 2010 to March 2, 2010, we repaid the remaining $250.0 million balance of our term loan. The term loan had an original maturity date of July 27, 2011, however, the loan agreement included an option to prepay the loan, in whole or in part, at any time without premium or penalty. Due to these repayments, approximately $2.8 million of unamortized debt fees were recorded as additional interest expense in 2010 and are included in “early extinguishment of debt” in the consolidated statement of operations. The term loan was repaid using cash on hand and cash from the $150.0 million note issuance.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As of and for the three months ended March 31, 2010, there was no balance outstanding on our revolving credit facility.</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March 31, 2010,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380"/>
              <w:spacing w:after="0"/>
              <w:rPr>
                <w:sz w:val="20"/>
                <w:szCs w:val="20"/>
                <w:color w:val="auto"/>
              </w:rPr>
            </w:pPr>
            <w:r>
              <w:rPr>
                <w:rFonts w:ascii="Arial" w:cs="Arial" w:eastAsia="Arial" w:hAnsi="Arial"/>
                <w:sz w:val="14"/>
                <w:szCs w:val="14"/>
                <w:b w:val="1"/>
                <w:bCs w:val="1"/>
                <w:color w:val="auto"/>
              </w:rPr>
              <w:t>March 31, 2010</w:t>
            </w:r>
          </w:p>
        </w:tc>
      </w:tr>
      <w:tr>
        <w:trPr>
          <w:trHeight w:val="129"/>
        </w:trPr>
        <w:tc>
          <w:tcPr>
            <w:tcW w:w="384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6"/>
              <w:spacing w:after="0" w:line="12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38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66"/>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center"/>
              <w:ind w:right="419"/>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Mortgages and notes payable</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548,823</w:t>
            </w:r>
          </w:p>
        </w:tc>
        <w:tc>
          <w:tcPr>
            <w:tcW w:w="3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581,121</w:t>
            </w:r>
          </w:p>
        </w:tc>
        <w:tc>
          <w:tcPr>
            <w:tcW w:w="2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1,079,906</w:t>
            </w:r>
          </w:p>
        </w:tc>
        <w:tc>
          <w:tcPr>
            <w:tcW w:w="320" w:type="dxa"/>
            <w:vAlign w:val="bottom"/>
            <w:gridSpan w:val="2"/>
          </w:tcPr>
          <w:p>
            <w:pPr>
              <w:jc w:val="center"/>
              <w:ind w:left="11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1,127,679</w:t>
            </w:r>
          </w:p>
        </w:tc>
        <w:tc>
          <w:tcPr>
            <w:tcW w:w="20" w:type="dxa"/>
            <w:vAlign w:val="bottom"/>
          </w:tcPr>
          <w:p>
            <w:pPr>
              <w:spacing w:after="0"/>
              <w:rPr>
                <w:sz w:val="19"/>
                <w:szCs w:val="19"/>
                <w:color w:val="auto"/>
              </w:rPr>
            </w:pPr>
          </w:p>
        </w:tc>
      </w:tr>
      <w:tr>
        <w:trPr>
          <w:trHeight w:val="356"/>
        </w:trPr>
        <w:tc>
          <w:tcPr>
            <w:tcW w:w="3840" w:type="dxa"/>
            <w:vAlign w:val="bottom"/>
          </w:tcPr>
          <w:p>
            <w:pPr>
              <w:spacing w:after="0"/>
              <w:rPr>
                <w:sz w:val="24"/>
                <w:szCs w:val="24"/>
                <w:color w:val="auto"/>
              </w:rPr>
            </w:pPr>
          </w:p>
        </w:tc>
        <w:tc>
          <w:tcPr>
            <w:tcW w:w="5720" w:type="dxa"/>
            <w:vAlign w:val="bottom"/>
          </w:tcPr>
          <w:p>
            <w:pPr>
              <w:jc w:val="right"/>
              <w:ind w:right="36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4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 trial on the issue of damages was held in April 2008 and the court issued a tentative ruling in April 2009 awarding damages to the plaintiff of approximately $14.4 million plus interest. Accordingly, considering all the information available to us when we filed our March 31, 2009 Form 10-Q, our best estimate of damages, interest, and other costs was $21.4 million resulting in an increase in our accrual for this matter of $20.6 million. In June 2009, the court issued a final judgment awarding damages of $15.9 million (including interest) plus costs of suit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Given the additional information regarding the appeal, we lowered our accrual to $16.4 million in the fourth quarter 2009, which reflects our best estimate of the litigation liability. The net increase in our accrual in 2009 is included in “litigation provision” in our consolidated statement of operations, and the $16.4 million accrual is included in the “accounts payable and accrued expenses” line item in our consolidated balance sheets. During 2009 and 2010, we incurred additional legal and other costs related to this lawsuit and appeal process which are also included in the “litigation provision” line item in the consolidated statement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We expect oral arguments on the appeal to be scheduled for later in 2010. The enforcement of the judgment has been stayed until completion of the</w:t>
      </w:r>
    </w:p>
    <w:p>
      <w:pPr>
        <w:spacing w:after="0" w:line="38"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appeals.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371,260 operating partnership units are outstanding which have a total fair value of $27.0 million, based on our closing stock price on March 31,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20" w:type="dxa"/>
            <w:vAlign w:val="bottom"/>
            <w:gridSpan w:val="10"/>
          </w:tcPr>
          <w:p>
            <w:pPr>
              <w:ind w:left="4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6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40" w:type="dxa"/>
            <w:vAlign w:val="bottom"/>
            <w:tcBorders>
              <w:top w:val="single" w:sz="8" w:color="auto"/>
            </w:tcBorders>
            <w:gridSpan w:val="3"/>
          </w:tcPr>
          <w:p>
            <w:pPr>
              <w:jc w:val="right"/>
              <w:ind w:right="4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right"/>
              <w:ind w:right="41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20" w:type="dxa"/>
            <w:vAlign w:val="bottom"/>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464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w w:val="83"/>
              </w:rPr>
              <w:t>$ 0.660</w:t>
            </w:r>
          </w:p>
        </w:tc>
        <w:tc>
          <w:tcPr>
            <w:tcW w:w="82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$0.660</w:t>
            </w:r>
          </w:p>
        </w:tc>
        <w:tc>
          <w:tcPr>
            <w:tcW w:w="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$ 0.650</w:t>
            </w:r>
          </w:p>
        </w:tc>
        <w:tc>
          <w:tcPr>
            <w:tcW w:w="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$0.650</w:t>
            </w:r>
          </w:p>
        </w:tc>
        <w:tc>
          <w:tcPr>
            <w:tcW w:w="20" w:type="dxa"/>
            <w:vAlign w:val="bottom"/>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4640" w:type="dxa"/>
            <w:vAlign w:val="bottom"/>
            <w:gridSpan w:val="2"/>
          </w:tcPr>
          <w:p>
            <w:pPr>
              <w:ind w:left="4120"/>
              <w:spacing w:after="0"/>
              <w:rPr>
                <w:sz w:val="20"/>
                <w:szCs w:val="20"/>
                <w:color w:val="auto"/>
              </w:rPr>
            </w:pPr>
            <w:r>
              <w:rPr>
                <w:rFonts w:ascii="Arial" w:cs="Arial" w:eastAsia="Arial" w:hAnsi="Arial"/>
                <w:sz w:val="18"/>
                <w:szCs w:val="18"/>
                <w:color w:val="auto"/>
                <w:w w:val="83"/>
              </w:rPr>
              <w:t>$ 0.339</w:t>
            </w:r>
          </w:p>
        </w:tc>
        <w:tc>
          <w:tcPr>
            <w:tcW w:w="82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$0.339</w:t>
            </w:r>
          </w:p>
        </w:tc>
        <w:tc>
          <w:tcPr>
            <w:tcW w:w="760" w:type="dxa"/>
            <w:vAlign w:val="bottom"/>
            <w:gridSpan w:val="3"/>
          </w:tcPr>
          <w:p>
            <w:pPr>
              <w:ind w:left="120"/>
              <w:spacing w:after="0"/>
              <w:rPr>
                <w:sz w:val="20"/>
                <w:szCs w:val="20"/>
                <w:color w:val="auto"/>
              </w:rPr>
            </w:pPr>
            <w:r>
              <w:rPr>
                <w:rFonts w:ascii="Arial" w:cs="Arial" w:eastAsia="Arial" w:hAnsi="Arial"/>
                <w:sz w:val="18"/>
                <w:szCs w:val="18"/>
                <w:color w:val="auto"/>
              </w:rPr>
              <w:t>$ 0.339</w:t>
            </w:r>
          </w:p>
        </w:tc>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$0.339</w:t>
            </w:r>
          </w:p>
        </w:tc>
        <w:tc>
          <w:tcPr>
            <w:tcW w:w="20" w:type="dxa"/>
            <w:vAlign w:val="bottom"/>
          </w:tcPr>
          <w:p>
            <w:pPr>
              <w:spacing w:after="0"/>
              <w:rPr>
                <w:sz w:val="19"/>
                <w:szCs w:val="19"/>
                <w:color w:val="auto"/>
              </w:rPr>
            </w:pPr>
          </w:p>
        </w:tc>
      </w:tr>
      <w:tr>
        <w:trPr>
          <w:trHeight w:val="356"/>
        </w:trPr>
        <w:tc>
          <w:tcPr>
            <w:tcW w:w="4600" w:type="dxa"/>
            <w:vAlign w:val="bottom"/>
          </w:tcPr>
          <w:p>
            <w:pPr>
              <w:spacing w:after="0"/>
              <w:rPr>
                <w:sz w:val="24"/>
                <w:szCs w:val="24"/>
                <w:color w:val="auto"/>
              </w:rPr>
            </w:pPr>
          </w:p>
        </w:tc>
        <w:tc>
          <w:tcPr>
            <w:tcW w:w="4120" w:type="dxa"/>
            <w:vAlign w:val="bottom"/>
          </w:tcPr>
          <w:p>
            <w:pPr>
              <w:jc w:val="right"/>
              <w:ind w:right="2832"/>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center"/>
              <w:ind w:right="31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93,973</w:t>
            </w:r>
          </w:p>
        </w:tc>
        <w:tc>
          <w:tcPr>
            <w:tcW w:w="340" w:type="dxa"/>
            <w:vAlign w:val="bottom"/>
            <w:gridSpan w:val="2"/>
          </w:tcPr>
          <w:p>
            <w:pPr>
              <w:jc w:val="center"/>
              <w:ind w:left="11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93,517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Cost reimbursement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131,492</w:t>
            </w:r>
          </w:p>
        </w:tc>
        <w:tc>
          <w:tcPr>
            <w:tcW w:w="34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127,206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Minimum rents include $1.1 million and $1.4 million for the three months ended March 31, 2010 and 2009, respectively, to recognize minimum rents on a straight-line basis. In addition, minimum rents include $0.4 million for the three months ended March 31, 2010 and 2009, to recognize income from the amortization of in-place leases. Residential minimum rents consist of the rental amounts for residential units at Rollingwood Apartments, the Crest at Congressional Plaza Apartments, Santana Row, and Bethesda Row.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9900" w:type="dxa"/>
            <w:vAlign w:val="bottom"/>
          </w:tcPr>
          <w:p>
            <w:pPr>
              <w:spacing w:after="0"/>
              <w:rPr>
                <w:sz w:val="14"/>
                <w:szCs w:val="14"/>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9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900" w:type="dxa"/>
            <w:vAlign w:val="bottom"/>
          </w:tcPr>
          <w:p>
            <w:pPr>
              <w:spacing w:after="0"/>
              <w:rPr>
                <w:sz w:val="12"/>
                <w:szCs w:val="12"/>
                <w:color w:val="auto"/>
              </w:rPr>
            </w:pPr>
          </w:p>
        </w:tc>
        <w:tc>
          <w:tcPr>
            <w:tcW w:w="540" w:type="dxa"/>
            <w:vAlign w:val="bottom"/>
          </w:tcPr>
          <w:p>
            <w:pPr>
              <w:jc w:val="right"/>
              <w:ind w:right="1"/>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222"/>
              <w:spacing w:after="0" w:line="142"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$ 1,554</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$ 1,722</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1,826</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8"/>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(193)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color w:val="auto"/>
              </w:rPr>
              <w:t>Share-based compensation expense</w:t>
            </w: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$ 1,633</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$ 1,938</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SHARE</w:t>
      </w:r>
    </w:p>
    <w:p>
      <w:pPr>
        <w:spacing w:after="0" w:line="1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2010 and 2009, we had approximately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certain stock options have been excluded as they were anti-dilutive. The conversions of downREIT operating partnership units and Series 1 Preferred Shares are anti-dilutive for all periods presented and accordingly, have been excluded from the weighted average common shares used to compute diluted EPS.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5"/>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30,554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share dividends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(1,334)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Less: Earnings allocated to unvested shares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28,951</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28,951</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61,089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61,220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58,960</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attributable to the Trust</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29,220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September 2008, we and a subsidiary of Post Properties, Inc.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ordering Vornado to sell to us and Post, collectively, the land under Pentagon Row for the remaining net purchase price of approximately $14.7 million. Based on indications from Vornado, we anticipate that Vornado will appeal.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2009 filed with the Securities and Exchange Commission on February 17, 2010.</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2009,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2010, we owned or had a majority interest in community and neighborhood shopping centers and mixed-use properties which are operated as 84 predominantly retail real estate projects comprising approximately 18.2 million square feet. In total, the real estate projects were 94.1% leased and 93.5% occupied at March 31, 2010. A joint venture in which we own a 30% interest owned seven retail real estate projects totaling approximately 1.0 million square feet as of March 31, 2010. In total, the joint venture properties in which we own an interest were 84.2% leased and occupied at March 31, 2010.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Significant Debt, Equity and Other Transactions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28, 2010, we delivered notice exercising our option to extend the maturity date by one year to July 27, 2011 of our revolving credit facility, which bears interest at LIBOR plus 42.5 basis points. We paid an extension fee of $0.5 million which is being amortized over the remaining term of the revolving credit facility.</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March 1, 2010, we issued $150.0 million of fixed rate senior notes that mature on April 1, 2020 and bear interest at 5.90%. The net proceeds from this note offering after issuance discounts, underwriting fees and other costs were $148.5 million.</w:t>
      </w:r>
    </w:p>
    <w:p>
      <w:pPr>
        <w:spacing w:after="0" w:line="13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On various dates from February 25, 2010 to March 2, 2010, we repaid the remaining $250.0 million balance of our term loan. The term loan had an original maturity date of July 27, 2011, however, the loan agreement included an option to prepay the loan, in whole or in part, at any time without premium or penalty. Due to these repayments, approximately $2.8 million of unamortized debt fees were recorded as additional interest expense in 2010 and are included in “early extinguishment of debt” in the consolidated statement of operations. The term loan was repaid using cash on hand and cash from the $150.0 million note issuance.</w:t>
      </w:r>
    </w:p>
    <w:p>
      <w:pPr>
        <w:spacing w:after="0" w:line="98"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On March 30, 2010, we acquired the first mortgage loan on a shopping center located in Norwalk, Connecticut. The first mortgage loan has an outstanding principal balance of $10.9 million, bears interest at 7.25% and matures on September 1, 2032. Since November 5, 2008, we have held the second mortgage on this shopping center and a first mortgage on an adjacent commercial building which has an outstanding balance of $7.4 million at March 31, 2010. All of these loans are currently in default and foreclosure proceedings have been filed. If we foreclose on the properties, we believe the fair value of the properties approximates our carrying amount of these loans which are on non-accrual status.</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the loans are in default, we have certain participating rights under the first mortgage loan agreement. Therefore, while we are not currently exercising those rights and do not expect to exercise certain of those rights, the loan agreement gives us the ability to direct the activities that most significantly impact the shopping center resulting in the entity being a VIE. Additionally, given our investment in both the first and second mortgage on the property, the overall decline in fair market value since the loans were initiated, and the current default status of the loans, we also have the obligation to absorb losses or rights to receive benefits that could potentially be significant to the VIE. Consequently, we have determined we are the primary beneficiary of this VIE and consolidated the shopping center and adjacent building as of March 30, 2010. Therefore, our investment in the property is included in “real estate” in the consolidated balance sheet as of March 31, 2010.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properties are located in densely populated and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and believe that the decrease in occupancy we have experienced beginning in 2008 as a result of the economic recession will provide future redevelopment opportunities that may not have otherwise been available. In 2010 and 2011, we expect to have redevelopment projects stabilizing with projected costs of approximately $28 million and $57 million, respectively.</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Additionally, we continue to invest in the development at Assembly Square which is a long-term development project we expect to be involved in over the coming years. The project currently has zoning entitlements to build 2.3 million square feet of commercial-use buildings, 2,100 residential units, and a 200 room hotel. We expect that we will structure any future development in a manner designed to mitigate our risk which may include transfers of entitlements or co-developing with other real estate companies. Continuing in 2010, we will be completing certain infrastructure work as well as continuing our current predevelopment work. We expect to receive approximately $10 million of public funding in 2010 related to the infrastructure work we have completed and we expect the Commonwealth of Massachusetts will complete certain additional infrastructure work using government stimulus funds. We expect to invest between $10 million and $30 million related to the development in 2010, net of expected public funding.</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continue to review acquisition opportunities in our primary markets that complement our portfolio and provide long-term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the assumption or creation of mortgages.</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The current economic environment may, however, impact our ability to increase rental rates in the short-term and may require us to decrease some rental rates. This will have a long-term impact over the contractual term of the lease agreement, which on average is between five and ten years. We expect to continue to see small changes in occupancy over the short term and expect increases in occupancy to be a driver of our same-center growth over the long term as we are able to re-lease these vacant spaces. We seek to maintain a mix of strong national, regional, and local retailers. At March 31, 2010, no single tenant accounted for more than 2.6% of annualized base rent.</w:t>
      </w:r>
    </w:p>
    <w:p>
      <w:pPr>
        <w:spacing w:after="0" w:line="11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current downturn in the economy has impacted the success of our tenants’ retail operations and therefore the amount of rent and expense reimbursements we receive from our tenants. We have seen tenants experiencing declining sales, vacating early, or filing for bankruptcy, as well as seeking rent relief from us as landlord. Any reduction in our tenants’ abilities to pay base rent, percentage rent or other charges, will adversely affect our financial condition and results of operations. Further, our ability to re-lease vacant spaces may be negatively impacted by the current economic environment. While we believe the locations of our centers and diverse tenant base should mitigate the negative impact of the economic environment, we may continue to see an increase in vacancy that will have a negative impact on our revenue and bad debt expense. We continue to monitor our tenants’ operating performances as well as trends in the retail industry to evaluate any future impact.</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March 31, 2010, the leasable square feet in our properties was 93.5% occupied and 94.1%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MARCH 31, 2010 AND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8"/>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(Dollar amounts in 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131,492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127,206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3,309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Total property revenue</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138,470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131,076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7,394</w:t>
            </w:r>
          </w:p>
        </w:tc>
        <w:tc>
          <w:tcPr>
            <w:tcW w:w="3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Real estate taxes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3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Property operating income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88,547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4,816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(25,962)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(23,583)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(2,379)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(2,815)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20107.1%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Litigation provision</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(20,632)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20,518</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(28,932)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(28,592)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line="20" w:lineRule="exact"/>
              <w:rPr>
                <w:sz w:val="1"/>
                <w:szCs w:val="1"/>
                <w:color w:val="auto"/>
              </w:rPr>
            </w:pPr>
          </w:p>
        </w:tc>
      </w:tr>
      <w:tr>
        <w:trPr>
          <w:trHeight w:val="230"/>
        </w:trPr>
        <w:tc>
          <w:tcPr>
            <w:tcW w:w="77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(62,809)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(77,646)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14,837</w:t>
            </w:r>
          </w:p>
        </w:tc>
        <w:tc>
          <w:tcPr>
            <w:tcW w:w="7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19,653</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11,873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18,681</w:t>
            </w: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the Trust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29,220</w:t>
            </w: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10,484</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18,736</w:t>
            </w: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property revenue increased $7.4 million, or 5.6%, to $138.5 million in the three months ended March 31, 2010 compared to $131.1 million in the three months ended March 31, 2009. The percentage occupied at our shopping centers increased slightly to 93.5% at March 31, 2010 compared to 93.4% at March 31, 2009.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$4.3 million, or 3.4%,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$131.5 million in the three months ended March 31, 2010 compared to $127.2 million in the three months ended March 31, 2009 due primarily to the following:</w:t>
      </w:r>
    </w:p>
    <w:p>
      <w:pPr>
        <w:spacing w:after="0" w:line="107" w:lineRule="exact"/>
        <w:rPr>
          <w:sz w:val="20"/>
          <w:szCs w:val="20"/>
          <w:color w:val="auto"/>
        </w:rPr>
      </w:pPr>
    </w:p>
    <w:p>
      <w:pPr>
        <w:ind w:left="900" w:right="5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$3.7 million at same-center properties due primarily to increased cost reimbursements as a result of higher snow removal costs, increased temporary tenant income, and higher rental rates on new and renewal leases, and</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$0.6 million at redevelopment properties due primarily to increased cost reimbursements, increased occupancy and increased rental rates on new leases.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property income increased $3.3 million, or 127.1%, to $5.9 million in the three months ended March 31, 2010 compared to $2.6 million in the three months ended March 31, 2009. Included in other property income are items which, although recurring, tend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fluctuate more than rental income from period to period, such as lease termination fees. This increase is primarily due to an increase in lease termination fees at redevelopment and same-center properties.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Total property expenses increased $2.6 million, or 6.1%, to $45.1 million in the three months ended March 31, 2010 compared to $42.5 million in the three months ended March 31, 2009.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Rental expenses increased $1.3 million, or 4.6%, to $30.0 million in the three months ended March 31, 2010 compared to $28.7 million in the three months ended March 31, 2009. This increase is due primarily to an increase of $2.8 million in snow removal costs partially offset by a decrease of $1.3 million in bad debt expense at same-center properties.</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21.8% in the three months ended March 31, 2010 from 22.1% in the three months ended March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Real estate tax expense increased $1.3 million, or 9.2%, to $15.1 million in the three months ended March 31, 2010 compared to $13.8 million in the three months ended March 31, 2009 due primarily to higher tax assessments at same-center and redevelopment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Property operating income increased $4.8 million, or 5.4%, to $93.4 million in the three months ended March 31, 2010 compared to $88.5 million in the three months ended March 31, 2009. This increase is due to growth in earnings at redevelopment and same-center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expense increased $2.4 million, or 10.1%, to $26.0 million in the three months ended March 31, 2010 compared to $23.6 million in the three months ended March 31, 2009. This increase is due primarily to an increase of $2.5 million due to a higher overall weighted average borrowing rate partially offset by an increase of $0.2 million in capitalized interest.</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Gross interest costs were $27.5 million and $25.0 million in the three months ended March 31, 2010 and 2009, respectively. Capitalized interest was $1.5 million and $1.4 million in the three months ended March 31, 2010 and 2009,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$2.8 million early extinguishment of debt expense in the three months ended March 31, 2010 is due to the write-off of unamortized debt fees related to the $250.0 million payoff of the term loan prior to its maturity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w:t>
      </w:r>
    </w:p>
    <w:p>
      <w:pPr>
        <w:spacing w:after="0" w:line="9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$0.1 million litigation provision in the three months ended March 31, 2010 is due to certain costs related to the litigation and appeal process over a parcel of land located adjacent to Santana Row. The $20.6 million litigation provision in the three months ended March 31, 2009 relates to increasing the accrual for such litigation matter. See Note 7 to the consolidated financial statements in this Form 10-Q for further discussion on the litigation.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2009, the Financial Accounting Standards Board (“FASB”) issued a new accounting standard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Under the new standard, the primary beneficiary has both the power to direct the activities that most significantly impact economic performance of the VIE and the obligation to absorb losses or the right to receive benefits that could potentially be significant to the VIE.</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adopted the standard effective January 1, 2010. The adoption did not have a material impact to our financial statements. The newly required balance sheet disclosures regarding assets and liabilities of a consolidated VIE have been parenthetically included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our balance sheet. These parenthetical amounts relate to Melville Mall in Huntington, New York and a shopping center and adjacent commercial building in Norwalk, Connecticut, which is further discussed in Note 3 to the consolidated financial statements in this Form 10-Q.</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Although the adoption of this standard did not have a material impact to our financial statements, this standard could impact future consolidation of entities based on the specific facts and circumstances of those entities.</w:t>
      </w:r>
    </w:p>
    <w:p>
      <w:pPr>
        <w:spacing w:after="0" w:line="132"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During the quarter ended March 31, 2010, the FASB issued an amendment eliminating the requirement to disclose the date through which subsequent events have been evaluated, which was effective upon issuance of the amendment. Consequently, this disclosure is no longer included in the notes to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4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 In March 2010, we took advantage of lower long-term interest rates and issued $150 million of 10-year senior notes at a 5.90% interest rate. Using funds from the senior note offering as well as cash on hand, we repaid the outstanding $250 million balance on our term loan in advance of it maturing in July 2011. Cash and cash equivalents decreased $112.8 million to $22.6 million at March 31, 2010 due to the debt transactions discussed above; however, cash and cash equivalents are not a good indicator of our liquidity. We have a $300 million unsecured revolving credit facility that matures July 27, 2011, of which we had no outstanding balance at March 31, 2010. At March 31, 2010, we also have no scheduled debt maturities until 2011. We currently believe that cash flows from operations, cash on hand, our revolving credit facility, and proceeds from additional capital transactions will be sufficient to finance our operations and fund our capital expenditures.</w:t>
      </w:r>
    </w:p>
    <w:p>
      <w:pPr>
        <w:spacing w:after="0" w:line="12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Our overall capital requirements during the remainder of 2010 will depend upon acquisition opportunities, the level of improvements and redevelopments of existing properties and the timing and cost of development of future phases of existing properties. While the amount of future expenditures will depend on numerous factors, we expect to invest similar levels of capital expenditures in 2010 compared to prior periods which will be funded on a short-term basis with cash flow from operations and/or the revolving credit facility, and on a long-term basis, with long-term debt or equity. If market conditions deteriorate, we may also delay the timing of certain development and redevelopment projects as well as limit future acquisitions, or re-evaluate our dividend policy.</w:t>
      </w:r>
    </w:p>
    <w:p>
      <w:pPr>
        <w:spacing w:after="0" w:line="1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51" w:lineRule="exact"/>
        <w:rPr>
          <w:sz w:val="20"/>
          <w:szCs w:val="20"/>
          <w:color w:val="auto"/>
        </w:rPr>
      </w:pPr>
    </w:p>
    <w:p>
      <w:pPr>
        <w:ind w:left="900" w:right="2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42"/>
        </w:trPr>
        <w:tc>
          <w:tcPr>
            <w:tcW w:w="9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76"/>
              </w:rPr>
              <w:t>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57,961</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72,586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0" w:type="dxa"/>
            <w:vAlign w:val="bottom"/>
          </w:tcPr>
          <w:p>
            <w:pPr>
              <w:spacing w:after="0"/>
              <w:rPr>
                <w:sz w:val="18"/>
                <w:szCs w:val="18"/>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(25,235)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(30,905)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(145,521)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(34,444)</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(112,795)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18"/>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22,594</w:t>
            </w:r>
          </w:p>
        </w:tc>
        <w:tc>
          <w:tcPr>
            <w:tcW w:w="2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22,460</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Net cash provided by operating activities decreased $14.6 million to $58.0 million during the three months ended March 31, 2010 from $72.6 million during the three months ended March 31, 2009. The decrease was primarily attributable to timing of interest payments on our senior notes and term loan as a result of changes in the debt outstanding in 2009 and 2010, higher unbilled accounts receivable as a result of significant increases in snow removal costs in 2010, and timing of payments related to operating expenses.</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cash used in investing activities decreased $5.7 million to $25.2 million during the three months ended March 31, 2010 from $30.9 million during the three months ended March 31, 2009. The decrease was primarily attributable to:</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$18.1 million decrease in 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$10.5 million acquisition of a first mortgage loan in March 2010,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$1.3 million increase in leasing costs.</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Net cash used in financing activities increased $111.1 million to $145.5 million during the three months ended March 31, 2010 from $34.4 million during the three months ended March 31, 2009. The increase was primarily attributable to:</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$250 million payoff of our term loan in 2010,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$17.5 million decrease in net borrowings on our revolving credit facility as there was no outstanding balance in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$148.6 million issuance of 5.90% senior notes in March 2010, and</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$6.1 million decrease in repayment of senior notes as a portion of our 8.75% senior notes due December 1, 2009, were repaid in the first quarter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2010,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these provisions at any time, which could result in either the sale of our interest or the use of available cash or borrowings to acquire Clarion’s interest. At March 31, 2010, the Partnership had approximately $57.7 million of mortgages payable outstanding; our investment in the Partnership was $35.5 million.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Original</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Principal Balance</w:t>
            </w: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Stated Interest Rate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Debt</w:t>
            </w:r>
          </w:p>
        </w:tc>
        <w:tc>
          <w:tcPr>
            <w:tcW w:w="220" w:type="dxa"/>
            <w:vAlign w:val="bottom"/>
          </w:tcPr>
          <w:p>
            <w:pPr>
              <w:spacing w:after="0"/>
              <w:rPr>
                <w:sz w:val="12"/>
                <w:szCs w:val="12"/>
                <w:color w:val="auto"/>
              </w:rPr>
            </w:pPr>
          </w:p>
        </w:tc>
        <w:tc>
          <w:tcPr>
            <w:tcW w:w="12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as of</w:t>
            </w:r>
          </w:p>
        </w:tc>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79"/>
              </w:rPr>
              <w:t>as of</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Issued</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2010</w:t>
            </w: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March 31, 2010</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440" w:type="dxa"/>
            <w:vAlign w:val="bottom"/>
            <w:gridSpan w:val="5"/>
          </w:tcPr>
          <w:p>
            <w:pPr>
              <w:jc w:val="right"/>
              <w:ind w:right="8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Mortgages payable (1)</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32,373</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660" w:type="dxa"/>
            <w:vAlign w:val="bottom"/>
          </w:tcPr>
          <w:p>
            <w:pPr>
              <w:jc w:val="right"/>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5,853</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7.40%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Courtyard Shops</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7,462</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Bethesda Row</w:t>
            </w: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Acquired</w:t>
            </w: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19,995</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5.37%</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Bethesda Row</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4,269</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White Marsh Plaza (2)</w:t>
            </w: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Acquired</w:t>
            </w: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9,791</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6.04%</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Crow Canyon</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20,709</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Idylwood Plaza</w:t>
            </w:r>
          </w:p>
        </w:tc>
        <w:tc>
          <w:tcPr>
            <w:tcW w:w="660" w:type="dxa"/>
            <w:vAlign w:val="bottom"/>
          </w:tcPr>
          <w:p>
            <w:pPr>
              <w:jc w:val="right"/>
              <w:spacing w:after="0"/>
              <w:rPr>
                <w:sz w:val="20"/>
                <w:szCs w:val="20"/>
                <w:color w:val="auto"/>
              </w:rPr>
            </w:pPr>
            <w:r>
              <w:rPr>
                <w:rFonts w:ascii="Arial" w:cs="Arial" w:eastAsia="Arial" w:hAnsi="Arial"/>
                <w:sz w:val="18"/>
                <w:szCs w:val="18"/>
                <w:color w:val="auto"/>
              </w:rPr>
              <w:t>16,910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16,732</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29,114</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Loehmann’s Plaza</w:t>
            </w:r>
          </w:p>
        </w:tc>
        <w:tc>
          <w:tcPr>
            <w:tcW w:w="660" w:type="dxa"/>
            <w:vAlign w:val="bottom"/>
          </w:tcPr>
          <w:p>
            <w:pPr>
              <w:jc w:val="right"/>
              <w:spacing w:after="0"/>
              <w:rPr>
                <w:sz w:val="20"/>
                <w:szCs w:val="20"/>
                <w:color w:val="auto"/>
              </w:rPr>
            </w:pPr>
            <w:r>
              <w:rPr>
                <w:rFonts w:ascii="Arial" w:cs="Arial" w:eastAsia="Arial" w:hAnsi="Arial"/>
                <w:sz w:val="18"/>
                <w:szCs w:val="18"/>
                <w:color w:val="auto"/>
              </w:rPr>
              <w:t>38,047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37,647</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Pentagon Row</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54,045</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Melville Mall (3)</w:t>
            </w: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Acquired</w:t>
            </w: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23,609</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5.25%</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THE AVENUE at White Marsh</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58,661</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Barracks Road</w:t>
            </w:r>
          </w:p>
        </w:tc>
        <w:tc>
          <w:tcPr>
            <w:tcW w:w="660" w:type="dxa"/>
            <w:vAlign w:val="bottom"/>
          </w:tcPr>
          <w:p>
            <w:pPr>
              <w:jc w:val="right"/>
              <w:spacing w:after="0"/>
              <w:rPr>
                <w:sz w:val="20"/>
                <w:szCs w:val="20"/>
                <w:color w:val="auto"/>
              </w:rPr>
            </w:pPr>
            <w:r>
              <w:rPr>
                <w:rFonts w:ascii="Arial" w:cs="Arial" w:eastAsia="Arial" w:hAnsi="Arial"/>
                <w:sz w:val="18"/>
                <w:szCs w:val="18"/>
                <w:color w:val="auto"/>
              </w:rPr>
              <w:t>44,300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40,447</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15,248</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Lawrence Park</w:t>
            </w:r>
          </w:p>
        </w:tc>
        <w:tc>
          <w:tcPr>
            <w:tcW w:w="660" w:type="dxa"/>
            <w:vAlign w:val="bottom"/>
          </w:tcPr>
          <w:p>
            <w:pPr>
              <w:jc w:val="right"/>
              <w:spacing w:after="0"/>
              <w:rPr>
                <w:sz w:val="20"/>
                <w:szCs w:val="20"/>
                <w:color w:val="auto"/>
              </w:rPr>
            </w:pPr>
            <w:r>
              <w:rPr>
                <w:rFonts w:ascii="Arial" w:cs="Arial" w:eastAsia="Arial" w:hAnsi="Arial"/>
                <w:sz w:val="18"/>
                <w:szCs w:val="18"/>
                <w:color w:val="auto"/>
              </w:rPr>
              <w:t>31,400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28,669</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25,200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Wynnewood</w:t>
            </w:r>
          </w:p>
        </w:tc>
        <w:tc>
          <w:tcPr>
            <w:tcW w:w="660" w:type="dxa"/>
            <w:vAlign w:val="bottom"/>
          </w:tcPr>
          <w:p>
            <w:pPr>
              <w:jc w:val="right"/>
              <w:spacing w:after="0"/>
              <w:rPr>
                <w:sz w:val="20"/>
                <w:szCs w:val="20"/>
                <w:color w:val="auto"/>
              </w:rPr>
            </w:pPr>
            <w:r>
              <w:rPr>
                <w:rFonts w:ascii="Arial" w:cs="Arial" w:eastAsia="Arial" w:hAnsi="Arial"/>
                <w:sz w:val="18"/>
                <w:szCs w:val="18"/>
                <w:color w:val="auto"/>
              </w:rPr>
              <w:t>32,000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29,217</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29,901</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Rollingwood Apartments</w:t>
            </w:r>
          </w:p>
        </w:tc>
        <w:tc>
          <w:tcPr>
            <w:tcW w:w="660" w:type="dxa"/>
            <w:vAlign w:val="bottom"/>
          </w:tcPr>
          <w:p>
            <w:pPr>
              <w:jc w:val="right"/>
              <w:spacing w:after="0"/>
              <w:rPr>
                <w:sz w:val="20"/>
                <w:szCs w:val="20"/>
                <w:color w:val="auto"/>
              </w:rPr>
            </w:pPr>
            <w:r>
              <w:rPr>
                <w:rFonts w:ascii="Arial" w:cs="Arial" w:eastAsia="Arial" w:hAnsi="Arial"/>
                <w:sz w:val="18"/>
                <w:szCs w:val="18"/>
                <w:color w:val="auto"/>
              </w:rPr>
              <w:t>24,050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23,799</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5.54%</w:t>
            </w:r>
          </w:p>
        </w:tc>
        <w:tc>
          <w:tcPr>
            <w:tcW w:w="1520" w:type="dxa"/>
            <w:vAlign w:val="bottom"/>
          </w:tcPr>
          <w:p>
            <w:pPr>
              <w:jc w:val="right"/>
              <w:spacing w:after="0"/>
              <w:rPr>
                <w:sz w:val="20"/>
                <w:szCs w:val="20"/>
                <w:color w:val="auto"/>
              </w:rPr>
            </w:pPr>
            <w:r>
              <w:rPr>
                <w:rFonts w:ascii="Arial" w:cs="Arial" w:eastAsia="Arial" w:hAnsi="Arial"/>
                <w:sz w:val="18"/>
                <w:szCs w:val="18"/>
                <w:color w:val="auto"/>
              </w:rPr>
              <w:t>May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5,699</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Mount Vernon (4)</w:t>
            </w:r>
          </w:p>
        </w:tc>
        <w:tc>
          <w:tcPr>
            <w:tcW w:w="660" w:type="dxa"/>
            <w:vAlign w:val="bottom"/>
          </w:tcPr>
          <w:p>
            <w:pPr>
              <w:jc w:val="right"/>
              <w:spacing w:after="0"/>
              <w:rPr>
                <w:sz w:val="20"/>
                <w:szCs w:val="20"/>
                <w:color w:val="auto"/>
              </w:rPr>
            </w:pPr>
            <w:r>
              <w:rPr>
                <w:rFonts w:ascii="Arial" w:cs="Arial" w:eastAsia="Arial" w:hAnsi="Arial"/>
                <w:sz w:val="18"/>
                <w:szCs w:val="18"/>
                <w:color w:val="auto"/>
              </w:rPr>
              <w:t>13,250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11,210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5.66%</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537,562</w:t>
            </w: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discount</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Total mortgages payable</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537,129</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1,415</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Perring Plaza renovation</w:t>
            </w:r>
          </w:p>
        </w:tc>
        <w:tc>
          <w:tcPr>
            <w:tcW w:w="660" w:type="dxa"/>
            <w:vAlign w:val="bottom"/>
          </w:tcPr>
          <w:p>
            <w:pPr>
              <w:jc w:val="right"/>
              <w:spacing w:after="0"/>
              <w:rPr>
                <w:sz w:val="20"/>
                <w:szCs w:val="20"/>
                <w:color w:val="auto"/>
              </w:rPr>
            </w:pPr>
            <w:r>
              <w:rPr>
                <w:rFonts w:ascii="Arial" w:cs="Arial" w:eastAsia="Arial" w:hAnsi="Arial"/>
                <w:sz w:val="18"/>
                <w:szCs w:val="18"/>
                <w:color w:val="auto"/>
              </w:rPr>
              <w:t>3,087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879</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Revolving credit facility (5)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300,000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LIBOR + 0.425%</w:t>
            </w:r>
          </w:p>
        </w:tc>
        <w:tc>
          <w:tcPr>
            <w:tcW w:w="1520" w:type="dxa"/>
            <w:vAlign w:val="bottom"/>
          </w:tcPr>
          <w:p>
            <w:pPr>
              <w:jc w:val="right"/>
              <w:spacing w:after="0"/>
              <w:rPr>
                <w:sz w:val="20"/>
                <w:szCs w:val="20"/>
                <w:color w:val="auto"/>
              </w:rPr>
            </w:pPr>
            <w:r>
              <w:rPr>
                <w:rFonts w:ascii="Arial" w:cs="Arial" w:eastAsia="Arial" w:hAnsi="Arial"/>
                <w:sz w:val="18"/>
                <w:szCs w:val="18"/>
                <w:color w:val="auto"/>
              </w:rPr>
              <w:t>July 27,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Escondido (Municipal bonds) (6)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Total notes payable</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11,694</w:t>
            </w: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notes and debentures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75,000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6.00%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175,000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175,000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6.00%</w:t>
            </w:r>
          </w:p>
        </w:tc>
        <w:tc>
          <w:tcPr>
            <w:tcW w:w="1520" w:type="dxa"/>
            <w:vAlign w:val="bottom"/>
          </w:tcPr>
          <w:p>
            <w:pPr>
              <w:jc w:val="right"/>
              <w:spacing w:after="0"/>
              <w:rPr>
                <w:sz w:val="20"/>
                <w:szCs w:val="20"/>
                <w:color w:val="auto"/>
              </w:rPr>
            </w:pPr>
            <w:r>
              <w:rPr>
                <w:rFonts w:ascii="Arial" w:cs="Arial" w:eastAsia="Arial" w:hAnsi="Arial"/>
                <w:sz w:val="18"/>
                <w:szCs w:val="18"/>
                <w:color w:val="auto"/>
              </w:rPr>
              <w:t>July 15,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5.40%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135,000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5.95%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150,000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5.95%</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5.65%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125,000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6.20%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200,000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6.20%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5.90%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150,000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7.48% debentures</w:t>
            </w: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29,200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7.48%</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6.82% medium term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1,079,200</w:t>
            </w: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premium</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Total senior notes and debentures</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1,079,906</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Various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61,958</w:t>
            </w:r>
          </w:p>
        </w:tc>
        <w:tc>
          <w:tcPr>
            <w:tcW w:w="420" w:type="dxa"/>
            <w:vAlign w:val="bottom"/>
          </w:tcPr>
          <w:p>
            <w:pPr>
              <w:spacing w:after="0"/>
              <w:rPr>
                <w:sz w:val="19"/>
                <w:szCs w:val="19"/>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Various</w:t>
            </w:r>
          </w:p>
        </w:tc>
        <w:tc>
          <w:tcPr>
            <w:tcW w:w="1520" w:type="dxa"/>
            <w:vAlign w:val="bottom"/>
          </w:tcPr>
          <w:p>
            <w:pPr>
              <w:jc w:val="right"/>
              <w:spacing w:after="0"/>
              <w:rPr>
                <w:sz w:val="20"/>
                <w:szCs w:val="20"/>
                <w:color w:val="auto"/>
              </w:rPr>
            </w:pPr>
            <w:r>
              <w:rPr>
                <w:rFonts w:ascii="Arial" w:cs="Arial" w:eastAsia="Arial" w:hAnsi="Arial"/>
                <w:sz w:val="18"/>
                <w:szCs w:val="18"/>
                <w:color w:val="auto"/>
                <w:w w:val="87"/>
              </w:rPr>
              <w:t>Various through 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9"/>
              </w:rPr>
              <w:t>1,690,687</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payable do not include our 30% share ($17.3 million) of the $57.7 million debt of the partnership with a discretionary fund created and advised by ING Clarion Partners.</w:t>
      </w:r>
    </w:p>
    <w:p>
      <w:pPr>
        <w:ind w:left="460" w:right="3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ind w:left="460" w:right="2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amounts were outstanding under our revolving credit facility during the three months ended March 31, 2010.</w:t>
      </w:r>
    </w:p>
    <w:p>
      <w:pPr>
        <w:spacing w:after="0" w:line="9"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revolving credit facility and other debt agreements include financial and other covenants that may limit our operating activities in the future. As of March 31, 2010,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March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2"/>
              </w:rPr>
              <w:t>Unsecured</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Secured</w:t>
            </w: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Capital Lease</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1"/>
              </w:rPr>
              <w:t>thousands)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9,195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2011</w:t>
            </w: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75,720(1)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124,690</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194,607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2013</w:t>
            </w: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72,107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208,746</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156,364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308,089</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553,600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236,753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54,734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845,087</w:t>
            </w: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1,090,894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537,562</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61,958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1,690,414(2)</w:t>
            </w:r>
          </w:p>
        </w:tc>
      </w:tr>
      <w:tr>
        <w:trPr>
          <w:trHeight w:val="20"/>
        </w:trPr>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$300 million four-year revolving credit facility matures on July 27, 2011. As of March 31, 2010, there was $0 drawn under this credit facility.</w:t>
      </w:r>
    </w:p>
    <w:p>
      <w:pPr>
        <w:spacing w:after="0" w:line="38" w:lineRule="exact"/>
        <w:rPr>
          <w:rFonts w:ascii="Arial" w:cs="Arial" w:eastAsia="Arial" w:hAnsi="Arial"/>
          <w:sz w:val="16"/>
          <w:szCs w:val="16"/>
          <w:color w:val="auto"/>
        </w:rPr>
      </w:pPr>
    </w:p>
    <w:p>
      <w:pPr>
        <w:ind w:left="460" w:right="5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March 31,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had no hedging instruments outstanding during the three months ended March 31, 2010.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8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Included below is a reconciliation of net income to FFO available for common shareholders as well as FFO available to common shareholders excluding the litigation provision. As further discussed in Note 7 to the consolidated financial statements, net income for 2010 includes certain charges related to the litigation and appeal process over a parcel of land adjacent to Santana Row and 2009 includes a $20.6 million charge for increasing the accrual for such litigation matter. Management believes FFO excluding this litigation provision provides a more meaningful evaluation of operations; while litigation is not unusual, we believe the premise of the underlying litigation matter (see Note 7 for discussion) warrants presentation of FFO excluding the related charges.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4"/>
                <w:szCs w:val="14"/>
                <w:b w:val="1"/>
                <w:bCs w:val="1"/>
                <w:color w:val="auto"/>
                <w:w w:val="89"/>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1560" w:type="dxa"/>
            <w:vAlign w:val="bottom"/>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w w:val="91"/>
              </w:rPr>
              <w:t>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18"/>
                <w:szCs w:val="18"/>
                <w:color w:val="auto"/>
              </w:rPr>
            </w:pPr>
          </w:p>
        </w:tc>
        <w:tc>
          <w:tcPr>
            <w:tcW w:w="1380" w:type="dxa"/>
            <w:vAlign w:val="bottom"/>
            <w:gridSpan w:val="2"/>
          </w:tcPr>
          <w:p>
            <w:pPr>
              <w:jc w:val="right"/>
              <w:ind w:right="452"/>
              <w:spacing w:after="0"/>
              <w:rPr>
                <w:sz w:val="20"/>
                <w:szCs w:val="20"/>
                <w:color w:val="auto"/>
              </w:rPr>
            </w:pPr>
            <w:r>
              <w:rPr>
                <w:rFonts w:ascii="Arial" w:cs="Arial" w:eastAsia="Arial" w:hAnsi="Arial"/>
                <w:sz w:val="18"/>
                <w:szCs w:val="18"/>
                <w:color w:val="auto"/>
              </w:rPr>
              <w:t>(1,334)</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26,087</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Depreciation of joint venture real estate assets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Funds from operations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57,894</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Dividends on preferred shares</w:t>
            </w:r>
          </w:p>
        </w:tc>
        <w:tc>
          <w:tcPr>
            <w:tcW w:w="140" w:type="dxa"/>
            <w:vAlign w:val="bottom"/>
          </w:tcPr>
          <w:p>
            <w:pPr>
              <w:spacing w:after="0"/>
              <w:rPr>
                <w:sz w:val="18"/>
                <w:szCs w:val="18"/>
                <w:color w:val="auto"/>
              </w:rPr>
            </w:pPr>
          </w:p>
        </w:tc>
        <w:tc>
          <w:tcPr>
            <w:tcW w:w="1380" w:type="dxa"/>
            <w:vAlign w:val="bottom"/>
            <w:gridSpan w:val="2"/>
          </w:tcPr>
          <w:p>
            <w:pPr>
              <w:jc w:val="right"/>
              <w:ind w:right="452"/>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Income attributable to unvested shares</w:t>
            </w:r>
          </w:p>
        </w:tc>
        <w:tc>
          <w:tcPr>
            <w:tcW w:w="140" w:type="dxa"/>
            <w:vAlign w:val="bottom"/>
          </w:tcPr>
          <w:p>
            <w:pPr>
              <w:spacing w:after="0"/>
              <w:rPr>
                <w:sz w:val="19"/>
                <w:szCs w:val="19"/>
                <w:color w:val="auto"/>
              </w:rPr>
            </w:pPr>
          </w:p>
        </w:tc>
        <w:tc>
          <w:tcPr>
            <w:tcW w:w="1380" w:type="dxa"/>
            <w:vAlign w:val="bottom"/>
            <w:gridSpan w:val="2"/>
          </w:tcPr>
          <w:p>
            <w:pPr>
              <w:jc w:val="right"/>
              <w:ind w:right="452"/>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Funds from operations available for common shareholders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57,812</w:t>
            </w:r>
          </w:p>
        </w:tc>
        <w:tc>
          <w:tcPr>
            <w:tcW w:w="5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Litigation provision, net of allocation to unvested shares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Funds from operations available for common shareholders excluding litigation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57,926</w:t>
            </w: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61,591</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Litigation provision per diluted share</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excluding litigation provision, per diluted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98"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three months ended March 31, 2010, 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for the three months ended March 31, 2010, but is anti-dilutive for the computation of FFO per diluted share for the three months ended March 31, 2009, as well as anti-dilutive for the computation of diluted EPS for the periods presented.</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8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March 31, 2010,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March 31, 2010, we had $1.7 billion of fixed-rate debt outstanding. If market interest rates on our fixed-rate debt instruments at March 31, 2010 had been 1.0% higher, the fair value of those debt instruments on that date would have decreased by approximately $71.9 million. If market interest rates on our fixed-rate debt instruments at March 31, 2010 had been 1.0% lower, the fair value of those debt instruments on that date would have increased by approximately $76.6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Generally, we believe that our primary interest rate risk is due to fluctuations in interest rates on our variable rate debt; however, at March 31, 2010, we had only $9.4 million of variable rate debt outstanding which relates to municipal bonds. No balance was outstanding on our revolving credit facility which is currently the only other debt instrument which bears interest at a variable rate.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2010. Based on this evaluation, our management, including our Chief Executive Officer and Chief Financial Officer, concluded that our disclosure controls and procedures were effective as of March 31, 2010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32"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 trial on the issue of damages was held in April 2008 and the court issued a tentative ruling in April 2009 awarding damages to the plaintiff of approximately $14.4 million plus interest. Accordingly, considering all the information available to us when we filed our March 31, 2009 Form 10-Q, our best estimate of damages, interest, and other costs was $21.4 million resulting in an increase in our accrual for this matter of $20.6 million. In June 2009, the court issued a final judgment awarding damages of $15.9 million (including interest) plus costs of suit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Given the additional information regarding the appeal, we lowered our accrual to $16.4 million in the fourth quarter 2009, which reflects our best estimate of the litigation liability. The net increase in our accrual in 2009 is included in “litigation provision” in our consolidated statement of operations, and the $16.4 million accrual is included in the “accounts payable and accrued expenses” line item in our consolidated balance sheets. During 2009 and 2010, we incurred additional legal and other costs related to this lawsuit and appeal process which are also included in the “litigation provision” line item in the consolidated statement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We expect oral arguments on the appeal to be scheduled for later in 2010. The enforcement of the judgment has been stayed until completion of the</w:t>
      </w:r>
    </w:p>
    <w:p>
      <w:pPr>
        <w:spacing w:after="0" w:line="38"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appeals.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September 2008, we and a subsidiary of Post Properties, Inc.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ordering Vornado to sell to us and Post, collectively, the land under Pentagon Row for the remaining net purchase price of approximately $14.7 million. Based on indications from Vornado, we anticipate that Vornado will appeal.</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2009 filed with the Securities and Exchange Commission on February 17, 2010. These factors include, but are not limited to, the following:</w:t>
      </w:r>
    </w:p>
    <w:p>
      <w:pPr>
        <w:spacing w:after="0" w:line="51" w:lineRule="exact"/>
        <w:rPr>
          <w:sz w:val="20"/>
          <w:szCs w:val="20"/>
          <w:color w:val="auto"/>
        </w:rPr>
      </w:pPr>
    </w:p>
    <w:p>
      <w:pPr>
        <w:ind w:left="900" w:right="5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our status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intend to hold our Annual Meeting of Shareholders on May 4, 2010.</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240" w:top="459" w:right="7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May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219"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8"/>
          <w:szCs w:val="18"/>
          <w:color w:val="auto"/>
        </w:rPr>
        <w:t>May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Senior Vice President, Chief Financial Officer and Treasurer</w:t>
      </w:r>
    </w:p>
    <w:p>
      <w:pPr>
        <w:spacing w:after="0" w:line="3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240" w:top="459" w:right="6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jc w:val="center"/>
              <w:ind w:right="913"/>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104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 Trust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Federal Realty Investment Trust dated May 6, 2004, as corrected by the Certificate of Correction of Articles of Amendment of Declaration of Trust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of Federal Realty Investment Trust dated June 17, 2004, as amended by the Articles of Amendment of Declaration of Trust of Federal Realty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Investment Trust dated May 6, 2009 (previously filed as Exhibit 3.1 to the Trust’s Registration Statement on Form S-3 (File No. 333-160009)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February 17, 2006 and May 6, 2009 (previously filed as Exhibit 3.2 to the Trust’s Registration Statement on Form S-3 (File No. 333-160009)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Specimen Common Share certificate (previously filed as Exhibit 4(i) to the Trust’s Annual Report on Form 10-K for the year ended December 31,</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1999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6"/>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March 11, 1999, between the Trust and American Stock Transfer &amp; Trust Company (previously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filed as Exhibit 1 to the Trust’s Registration Statement on Form 8-A/A filed on March 11, 1999 (File No. 1-07533) and incorporated herein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First Amendment to Amended and Restated Rights Agreement, dated as of November 2003, between the Trust and American Stock Transfer &amp;</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Trust Company (previously filed as Exhibit 4.5 to the Trust’s Annual Report on Form 10-K for the year ended December 31, 2003 (File No. 1-</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Second Amendment to Amended and Restated Rights Agreement, dated as of March 16, 2009, between the Trust and American Stock Transfer &amp;</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Trust Company (previously filed as Exhibit 4.3 to the Trust’s Current Report on Form 8-K filed on March 19, 2009 (File No. 001-07533)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Indenture dated December 1, 1993 related to the Trust’s 7.48% Debentures due August 15, 2026; and 6.82% Medium Term Notes due August 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2027; (previously filed as Exhibit 4(a) to the Trust’s Registration Statement on Form S-3 (File No. 33-51029), and amended on Form S-3</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(File No. 33-63687), filed on December 13, 1993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 xml:space="preserve">Indenture dated September 1, 1998 related to the Trust’s 8.75% Notes due December 1, 2009; 6 </w:t>
            </w:r>
            <w:r>
              <w:rPr>
                <w:rFonts w:ascii="Arial" w:cs="Arial" w:eastAsia="Arial" w:hAnsi="Arial"/>
                <w:sz w:val="11"/>
                <w:szCs w:val="11"/>
                <w:color w:val="auto"/>
                <w:w w:val="88"/>
              </w:rPr>
              <w:t>1</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Notes due November 15, 2007; 4.50% Notes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due 2011; 5.65% Notes due 2016; 6.00% Notes due 2012; 6.20% Notes due 2017; 5.40% Notes due 2013; and 5.95% Notes due 2014 (previously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filed as Exhibit 4(a) to the Trust’s Registration Statement on Form S-3 (File No. 333-63619) filed on September 17, 1998 and incorporated herein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Pursuant to Regulation S-K Item 601(b)(4)(iii), the Trust by this filing agrees, upon request, to furnish to the Securities and Exchange Commission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a copy of other instruments defining the rights of holders of long-term debt of the Trust</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 filed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Exhibit 10.26 to the Trust’s Annual Report on Form 10-K for the year ended December 31, 1998 (File No. 1-07533) and incorporated herein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Form of Severance Agreement between the Trust and Certain of its Officers dated December 31, 1994 (previously filed as a portion of Exhibit 10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to the Trust’s Annual Report on Form 10-K for the year ended December 31, 1994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 Trust’s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Quarterly Report on Form 10-Q for the quarter ended March 31, 1999 (File No. 1-07533) (the “1999 1Q Form 10-Q”) and incorporated herein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10.5</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 filed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Exhibit 10.12 to the Trust’s Annual Report on Form 10-K for the year ended December 31, 2004 (File No. 1-07533) (the “2004 Form 10-K”)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0" w:type="dxa"/>
            <w:vAlign w:val="bottom"/>
            <w:gridSpan w:val="2"/>
          </w:tcPr>
          <w:p>
            <w:pP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Split Dollar Life Insurance Agreement dated August 12, 1998 between the Trust and Donald C. Wood (previously filed as a portion of Exhibit 10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6"/>
              </w:rPr>
              <w:t>the Trust’s Annual Report on Form 10-K for the year ended December 31, 2000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between the Trust and Jeffrey S. Berkes dated March 1, 2000 (previously filed as a portion of Exhibit 10 to the Trust’s Annual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10-K for the year ended December 31, 2001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Severance Agreement between Federal Realty Investment Trust and Jeffrey S. Berkes dated February 16, 2005 (previously filed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dated March 1, 2002 between the Trust and Larry E. Finger (previously filed as a portion of Exhibit 10 to the Trust’s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10-Q for the quarter ended June 30, 2002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Amendment to Severance Agreement between Federal Realty Investment Trust and Larry E. Finger dated February 16, 2005 (previously filed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10.19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Amendment to Stock Option Agreement dated August 15, 2002 between the Trust and Dawn M. Becker (previously filed as a portion of Exhibit 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to the Trust’s Quarterly Report on Form 10-Q for the quarter ended September 30, 2002 (File No. 1-075330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2001 Long-Term Incentive Plan (previously filed as Exhibit 99.1 to the Trust’s Registration Statement on Form S-8 (File No. 333-60364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May 7, 2001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Health Coverage Continuation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as Exhibit 10.26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Severance Agreement between the Trust and Dawn M. Becker dated April 19, 2000 (previously filed as Exhibit 10.26 to the Trust’s Quarterly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on Form 10-Q for the quarter ended June 30, 2005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Dawn M. Becker dated February 16, 2005 (previously filed as Exhibit 10.27 to the 2004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awards made under the Trust’s 2003 Long-Term Incentive Award Program for shares issued out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Form of Restricted Share Award Agreement for awards made under the Trust’s Annual Incentive Bonus Program for shares issued out of 2001 Long-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Form of Option Award Agreement for options awarded under 2001 Long-Term Incentive Plan (previously filed as Exhibit 10.30 to the 2004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Form of Option Award Agreement for awards made under the Trust’s 2003 Long-Term Incentive Award Program for shares issued out of the 2001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Credit Agreement dated as of July 28, 2006, by and between the Trust, Wachovia Capital Markets LLC, Wachovia Bank, National Association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various other financial institutions (previously filed as Exhibit 10.1 to the Trust’s Current Report on Form 8-K (File No. 1-07533), filed on July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2006 and filed herewith)</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Amended and Restated 2001 Long-Term Incentive Plan (previously filed as Exhibit 10.34 to the Trust’s Quarterly Report on Form 10-Q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 ended June 30, 2008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Restricted Share Award Agreement between the Trust and Joseph M. Squeri dated October 1, 2007 (previously filed as Exhibit 10.23 to the Trust’s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Annual Report on Form 10-K for the year ended December 31, 2007 (File No 1-07533) (the “2007 Form 10-K”)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Severance Agreement between the Trust and Joseph M. Squeri dated October 1, 2007 (previously filed as Exhibit 10.24 to the 2007 Form 10-K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Credit Agreement dated as of November 9, 2007, by and among the Trust, Wachovia Capital Markets LLC, Wachovia Bank, National Association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and various other financial institutions (previously filed as Exhibit 10.25 to the 2007 Form 10-K and filed herewith)</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Change in Control Agreement between the Trust and Andrew P. Blocher dated February 12, 2007 (previously filed as Exhibit 10.27 to the Trust’s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Quarterly Report on Form 10-Q for the quarter ended September 30, 2008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Donald C. Wood dated January 1, 2009 (previously filed as Exhibit 10.26 to the Trust’s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Annual Report on Form 10-K for the year ended December 31, 2008 (File No. 1-07533) (“the 2008 Form 10-K”)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Executive Agreement between the Trust and Donald C. Wood dated January 1, 2009 (previously filed as Exhibit 10.27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Health Coverage Continuation Agreement between the Trust and Donald C. Wood dated January 1, 2009 (previously filed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10.28 to the 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Jeffrey S. Berkes dated January 1, 2009 (previously filed as Exhibit 10.29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Dawn M. Becker dated January 1, 2009 (previously filed as Exhibit 10.30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Change in Control Agreement between the Trust and Andrew P. Blocher dated January 1, 2009 (previously filed as Exhibit 10.31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Stock Option Agreements between the Trust and Andrew P. Blocher dated February 17, 2009 (previously filed as Exhibit 10.32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Restricted Share Award Agreement between the Trust and Andrew P. Blocher dated February 17, 2009 (previously filed as Exhibit 10.33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Combined Incentive and Non-Qualified Stock Option Agreement between the Trust and Andrew P. Blocher dated February 17, 2009 (previously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as Exhibit 10.34 to the 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between the Trust and Andrew P. Blocher dated February 17, 2009 (previously filed as Exhibit 10.35 to the Trust’s 2008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Credit Agreement dated as of May 4, 2009, by and among the Trust, Wachovia Capital Markets LLC, PNC Capital Markets LLC, Wachovia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National Association, PNC Bank, National Association and various other financial institutions (previously filed as Exhibit 10.37 to the Trust’s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2009 (File No. 1-07533) and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10.20</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as of July 28, 2006</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as Sole Lead Arranger</w:t>
      </w:r>
    </w:p>
    <w:p>
      <w:pPr>
        <w:spacing w:after="0" w:line="9" w:lineRule="exact"/>
        <w:rPr>
          <w:sz w:val="20"/>
          <w:szCs w:val="20"/>
          <w:color w:val="auto"/>
        </w:rPr>
      </w:pPr>
    </w:p>
    <w:p>
      <w:pPr>
        <w:jc w:val="center"/>
        <w:ind w:left="35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left="3540"/>
        <w:spacing w:after="0"/>
        <w:rPr>
          <w:sz w:val="20"/>
          <w:szCs w:val="20"/>
          <w:color w:val="auto"/>
        </w:rPr>
      </w:pPr>
      <w:r>
        <w:rPr>
          <w:rFonts w:ascii="Arial" w:cs="Arial" w:eastAsia="Arial" w:hAnsi="Arial"/>
          <w:sz w:val="18"/>
          <w:szCs w:val="18"/>
          <w:color w:val="auto"/>
        </w:rPr>
        <w:t>Sole Book Manager,</w:t>
      </w:r>
    </w:p>
    <w:p>
      <w:pPr>
        <w:spacing w:after="0" w:line="16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Agent,</w:t>
      </w:r>
    </w:p>
    <w:p>
      <w:pPr>
        <w:spacing w:after="0" w:line="16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EUROHYPO AG, NEW YORK BRANCH</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Each of</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Documentation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FINANCIAL INSTITUTIONS INITIALLY SIGNATORY HERETO</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AND THEIR ASSIGNEES PURSUANT TO SECTION 12.5.(d),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8920" w:type="dxa"/>
            <w:vAlign w:val="bottom"/>
          </w:tcPr>
          <w:p>
            <w:pPr>
              <w:ind w:left="4820"/>
              <w:spacing w:after="0"/>
              <w:rPr>
                <w:sz w:val="20"/>
                <w:szCs w:val="20"/>
                <w:color w:val="auto"/>
              </w:rPr>
            </w:pPr>
            <w:r>
              <w:rPr>
                <w:rFonts w:ascii="Arial" w:cs="Arial" w:eastAsia="Arial" w:hAnsi="Arial"/>
                <w:sz w:val="18"/>
                <w:szCs w:val="18"/>
                <w:color w:val="auto"/>
              </w:rPr>
              <w:t>TABLE OF CONTENTS</w:t>
            </w:r>
          </w:p>
        </w:tc>
        <w:tc>
          <w:tcPr>
            <w:tcW w:w="2500" w:type="dxa"/>
            <w:vAlign w:val="bottom"/>
          </w:tcPr>
          <w:p>
            <w:pPr>
              <w:spacing w:after="0"/>
              <w:rPr>
                <w:sz w:val="19"/>
                <w:szCs w:val="19"/>
                <w:color w:val="auto"/>
              </w:rPr>
            </w:pPr>
          </w:p>
        </w:tc>
      </w:tr>
      <w:tr>
        <w:trPr>
          <w:trHeight w:val="419"/>
        </w:trPr>
        <w:tc>
          <w:tcPr>
            <w:tcW w:w="8920" w:type="dxa"/>
            <w:vAlign w:val="bottom"/>
          </w:tcPr>
          <w:p>
            <w:pPr>
              <w:spacing w:after="0"/>
              <w:rPr>
                <w:sz w:val="20"/>
                <w:szCs w:val="20"/>
                <w:color w:val="auto"/>
              </w:rPr>
            </w:pPr>
            <w:r>
              <w:rPr>
                <w:rFonts w:ascii="Arial" w:cs="Arial" w:eastAsia="Arial" w:hAnsi="Arial"/>
                <w:sz w:val="18"/>
                <w:szCs w:val="18"/>
                <w:color w:val="auto"/>
              </w:rPr>
              <w:t>Article I. 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8920" w:type="dxa"/>
            <w:vAlign w:val="bottom"/>
          </w:tcPr>
          <w:p>
            <w:pPr>
              <w:ind w:left="440"/>
              <w:spacing w:after="0"/>
              <w:rPr>
                <w:sz w:val="20"/>
                <w:szCs w:val="20"/>
                <w:color w:val="auto"/>
              </w:rPr>
            </w:pPr>
            <w:r>
              <w:rPr>
                <w:rFonts w:ascii="Arial" w:cs="Arial" w:eastAsia="Arial" w:hAnsi="Arial"/>
                <w:sz w:val="18"/>
                <w:szCs w:val="18"/>
                <w:color w:val="auto"/>
              </w:rPr>
              <w:t>Section 1.1. 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1.2. General; References to Times</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Section 1.3. Financial Attributes of Non-Wholly Owned Subsidiaries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II. Credit Facility</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8920" w:type="dxa"/>
            <w:vAlign w:val="bottom"/>
          </w:tcPr>
          <w:p>
            <w:pPr>
              <w:ind w:left="440"/>
              <w:spacing w:after="0"/>
              <w:rPr>
                <w:sz w:val="20"/>
                <w:szCs w:val="20"/>
                <w:color w:val="auto"/>
              </w:rPr>
            </w:pPr>
            <w:r>
              <w:rPr>
                <w:rFonts w:ascii="Arial" w:cs="Arial" w:eastAsia="Arial" w:hAnsi="Arial"/>
                <w:sz w:val="18"/>
                <w:szCs w:val="18"/>
                <w:color w:val="auto"/>
              </w:rPr>
              <w:t>Section 2.1. Revolving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2.2. Bid Rate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2.3. Swingline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2.4. Letters of Credit</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2.5. Rates and Payment of Interest on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2.6. Number of Interest Periods</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2.7. Repayment of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2.8. Prepayments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2.9. Continuation</w:t>
            </w: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2.10. Conversion</w:t>
            </w: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2.11. Notes</w:t>
            </w:r>
          </w:p>
        </w:tc>
        <w:tc>
          <w:tcPr>
            <w:tcW w:w="2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2.12. Voluntary Reductions of the Commitments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2.13. Extension of Termination Date</w:t>
            </w:r>
          </w:p>
        </w:tc>
        <w:tc>
          <w:tcPr>
            <w:tcW w:w="2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2.14. Expiration or Maturity Date of Letters of Credit Past Termination Date</w:t>
            </w:r>
          </w:p>
        </w:tc>
        <w:tc>
          <w:tcPr>
            <w:tcW w:w="2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2.15. Amount Limitations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Section 2.16. Increase of Commitments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III. Payments, Fees and Other General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8"/>
        </w:trPr>
        <w:tc>
          <w:tcPr>
            <w:tcW w:w="8920" w:type="dxa"/>
            <w:vAlign w:val="bottom"/>
          </w:tcPr>
          <w:p>
            <w:pPr>
              <w:ind w:left="440"/>
              <w:spacing w:after="0"/>
              <w:rPr>
                <w:sz w:val="20"/>
                <w:szCs w:val="20"/>
                <w:color w:val="auto"/>
              </w:rPr>
            </w:pPr>
            <w:r>
              <w:rPr>
                <w:rFonts w:ascii="Arial" w:cs="Arial" w:eastAsia="Arial" w:hAnsi="Arial"/>
                <w:sz w:val="18"/>
                <w:szCs w:val="18"/>
                <w:color w:val="auto"/>
              </w:rPr>
              <w:t>Section 3.1.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3.2. Pro Rata Treatment</w:t>
            </w:r>
          </w:p>
        </w:tc>
        <w:tc>
          <w:tcPr>
            <w:tcW w:w="2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3.3. Sharing of Payments, Etc</w:t>
            </w: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3.4. Several Obligations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3.5. Minimum Amounts</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3.6. Fees</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3.7. Computations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3.8. Usury</w:t>
            </w: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3.9. Agreement Regarding Interest and Charges</w:t>
            </w:r>
          </w:p>
        </w:tc>
        <w:tc>
          <w:tcPr>
            <w:tcW w:w="2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3.10. Statements of Account</w:t>
            </w:r>
          </w:p>
        </w:tc>
        <w:tc>
          <w:tcPr>
            <w:tcW w:w="2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3.11. Defaulting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Section 3.12. Taxes</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IV. Yield Protection, Etc</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8920" w:type="dxa"/>
            <w:vAlign w:val="bottom"/>
          </w:tcPr>
          <w:p>
            <w:pPr>
              <w:ind w:left="440"/>
              <w:spacing w:after="0"/>
              <w:rPr>
                <w:sz w:val="20"/>
                <w:szCs w:val="20"/>
                <w:color w:val="auto"/>
              </w:rPr>
            </w:pPr>
            <w:r>
              <w:rPr>
                <w:rFonts w:ascii="Arial" w:cs="Arial" w:eastAsia="Arial" w:hAnsi="Arial"/>
                <w:sz w:val="18"/>
                <w:szCs w:val="18"/>
                <w:color w:val="auto"/>
              </w:rPr>
              <w:t>Section 4.1. Additional Costs; Capital Adequacy</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4.2. Suspension of LIBOR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4.3. Illegality</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4.4. Compensation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Section 4.5. Treatment of Affected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bl>
    <w:p>
      <w:pPr>
        <w:jc w:val="right"/>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1" w:name="page32"/>
    <w:bookmarkEnd w:id="31"/>
    <w:tbl>
      <w:tblPr>
        <w:tblLayout w:type="fixed"/>
        <w:tblInd w:w="0" w:type="dxa"/>
        <w:tblCellMar>
          <w:top w:w="0" w:type="dxa"/>
          <w:left w:w="0" w:type="dxa"/>
          <w:bottom w:w="0" w:type="dxa"/>
          <w:right w:w="0" w:type="dxa"/>
        </w:tblCellMar>
      </w:tblP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4.6. Change of Lending Office</w:t>
            </w:r>
          </w:p>
        </w:tc>
        <w:tc>
          <w:tcPr>
            <w:tcW w:w="2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4.7. Assumptions Concerning Funding of LIBOR Loans</w:t>
            </w:r>
          </w:p>
        </w:tc>
        <w:tc>
          <w:tcPr>
            <w:tcW w:w="2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Section 4.8. Affected Lenders</w:t>
            </w:r>
          </w:p>
        </w:tc>
        <w:tc>
          <w:tcPr>
            <w:tcW w:w="2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540" w:type="dxa"/>
            <w:vAlign w:val="bottom"/>
          </w:tcPr>
          <w:p>
            <w:pPr>
              <w:spacing w:after="0"/>
              <w:rPr>
                <w:sz w:val="20"/>
                <w:szCs w:val="20"/>
                <w:color w:val="auto"/>
              </w:rPr>
            </w:pPr>
            <w:r>
              <w:rPr>
                <w:rFonts w:ascii="Arial" w:cs="Arial" w:eastAsia="Arial" w:hAnsi="Arial"/>
                <w:sz w:val="18"/>
                <w:szCs w:val="18"/>
                <w:color w:val="auto"/>
              </w:rPr>
              <w:t>Article V. Conditions Precedent</w:t>
            </w:r>
          </w:p>
        </w:tc>
        <w:tc>
          <w:tcPr>
            <w:tcW w:w="2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8540" w:type="dxa"/>
            <w:vAlign w:val="bottom"/>
          </w:tcPr>
          <w:p>
            <w:pPr>
              <w:ind w:left="440"/>
              <w:spacing w:after="0"/>
              <w:rPr>
                <w:sz w:val="20"/>
                <w:szCs w:val="20"/>
                <w:color w:val="auto"/>
              </w:rPr>
            </w:pPr>
            <w:r>
              <w:rPr>
                <w:rFonts w:ascii="Arial" w:cs="Arial" w:eastAsia="Arial" w:hAnsi="Arial"/>
                <w:sz w:val="18"/>
                <w:szCs w:val="18"/>
                <w:color w:val="auto"/>
              </w:rPr>
              <w:t>Section 5.1. Initial Conditions Precedent</w:t>
            </w:r>
          </w:p>
        </w:tc>
        <w:tc>
          <w:tcPr>
            <w:tcW w:w="2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Section 5.2. Conditions Precedent to All Loans and Letters of Credit</w:t>
            </w:r>
          </w:p>
        </w:tc>
        <w:tc>
          <w:tcPr>
            <w:tcW w:w="2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540" w:type="dxa"/>
            <w:vAlign w:val="bottom"/>
          </w:tcPr>
          <w:p>
            <w:pPr>
              <w:spacing w:after="0"/>
              <w:rPr>
                <w:sz w:val="20"/>
                <w:szCs w:val="20"/>
                <w:color w:val="auto"/>
              </w:rPr>
            </w:pPr>
            <w:r>
              <w:rPr>
                <w:rFonts w:ascii="Arial" w:cs="Arial" w:eastAsia="Arial" w:hAnsi="Arial"/>
                <w:sz w:val="18"/>
                <w:szCs w:val="18"/>
                <w:color w:val="auto"/>
              </w:rPr>
              <w:t>Article VI. Representations and Warranties</w:t>
            </w:r>
          </w:p>
        </w:tc>
        <w:tc>
          <w:tcPr>
            <w:tcW w:w="2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8540" w:type="dxa"/>
            <w:vAlign w:val="bottom"/>
          </w:tcPr>
          <w:p>
            <w:pPr>
              <w:ind w:left="440"/>
              <w:spacing w:after="0"/>
              <w:rPr>
                <w:sz w:val="20"/>
                <w:szCs w:val="20"/>
                <w:color w:val="auto"/>
              </w:rPr>
            </w:pPr>
            <w:r>
              <w:rPr>
                <w:rFonts w:ascii="Arial" w:cs="Arial" w:eastAsia="Arial" w:hAnsi="Arial"/>
                <w:sz w:val="18"/>
                <w:szCs w:val="18"/>
                <w:color w:val="auto"/>
              </w:rPr>
              <w:t>Section 6.1. Representations and Warranties</w:t>
            </w:r>
          </w:p>
        </w:tc>
        <w:tc>
          <w:tcPr>
            <w:tcW w:w="2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Section 6.2. Survival of Representations and Warranties, Etc.</w:t>
            </w:r>
          </w:p>
        </w:tc>
        <w:tc>
          <w:tcPr>
            <w:tcW w:w="2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540" w:type="dxa"/>
            <w:vAlign w:val="bottom"/>
          </w:tcPr>
          <w:p>
            <w:pPr>
              <w:spacing w:after="0"/>
              <w:rPr>
                <w:sz w:val="20"/>
                <w:szCs w:val="20"/>
                <w:color w:val="auto"/>
              </w:rPr>
            </w:pPr>
            <w:r>
              <w:rPr>
                <w:rFonts w:ascii="Arial" w:cs="Arial" w:eastAsia="Arial" w:hAnsi="Arial"/>
                <w:sz w:val="18"/>
                <w:szCs w:val="18"/>
                <w:color w:val="auto"/>
              </w:rPr>
              <w:t>Article VII. Affirmative Covenants</w:t>
            </w:r>
          </w:p>
        </w:tc>
        <w:tc>
          <w:tcPr>
            <w:tcW w:w="2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8540" w:type="dxa"/>
            <w:vAlign w:val="bottom"/>
          </w:tcPr>
          <w:p>
            <w:pPr>
              <w:ind w:left="440"/>
              <w:spacing w:after="0"/>
              <w:rPr>
                <w:sz w:val="20"/>
                <w:szCs w:val="20"/>
                <w:color w:val="auto"/>
              </w:rPr>
            </w:pPr>
            <w:r>
              <w:rPr>
                <w:rFonts w:ascii="Arial" w:cs="Arial" w:eastAsia="Arial" w:hAnsi="Arial"/>
                <w:sz w:val="18"/>
                <w:szCs w:val="18"/>
                <w:color w:val="auto"/>
              </w:rPr>
              <w:t>Section 7.1. Preservation of Existence and Similar Matters</w:t>
            </w:r>
          </w:p>
        </w:tc>
        <w:tc>
          <w:tcPr>
            <w:tcW w:w="2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7.2. Compliance with Applicable Law and Material Contracts</w:t>
            </w:r>
          </w:p>
        </w:tc>
        <w:tc>
          <w:tcPr>
            <w:tcW w:w="2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7.3. Maintenance of Property</w:t>
            </w:r>
          </w:p>
        </w:tc>
        <w:tc>
          <w:tcPr>
            <w:tcW w:w="2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7.4. Conduct of Business</w:t>
            </w:r>
          </w:p>
        </w:tc>
        <w:tc>
          <w:tcPr>
            <w:tcW w:w="2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7.5. Insurance</w:t>
            </w:r>
          </w:p>
        </w:tc>
        <w:tc>
          <w:tcPr>
            <w:tcW w:w="2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7.6. Payment of Taxes and Claims</w:t>
            </w:r>
          </w:p>
        </w:tc>
        <w:tc>
          <w:tcPr>
            <w:tcW w:w="2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7.7. Visits and Inspections</w:t>
            </w:r>
          </w:p>
        </w:tc>
        <w:tc>
          <w:tcPr>
            <w:tcW w:w="2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7.8. Use of Proceeds; Letters of Credit</w:t>
            </w:r>
          </w:p>
        </w:tc>
        <w:tc>
          <w:tcPr>
            <w:tcW w:w="2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7.9. Environmental Matters</w:t>
            </w:r>
          </w:p>
        </w:tc>
        <w:tc>
          <w:tcPr>
            <w:tcW w:w="2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7.10. Books and Records</w:t>
            </w:r>
          </w:p>
        </w:tc>
        <w:tc>
          <w:tcPr>
            <w:tcW w:w="28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7.11. Further Assurances</w:t>
            </w:r>
          </w:p>
        </w:tc>
        <w:tc>
          <w:tcPr>
            <w:tcW w:w="28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7.12. New Subsidiaries/Guarantors</w:t>
            </w:r>
          </w:p>
        </w:tc>
        <w:tc>
          <w:tcPr>
            <w:tcW w:w="28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7.13. REIT Status</w:t>
            </w:r>
          </w:p>
        </w:tc>
        <w:tc>
          <w:tcPr>
            <w:tcW w:w="2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Section 7.14. Exchange Listing</w:t>
            </w:r>
          </w:p>
        </w:tc>
        <w:tc>
          <w:tcPr>
            <w:tcW w:w="2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540" w:type="dxa"/>
            <w:vAlign w:val="bottom"/>
          </w:tcPr>
          <w:p>
            <w:pPr>
              <w:spacing w:after="0"/>
              <w:rPr>
                <w:sz w:val="20"/>
                <w:szCs w:val="20"/>
                <w:color w:val="auto"/>
              </w:rPr>
            </w:pPr>
            <w:r>
              <w:rPr>
                <w:rFonts w:ascii="Arial" w:cs="Arial" w:eastAsia="Arial" w:hAnsi="Arial"/>
                <w:sz w:val="18"/>
                <w:szCs w:val="18"/>
                <w:color w:val="auto"/>
              </w:rPr>
              <w:t>Article VIII. Information</w:t>
            </w:r>
          </w:p>
        </w:tc>
        <w:tc>
          <w:tcPr>
            <w:tcW w:w="2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8"/>
        </w:trPr>
        <w:tc>
          <w:tcPr>
            <w:tcW w:w="8540" w:type="dxa"/>
            <w:vAlign w:val="bottom"/>
          </w:tcPr>
          <w:p>
            <w:pPr>
              <w:ind w:left="440"/>
              <w:spacing w:after="0"/>
              <w:rPr>
                <w:sz w:val="20"/>
                <w:szCs w:val="20"/>
                <w:color w:val="auto"/>
              </w:rPr>
            </w:pPr>
            <w:r>
              <w:rPr>
                <w:rFonts w:ascii="Arial" w:cs="Arial" w:eastAsia="Arial" w:hAnsi="Arial"/>
                <w:sz w:val="18"/>
                <w:szCs w:val="18"/>
                <w:color w:val="auto"/>
              </w:rPr>
              <w:t>Section 8.1. Quarterly Financial Statements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8.2. Year-End Statements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8.3. Compliance Certificate</w:t>
            </w:r>
          </w:p>
        </w:tc>
        <w:tc>
          <w:tcPr>
            <w:tcW w:w="2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8.4. Other Information</w:t>
            </w:r>
          </w:p>
        </w:tc>
        <w:tc>
          <w:tcPr>
            <w:tcW w:w="2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Section 8.5. Electronic Delivery of Certain Information</w:t>
            </w:r>
          </w:p>
        </w:tc>
        <w:tc>
          <w:tcPr>
            <w:tcW w:w="2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540" w:type="dxa"/>
            <w:vAlign w:val="bottom"/>
          </w:tcPr>
          <w:p>
            <w:pPr>
              <w:spacing w:after="0"/>
              <w:rPr>
                <w:sz w:val="20"/>
                <w:szCs w:val="20"/>
                <w:color w:val="auto"/>
              </w:rPr>
            </w:pPr>
            <w:r>
              <w:rPr>
                <w:rFonts w:ascii="Arial" w:cs="Arial" w:eastAsia="Arial" w:hAnsi="Arial"/>
                <w:sz w:val="18"/>
                <w:szCs w:val="18"/>
                <w:color w:val="auto"/>
              </w:rPr>
              <w:t>Article IX. Negative Covenants</w:t>
            </w:r>
          </w:p>
        </w:tc>
        <w:tc>
          <w:tcPr>
            <w:tcW w:w="2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8"/>
        </w:trPr>
        <w:tc>
          <w:tcPr>
            <w:tcW w:w="8540" w:type="dxa"/>
            <w:vAlign w:val="bottom"/>
          </w:tcPr>
          <w:p>
            <w:pPr>
              <w:ind w:left="440"/>
              <w:spacing w:after="0"/>
              <w:rPr>
                <w:sz w:val="20"/>
                <w:szCs w:val="20"/>
                <w:color w:val="auto"/>
              </w:rPr>
            </w:pPr>
            <w:r>
              <w:rPr>
                <w:rFonts w:ascii="Arial" w:cs="Arial" w:eastAsia="Arial" w:hAnsi="Arial"/>
                <w:sz w:val="18"/>
                <w:szCs w:val="18"/>
                <w:color w:val="auto"/>
              </w:rPr>
              <w:t>Section 9.1. Financial Covenants</w:t>
            </w:r>
          </w:p>
        </w:tc>
        <w:tc>
          <w:tcPr>
            <w:tcW w:w="2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9.2. Restricted Payments</w:t>
            </w:r>
          </w:p>
        </w:tc>
        <w:tc>
          <w:tcPr>
            <w:tcW w:w="2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9.3. Indebtedness</w:t>
            </w:r>
          </w:p>
        </w:tc>
        <w:tc>
          <w:tcPr>
            <w:tcW w:w="2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9.4. Certain Permitted Investments</w:t>
            </w:r>
          </w:p>
        </w:tc>
        <w:tc>
          <w:tcPr>
            <w:tcW w:w="2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9.5. Investments Generally</w:t>
            </w:r>
          </w:p>
        </w:tc>
        <w:tc>
          <w:tcPr>
            <w:tcW w:w="2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9.6. Liens; Negative Pledges; Other Matters</w:t>
            </w:r>
          </w:p>
        </w:tc>
        <w:tc>
          <w:tcPr>
            <w:tcW w:w="28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9.7. Merger, Consolidation, Sales of Assets and Other Arrangements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9.8. Fiscal Year</w:t>
            </w:r>
          </w:p>
        </w:tc>
        <w:tc>
          <w:tcPr>
            <w:tcW w:w="28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Section 9.9. Modifications of Organizational Documents</w:t>
            </w:r>
          </w:p>
        </w:tc>
        <w:tc>
          <w:tcPr>
            <w:tcW w:w="28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Section 9.10. Transactions with Affiliates</w:t>
            </w:r>
          </w:p>
        </w:tc>
        <w:tc>
          <w:tcPr>
            <w:tcW w:w="288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8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9.11. ERISA Exemptions</w:t>
            </w:r>
          </w:p>
        </w:tc>
        <w:tc>
          <w:tcPr>
            <w:tcW w:w="3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9.12. Non-Controlled Properties</w:t>
            </w:r>
          </w:p>
        </w:tc>
        <w:tc>
          <w:tcPr>
            <w:tcW w:w="3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2280" w:type="dxa"/>
            <w:vAlign w:val="bottom"/>
          </w:tcPr>
          <w:p>
            <w:pPr>
              <w:spacing w:after="0"/>
              <w:rPr>
                <w:sz w:val="20"/>
                <w:szCs w:val="20"/>
                <w:color w:val="auto"/>
              </w:rPr>
            </w:pPr>
            <w:r>
              <w:rPr>
                <w:rFonts w:ascii="Arial" w:cs="Arial" w:eastAsia="Arial" w:hAnsi="Arial"/>
                <w:sz w:val="18"/>
                <w:szCs w:val="18"/>
                <w:color w:val="auto"/>
              </w:rPr>
              <w:t>Article X. Default</w:t>
            </w:r>
          </w:p>
        </w:tc>
        <w:tc>
          <w:tcPr>
            <w:tcW w:w="5680" w:type="dxa"/>
            <w:vAlign w:val="bottom"/>
          </w:tcPr>
          <w:p>
            <w:pPr>
              <w:spacing w:after="0"/>
              <w:rPr>
                <w:sz w:val="24"/>
                <w:szCs w:val="24"/>
                <w:color w:val="auto"/>
              </w:rPr>
            </w:pPr>
          </w:p>
        </w:tc>
        <w:tc>
          <w:tcPr>
            <w:tcW w:w="34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8"/>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10.1. Events of Default</w:t>
            </w:r>
          </w:p>
        </w:tc>
        <w:tc>
          <w:tcPr>
            <w:tcW w:w="34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10.2. Remedies Upon Event of Default</w:t>
            </w:r>
          </w:p>
        </w:tc>
        <w:tc>
          <w:tcPr>
            <w:tcW w:w="3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10.3. Allocation of Proceeds</w:t>
            </w:r>
          </w:p>
        </w:tc>
        <w:tc>
          <w:tcPr>
            <w:tcW w:w="3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10.4. Collateral Account</w:t>
            </w:r>
          </w:p>
        </w:tc>
        <w:tc>
          <w:tcPr>
            <w:tcW w:w="34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10.5. Performance by Agent</w:t>
            </w:r>
          </w:p>
        </w:tc>
        <w:tc>
          <w:tcPr>
            <w:tcW w:w="3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10.6. Rights Cumulative</w:t>
            </w:r>
          </w:p>
        </w:tc>
        <w:tc>
          <w:tcPr>
            <w:tcW w:w="3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2280" w:type="dxa"/>
            <w:vAlign w:val="bottom"/>
          </w:tcPr>
          <w:p>
            <w:pPr>
              <w:spacing w:after="0"/>
              <w:rPr>
                <w:sz w:val="20"/>
                <w:szCs w:val="20"/>
                <w:color w:val="auto"/>
              </w:rPr>
            </w:pPr>
            <w:r>
              <w:rPr>
                <w:rFonts w:ascii="Arial" w:cs="Arial" w:eastAsia="Arial" w:hAnsi="Arial"/>
                <w:sz w:val="18"/>
                <w:szCs w:val="18"/>
                <w:color w:val="auto"/>
              </w:rPr>
              <w:t>Article XI. The Agent</w:t>
            </w:r>
          </w:p>
        </w:tc>
        <w:tc>
          <w:tcPr>
            <w:tcW w:w="5680" w:type="dxa"/>
            <w:vAlign w:val="bottom"/>
          </w:tcPr>
          <w:p>
            <w:pPr>
              <w:spacing w:after="0"/>
              <w:rPr>
                <w:sz w:val="24"/>
                <w:szCs w:val="24"/>
                <w:color w:val="auto"/>
              </w:rPr>
            </w:pPr>
          </w:p>
        </w:tc>
        <w:tc>
          <w:tcPr>
            <w:tcW w:w="3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8"/>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11.1. Authorization and Action</w:t>
            </w:r>
          </w:p>
        </w:tc>
        <w:tc>
          <w:tcPr>
            <w:tcW w:w="3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11.2. Agent’s Reliance, Etc.</w:t>
            </w:r>
          </w:p>
        </w:tc>
        <w:tc>
          <w:tcPr>
            <w:tcW w:w="3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11.3. Notice of Defaults</w:t>
            </w:r>
          </w:p>
        </w:tc>
        <w:tc>
          <w:tcPr>
            <w:tcW w:w="3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11.4. Wachovia as Lender</w:t>
            </w:r>
          </w:p>
        </w:tc>
        <w:tc>
          <w:tcPr>
            <w:tcW w:w="3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11.5. Approvals of Lenders</w:t>
            </w:r>
          </w:p>
        </w:tc>
        <w:tc>
          <w:tcPr>
            <w:tcW w:w="3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11.6. Lender Credit Decision, Etc.</w:t>
            </w:r>
          </w:p>
        </w:tc>
        <w:tc>
          <w:tcPr>
            <w:tcW w:w="3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11.7. Indemnification of Agent</w:t>
            </w:r>
          </w:p>
        </w:tc>
        <w:tc>
          <w:tcPr>
            <w:tcW w:w="3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11.8. Successor Agent</w:t>
            </w:r>
          </w:p>
        </w:tc>
        <w:tc>
          <w:tcPr>
            <w:tcW w:w="3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11.9. Titled Agents</w:t>
            </w:r>
          </w:p>
        </w:tc>
        <w:tc>
          <w:tcPr>
            <w:tcW w:w="3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2280" w:type="dxa"/>
            <w:vAlign w:val="bottom"/>
          </w:tcPr>
          <w:p>
            <w:pPr>
              <w:spacing w:after="0"/>
              <w:rPr>
                <w:sz w:val="20"/>
                <w:szCs w:val="20"/>
                <w:color w:val="auto"/>
              </w:rPr>
            </w:pPr>
            <w:r>
              <w:rPr>
                <w:rFonts w:ascii="Arial" w:cs="Arial" w:eastAsia="Arial" w:hAnsi="Arial"/>
                <w:sz w:val="18"/>
                <w:szCs w:val="18"/>
                <w:color w:val="auto"/>
              </w:rPr>
              <w:t>Article XI1. Miscellaneous</w:t>
            </w:r>
          </w:p>
        </w:tc>
        <w:tc>
          <w:tcPr>
            <w:tcW w:w="5680" w:type="dxa"/>
            <w:vAlign w:val="bottom"/>
          </w:tcPr>
          <w:p>
            <w:pPr>
              <w:spacing w:after="0"/>
              <w:rPr>
                <w:sz w:val="24"/>
                <w:szCs w:val="24"/>
                <w:color w:val="auto"/>
              </w:rPr>
            </w:pPr>
          </w:p>
        </w:tc>
        <w:tc>
          <w:tcPr>
            <w:tcW w:w="3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18"/>
        </w:trPr>
        <w:tc>
          <w:tcPr>
            <w:tcW w:w="2280" w:type="dxa"/>
            <w:vAlign w:val="bottom"/>
          </w:tcPr>
          <w:p>
            <w:pPr>
              <w:ind w:left="440"/>
              <w:spacing w:after="0"/>
              <w:rPr>
                <w:sz w:val="20"/>
                <w:szCs w:val="20"/>
                <w:color w:val="auto"/>
              </w:rPr>
            </w:pPr>
            <w:r>
              <w:rPr>
                <w:rFonts w:ascii="Arial" w:cs="Arial" w:eastAsia="Arial" w:hAnsi="Arial"/>
                <w:sz w:val="18"/>
                <w:szCs w:val="18"/>
                <w:color w:val="auto"/>
              </w:rPr>
              <w:t>Section 12.1. Notices</w:t>
            </w:r>
          </w:p>
        </w:tc>
        <w:tc>
          <w:tcPr>
            <w:tcW w:w="5680" w:type="dxa"/>
            <w:vAlign w:val="bottom"/>
          </w:tcPr>
          <w:p>
            <w:pPr>
              <w:spacing w:after="0"/>
              <w:rPr>
                <w:sz w:val="24"/>
                <w:szCs w:val="24"/>
                <w:color w:val="auto"/>
              </w:rPr>
            </w:pPr>
          </w:p>
        </w:tc>
        <w:tc>
          <w:tcPr>
            <w:tcW w:w="3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w w:val="96"/>
              </w:rPr>
              <w:t>Section 12.2. Expenses</w:t>
            </w:r>
          </w:p>
        </w:tc>
        <w:tc>
          <w:tcPr>
            <w:tcW w:w="5680" w:type="dxa"/>
            <w:vAlign w:val="bottom"/>
          </w:tcPr>
          <w:p>
            <w:pPr>
              <w:spacing w:after="0"/>
              <w:rPr>
                <w:sz w:val="18"/>
                <w:szCs w:val="18"/>
                <w:color w:val="auto"/>
              </w:rPr>
            </w:pPr>
          </w:p>
        </w:tc>
        <w:tc>
          <w:tcPr>
            <w:tcW w:w="3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rPr>
              <w:t>Section 12.3. Setoff</w:t>
            </w:r>
          </w:p>
        </w:tc>
        <w:tc>
          <w:tcPr>
            <w:tcW w:w="5680" w:type="dxa"/>
            <w:vAlign w:val="bottom"/>
          </w:tcPr>
          <w:p>
            <w:pPr>
              <w:spacing w:after="0"/>
              <w:rPr>
                <w:sz w:val="18"/>
                <w:szCs w:val="18"/>
                <w:color w:val="auto"/>
              </w:rPr>
            </w:pPr>
          </w:p>
        </w:tc>
        <w:tc>
          <w:tcPr>
            <w:tcW w:w="3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12.4. Litigation; Jurisdiction; Other Matters; Waivers</w:t>
            </w:r>
          </w:p>
        </w:tc>
        <w:tc>
          <w:tcPr>
            <w:tcW w:w="3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12.5. Successors and Assigns</w:t>
            </w:r>
          </w:p>
        </w:tc>
        <w:tc>
          <w:tcPr>
            <w:tcW w:w="3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12.6. Amendments</w:t>
            </w:r>
          </w:p>
        </w:tc>
        <w:tc>
          <w:tcPr>
            <w:tcW w:w="34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12.7. Nonliability of Agent and Lenders</w:t>
            </w:r>
          </w:p>
        </w:tc>
        <w:tc>
          <w:tcPr>
            <w:tcW w:w="34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12.8. Confidentiality</w:t>
            </w:r>
          </w:p>
        </w:tc>
        <w:tc>
          <w:tcPr>
            <w:tcW w:w="34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12.9. Indemnification</w:t>
            </w:r>
          </w:p>
        </w:tc>
        <w:tc>
          <w:tcPr>
            <w:tcW w:w="34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12.10. Termination; Survival</w:t>
            </w:r>
          </w:p>
        </w:tc>
        <w:tc>
          <w:tcPr>
            <w:tcW w:w="34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12.11. Severability of Provisions</w:t>
            </w:r>
          </w:p>
        </w:tc>
        <w:tc>
          <w:tcPr>
            <w:tcW w:w="3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12.12. GOVERNING LAW</w:t>
            </w:r>
          </w:p>
        </w:tc>
        <w:tc>
          <w:tcPr>
            <w:tcW w:w="3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280" w:type="dxa"/>
            <w:vAlign w:val="bottom"/>
          </w:tcPr>
          <w:p>
            <w:pPr>
              <w:ind w:left="440"/>
              <w:spacing w:after="0"/>
              <w:rPr>
                <w:sz w:val="20"/>
                <w:szCs w:val="20"/>
                <w:color w:val="auto"/>
              </w:rPr>
            </w:pPr>
            <w:r>
              <w:rPr>
                <w:rFonts w:ascii="Arial" w:cs="Arial" w:eastAsia="Arial" w:hAnsi="Arial"/>
                <w:sz w:val="18"/>
                <w:szCs w:val="18"/>
                <w:color w:val="auto"/>
                <w:w w:val="89"/>
              </w:rPr>
              <w:t>Section 12.13. Patriot Act</w:t>
            </w:r>
          </w:p>
        </w:tc>
        <w:tc>
          <w:tcPr>
            <w:tcW w:w="5680" w:type="dxa"/>
            <w:vAlign w:val="bottom"/>
          </w:tcPr>
          <w:p>
            <w:pPr>
              <w:spacing w:after="0"/>
              <w:rPr>
                <w:sz w:val="18"/>
                <w:szCs w:val="18"/>
                <w:color w:val="auto"/>
              </w:rPr>
            </w:pPr>
          </w:p>
        </w:tc>
        <w:tc>
          <w:tcPr>
            <w:tcW w:w="3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12.14. Counterparts</w:t>
            </w:r>
          </w:p>
        </w:tc>
        <w:tc>
          <w:tcPr>
            <w:tcW w:w="3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12.15. Obligations with Respect to Loan Parties</w:t>
            </w:r>
          </w:p>
        </w:tc>
        <w:tc>
          <w:tcPr>
            <w:tcW w:w="3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12.16. Limitation of Liability</w:t>
            </w:r>
          </w:p>
        </w:tc>
        <w:tc>
          <w:tcPr>
            <w:tcW w:w="3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12.17. Entire Agreement</w:t>
            </w:r>
          </w:p>
        </w:tc>
        <w:tc>
          <w:tcPr>
            <w:tcW w:w="34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12.18. Construction</w:t>
            </w:r>
          </w:p>
        </w:tc>
        <w:tc>
          <w:tcPr>
            <w:tcW w:w="34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2"/>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Section 12.19. Limitation of Liability of Trustees, Etc.</w:t>
            </w:r>
          </w:p>
        </w:tc>
        <w:tc>
          <w:tcPr>
            <w:tcW w:w="34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12"/>
        </w:trPr>
        <w:tc>
          <w:tcPr>
            <w:tcW w:w="2280" w:type="dxa"/>
            <w:vAlign w:val="bottom"/>
          </w:tcPr>
          <w:p>
            <w:pPr>
              <w:spacing w:after="0"/>
              <w:rPr>
                <w:sz w:val="20"/>
                <w:szCs w:val="20"/>
                <w:color w:val="auto"/>
              </w:rPr>
            </w:pPr>
            <w:r>
              <w:rPr>
                <w:rFonts w:ascii="Arial" w:cs="Arial" w:eastAsia="Arial" w:hAnsi="Arial"/>
                <w:sz w:val="18"/>
                <w:szCs w:val="18"/>
                <w:color w:val="auto"/>
              </w:rPr>
              <w:t>SCHEDULE 1.1(A)</w:t>
            </w:r>
          </w:p>
        </w:tc>
        <w:tc>
          <w:tcPr>
            <w:tcW w:w="5680" w:type="dxa"/>
            <w:vAlign w:val="bottom"/>
          </w:tcPr>
          <w:p>
            <w:pPr>
              <w:ind w:left="20"/>
              <w:spacing w:after="0"/>
              <w:rPr>
                <w:sz w:val="20"/>
                <w:szCs w:val="20"/>
                <w:color w:val="auto"/>
              </w:rPr>
            </w:pPr>
            <w:r>
              <w:rPr>
                <w:rFonts w:ascii="Arial" w:cs="Arial" w:eastAsia="Arial" w:hAnsi="Arial"/>
                <w:sz w:val="18"/>
                <w:szCs w:val="18"/>
                <w:color w:val="auto"/>
              </w:rPr>
              <w:t>List of Loan Parties</w:t>
            </w:r>
          </w:p>
        </w:tc>
        <w:tc>
          <w:tcPr>
            <w:tcW w:w="3460" w:type="dxa"/>
            <w:vAlign w:val="bottom"/>
          </w:tcPr>
          <w:p>
            <w:pPr>
              <w:spacing w:after="0"/>
              <w:rPr>
                <w:sz w:val="24"/>
                <w:szCs w:val="24"/>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SCHEDULE 6.1.(b)</w:t>
            </w:r>
          </w:p>
        </w:tc>
        <w:tc>
          <w:tcPr>
            <w:tcW w:w="5680" w:type="dxa"/>
            <w:vAlign w:val="bottom"/>
          </w:tcPr>
          <w:p>
            <w:pPr>
              <w:ind w:left="20"/>
              <w:spacing w:after="0"/>
              <w:rPr>
                <w:sz w:val="20"/>
                <w:szCs w:val="20"/>
                <w:color w:val="auto"/>
              </w:rPr>
            </w:pPr>
            <w:r>
              <w:rPr>
                <w:rFonts w:ascii="Arial" w:cs="Arial" w:eastAsia="Arial" w:hAnsi="Arial"/>
                <w:sz w:val="18"/>
                <w:szCs w:val="18"/>
                <w:color w:val="auto"/>
              </w:rPr>
              <w:t>Ownership Structure</w:t>
            </w:r>
          </w:p>
        </w:tc>
        <w:tc>
          <w:tcPr>
            <w:tcW w:w="3460" w:type="dxa"/>
            <w:vAlign w:val="bottom"/>
          </w:tcPr>
          <w:p>
            <w:pPr>
              <w:spacing w:after="0"/>
              <w:rPr>
                <w:sz w:val="18"/>
                <w:szCs w:val="18"/>
                <w:color w:val="auto"/>
              </w:rPr>
            </w:pP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SCHEDULE 6.1.(f)</w:t>
            </w:r>
          </w:p>
        </w:tc>
        <w:tc>
          <w:tcPr>
            <w:tcW w:w="5680" w:type="dxa"/>
            <w:vAlign w:val="bottom"/>
          </w:tcPr>
          <w:p>
            <w:pPr>
              <w:ind w:left="20"/>
              <w:spacing w:after="0"/>
              <w:rPr>
                <w:sz w:val="20"/>
                <w:szCs w:val="20"/>
                <w:color w:val="auto"/>
              </w:rPr>
            </w:pPr>
            <w:r>
              <w:rPr>
                <w:rFonts w:ascii="Arial" w:cs="Arial" w:eastAsia="Arial" w:hAnsi="Arial"/>
                <w:sz w:val="18"/>
                <w:szCs w:val="18"/>
                <w:color w:val="auto"/>
              </w:rPr>
              <w:t>Title to Properties; Liens</w:t>
            </w:r>
          </w:p>
        </w:tc>
        <w:tc>
          <w:tcPr>
            <w:tcW w:w="346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SCHEDULE 6.1.(g)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SCHEDULE 6.1.(h)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6.1.(x)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Indebtedness and Guaranties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-198120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Unencumbered Assets</w:t>
      </w:r>
    </w:p>
    <w:p>
      <w:pPr>
        <w:spacing w:after="0" w:line="200" w:lineRule="exact"/>
        <w:rPr>
          <w:sz w:val="20"/>
          <w:szCs w:val="20"/>
          <w:color w:val="auto"/>
        </w:rPr>
      </w:pPr>
    </w:p>
    <w:p>
      <w:pPr>
        <w:sectPr>
          <w:pgSz w:w="11900" w:h="16838" w:orient="portrait"/>
          <w:cols w:equalWidth="0" w:num="2">
            <w:col w:w="1580" w:space="720"/>
            <w:col w:w="7919"/>
          </w:cols>
          <w:pgMar w:left="240" w:top="280" w:right="1440"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EXHIBIT 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Form of Assignment and Acceptance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Form of Designation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Continuation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Swingline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Swingline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Revolving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Guaranty</w:t>
      </w:r>
    </w:p>
    <w:p>
      <w:pPr>
        <w:spacing w:after="0" w:line="151" w:lineRule="exact"/>
        <w:rPr>
          <w:sz w:val="20"/>
          <w:szCs w:val="20"/>
          <w:color w:val="auto"/>
        </w:rPr>
      </w:pPr>
    </w:p>
    <w:p>
      <w:pPr>
        <w:sectPr>
          <w:pgSz w:w="11900" w:h="16838" w:orient="portrait"/>
          <w:cols w:equalWidth="0" w:num="2">
            <w:col w:w="1580" w:space="720"/>
            <w:col w:w="7919"/>
          </w:cols>
          <w:pgMar w:left="240" w:top="280" w:right="1440" w:bottom="1440" w:gutter="0" w:footer="0" w:header="0"/>
          <w:type w:val="continuous"/>
        </w:sectPr>
      </w:pPr>
    </w:p>
    <w:p>
      <w:pPr>
        <w:ind w:left="5540"/>
        <w:spacing w:after="0"/>
        <w:rPr>
          <w:sz w:val="20"/>
          <w:szCs w:val="20"/>
          <w:color w:val="auto"/>
        </w:rPr>
      </w:pPr>
      <w:r>
        <w:rPr>
          <w:rFonts w:ascii="Arial" w:cs="Arial" w:eastAsia="Arial" w:hAnsi="Arial"/>
          <w:sz w:val="16"/>
          <w:szCs w:val="16"/>
          <w:color w:val="auto"/>
        </w:rPr>
        <w:t>- iv -</w:t>
      </w:r>
    </w:p>
    <w:p>
      <w:pPr>
        <w:sectPr>
          <w:pgSz w:w="11900" w:h="16838" w:orient="portrait"/>
          <w:cols w:equalWidth="0" w:num="1">
            <w:col w:w="10219"/>
          </w:cols>
          <w:pgMar w:left="240" w:top="280" w:right="1440" w:bottom="1440" w:gutter="0" w:footer="0" w:header="0"/>
          <w:type w:val="continuous"/>
        </w:sectPr>
      </w:pPr>
    </w:p>
    <w:bookmarkStart w:id="34" w:name="page35"/>
    <w:bookmarkEnd w:id="34"/>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CREDIT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as of July 28, 2006, by and among FEDERAL REALTY INVESTMENT TRUST, a real estate investment trust formed under the laws of the State of Maryland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each of the financial institutions initially a signatory hereto together with their assignees pursuant to Section 12.5.(d), WACHOVIA CAPITAL MARKETS, LLC, as Sole Lead Arranger and Sole Book Manager (the </w:t>
      </w:r>
      <w:r>
        <w:rPr>
          <w:rFonts w:ascii="Arial" w:cs="Arial" w:eastAsia="Arial" w:hAnsi="Arial"/>
          <w:sz w:val="18"/>
          <w:szCs w:val="18"/>
          <w:b w:val="1"/>
          <w:bCs w:val="1"/>
          <w:color w:val="auto"/>
        </w:rPr>
        <w:t>“Arranger”</w:t>
      </w:r>
      <w:r>
        <w:rPr>
          <w:rFonts w:ascii="Arial" w:cs="Arial" w:eastAsia="Arial" w:hAnsi="Arial"/>
          <w:sz w:val="18"/>
          <w:szCs w:val="18"/>
          <w:color w:val="auto"/>
        </w:rPr>
        <w:t xml:space="preserve">), WACHOVIA BANK, NATIONAL ASSOCIATION, as Agent, EUROHYPO AG, NEW YORK BRANCH, as Syndication Agent (the </w:t>
      </w:r>
      <w:r>
        <w:rPr>
          <w:rFonts w:ascii="Arial" w:cs="Arial" w:eastAsia="Arial" w:hAnsi="Arial"/>
          <w:sz w:val="18"/>
          <w:szCs w:val="18"/>
          <w:b w:val="1"/>
          <w:bCs w:val="1"/>
          <w:color w:val="auto"/>
        </w:rPr>
        <w:t>“Syndication Agent”</w:t>
      </w:r>
      <w:r>
        <w:rPr>
          <w:rFonts w:ascii="Arial" w:cs="Arial" w:eastAsia="Arial" w:hAnsi="Arial"/>
          <w:sz w:val="18"/>
          <w:szCs w:val="18"/>
          <w:color w:val="auto"/>
        </w:rPr>
        <w:t xml:space="preserve">), and each of PNC BANK, NATIONAL ASSOCIATION, SUNTRUST BANK and U.S. BANK NATIONAL ASSOCIATION, as Documentation Agent (each a </w:t>
      </w:r>
      <w:r>
        <w:rPr>
          <w:rFonts w:ascii="Arial" w:cs="Arial" w:eastAsia="Arial" w:hAnsi="Arial"/>
          <w:sz w:val="18"/>
          <w:szCs w:val="18"/>
          <w:b w:val="1"/>
          <w:bCs w:val="1"/>
          <w:color w:val="auto"/>
        </w:rPr>
        <w:t>“Documentation Agent”</w:t>
      </w:r>
      <w:r>
        <w:rPr>
          <w:rFonts w:ascii="Arial" w:cs="Arial" w:eastAsia="Arial" w:hAnsi="Arial"/>
          <w:sz w:val="18"/>
          <w:szCs w:val="18"/>
          <w:color w:val="auto"/>
        </w:rPr>
        <w:t>).</w:t>
      </w:r>
    </w:p>
    <w:p>
      <w:pPr>
        <w:spacing w:after="0" w:line="14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WHEREAS, the Agent and the Lenders desire to make available to the Borrower a revolving credit facility in the initial amount of $300,000,000, which will include a $40,000,000 letter of credit subfacility and a $25,000,000 swingline subfacility, all on the terms and conditions contained herein.</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 D</w:t>
      </w:r>
      <w:r>
        <w:rPr>
          <w:rFonts w:ascii="Arial" w:cs="Arial" w:eastAsia="Arial" w:hAnsi="Arial"/>
          <w:sz w:val="14"/>
          <w:szCs w:val="14"/>
          <w:b w:val="1"/>
          <w:bCs w:val="1"/>
          <w:color w:val="auto"/>
        </w:rPr>
        <w:t>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terms defined elsewhere herein, the following terms shall have the following meanings for the purposes of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“Absolute Rate” </w:t>
      </w:r>
      <w:r>
        <w:rPr>
          <w:rFonts w:ascii="Arial" w:cs="Arial" w:eastAsia="Arial" w:hAnsi="Arial"/>
          <w:sz w:val="18"/>
          <w:szCs w:val="18"/>
          <w:color w:val="auto"/>
        </w:rPr>
        <w:t>has the meaning given that term in Section 2.2.(c)(ii)(C).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“Absolute Rate Auction” </w:t>
      </w:r>
      <w:r>
        <w:rPr>
          <w:rFonts w:ascii="Arial" w:cs="Arial" w:eastAsia="Arial" w:hAnsi="Arial"/>
          <w:sz w:val="18"/>
          <w:szCs w:val="18"/>
          <w:color w:val="auto"/>
        </w:rPr>
        <w:t>means a solicitation of Bid Rate Quotes setting forth Absolute Rates pursuant to Section 2.2.</w:t>
      </w:r>
    </w:p>
    <w:p>
      <w:pPr>
        <w:spacing w:after="0" w:line="17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“Absolute Rate Loan” </w:t>
      </w:r>
      <w:r>
        <w:rPr>
          <w:rFonts w:ascii="Arial" w:cs="Arial" w:eastAsia="Arial" w:hAnsi="Arial"/>
          <w:sz w:val="18"/>
          <w:szCs w:val="18"/>
          <w:color w:val="auto"/>
        </w:rPr>
        <w:t>means a Bid Rate Loan, the interest rate on which is determined on the basis of an Absolute Rate pursuant to an Absolute Rate</w:t>
      </w:r>
      <w:r>
        <w:rPr>
          <w:rFonts w:ascii="Arial" w:cs="Arial" w:eastAsia="Arial" w:hAnsi="Arial"/>
          <w:sz w:val="18"/>
          <w:szCs w:val="18"/>
          <w:b w:val="1"/>
          <w:bCs w:val="1"/>
          <w:color w:val="auto"/>
        </w:rPr>
        <w:t xml:space="preserve"> </w:t>
      </w:r>
      <w:r>
        <w:rPr>
          <w:rFonts w:ascii="Arial" w:cs="Arial" w:eastAsia="Arial" w:hAnsi="Arial"/>
          <w:sz w:val="18"/>
          <w:szCs w:val="18"/>
          <w:color w:val="auto"/>
        </w:rPr>
        <w:t>Auction.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“Accession Agreement” </w:t>
      </w:r>
      <w:r>
        <w:rPr>
          <w:rFonts w:ascii="Arial" w:cs="Arial" w:eastAsia="Arial" w:hAnsi="Arial"/>
          <w:sz w:val="18"/>
          <w:szCs w:val="18"/>
          <w:color w:val="auto"/>
        </w:rPr>
        <w:t>means an Accession Agreement substantially in the form of Annex I to the Guaranty.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“Additional Costs” </w:t>
      </w:r>
      <w:r>
        <w:rPr>
          <w:rFonts w:ascii="Arial" w:cs="Arial" w:eastAsia="Arial" w:hAnsi="Arial"/>
          <w:sz w:val="18"/>
          <w:szCs w:val="18"/>
          <w:color w:val="auto"/>
        </w:rPr>
        <w:t>has the meaning given that term in Section 4.1.</w:t>
      </w:r>
    </w:p>
    <w:p>
      <w:pPr>
        <w:spacing w:after="0" w:line="171"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means, for any given period, (a) the EBITDA of the Borrower and its Subsidiaries determined on a consolidated basis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Capital Reserves.</w:t>
      </w:r>
    </w:p>
    <w:p>
      <w:pPr>
        <w:spacing w:after="0" w:line="12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“Adjusted Eurodollar Rate” </w:t>
      </w:r>
      <w:r>
        <w:rPr>
          <w:rFonts w:ascii="Arial" w:cs="Arial" w:eastAsia="Arial" w:hAnsi="Arial"/>
          <w:sz w:val="18"/>
          <w:szCs w:val="18"/>
          <w:color w:val="auto"/>
        </w:rPr>
        <w:t>means, with respect to each Interest Period for any LIBOR Loan, the rate obtained by dividing (a) LIBOR for such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Period by (b) a percentage equal to 1 minus the stated maximum rate (stated as a decimal) of all reserves, if any, required to be maintained with respect to Eurocurrency funding (currently as referred to “Eurocurrency liabilities”) as specified in Regulation D of the Board of Governors of the Federal Reserve System (or against any other category of liabilities which includes deposits by reference to which</w:t>
      </w:r>
    </w:p>
    <w:p>
      <w:pPr>
        <w:sectPr>
          <w:pgSz w:w="11900" w:h="16838" w:orient="portrait"/>
          <w:cols w:equalWidth="0" w:num="1">
            <w:col w:w="11400"/>
          </w:cols>
          <w:pgMar w:left="240" w:top="274" w:right="259" w:bottom="1440" w:gutter="0" w:footer="0" w:header="0"/>
        </w:sectPr>
      </w:pPr>
    </w:p>
    <w:bookmarkStart w:id="35" w:name="page36"/>
    <w:bookmarkEnd w:id="35"/>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interest rate on LIBOR Loans is determined or any applicable category of extensions of credit or other assets which includes loans by an office of any Lender outside of the United States of America to residents of the United States of America). Any change in such maximum rate shall result in a change in the Adjusted Eurodollar Rate on the date on which such change in such maximum rate becomes effective.</w:t>
      </w:r>
    </w:p>
    <w:p>
      <w:pPr>
        <w:spacing w:after="0" w:line="134"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“Adjusted Total Asset Value” </w:t>
      </w:r>
      <w:r>
        <w:rPr>
          <w:rFonts w:ascii="Arial" w:cs="Arial" w:eastAsia="Arial" w:hAnsi="Arial"/>
          <w:sz w:val="18"/>
          <w:szCs w:val="18"/>
          <w:color w:val="auto"/>
        </w:rPr>
        <w:t>means Total Asset Value determined exclusive of assets that are owned by (a) Excluded Subsidiaries, (b) Unconsolidated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(c) the Specified Non-Wholly Owned Subsidiaries.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any Person (other than the Agent or any Lender): (a) directly or indirectly controlling, controlled by, or under common control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(b) directly or indirectly owning or holding 10.0% or more (or 12.0% or more in the case of Morgan Stanley and its affiliates) of any Equity Interest in the Borrower; or (c) 10.0% or more (or 12.0% or more in the case of Morgan Stanley and its affiliates) of whose voting stock or other Equity Interest is directly or indirectly owned or held by the Borrower. For purposes of this definition, “control” (including with correlative meanings, the terms “controlling,” “controlled by” and “under common control with”) means the possession directly or indirectly of the power to direct or cause the direction of the management and policies of a Person, whether through the ownership of voting securities or by contract or otherwise. The Affiliates of a Person shall include any officer or director of such Person. In no event shall the Agent or any Lender be deemed to be an Affiliate of the Borrower.</w:t>
      </w:r>
    </w:p>
    <w:p>
      <w:pPr>
        <w:spacing w:after="0" w:line="113"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means Wachovia Bank, National Association, as contractual representative for the Lenders under the terms of this Agreement, and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“Agreement Date” </w:t>
      </w:r>
      <w:r>
        <w:rPr>
          <w:rFonts w:ascii="Arial" w:cs="Arial" w:eastAsia="Arial" w:hAnsi="Arial"/>
          <w:sz w:val="18"/>
          <w:szCs w:val="18"/>
          <w:color w:val="auto"/>
        </w:rPr>
        <w:t>means the date as of which this Agreement is dated.</w:t>
      </w:r>
    </w:p>
    <w:p>
      <w:pPr>
        <w:spacing w:after="0" w:line="17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all applicable provisions of constitutions, statutes, rules, regulations and orders of all governmental bodies and all orders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decrees of all courts, tribunals and arbitrators.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“Applicable Margin” </w:t>
      </w:r>
      <w:r>
        <w:rPr>
          <w:rFonts w:ascii="Arial" w:cs="Arial" w:eastAsia="Arial" w:hAnsi="Arial"/>
          <w:sz w:val="16"/>
          <w:szCs w:val="16"/>
          <w:color w:val="auto"/>
        </w:rPr>
        <w:t>means the percentage per annum determined, at any time, based on the range into which the Borrower’s Credit Rating then falls,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the levels in the table set forth below (each a </w:t>
      </w:r>
      <w:r>
        <w:rPr>
          <w:rFonts w:ascii="Arial" w:cs="Arial" w:eastAsia="Arial" w:hAnsi="Arial"/>
          <w:sz w:val="16"/>
          <w:szCs w:val="16"/>
          <w:b w:val="1"/>
          <w:bCs w:val="1"/>
          <w:color w:val="auto"/>
        </w:rPr>
        <w:t>“Level”</w:t>
      </w:r>
      <w:r>
        <w:rPr>
          <w:rFonts w:ascii="Arial" w:cs="Arial" w:eastAsia="Arial" w:hAnsi="Arial"/>
          <w:sz w:val="16"/>
          <w:szCs w:val="16"/>
          <w:color w:val="auto"/>
        </w:rPr>
        <w:t>). Any change in the Borrower’s Credit Rating which would cause it to move to a different Level in such table shall effect a change in the Applicable Margin on the Business Day on which such change occurs. During any period that the Borrower has received Credit Ratings that are not equivalent, the Applicable Margin shall be determined by the higher of such two Credit Ratings. During any period for which the Borrower has received a Credit Rating from only one Rating Agency, then the Applicable Margin shall be determined based on such Credit Rating. During any period for which the Borrower has not received a Credit Rating from either Rating Agency, then the Applicable Margin shall be determined based on Level 5. As of the Agreement Date, and thereafter until changed as provided above, the Applicable Margin is determined based on Level 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80" w:right="239" w:bottom="1440" w:gutter="0" w:footer="0" w:header="0"/>
        </w:sectPr>
      </w:pPr>
    </w:p>
    <w:bookmarkStart w:id="36" w:name="page37"/>
    <w:bookmarkEnd w:id="36"/>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360" w:type="dxa"/>
            <w:vAlign w:val="bottom"/>
          </w:tcPr>
          <w:p>
            <w:pPr>
              <w:ind w:left="1440"/>
              <w:spacing w:after="0"/>
              <w:rPr>
                <w:sz w:val="20"/>
                <w:szCs w:val="20"/>
                <w:color w:val="auto"/>
              </w:rPr>
            </w:pPr>
            <w:r>
              <w:rPr>
                <w:rFonts w:ascii="Arial" w:cs="Arial" w:eastAsia="Arial" w:hAnsi="Arial"/>
                <w:sz w:val="14"/>
                <w:szCs w:val="14"/>
                <w:b w:val="1"/>
                <w:bCs w:val="1"/>
                <w:color w:val="auto"/>
              </w:rPr>
              <w:t>Borrower’s Credit Rating</w:t>
            </w:r>
          </w:p>
        </w:tc>
        <w:tc>
          <w:tcPr>
            <w:tcW w:w="940" w:type="dxa"/>
            <w:vAlign w:val="bottom"/>
          </w:tcPr>
          <w:p>
            <w:pPr>
              <w:spacing w:after="0"/>
              <w:rPr>
                <w:sz w:val="14"/>
                <w:szCs w:val="14"/>
                <w:color w:val="auto"/>
              </w:rPr>
            </w:pPr>
          </w:p>
        </w:tc>
        <w:tc>
          <w:tcPr>
            <w:tcW w:w="24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0"/>
              </w:rPr>
              <w:t>Applicable Margin for</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Applicable Margin for</w:t>
            </w:r>
          </w:p>
        </w:tc>
      </w:tr>
      <w:tr>
        <w:trPr>
          <w:trHeight w:val="175"/>
        </w:trPr>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Level</w:t>
            </w:r>
          </w:p>
        </w:tc>
        <w:tc>
          <w:tcPr>
            <w:tcW w:w="900" w:type="dxa"/>
            <w:vAlign w:val="bottom"/>
          </w:tcPr>
          <w:p>
            <w:pPr>
              <w:spacing w:after="0"/>
              <w:rPr>
                <w:sz w:val="15"/>
                <w:szCs w:val="15"/>
                <w:color w:val="auto"/>
              </w:rPr>
            </w:pPr>
          </w:p>
        </w:tc>
        <w:tc>
          <w:tcPr>
            <w:tcW w:w="436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(S&amp;P/Moody’s)</w:t>
            </w:r>
          </w:p>
        </w:tc>
        <w:tc>
          <w:tcPr>
            <w:tcW w:w="94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LIBOR Loans</w:t>
            </w:r>
          </w:p>
        </w:tc>
        <w:tc>
          <w:tcPr>
            <w:tcW w:w="1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Base Rate Loans</w:t>
            </w:r>
          </w:p>
        </w:tc>
        <w:tc>
          <w:tcPr>
            <w:tcW w:w="2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A-/A3</w:t>
            </w:r>
          </w:p>
        </w:tc>
        <w:tc>
          <w:tcPr>
            <w:tcW w:w="3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0.375%</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BBB+/Baal</w:t>
            </w:r>
          </w:p>
        </w:tc>
        <w:tc>
          <w:tcPr>
            <w:tcW w:w="3380" w:type="dxa"/>
            <w:vAlign w:val="bottom"/>
            <w:gridSpan w:val="3"/>
          </w:tcPr>
          <w:p>
            <w:pPr>
              <w:jc w:val="right"/>
              <w:ind w:right="980"/>
              <w:spacing w:after="0"/>
              <w:rPr>
                <w:sz w:val="20"/>
                <w:szCs w:val="20"/>
                <w:color w:val="auto"/>
              </w:rPr>
            </w:pPr>
            <w:r>
              <w:rPr>
                <w:rFonts w:ascii="Arial" w:cs="Arial" w:eastAsia="Arial" w:hAnsi="Arial"/>
                <w:sz w:val="18"/>
                <w:szCs w:val="18"/>
                <w:color w:val="auto"/>
              </w:rPr>
              <w:t>0.425%</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BBB/Baa2</w:t>
            </w:r>
          </w:p>
        </w:tc>
        <w:tc>
          <w:tcPr>
            <w:tcW w:w="3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0.600%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BBB-/Baa3</w:t>
            </w:r>
          </w:p>
        </w:tc>
        <w:tc>
          <w:tcPr>
            <w:tcW w:w="3380" w:type="dxa"/>
            <w:vAlign w:val="bottom"/>
            <w:gridSpan w:val="3"/>
          </w:tcPr>
          <w:p>
            <w:pPr>
              <w:jc w:val="right"/>
              <w:ind w:right="980"/>
              <w:spacing w:after="0"/>
              <w:rPr>
                <w:sz w:val="20"/>
                <w:szCs w:val="20"/>
                <w:color w:val="auto"/>
              </w:rPr>
            </w:pPr>
            <w:r>
              <w:rPr>
                <w:rFonts w:ascii="Arial" w:cs="Arial" w:eastAsia="Arial" w:hAnsi="Arial"/>
                <w:sz w:val="18"/>
                <w:szCs w:val="18"/>
                <w:color w:val="auto"/>
              </w:rPr>
              <w:t>0.750%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&lt; BBB-/Baa3</w:t>
            </w:r>
          </w:p>
        </w:tc>
        <w:tc>
          <w:tcPr>
            <w:tcW w:w="338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color w:val="auto"/>
        </w:rPr>
        <w:t xml:space="preserve">“Arranger” </w:t>
      </w:r>
      <w:r>
        <w:rPr>
          <w:rFonts w:ascii="Arial" w:cs="Arial" w:eastAsia="Arial" w:hAnsi="Arial"/>
          <w:sz w:val="18"/>
          <w:szCs w:val="18"/>
          <w:color w:val="auto"/>
        </w:rPr>
        <w:t>means Wachovia Capital Markets, LLC, together with its successors and permitted assigns.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“Assignee” </w:t>
      </w:r>
      <w:r>
        <w:rPr>
          <w:rFonts w:ascii="Arial" w:cs="Arial" w:eastAsia="Arial" w:hAnsi="Arial"/>
          <w:sz w:val="18"/>
          <w:szCs w:val="18"/>
          <w:color w:val="auto"/>
        </w:rPr>
        <w:t>has the meaning given that term in Section 12.5.(d).</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“Assignment and Acceptance Agreement” </w:t>
      </w:r>
      <w:r>
        <w:rPr>
          <w:rFonts w:ascii="Arial" w:cs="Arial" w:eastAsia="Arial" w:hAnsi="Arial"/>
          <w:sz w:val="18"/>
          <w:szCs w:val="18"/>
          <w:color w:val="auto"/>
        </w:rPr>
        <w:t>means an Assignment and Acceptance Agreement among a Lender, an Assignee and the Agent,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form of Exhibit 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“Base Rate” </w:t>
      </w:r>
      <w:r>
        <w:rPr>
          <w:rFonts w:ascii="Arial" w:cs="Arial" w:eastAsia="Arial" w:hAnsi="Arial"/>
          <w:sz w:val="16"/>
          <w:szCs w:val="16"/>
          <w:color w:val="auto"/>
        </w:rPr>
        <w:t>means the per annum rate of interest equal to the greater of (a) the Prime Rate or (b) the Federal Funds Rate plus one-half of one percent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(0.5%). Any change in the Base Rate resulting from a change in the Prime Rate or the Federal Funds Rate shall become effective as of 12:01 a.m. on the Business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Day on which each such change occurs. The Base Rate is a reference rate used by the Lender acting as the Agent in determining interest rates on certain loans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is not intended to be the lowest rate of interest charged by the Lender acting as the Agent or any other Lender on any extension of credit to any debtor.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“Base Rate Loan” </w:t>
      </w:r>
      <w:r>
        <w:rPr>
          <w:rFonts w:ascii="Arial" w:cs="Arial" w:eastAsia="Arial" w:hAnsi="Arial"/>
          <w:sz w:val="18"/>
          <w:szCs w:val="18"/>
          <w:color w:val="auto"/>
        </w:rPr>
        <w:t>means a Loan bearing interest at a rate based on the Base Rate.</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“Benefit Arrangement” </w:t>
      </w:r>
      <w:r>
        <w:rPr>
          <w:rFonts w:ascii="Arial" w:cs="Arial" w:eastAsia="Arial" w:hAnsi="Arial"/>
          <w:sz w:val="18"/>
          <w:szCs w:val="18"/>
          <w:color w:val="auto"/>
        </w:rPr>
        <w:t>means at any time an employee benefit plan within the meaning of Section 3(3) of ERISA which is not a Plan or a Multiemployer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which is maintained or otherwise contributed to by any member of the ERISA Group.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“Bid Rate Borrowing” </w:t>
      </w:r>
      <w:r>
        <w:rPr>
          <w:rFonts w:ascii="Arial" w:cs="Arial" w:eastAsia="Arial" w:hAnsi="Arial"/>
          <w:sz w:val="18"/>
          <w:szCs w:val="18"/>
          <w:color w:val="auto"/>
        </w:rPr>
        <w:t>has the meaning given that term in Section 2.2.(b).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“Bid Rate Loan” </w:t>
      </w:r>
      <w:r>
        <w:rPr>
          <w:rFonts w:ascii="Arial" w:cs="Arial" w:eastAsia="Arial" w:hAnsi="Arial"/>
          <w:sz w:val="18"/>
          <w:szCs w:val="18"/>
          <w:color w:val="auto"/>
        </w:rPr>
        <w:t>means a loan made by a Lender under Section 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“Bid Rate Note” </w:t>
      </w:r>
      <w:r>
        <w:rPr>
          <w:rFonts w:ascii="Arial" w:cs="Arial" w:eastAsia="Arial" w:hAnsi="Arial"/>
          <w:sz w:val="18"/>
          <w:szCs w:val="18"/>
          <w:color w:val="auto"/>
        </w:rPr>
        <w:t>has the meaning given that term in Section 2.11.(b).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“Bid Rate Quote” </w:t>
      </w:r>
      <w:r>
        <w:rPr>
          <w:rFonts w:ascii="Arial" w:cs="Arial" w:eastAsia="Arial" w:hAnsi="Arial"/>
          <w:sz w:val="16"/>
          <w:szCs w:val="16"/>
          <w:color w:val="auto"/>
        </w:rPr>
        <w:t>means an offer in accordance with Section 2.2.(c) by a Lender to make a Bid Rate Loan with one single specified interest rate.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“Bid Rate Quote Request” </w:t>
      </w:r>
      <w:r>
        <w:rPr>
          <w:rFonts w:ascii="Arial" w:cs="Arial" w:eastAsia="Arial" w:hAnsi="Arial"/>
          <w:sz w:val="18"/>
          <w:szCs w:val="18"/>
          <w:color w:val="auto"/>
        </w:rPr>
        <w:t>has the meaning given that term in Section 2.2.(b).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“Borrower” </w:t>
      </w:r>
      <w:r>
        <w:rPr>
          <w:rFonts w:ascii="Arial" w:cs="Arial" w:eastAsia="Arial" w:hAnsi="Arial"/>
          <w:sz w:val="16"/>
          <w:szCs w:val="16"/>
          <w:color w:val="auto"/>
        </w:rPr>
        <w:t>has the meaning set forth in the introductory paragraph hereof and shall include the Borrower’s successors and permitted assigns.</w:t>
      </w:r>
    </w:p>
    <w:p>
      <w:pPr>
        <w:spacing w:after="0" w:line="194"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any day other than a Saturday, Sunday or other day on which banks in Charlotte, North Carolina or New York,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required to close and (b) with reference to a LIBOR Loan or LIBOR Margin Loan, any such day that is also a day on which dealings in Dollar deposits are carried out in the London interbank market.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63" w:right="259" w:bottom="1440" w:gutter="0" w:footer="0" w:header="0"/>
        </w:sectPr>
      </w:pPr>
    </w:p>
    <w:bookmarkStart w:id="37" w:name="page38"/>
    <w:bookmarkEnd w:id="37"/>
    <w:p>
      <w:pPr>
        <w:ind w:right="100" w:firstLine="45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“Capital Reserves” </w:t>
      </w:r>
      <w:r>
        <w:rPr>
          <w:rFonts w:ascii="Arial" w:cs="Arial" w:eastAsia="Arial" w:hAnsi="Arial"/>
          <w:sz w:val="16"/>
          <w:szCs w:val="16"/>
          <w:color w:val="auto"/>
        </w:rPr>
        <w:t>means, for any period and with respect to any: (a) portion of a Property developed with improvements utilized for the retail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goods or services, office space or other use (other than residential apartments), an amount equal to (i) $0.15 per square foot times (ii)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or</w:t>
      </w:r>
    </w:p>
    <w:p>
      <w:pPr>
        <w:spacing w:after="0" w:line="3" w:lineRule="exact"/>
        <w:rPr>
          <w:sz w:val="20"/>
          <w:szCs w:val="20"/>
          <w:color w:val="auto"/>
        </w:rPr>
      </w:pPr>
    </w:p>
    <w:p>
      <w:pPr>
        <w:jc w:val="both"/>
        <w:ind w:firstLine="8"/>
        <w:spacing w:after="0" w:line="254"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Multifamily Property, an amount equal to (i) $200 per apartment unit in such Multifamily Property times (ii) a fraction, the numerator of which is the number of days in such period and the denominator of which is 365. If the term Capital Reserves is used without reference to any specific Property, then the amount shall be determined on an aggregate basis with respect to all Retail Properties and Multifamily Properties of the Borrower and its Subsidiaries and a proportionate share of all Retail and Multifamily Properties of all Unconsolidated Affiliates.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“Capitalization Rate” </w:t>
      </w:r>
      <w:r>
        <w:rPr>
          <w:rFonts w:ascii="Arial" w:cs="Arial" w:eastAsia="Arial" w:hAnsi="Arial"/>
          <w:sz w:val="18"/>
          <w:szCs w:val="18"/>
          <w:color w:val="auto"/>
        </w:rPr>
        <w:t>means 7.50%.</w:t>
      </w:r>
    </w:p>
    <w:p>
      <w:pPr>
        <w:spacing w:after="0" w:line="17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“Capitalized Lease Obligation” </w:t>
      </w:r>
      <w:r>
        <w:rPr>
          <w:rFonts w:ascii="Arial" w:cs="Arial" w:eastAsia="Arial" w:hAnsi="Arial"/>
          <w:sz w:val="18"/>
          <w:szCs w:val="18"/>
          <w:color w:val="auto"/>
        </w:rPr>
        <w:t>means an obligation under a lease that is required to be capitalized for financial reporting purposes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GAAP. The amount of a Capitalized Lease Obligation is the capitalized amount of such obligation as would be required to be reflected on the balance sheet prepared in accordance with GAAP of the applicable Person as of the applicable date.</w:t>
      </w:r>
    </w:p>
    <w:p>
      <w:pPr>
        <w:spacing w:after="0" w:line="132"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b w:val="1"/>
          <w:bCs w:val="1"/>
          <w:color w:val="auto"/>
        </w:rPr>
        <w:t xml:space="preserve">“Cash Equivalents” </w:t>
      </w:r>
      <w:r>
        <w:rPr>
          <w:rFonts w:ascii="Arial" w:cs="Arial" w:eastAsia="Arial" w:hAnsi="Arial"/>
          <w:sz w:val="16"/>
          <w:szCs w:val="16"/>
          <w:color w:val="auto"/>
        </w:rPr>
        <w:t>means: (a) securities issued, guaranteed or insured by the United States of America or any of its agencies with maturities of not more</w:t>
      </w:r>
      <w:r>
        <w:rPr>
          <w:rFonts w:ascii="Arial" w:cs="Arial" w:eastAsia="Arial" w:hAnsi="Arial"/>
          <w:sz w:val="16"/>
          <w:szCs w:val="16"/>
          <w:b w:val="1"/>
          <w:bCs w:val="1"/>
          <w:color w:val="auto"/>
        </w:rPr>
        <w:t xml:space="preserve"> </w:t>
      </w:r>
      <w:r>
        <w:rPr>
          <w:rFonts w:ascii="Arial" w:cs="Arial" w:eastAsia="Arial" w:hAnsi="Arial"/>
          <w:sz w:val="16"/>
          <w:szCs w:val="16"/>
          <w:color w:val="auto"/>
        </w:rPr>
        <w:t>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Organization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w:t>
      </w:r>
    </w:p>
    <w:p>
      <w:pPr>
        <w:spacing w:after="0" w:line="1" w:lineRule="exact"/>
        <w:rPr>
          <w:sz w:val="20"/>
          <w:szCs w:val="20"/>
          <w:color w:val="auto"/>
        </w:rPr>
      </w:pPr>
    </w:p>
    <w:p>
      <w:pPr>
        <w:ind w:right="60" w:firstLine="8"/>
        <w:spacing w:after="0" w:line="295"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which have net assets of at least $500,000,000 and at least 85% of whose assets consist of securities and other obligations of the type described in clauses (a) through (d) above.</w:t>
      </w:r>
    </w:p>
    <w:p>
      <w:pPr>
        <w:spacing w:after="0" w:line="101" w:lineRule="exact"/>
        <w:rPr>
          <w:rFonts w:ascii="Arial" w:cs="Arial" w:eastAsia="Arial" w:hAnsi="Arial"/>
          <w:sz w:val="16"/>
          <w:szCs w:val="16"/>
          <w:color w:val="auto"/>
        </w:rPr>
      </w:pPr>
    </w:p>
    <w:p>
      <w:pPr>
        <w:ind w:left="5680" w:hanging="112"/>
        <w:spacing w:after="0"/>
        <w:tabs>
          <w:tab w:leader="none" w:pos="5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38" w:name="page39"/>
    <w:bookmarkEnd w:id="38"/>
    <w:p>
      <w:pPr>
        <w:ind w:right="34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“Collateral Account” </w:t>
      </w:r>
      <w:r>
        <w:rPr>
          <w:rFonts w:ascii="Arial" w:cs="Arial" w:eastAsia="Arial" w:hAnsi="Arial"/>
          <w:sz w:val="18"/>
          <w:szCs w:val="18"/>
          <w:color w:val="auto"/>
        </w:rPr>
        <w:t>means a special deposit account or securities account maintained by, or on behalf of, the Agent and under its sole dominion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“Commitment” </w:t>
      </w:r>
      <w:r>
        <w:rPr>
          <w:rFonts w:ascii="Arial" w:cs="Arial" w:eastAsia="Arial" w:hAnsi="Arial"/>
          <w:sz w:val="16"/>
          <w:szCs w:val="16"/>
          <w:color w:val="auto"/>
        </w:rPr>
        <w:t>means, as to each Lender (other than the Swingline Lender), such Lender’s obligation (a) to make Revolving Loans pursuant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Section 2.1., (b) to issue (in the case of the Lender then acting as Agent) or participate in (in the case of the other Lenders) Letters of Credit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2.4.(a) and 2.4.(i), respectively (but in the case of the Lender then acting as the Agent, excluding the aggregate amount of participations in the Letters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held by the other Lenders), and (c) to participate in the Swingline Loans pursuant to Section 2.3.(e), in each case, in an amount up to, but not exceeding,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set forth for such Lender on its signature page hereto as such Lender’s “Commitment Amount,” as set forth in the applicable Assignment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Acceptance Agreement or as set forth in the applicable documents pursuant to which such Lender became a party to this Agreement pursuant to Section 2.16.,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each case, as the same may be reduced or increased from time to time in accordance with the applicable terms of this Agreement.</w:t>
      </w:r>
    </w:p>
    <w:p>
      <w:pPr>
        <w:spacing w:after="0" w:line="159"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“Commitment Percentage” </w:t>
      </w:r>
      <w:r>
        <w:rPr>
          <w:rFonts w:ascii="Arial" w:cs="Arial" w:eastAsia="Arial" w:hAnsi="Arial"/>
          <w:sz w:val="18"/>
          <w:szCs w:val="18"/>
          <w:color w:val="auto"/>
        </w:rPr>
        <w:t>means, as to each Lender, the ratio, expressed as a percentage, of (a) the amount of such Lender’s Commitment to (b)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aggregate amount of the Commitments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the time of determination the Commitments have terminated or been reduced to zero, the “Commitment Percentage” of each Lender shall be the Commitment Percentage of such Lender in effect immediately prior to such termination or reduction.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has the meaning given that term in Section 8.3.</w:t>
      </w:r>
    </w:p>
    <w:p>
      <w:pPr>
        <w:spacing w:after="0" w:line="171"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 xml:space="preserve">“Construction-in-Process” </w:t>
      </w:r>
      <w:r>
        <w:rPr>
          <w:rFonts w:ascii="Arial" w:cs="Arial" w:eastAsia="Arial" w:hAnsi="Arial"/>
          <w:sz w:val="16"/>
          <w:szCs w:val="16"/>
          <w:color w:val="auto"/>
        </w:rPr>
        <w:t>means cash expenditures for land and improvements (including indirect costs internally allocated and development costs)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GAAP on all Properties that are under development or will commence development within twelve months from any date of determination.</w:t>
      </w:r>
    </w:p>
    <w:p>
      <w:pPr>
        <w:spacing w:after="0" w:line="74"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“Construction Budget” </w:t>
      </w:r>
      <w:r>
        <w:rPr>
          <w:rFonts w:ascii="Arial" w:cs="Arial" w:eastAsia="Arial" w:hAnsi="Arial"/>
          <w:sz w:val="18"/>
          <w:szCs w:val="18"/>
          <w:color w:val="auto"/>
        </w:rPr>
        <w:t>means the fully-budgeted costs for the acquisition and construction of a given parcel of real property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cost of acquiring such parcel of real property, reserves for construction interest and operating deficits, tenant improvements, leasing commissions, and infrastructure costs) as reasonably determined by the Borrower in good faith.</w:t>
      </w:r>
    </w:p>
    <w:p>
      <w:pPr>
        <w:spacing w:after="0" w:line="132"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“Continue,” “Continuation” </w:t>
      </w:r>
      <w:r>
        <w:rPr>
          <w:rFonts w:ascii="Arial" w:cs="Arial" w:eastAsia="Arial" w:hAnsi="Arial"/>
          <w:sz w:val="18"/>
          <w:szCs w:val="18"/>
          <w:color w:val="auto"/>
        </w:rPr>
        <w:t>and</w:t>
      </w:r>
      <w:r>
        <w:rPr>
          <w:rFonts w:ascii="Arial" w:cs="Arial" w:eastAsia="Arial" w:hAnsi="Arial"/>
          <w:sz w:val="18"/>
          <w:szCs w:val="18"/>
          <w:b w:val="1"/>
          <w:bCs w:val="1"/>
          <w:color w:val="auto"/>
        </w:rPr>
        <w:t xml:space="preserve"> “Continued” </w:t>
      </w:r>
      <w:r>
        <w:rPr>
          <w:rFonts w:ascii="Arial" w:cs="Arial" w:eastAsia="Arial" w:hAnsi="Arial"/>
          <w:sz w:val="18"/>
          <w:szCs w:val="18"/>
          <w:color w:val="auto"/>
        </w:rPr>
        <w:t>each refers to the continuation of a LIBOR Loan from one Interest Period to another Interest Period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2.9.</w:t>
      </w:r>
    </w:p>
    <w:p>
      <w:pPr>
        <w:spacing w:after="0" w:line="12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“Controlled Property” </w:t>
      </w:r>
      <w:r>
        <w:rPr>
          <w:rFonts w:ascii="Arial" w:cs="Arial" w:eastAsia="Arial" w:hAnsi="Arial"/>
          <w:sz w:val="16"/>
          <w:szCs w:val="16"/>
          <w:color w:val="auto"/>
        </w:rPr>
        <w:t>means a Property which is an Eligible Property that is owned in fee simple (or leased under a Ground Lease) by a Guarantor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not a Wholly Owned Subsidiary and with respect to which the Borrower or such Guarantor has the right to take the following actions without the need to obtain the consent of any Person (other than the Requisite Lenders if required pursuant to this Agreement): (a) to create Liens on such Property as security for Indebtedness of the Borrower or such Guarantor, as applicable, and (b) to sell, convey, transfer or otherwise dispose of such Property.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39" w:name="page40"/>
    <w:bookmarkEnd w:id="39"/>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“Convert,” “Conversion” </w:t>
      </w:r>
      <w:r>
        <w:rPr>
          <w:rFonts w:ascii="Arial" w:cs="Arial" w:eastAsia="Arial" w:hAnsi="Arial"/>
          <w:sz w:val="16"/>
          <w:szCs w:val="16"/>
          <w:color w:val="auto"/>
        </w:rPr>
        <w:t>and</w:t>
      </w:r>
      <w:r>
        <w:rPr>
          <w:rFonts w:ascii="Arial" w:cs="Arial" w:eastAsia="Arial" w:hAnsi="Arial"/>
          <w:sz w:val="16"/>
          <w:szCs w:val="16"/>
          <w:b w:val="1"/>
          <w:bCs w:val="1"/>
          <w:color w:val="auto"/>
        </w:rPr>
        <w:t xml:space="preserve"> “Converted” </w:t>
      </w:r>
      <w:r>
        <w:rPr>
          <w:rFonts w:ascii="Arial" w:cs="Arial" w:eastAsia="Arial" w:hAnsi="Arial"/>
          <w:sz w:val="16"/>
          <w:szCs w:val="16"/>
          <w:color w:val="auto"/>
        </w:rPr>
        <w:t>each refers to the conversion of a Loan of one Type into a Loan of another Type pursuant to Section 2.10.</w:t>
      </w:r>
    </w:p>
    <w:p>
      <w:pPr>
        <w:spacing w:after="0" w:line="194" w:lineRule="exact"/>
        <w:rPr>
          <w:sz w:val="20"/>
          <w:szCs w:val="20"/>
          <w:color w:val="auto"/>
        </w:rPr>
      </w:pPr>
    </w:p>
    <w:p>
      <w:pPr>
        <w:ind w:right="600" w:firstLine="456"/>
        <w:spacing w:after="0" w:line="339" w:lineRule="auto"/>
        <w:rPr>
          <w:sz w:val="20"/>
          <w:szCs w:val="20"/>
          <w:color w:val="auto"/>
        </w:rPr>
      </w:pPr>
      <w:r>
        <w:rPr>
          <w:rFonts w:ascii="Arial" w:cs="Arial" w:eastAsia="Arial" w:hAnsi="Arial"/>
          <w:sz w:val="16"/>
          <w:szCs w:val="16"/>
          <w:b w:val="1"/>
          <w:bCs w:val="1"/>
          <w:color w:val="auto"/>
        </w:rPr>
        <w:t xml:space="preserve">“Credit Event” </w:t>
      </w:r>
      <w:r>
        <w:rPr>
          <w:rFonts w:ascii="Arial" w:cs="Arial" w:eastAsia="Arial" w:hAnsi="Arial"/>
          <w:sz w:val="16"/>
          <w:szCs w:val="16"/>
          <w:color w:val="auto"/>
        </w:rPr>
        <w:t>means either of the following: (a) the making (or deemed making) of any Loan, or (b) the issuance of a Letter of Credit;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that a Lender’s making of any Loan at the request of the Agent pursuant to Section 2.3.(e) or 2.4.(j) shall not constitute a Credit Event.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“Credit Rating” </w:t>
      </w:r>
      <w:r>
        <w:rPr>
          <w:rFonts w:ascii="Arial" w:cs="Arial" w:eastAsia="Arial" w:hAnsi="Arial"/>
          <w:sz w:val="18"/>
          <w:szCs w:val="18"/>
          <w:color w:val="auto"/>
        </w:rPr>
        <w:t>means the rating assigned by a Rating Agency to the senior unsecured long term Indebtedness of the Borrower.</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any of the events specified in Section 10.1., whether or not there has been satisfied any requirement for the giving of notice, the lapse of</w:t>
      </w:r>
      <w:r>
        <w:rPr>
          <w:rFonts w:ascii="Arial" w:cs="Arial" w:eastAsia="Arial" w:hAnsi="Arial"/>
          <w:sz w:val="18"/>
          <w:szCs w:val="18"/>
          <w:b w:val="1"/>
          <w:bCs w:val="1"/>
          <w:color w:val="auto"/>
        </w:rPr>
        <w:t xml:space="preserve"> </w:t>
      </w:r>
      <w:r>
        <w:rPr>
          <w:rFonts w:ascii="Arial" w:cs="Arial" w:eastAsia="Arial" w:hAnsi="Arial"/>
          <w:sz w:val="18"/>
          <w:szCs w:val="18"/>
          <w:color w:val="auto"/>
        </w:rPr>
        <w:t>time, or both.</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has the meaning set forth in Section 3.11.(a).</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“Derivatives Contract” </w:t>
      </w:r>
      <w:r>
        <w:rPr>
          <w:rFonts w:ascii="Arial" w:cs="Arial" w:eastAsia="Arial" w:hAnsi="Arial"/>
          <w:sz w:val="16"/>
          <w:szCs w:val="16"/>
          <w:color w:val="auto"/>
        </w:rPr>
        <w:t>means any and all rate swap transactions, basis swaps, credit derivative transactions, forward rate transactions, commodity swaps,</w:t>
      </w:r>
      <w:r>
        <w:rPr>
          <w:rFonts w:ascii="Arial" w:cs="Arial" w:eastAsia="Arial" w:hAnsi="Arial"/>
          <w:sz w:val="16"/>
          <w:szCs w:val="16"/>
          <w:b w:val="1"/>
          <w:bCs w:val="1"/>
          <w:color w:val="auto"/>
        </w:rPr>
        <w:t xml:space="preserve"> </w:t>
      </w:r>
      <w:r>
        <w:rPr>
          <w:rFonts w:ascii="Arial" w:cs="Arial" w:eastAsia="Arial" w:hAnsi="Arial"/>
          <w:sz w:val="16"/>
          <w:szCs w:val="16"/>
          <w:color w:val="auto"/>
        </w:rPr>
        <w:t>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13"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“Derivatives Termination Value” </w:t>
      </w:r>
      <w:r>
        <w:rPr>
          <w:rFonts w:ascii="Arial" w:cs="Arial" w:eastAsia="Arial" w:hAnsi="Arial"/>
          <w:sz w:val="16"/>
          <w:szCs w:val="16"/>
          <w:color w:val="auto"/>
        </w:rPr>
        <w:t>means, in respect of any one or more Derivatives Contracts, after taking into account the effect of any legally</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Agent or any Lender).</w:t>
      </w:r>
    </w:p>
    <w:p>
      <w:pPr>
        <w:spacing w:after="0" w:line="108"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 xml:space="preserve">“Designated Lender” </w:t>
      </w:r>
      <w:r>
        <w:rPr>
          <w:rFonts w:ascii="Arial" w:cs="Arial" w:eastAsia="Arial" w:hAnsi="Arial"/>
          <w:sz w:val="16"/>
          <w:szCs w:val="16"/>
          <w:color w:val="auto"/>
        </w:rPr>
        <w:t>means a special purpose corporation which is sponsored by a Lender, that is engaged in making, purchasing or otherwise investing</w:t>
      </w:r>
      <w:r>
        <w:rPr>
          <w:rFonts w:ascii="Arial" w:cs="Arial" w:eastAsia="Arial" w:hAnsi="Arial"/>
          <w:sz w:val="16"/>
          <w:szCs w:val="16"/>
          <w:b w:val="1"/>
          <w:bCs w:val="1"/>
          <w:color w:val="auto"/>
        </w:rPr>
        <w:t xml:space="preserve"> </w:t>
      </w:r>
      <w:r>
        <w:rPr>
          <w:rFonts w:ascii="Arial" w:cs="Arial" w:eastAsia="Arial" w:hAnsi="Arial"/>
          <w:sz w:val="16"/>
          <w:szCs w:val="16"/>
          <w:color w:val="auto"/>
        </w:rPr>
        <w:t>in commercial loans in the ordinary course of its business and that issues (or the parent of which issues) commercial paper</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40" w:name="page41"/>
    <w:bookmarkEnd w:id="40"/>
    <w:p>
      <w:pPr>
        <w:jc w:val="both"/>
        <w:ind w:right="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rated at least P-1 (or the then equivalent grade) by Moody’s or A-1 (or the then equivalent grade) by S&amp;P that, in either case, (a) is organized under the laws of the United States of America or any state thereof, (b) shall have become a party to this Agreement pursuant to Section 12.5.(e) and (c) is not otherwise a Lender.</w:t>
      </w:r>
    </w:p>
    <w:p>
      <w:pPr>
        <w:spacing w:after="0" w:line="56"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“Designated Lender Note” </w:t>
      </w:r>
      <w:r>
        <w:rPr>
          <w:rFonts w:ascii="Arial" w:cs="Arial" w:eastAsia="Arial" w:hAnsi="Arial"/>
          <w:sz w:val="18"/>
          <w:szCs w:val="18"/>
          <w:color w:val="auto"/>
        </w:rPr>
        <w:t>means a Bid Rate Note of the Borrower evidencing the obligation of the Borrower to repay Bid Rate Loans made by a</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Lender.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“Designating Lender” </w:t>
      </w:r>
      <w:r>
        <w:rPr>
          <w:rFonts w:ascii="Arial" w:cs="Arial" w:eastAsia="Arial" w:hAnsi="Arial"/>
          <w:sz w:val="18"/>
          <w:szCs w:val="18"/>
          <w:color w:val="auto"/>
        </w:rPr>
        <w:t>has the meaning given that term in Section 12.5.(e).</w:t>
      </w:r>
    </w:p>
    <w:p>
      <w:pPr>
        <w:spacing w:after="0" w:line="17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“Designation Agreement” </w:t>
      </w:r>
      <w:r>
        <w:rPr>
          <w:rFonts w:ascii="Arial" w:cs="Arial" w:eastAsia="Arial" w:hAnsi="Arial"/>
          <w:sz w:val="18"/>
          <w:szCs w:val="18"/>
          <w:color w:val="auto"/>
        </w:rPr>
        <w:t>means a Designation Agreement between a Lender and a Designated Lender and accepted by the Agent, substantially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Exhibit B or such other form as may be agreed to by such Lender, such Designated Lender and the Agent.</w:t>
      </w:r>
    </w:p>
    <w:p>
      <w:pPr>
        <w:spacing w:after="0" w:line="120"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 xml:space="preserve">“Development Property” </w:t>
      </w:r>
      <w:r>
        <w:rPr>
          <w:rFonts w:ascii="Arial" w:cs="Arial" w:eastAsia="Arial" w:hAnsi="Arial"/>
          <w:sz w:val="16"/>
          <w:szCs w:val="16"/>
          <w:color w:val="auto"/>
        </w:rPr>
        <w:t>means a Property (a) that otherwise qualifies as an Eligible Property, except that it is not yet a Retail Property or Multifamily</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but it is being developed to become one, and (b) that is either (i) Construction-in-Process or (ii) an Unstabilized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“Dollars” </w:t>
      </w:r>
      <w:r>
        <w:rPr>
          <w:rFonts w:ascii="Arial" w:cs="Arial" w:eastAsia="Arial" w:hAnsi="Arial"/>
          <w:sz w:val="18"/>
          <w:szCs w:val="18"/>
          <w:color w:val="auto"/>
        </w:rPr>
        <w:t>or</w:t>
      </w:r>
      <w:r>
        <w:rPr>
          <w:rFonts w:ascii="Arial" w:cs="Arial" w:eastAsia="Arial" w:hAnsi="Arial"/>
          <w:sz w:val="18"/>
          <w:szCs w:val="18"/>
          <w:b w:val="1"/>
          <w:bCs w:val="1"/>
          <w:color w:val="auto"/>
        </w:rPr>
        <w:t xml:space="preserve"> “$” </w:t>
      </w:r>
      <w:r>
        <w:rPr>
          <w:rFonts w:ascii="Arial" w:cs="Arial" w:eastAsia="Arial" w:hAnsi="Arial"/>
          <w:sz w:val="18"/>
          <w:szCs w:val="18"/>
          <w:color w:val="auto"/>
        </w:rPr>
        <w:t>means the lawful currency of the United States of America.</w:t>
      </w:r>
    </w:p>
    <w:p>
      <w:pPr>
        <w:spacing w:after="0" w:line="171"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“EBITDA” </w:t>
      </w:r>
      <w:r>
        <w:rPr>
          <w:rFonts w:ascii="Arial" w:cs="Arial" w:eastAsia="Arial" w:hAnsi="Arial"/>
          <w:sz w:val="16"/>
          <w:szCs w:val="16"/>
          <w:color w:val="auto"/>
        </w:rPr>
        <w:t>means, with respect to a Person for any period: (a) net income (or loss) of such Person for such period determined on a consolidated basis,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GAAP, exclusive of the following (but only to the extent included in determination of such net income (loss)): (i) depreciation and amortization expense; (ii) Interest Expense; (iii) income tax expense; (iv) extraordinary or non-recurring gains and losses;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Person’s pro rata share of EBITDA of its Unconsolidated Affiliates. EBITDA will be adjusted to remove all impact of straight lining of rents.</w:t>
      </w:r>
    </w:p>
    <w:p>
      <w:pPr>
        <w:spacing w:after="0" w:line="103"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later of: (a) the Agreement Date; and (b) the date on which all of the conditions precedent set forth in Section 5.1.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fulfilled or waived in writing by the Requisite Lenders.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“Eligible Assignee” </w:t>
      </w:r>
      <w:r>
        <w:rPr>
          <w:rFonts w:ascii="Arial" w:cs="Arial" w:eastAsia="Arial" w:hAnsi="Arial"/>
          <w:sz w:val="16"/>
          <w:szCs w:val="16"/>
          <w:color w:val="auto"/>
        </w:rPr>
        <w:t>means any Person who is, at the time of determination: (i) a Lender or an affiliate of a Lender; (ii) a commercial bank, trust, trust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company, insurance company, investment bank or pension fund organized under the laws of the United States of America, or any state thereof, and having total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assets in excess of $5,000,000,000; (iii) a savings and loan association or savings bank organized under the laws of the United States of America, or any state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thereof, and having a tangible net worth of at least $500,000,000; or (iv) a commercial bank organized under the laws of any other country which is a member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Organization for Economic Cooperation and Development, or a political subdivision of any such country, and having total assets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$10,000,000,000, provided that such bank is acting through a branch or agency located in the United States of America. If such Person is not currently a Lender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an affiliate of a Lender, such Person’s (or its parent’s) senior unsecured long term indebtedness must be rated BBB or higher by S&amp;P, Baa2 or higher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Moody’s, or the equivalent or higher of either such rating by another rating agency acceptable to the Agent.</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00"/>
          </w:cols>
          <w:pgMar w:left="240" w:top="280" w:right="359" w:bottom="1440" w:gutter="0" w:footer="0" w:header="0"/>
        </w:sectPr>
      </w:pPr>
    </w:p>
    <w:bookmarkStart w:id="41" w:name="page42"/>
    <w:bookmarkEnd w:id="4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“Eligible Property” </w:t>
      </w:r>
      <w:r>
        <w:rPr>
          <w:rFonts w:ascii="Arial" w:cs="Arial" w:eastAsia="Arial" w:hAnsi="Arial"/>
          <w:sz w:val="16"/>
          <w:szCs w:val="16"/>
          <w:color w:val="auto"/>
        </w:rPr>
        <w:t>means a Property which satisfies all of the following requirements: (a) such Property is a Retail Property or Multifamily Property;</w:t>
      </w:r>
    </w:p>
    <w:p>
      <w:pPr>
        <w:spacing w:after="0" w:line="44" w:lineRule="exact"/>
        <w:rPr>
          <w:sz w:val="20"/>
          <w:szCs w:val="20"/>
          <w:color w:val="auto"/>
        </w:rPr>
      </w:pPr>
    </w:p>
    <w:p>
      <w:pPr>
        <w:ind w:right="20" w:firstLine="8"/>
        <w:spacing w:after="0" w:line="300" w:lineRule="auto"/>
        <w:tabs>
          <w:tab w:leader="none" w:pos="249" w:val="left"/>
        </w:tabs>
        <w:numPr>
          <w:ilvl w:val="0"/>
          <w:numId w:val="18"/>
        </w:numPr>
        <w:rPr>
          <w:rFonts w:ascii="Arial" w:cs="Arial" w:eastAsia="Arial" w:hAnsi="Arial"/>
          <w:sz w:val="15"/>
          <w:szCs w:val="15"/>
          <w:color w:val="auto"/>
        </w:rPr>
      </w:pPr>
      <w:r>
        <w:rPr>
          <w:rFonts w:ascii="Arial" w:cs="Arial" w:eastAsia="Arial" w:hAnsi="Arial"/>
          <w:sz w:val="15"/>
          <w:szCs w:val="15"/>
          <w:color w:val="auto"/>
        </w:rPr>
        <w:t>neither such Property, nor any interest of the Borrower or any Subsidiary therein (and if such Property is owned by a Subsidiary, none of the Borrower’s direct or indirect ownership interests in such Subsidiary) is subject to any Lien other than Permitted Liens (excluding Permitted Liens of the type described in clauses</w:t>
      </w:r>
    </w:p>
    <w:p>
      <w:pPr>
        <w:ind w:right="60" w:firstLine="8"/>
        <w:spacing w:after="0" w:line="290"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and (h) of the definition thereof) or subject to any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such Property is (i)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1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means any Applicable Law relating to environmental protection or the manufacture, storage, remediation, disposal or clean-up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Hazardous Materials including, without limitation, the following: Clean Air Act, 42 U.S.C. § 7401 et seq.; Federal Water Pollution Control Act, 33 U.S.C. </w:t>
      </w:r>
      <w:r>
        <w:rPr>
          <w:rFonts w:ascii="Arial" w:cs="Arial" w:eastAsia="Arial" w:hAnsi="Arial"/>
          <w:sz w:val="18"/>
          <w:szCs w:val="18"/>
          <w:i w:val="1"/>
          <w:iCs w:val="1"/>
          <w:color w:val="auto"/>
        </w:rPr>
        <w:t>§</w:t>
      </w:r>
      <w:r>
        <w:rPr>
          <w:rFonts w:ascii="Arial" w:cs="Arial" w:eastAsia="Arial" w:hAnsi="Arial"/>
          <w:sz w:val="18"/>
          <w:szCs w:val="18"/>
          <w:color w:val="auto"/>
        </w:rPr>
        <w:t xml:space="preserve">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and any applicable rule of common law and any judicial interpretation thereof relating primarily to the environment or Hazardous Materials.</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“Equity Interest” </w:t>
      </w:r>
      <w:r>
        <w:rPr>
          <w:rFonts w:ascii="Arial" w:cs="Arial" w:eastAsia="Arial" w:hAnsi="Arial"/>
          <w:sz w:val="16"/>
          <w:szCs w:val="16"/>
          <w:color w:val="auto"/>
        </w:rPr>
        <w:t>means, with respect to any Person, any share of capital stock of (or other ownership or profit interests in) such Person, any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 or other right for the purchase or other acquisition from such 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11"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“Equity Issuance” </w:t>
      </w:r>
      <w:r>
        <w:rPr>
          <w:rFonts w:ascii="Arial" w:cs="Arial" w:eastAsia="Arial" w:hAnsi="Arial"/>
          <w:sz w:val="18"/>
          <w:szCs w:val="18"/>
          <w:color w:val="auto"/>
        </w:rPr>
        <w:t>means any issuance or sale by a Person of any Equity Interest in such Person and shall in any event include the issuance of any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upon the conversion or exchange of any security constituting Indebtedness that is convertible or exchangeable, or is being converted or exchanged, for Equity Interests.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in effect from time to time.</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74" w:right="259" w:bottom="1440" w:gutter="0" w:footer="0" w:header="0"/>
        </w:sectPr>
      </w:pPr>
    </w:p>
    <w:bookmarkStart w:id="42" w:name="page43"/>
    <w:bookmarkEnd w:id="42"/>
    <w:p>
      <w:pPr>
        <w:ind w:right="1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“ERISA Group” </w:t>
      </w:r>
      <w:r>
        <w:rPr>
          <w:rFonts w:ascii="Arial" w:cs="Arial" w:eastAsia="Arial" w:hAnsi="Arial"/>
          <w:sz w:val="18"/>
          <w:szCs w:val="18"/>
          <w:color w:val="auto"/>
        </w:rPr>
        <w:t>means the Borrower, any Subsidiary and all members of a controlled group of corporations and all trades or businesses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common control which, together with the Borrower or any Subsidiary, are treated as a single employer under Section 414 of the Internal Revenue Code.</w:t>
      </w:r>
    </w:p>
    <w:p>
      <w:pPr>
        <w:spacing w:after="0" w:line="13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of the events specified in Section 10.1., provided that any requirement for notice or lapse of time or any other condition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satisfied.</w:t>
      </w:r>
    </w:p>
    <w:p>
      <w:pPr>
        <w:spacing w:after="0" w:line="12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“Excluded Subsidiary” </w:t>
      </w:r>
      <w:r>
        <w:rPr>
          <w:rFonts w:ascii="Arial" w:cs="Arial" w:eastAsia="Arial" w:hAnsi="Arial"/>
          <w:sz w:val="18"/>
          <w:szCs w:val="18"/>
          <w:color w:val="auto"/>
        </w:rPr>
        <w:t>means any Subsidiary (a) holding title to assets which are or are to become collateral for any Secured Indebtedness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and (b) which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“Extension Request” </w:t>
      </w:r>
      <w:r>
        <w:rPr>
          <w:rFonts w:ascii="Arial" w:cs="Arial" w:eastAsia="Arial" w:hAnsi="Arial"/>
          <w:sz w:val="18"/>
          <w:szCs w:val="18"/>
          <w:color w:val="auto"/>
        </w:rPr>
        <w:t>has the meaning given such term in Section 2.13.</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“Facility Fee” </w:t>
      </w:r>
      <w:r>
        <w:rPr>
          <w:rFonts w:ascii="Arial" w:cs="Arial" w:eastAsia="Arial" w:hAnsi="Arial"/>
          <w:sz w:val="18"/>
          <w:szCs w:val="18"/>
          <w:color w:val="auto"/>
        </w:rPr>
        <w:t>means the per annum percentage set forth in the table below corresponding to the Level at which the “Applicable Margin” is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definition thereof:</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20" w:type="dxa"/>
            <w:vAlign w:val="bottom"/>
          </w:tcPr>
          <w:p>
            <w:pPr>
              <w:ind w:left="2060"/>
              <w:spacing w:after="0"/>
              <w:rPr>
                <w:sz w:val="20"/>
                <w:szCs w:val="20"/>
                <w:color w:val="auto"/>
              </w:rPr>
            </w:pPr>
            <w:r>
              <w:rPr>
                <w:rFonts w:ascii="Arial" w:cs="Arial" w:eastAsia="Arial" w:hAnsi="Arial"/>
                <w:sz w:val="14"/>
                <w:szCs w:val="14"/>
                <w:b w:val="1"/>
                <w:bCs w:val="1"/>
                <w:color w:val="auto"/>
              </w:rPr>
              <w:t>Borrower’s Credit Rating</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Level</w:t>
            </w:r>
          </w:p>
        </w:tc>
        <w:tc>
          <w:tcPr>
            <w:tcW w:w="1360" w:type="dxa"/>
            <w:vAlign w:val="bottom"/>
          </w:tcPr>
          <w:p>
            <w:pPr>
              <w:spacing w:after="0"/>
              <w:rPr>
                <w:sz w:val="15"/>
                <w:szCs w:val="15"/>
                <w:color w:val="auto"/>
              </w:rPr>
            </w:pPr>
          </w:p>
        </w:tc>
        <w:tc>
          <w:tcPr>
            <w:tcW w:w="562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(S&amp;P/Moody’s)</w:t>
            </w:r>
          </w:p>
        </w:tc>
        <w:tc>
          <w:tcPr>
            <w:tcW w:w="1380" w:type="dxa"/>
            <w:vAlign w:val="bottom"/>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Facility Fee</w:t>
            </w:r>
          </w:p>
        </w:tc>
        <w:tc>
          <w:tcPr>
            <w:tcW w:w="200" w:type="dxa"/>
            <w:vAlign w:val="bottom"/>
          </w:tcPr>
          <w:p>
            <w:pPr>
              <w:spacing w:after="0"/>
              <w:rPr>
                <w:sz w:val="15"/>
                <w:szCs w:val="15"/>
                <w:color w:val="auto"/>
              </w:rPr>
            </w:pPr>
          </w:p>
        </w:tc>
      </w:tr>
      <w:tr>
        <w:trPr>
          <w:trHeight w:val="21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A-/A3</w:t>
            </w:r>
          </w:p>
        </w:tc>
        <w:tc>
          <w:tcPr>
            <w:tcW w:w="2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0.125%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BBB+/Baal</w:t>
            </w:r>
          </w:p>
        </w:tc>
        <w:tc>
          <w:tcPr>
            <w:tcW w:w="2260" w:type="dxa"/>
            <w:vAlign w:val="bottom"/>
            <w:gridSpan w:val="3"/>
          </w:tcPr>
          <w:p>
            <w:pPr>
              <w:jc w:val="right"/>
              <w:ind w:right="60"/>
              <w:spacing w:after="0"/>
              <w:rPr>
                <w:sz w:val="20"/>
                <w:szCs w:val="20"/>
                <w:color w:val="auto"/>
              </w:rPr>
            </w:pPr>
            <w:r>
              <w:rPr>
                <w:rFonts w:ascii="Arial" w:cs="Arial" w:eastAsia="Arial" w:hAnsi="Arial"/>
                <w:sz w:val="18"/>
                <w:szCs w:val="18"/>
                <w:color w:val="auto"/>
              </w:rPr>
              <w:t>0.15%</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BBB/Baa2</w:t>
            </w:r>
          </w:p>
        </w:tc>
        <w:tc>
          <w:tcPr>
            <w:tcW w:w="2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BBB-/Baa3</w:t>
            </w:r>
          </w:p>
        </w:tc>
        <w:tc>
          <w:tcPr>
            <w:tcW w:w="2260" w:type="dxa"/>
            <w:vAlign w:val="bottom"/>
            <w:gridSpan w:val="3"/>
          </w:tcPr>
          <w:p>
            <w:pPr>
              <w:jc w:val="right"/>
              <w:ind w:right="60"/>
              <w:spacing w:after="0"/>
              <w:rPr>
                <w:sz w:val="20"/>
                <w:szCs w:val="20"/>
                <w:color w:val="auto"/>
              </w:rPr>
            </w:pPr>
            <w:r>
              <w:rPr>
                <w:rFonts w:ascii="Arial" w:cs="Arial" w:eastAsia="Arial" w:hAnsi="Arial"/>
                <w:sz w:val="18"/>
                <w:szCs w:val="18"/>
                <w:color w:val="auto"/>
              </w:rPr>
              <w:t>0.20%</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&lt; BBB-/Baa3</w:t>
            </w:r>
          </w:p>
        </w:tc>
        <w:tc>
          <w:tcPr>
            <w:tcW w:w="2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Agreement Date, and thereafter until any change in Level as provided in the definition of “Applicable Margin”, the Facility Fee equals 0.15%.</w:t>
      </w:r>
    </w:p>
    <w:p>
      <w:pPr>
        <w:spacing w:after="0" w:line="188" w:lineRule="exact"/>
        <w:rPr>
          <w:sz w:val="20"/>
          <w:szCs w:val="20"/>
          <w:color w:val="auto"/>
        </w:rPr>
      </w:pPr>
    </w:p>
    <w:p>
      <w:pPr>
        <w:jc w:val="both"/>
        <w:ind w:right="260" w:firstLine="456"/>
        <w:spacing w:after="0" w:line="258" w:lineRule="auto"/>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with respect to (a) a security listed on a national securities exchange or the NASDAQ National Market, the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as reported on such exchange by any widely recognized reporting method customarily relied upon by financial institutions and (b) with respect to any other property, the price which could be negotiated in an arm’s-length free market transaction, for cash, between a willing seller and a willing buyer, neither of which is under pressure or compulsion to complete the transaction.</w:t>
      </w:r>
    </w:p>
    <w:p>
      <w:pPr>
        <w:spacing w:after="0" w:line="13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“Federal Funds Rate” </w:t>
      </w:r>
      <w:r>
        <w:rPr>
          <w:rFonts w:ascii="Arial" w:cs="Arial" w:eastAsia="Arial" w:hAnsi="Arial"/>
          <w:sz w:val="18"/>
          <w:szCs w:val="18"/>
          <w:color w:val="auto"/>
        </w:rPr>
        <w:t>means, for any day, the rate per annum (rounded upward to the nearest 1/100th of 1%) equal to the weighted average of the rates on</w:t>
      </w:r>
      <w:r>
        <w:rPr>
          <w:rFonts w:ascii="Arial" w:cs="Arial" w:eastAsia="Arial" w:hAnsi="Arial"/>
          <w:sz w:val="18"/>
          <w:szCs w:val="18"/>
          <w:b w:val="1"/>
          <w:bCs w:val="1"/>
          <w:color w:val="auto"/>
        </w:rPr>
        <w:t xml:space="preserve"> </w:t>
      </w:r>
      <w:r>
        <w:rPr>
          <w:rFonts w:ascii="Arial" w:cs="Arial" w:eastAsia="Arial" w:hAnsi="Arial"/>
          <w:sz w:val="18"/>
          <w:szCs w:val="18"/>
          <w:color w:val="auto"/>
        </w:rPr>
        <w:t>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quoted to the Agent by federal funds dealers selected by the Agent on such day on such transaction as determined by the Agent.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4" w:right="259" w:bottom="1440" w:gutter="0" w:footer="0" w:header="0"/>
        </w:sectPr>
      </w:pPr>
    </w:p>
    <w:bookmarkStart w:id="43" w:name="page44"/>
    <w:bookmarkEnd w:id="43"/>
    <w:p>
      <w:pPr>
        <w:ind w:right="34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“Fees” </w:t>
      </w:r>
      <w:r>
        <w:rPr>
          <w:rFonts w:ascii="Arial" w:cs="Arial" w:eastAsia="Arial" w:hAnsi="Arial"/>
          <w:sz w:val="18"/>
          <w:szCs w:val="18"/>
          <w:color w:val="auto"/>
        </w:rPr>
        <w:t>means the fees and commissions provided for or referred to in Section 3.6. and any other fees payable by the Borrower hereunder or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18"/>
          <w:szCs w:val="18"/>
          <w:color w:val="auto"/>
        </w:rPr>
        <w:t>means, for any period, the sum of (a) Interest Expense of the Borrower and its Subsidiaries determined on a consolidated basis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(b) all regularly scheduled principal payments made with respect to Indebtedness of the Borrower and its Subsidiaries during such period, other than any balloon, bullet or similar principal payment which repays such Indebtedness in full, and (c) all Preferred Dividends paid during such period. The Borrower’s pro rata share of the Fixed Charges of Unconsolidated Affiliates (other than intercompany amounts) of the Borrower shall be included in determinations of Fixed Charges.</w:t>
      </w:r>
    </w:p>
    <w:p>
      <w:pPr>
        <w:spacing w:after="0" w:line="13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“Funds From Operations” </w:t>
      </w:r>
      <w:r>
        <w:rPr>
          <w:rFonts w:ascii="Arial" w:cs="Arial" w:eastAsia="Arial" w:hAnsi="Arial"/>
          <w:sz w:val="18"/>
          <w:szCs w:val="18"/>
          <w:color w:val="auto"/>
        </w:rPr>
        <w:t>means, for a given period, income of the Borrower and its Subsidiaries available for common shareholders before depreciation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amortization of real estate assets and before extraordinary items less gains and losses on sale of real estate determined on a consolidated basis in accordance with GAAP applied on a consistent basis for such period. Adjustments for Unconsolidated Affiliates will be calculated to reflect the Borrower’s pro rata share of funds from operations on the same basis.</w:t>
      </w:r>
    </w:p>
    <w:p>
      <w:pPr>
        <w:spacing w:after="0" w:line="13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set forth in the opinions and pronouncements of the Accounting Principles Board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Institute of Certified Public Accountants and statements and pronouncements of the Financial Accounting Standards Board or in such other statements by such other entity as may be approved by a significant segment of the accounting profession, which are applicable to the circumstances as of the date of determination.</w:t>
      </w:r>
    </w:p>
    <w:p>
      <w:pPr>
        <w:spacing w:after="0" w:line="13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“Governmental Approvals” </w:t>
      </w:r>
      <w:r>
        <w:rPr>
          <w:rFonts w:ascii="Arial" w:cs="Arial" w:eastAsia="Arial" w:hAnsi="Arial"/>
          <w:sz w:val="18"/>
          <w:szCs w:val="18"/>
          <w:color w:val="auto"/>
        </w:rPr>
        <w:t>means all authorizations, consents, approvals, licenses and exemptions of, registrations and filings with, and reports to, all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Authorities.</w:t>
      </w:r>
    </w:p>
    <w:p>
      <w:pPr>
        <w:spacing w:after="0" w:line="12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“Governmental Authority” </w:t>
      </w:r>
      <w:r>
        <w:rPr>
          <w:rFonts w:ascii="Arial" w:cs="Arial" w:eastAsia="Arial" w:hAnsi="Arial"/>
          <w:sz w:val="18"/>
          <w:szCs w:val="18"/>
          <w:color w:val="auto"/>
        </w:rPr>
        <w:t>means any national, state or local government (whether domestic or foreign), any political subdivision thereof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quasi-governmental, judicial,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36"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“Ground Lease” </w:t>
      </w:r>
      <w:r>
        <w:rPr>
          <w:rFonts w:ascii="Arial" w:cs="Arial" w:eastAsia="Arial" w:hAnsi="Arial"/>
          <w:sz w:val="16"/>
          <w:szCs w:val="16"/>
          <w:color w:val="auto"/>
        </w:rPr>
        <w:t>means a ground lease or master lease containing the following terms and conditions: (a) a remaining term (exclusive of any unexercised</w:t>
      </w:r>
      <w:r>
        <w:rPr>
          <w:rFonts w:ascii="Arial" w:cs="Arial" w:eastAsia="Arial" w:hAnsi="Arial"/>
          <w:sz w:val="16"/>
          <w:szCs w:val="16"/>
          <w:b w:val="1"/>
          <w:bCs w:val="1"/>
          <w:color w:val="auto"/>
        </w:rPr>
        <w:t xml:space="preserve"> </w:t>
      </w:r>
      <w:r>
        <w:rPr>
          <w:rFonts w:ascii="Arial" w:cs="Arial" w:eastAsia="Arial" w:hAnsi="Arial"/>
          <w:sz w:val="16"/>
          <w:szCs w:val="16"/>
          <w:color w:val="auto"/>
        </w:rPr>
        <w:t>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274" w:right="279" w:bottom="1440" w:gutter="0" w:footer="0" w:header="0"/>
        </w:sectPr>
      </w:pPr>
    </w:p>
    <w:bookmarkStart w:id="44" w:name="page45"/>
    <w:bookmarkEnd w:id="44"/>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ability to sublease; and (e) such other rights customarily required by mortgagees making a loan secured by the interest of the holder of the leasehold estate demised pursuant to a ground lease or master lease.</w:t>
      </w:r>
    </w:p>
    <w:p>
      <w:pPr>
        <w:spacing w:after="0" w:line="126"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means any Person that is a party to the Guaranty as a “Guarantor” and in any event shall include each Material Subsidiary (unless an</w:t>
      </w:r>
      <w:r>
        <w:rPr>
          <w:rFonts w:ascii="Arial" w:cs="Arial" w:eastAsia="Arial" w:hAnsi="Arial"/>
          <w:sz w:val="18"/>
          <w:szCs w:val="18"/>
          <w:b w:val="1"/>
          <w:bCs w:val="1"/>
          <w:color w:val="auto"/>
        </w:rPr>
        <w:t xml:space="preserve"> </w:t>
      </w:r>
      <w:r>
        <w:rPr>
          <w:rFonts w:ascii="Arial" w:cs="Arial" w:eastAsia="Arial" w:hAnsi="Arial"/>
          <w:sz w:val="18"/>
          <w:szCs w:val="18"/>
          <w:color w:val="auto"/>
        </w:rPr>
        <w:t>Excluded Subsidiary or a Subsidiary that owns any Non-Controlled Property.)</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“Guaranty,” “Guaranteed,” “Guarantying” </w:t>
      </w:r>
      <w:r>
        <w:rPr>
          <w:rFonts w:ascii="Arial" w:cs="Arial" w:eastAsia="Arial" w:hAnsi="Arial"/>
          <w:sz w:val="16"/>
          <w:szCs w:val="16"/>
          <w:color w:val="auto"/>
        </w:rPr>
        <w:t>or to</w:t>
      </w:r>
      <w:r>
        <w:rPr>
          <w:rFonts w:ascii="Arial" w:cs="Arial" w:eastAsia="Arial" w:hAnsi="Arial"/>
          <w:sz w:val="16"/>
          <w:szCs w:val="16"/>
          <w:b w:val="1"/>
          <w:bCs w:val="1"/>
          <w:color w:val="auto"/>
        </w:rPr>
        <w:t xml:space="preserve"> “Guarantee” </w:t>
      </w:r>
      <w:r>
        <w:rPr>
          <w:rFonts w:ascii="Arial" w:cs="Arial" w:eastAsia="Arial" w:hAnsi="Arial"/>
          <w:sz w:val="16"/>
          <w:szCs w:val="16"/>
          <w:color w:val="auto"/>
        </w:rPr>
        <w:t>as applied to any obligation means and includes: (a) a guaranty (other than by</w:t>
      </w:r>
      <w:r>
        <w:rPr>
          <w:rFonts w:ascii="Arial" w:cs="Arial" w:eastAsia="Arial" w:hAnsi="Arial"/>
          <w:sz w:val="16"/>
          <w:szCs w:val="16"/>
          <w:b w:val="1"/>
          <w:bCs w:val="1"/>
          <w:color w:val="auto"/>
        </w:rPr>
        <w:t xml:space="preserve"> </w:t>
      </w:r>
      <w:r>
        <w:rPr>
          <w:rFonts w:ascii="Arial" w:cs="Arial" w:eastAsia="Arial" w:hAnsi="Arial"/>
          <w:sz w:val="16"/>
          <w:szCs w:val="16"/>
          <w:color w:val="auto"/>
        </w:rPr>
        <w:t>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 When not otherwise specified, “Guaranty” as used herein shall mean the Guaranty to which the Guarantors are parties substantially in the form of Exhibit O.</w:t>
      </w:r>
    </w:p>
    <w:p>
      <w:pPr>
        <w:spacing w:after="0" w:line="1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“Hazardous Materials” </w:t>
      </w:r>
      <w:r>
        <w:rPr>
          <w:rFonts w:ascii="Arial" w:cs="Arial" w:eastAsia="Arial" w:hAnsi="Arial"/>
          <w:sz w:val="16"/>
          <w:szCs w:val="16"/>
          <w:color w:val="auto"/>
        </w:rPr>
        <w:t>means all or any of the following: (a) substances that are defined or listed in, or otherwise classified pursuant to, any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13"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means, with respect to a Person, at the time of computation thereof, all of the following (without duplication): (a) all obligations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45" w:name="page46"/>
    <w:bookmarkEnd w:id="45"/>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for property or services rendered; (c) Capitalized Lease Obligations of such Person; (d) all reimbursement obligations of such Person under any letters of credit or acceptances (whether or not the same have been presented for payment); (e) all Off-Balance Sheet Obligations of such Person;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(h) net obligations under any Derivatives Contract not entered into as a hedge against existing Indebtedness, in an amount equal to the Derivatives Termination Value thereof; (i)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(j)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(k) such Person’s pro rata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pro rata share of the ownership of such partnership or joint venture (except if such Indebtedness, or any portion thereof, is recourse to such Person, in which case the greater of such Person’s pro rata portion of such Indebtedness or the amount of the recourse portion of the Indebtedness, shall be included as Indebtedness of such Person). All Loans and Letter of Credit Liabilities shall constitute Indebtedness of the Borrower.</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has the meaning given that term in Section 6.1.(s).</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means, for any period, without duplication, (a) total interest expense of the Borrower and its Subsidiaries determined on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in accordance with GAAP for such period, including capitalized interest not funded under a construction loan on a consolidated basis, plus (b) the Borrower’s pro rata share of Interest Expense of Unconsolidated Affiliates for such period.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80"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Period” </w:t>
      </w:r>
      <w:r>
        <w:rPr>
          <w:rFonts w:ascii="Arial" w:cs="Arial" w:eastAsia="Arial" w:hAnsi="Arial"/>
          <w:sz w:val="18"/>
          <w:szCs w:val="18"/>
          <w:color w:val="auto"/>
        </w:rPr>
        <w:t>means:</w:t>
      </w:r>
    </w:p>
    <w:p>
      <w:pPr>
        <w:spacing w:after="0" w:line="96" w:lineRule="exact"/>
        <w:rPr>
          <w:sz w:val="20"/>
          <w:szCs w:val="20"/>
          <w:color w:val="auto"/>
        </w:rPr>
      </w:pPr>
    </w:p>
    <w:p>
      <w:pPr>
        <w:ind w:right="40" w:firstLine="464"/>
        <w:spacing w:after="0" w:line="294"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respect to any LIBOR Loan, each period commencing on the date such LIBOR Loan is made, or in the case of the Continuation of a LIBOR Loan the last day of the preceding Interest Period for such Loan, or deemed made and ending one week, 1, 2, 3 or 6 months or 1 year thereafter, as the Borrower may select in a Notice of Borrowing, Notice of Continuation or Notice of Conversion, as the case may be, except that each Interest Period that commences on the last Business Day of a calendar month, or on a day for which there is no corresponding day in the appropriate subsequent calendar month, shall end on the last Business Day of the appropriate subsequent calendar month; and</w:t>
      </w:r>
    </w:p>
    <w:p>
      <w:pPr>
        <w:spacing w:after="0" w:line="115" w:lineRule="exact"/>
        <w:rPr>
          <w:rFonts w:ascii="Arial" w:cs="Arial" w:eastAsia="Arial" w:hAnsi="Arial"/>
          <w:sz w:val="16"/>
          <w:szCs w:val="16"/>
          <w:color w:val="auto"/>
        </w:rPr>
      </w:pPr>
    </w:p>
    <w:p>
      <w:pPr>
        <w:ind w:firstLine="464"/>
        <w:spacing w:after="0" w:line="268"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any Bid Rate Loan, the period commencing on the date such Bid Rate Loan is made and ending on any Business Day not less than 7 nor more than 180 days thereafter, as the Borrower may select as provided in Section 2.2.(b).</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Notwithstanding the foregoing: (i) if any Interest Period would otherwise end after the Termination Date, such Interest Period shall end on the Termination Date and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“Internal Revenue Code” </w:t>
      </w:r>
      <w:r>
        <w:rPr>
          <w:rFonts w:ascii="Arial" w:cs="Arial" w:eastAsia="Arial" w:hAnsi="Arial"/>
          <w:sz w:val="18"/>
          <w:szCs w:val="18"/>
          <w:color w:val="auto"/>
        </w:rPr>
        <w:t>means the Internal Revenue Code of 1986, as amended.</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“Investment” </w:t>
      </w:r>
      <w:r>
        <w:rPr>
          <w:rFonts w:ascii="Arial" w:cs="Arial" w:eastAsia="Arial" w:hAnsi="Arial"/>
          <w:sz w:val="16"/>
          <w:szCs w:val="16"/>
          <w:color w:val="auto"/>
        </w:rPr>
        <w:t>means, (x) with respect to any Person, any acquisition or investment (whether or not of a controlling interest) by such Person, by means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“Investment Grade Rating” </w:t>
      </w:r>
      <w:r>
        <w:rPr>
          <w:rFonts w:ascii="Arial" w:cs="Arial" w:eastAsia="Arial" w:hAnsi="Arial"/>
          <w:sz w:val="18"/>
          <w:szCs w:val="18"/>
          <w:color w:val="auto"/>
        </w:rPr>
        <w:t>means a Credit Rating of BBB-/Baa3 (or equivalent) or higher from either of the Rating Agencies.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“L/C Commitment Amount” </w:t>
      </w:r>
      <w:r>
        <w:rPr>
          <w:rFonts w:ascii="Arial" w:cs="Arial" w:eastAsia="Arial" w:hAnsi="Arial"/>
          <w:sz w:val="18"/>
          <w:szCs w:val="18"/>
          <w:color w:val="auto"/>
        </w:rPr>
        <w:t>equals $40,000,000.</w:t>
      </w:r>
    </w:p>
    <w:p>
      <w:pPr>
        <w:spacing w:after="0" w:line="171"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 xml:space="preserve">“Lender” </w:t>
      </w:r>
      <w:r>
        <w:rPr>
          <w:rFonts w:ascii="Arial" w:cs="Arial" w:eastAsia="Arial" w:hAnsi="Arial"/>
          <w:sz w:val="16"/>
          <w:szCs w:val="16"/>
          <w:color w:val="auto"/>
        </w:rPr>
        <w:t>means each financial institution from time to time party hereto as a “Lender” or a “Designated Lender,” together with its respective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and permitted assigns, and as the context requires, includes the Swingline Lender; provided, however, that the term “Lender”</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60"/>
          </w:cols>
          <w:pgMar w:left="240" w:top="274" w:right="299" w:bottom="1440" w:gutter="0" w:footer="0" w:header="0"/>
        </w:sectPr>
      </w:pPr>
    </w:p>
    <w:bookmarkStart w:id="47" w:name="page48"/>
    <w:bookmarkEnd w:id="47"/>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exclude each Designated Lender when used in reference to any Loan other than a Bid Rate Loan, the Commitments or terms relating to any Loan other than a Bid Rate Loan and shall further exclude each Designated Lender for all other purposes under the Loan Documents except that any Designated Lender which funds a Bid Rate Loan shall, subject to Section 12.5.(e), have the rights (including the rights given to a Lender contained in Sections 12.2. and 12.9.) and obligations of a Lender associated with holding such Bid Rate Loan.</w:t>
      </w:r>
    </w:p>
    <w:p>
      <w:pPr>
        <w:spacing w:after="0" w:line="137"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 xml:space="preserve">“Lending Office” </w:t>
      </w:r>
      <w:r>
        <w:rPr>
          <w:rFonts w:ascii="Arial" w:cs="Arial" w:eastAsia="Arial" w:hAnsi="Arial"/>
          <w:sz w:val="16"/>
          <w:szCs w:val="16"/>
          <w:color w:val="auto"/>
        </w:rPr>
        <w:t>means, for each Lender and for each Type of Loan, the office of such Lender specified as such on its signature page hereto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Assignment and Acceptance Agreement, or such other office of such Lender of which such Lender may notify the Agent in writing from time to time.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“Letter of Credit” </w:t>
      </w:r>
      <w:r>
        <w:rPr>
          <w:rFonts w:ascii="Arial" w:cs="Arial" w:eastAsia="Arial" w:hAnsi="Arial"/>
          <w:sz w:val="18"/>
          <w:szCs w:val="18"/>
          <w:color w:val="auto"/>
        </w:rPr>
        <w:t>has the meaning given that term in Section 2.4.(a).</w:t>
      </w:r>
    </w:p>
    <w:p>
      <w:pPr>
        <w:spacing w:after="0" w:line="171" w:lineRule="exact"/>
        <w:rPr>
          <w:sz w:val="20"/>
          <w:szCs w:val="20"/>
          <w:color w:val="auto"/>
        </w:rPr>
      </w:pPr>
    </w:p>
    <w:p>
      <w:pPr>
        <w:ind w:right="320" w:firstLine="456"/>
        <w:spacing w:after="0" w:line="310" w:lineRule="auto"/>
        <w:rPr>
          <w:sz w:val="20"/>
          <w:szCs w:val="20"/>
          <w:color w:val="auto"/>
        </w:rPr>
      </w:pPr>
      <w:r>
        <w:rPr>
          <w:rFonts w:ascii="Arial" w:cs="Arial" w:eastAsia="Arial" w:hAnsi="Arial"/>
          <w:sz w:val="16"/>
          <w:szCs w:val="16"/>
          <w:b w:val="1"/>
          <w:bCs w:val="1"/>
          <w:color w:val="auto"/>
        </w:rPr>
        <w:t xml:space="preserve">“Letter of Credit Documents” </w:t>
      </w:r>
      <w:r>
        <w:rPr>
          <w:rFonts w:ascii="Arial" w:cs="Arial" w:eastAsia="Arial" w:hAnsi="Arial"/>
          <w:sz w:val="16"/>
          <w:szCs w:val="16"/>
          <w:color w:val="auto"/>
        </w:rPr>
        <w:t>means, with respect to any Letter of Credit, collectively, any application therefor, any certificate or other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presented in connection with a drawing under such Letter of Credit and any other agreement, instrument or other document governing or providing for (a) the rights and obligations of the parties concerned or at risk with respect to such Letter of Credit or (b) any collateral security for any of such obligations.</w:t>
      </w:r>
    </w:p>
    <w:p>
      <w:pPr>
        <w:spacing w:after="0" w:line="9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“Letter of Credit Liabilities” </w:t>
      </w:r>
      <w:r>
        <w:rPr>
          <w:rFonts w:ascii="Arial" w:cs="Arial" w:eastAsia="Arial" w:hAnsi="Arial"/>
          <w:sz w:val="16"/>
          <w:szCs w:val="16"/>
          <w:color w:val="auto"/>
        </w:rPr>
        <w:t>means, without duplication, at any time and in respect of any Letter of Credit, the sum of (a) the Stated Amount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Letter of Credit plus (b) the aggregate unpaid principal amount of all Reimbursement Obligations of the Borrower at such time due and payable in respect of all drawings made under such Letter of Credit. For purposes of this Agreement, a Lender (other than the Lender acting as the Agent) shall be deemed to hold a Letter of Credit Liability in an amount equal to its participation interest in the related Letter of Credit under Section 2.4.(i), and the Lender acting as the Agent shall be deemed to hold a Letter of Credit Liability in an amount equal to its retained interest in the related Letter of Credit after giving effect to the acquisition by the Lenders other than the Lender acting as the Agent of their participation interests under such Section.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“Level” </w:t>
      </w:r>
      <w:r>
        <w:rPr>
          <w:rFonts w:ascii="Arial" w:cs="Arial" w:eastAsia="Arial" w:hAnsi="Arial"/>
          <w:sz w:val="18"/>
          <w:szCs w:val="18"/>
          <w:color w:val="auto"/>
        </w:rPr>
        <w:t>has the meaning given that term in the definition of the term “Applicable Margin.”</w:t>
      </w:r>
    </w:p>
    <w:p>
      <w:pPr>
        <w:spacing w:after="0" w:line="171"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b w:val="1"/>
          <w:bCs w:val="1"/>
          <w:color w:val="auto"/>
        </w:rPr>
        <w:t xml:space="preserve">“LIBOR” </w:t>
      </w:r>
      <w:r>
        <w:rPr>
          <w:rFonts w:ascii="Arial" w:cs="Arial" w:eastAsia="Arial" w:hAnsi="Arial"/>
          <w:sz w:val="15"/>
          <w:szCs w:val="15"/>
          <w:color w:val="auto"/>
        </w:rPr>
        <w:t>means, for any LIBOR Loan or LIBOR Margin Loan for any Interest Period therefor, the rate per annum (rounded upwards, if necessary, to the</w:t>
      </w:r>
      <w:r>
        <w:rPr>
          <w:rFonts w:ascii="Arial" w:cs="Arial" w:eastAsia="Arial" w:hAnsi="Arial"/>
          <w:sz w:val="15"/>
          <w:szCs w:val="15"/>
          <w:b w:val="1"/>
          <w:bCs w:val="1"/>
          <w:color w:val="auto"/>
        </w:rPr>
        <w:t xml:space="preserve"> </w:t>
      </w:r>
      <w:r>
        <w:rPr>
          <w:rFonts w:ascii="Arial" w:cs="Arial" w:eastAsia="Arial" w:hAnsi="Arial"/>
          <w:sz w:val="15"/>
          <w:szCs w:val="15"/>
          <w:color w:val="auto"/>
        </w:rPr>
        <w:t>nearest 1/100 of 1%) appearing on Telerate Page 3750 (or any successor page) as the London interbank offered rate for deposits in Dollars at approximately 11:00 a.m. (London time) two Business Days prior to the first day of such Interest Period for a term comparable to such Interest Period. If for any reason such rate is not available, the term “LIBOR” shall mean, for any LIBOR Loan or LIBOR Margin Loan for any Interest Period therefor, the rate per annum (rounded upwards, if necessary, to the nearest 1/100 of 1%) appearing on the Reuters Screen LIBO Page as the London interbank offered rate for deposits in Dollars at approximately 11:00 a.m. (London time) two Business Days prior to the first day of such Interest Period for a term comparable to such Interest Period; provided, however, if more than one rate is specified on the Reuters Screen LIBO Page, the applicable rate shall be the arithmetic mean of all such rates. If for any reason none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280" w:right="259" w:bottom="1440" w:gutter="0" w:footer="0" w:header="0"/>
        </w:sectPr>
      </w:pPr>
    </w:p>
    <w:bookmarkStart w:id="48" w:name="page49"/>
    <w:bookmarkEnd w:id="4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foregoing rates is available, LIBOR shall be, for any Interest Period, the rate per annum reasonably determined by the Agent as the rate of interest at which Dollar deposits in the approximate amount of the LIBOR Loan comprising part of such borrowing or LIBOR Margin Loan would be offered by the Agent to major banks in the London interbank Eurodollar market at their request at or about 11:00 a.m. (London time) two Business Days prior to the first day of such Interest Period for a term comparable to such Interest Period.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“LIBOR Auction” </w:t>
      </w:r>
      <w:r>
        <w:rPr>
          <w:rFonts w:ascii="Arial" w:cs="Arial" w:eastAsia="Arial" w:hAnsi="Arial"/>
          <w:sz w:val="18"/>
          <w:szCs w:val="18"/>
          <w:color w:val="auto"/>
        </w:rPr>
        <w:t>means a solicitation of Bid Rate Quotes setting forth LIBOR Margin Loans based on LIBOR pursuant to Section 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“LIBOR Loan” </w:t>
      </w:r>
      <w:r>
        <w:rPr>
          <w:rFonts w:ascii="Arial" w:cs="Arial" w:eastAsia="Arial" w:hAnsi="Arial"/>
          <w:sz w:val="18"/>
          <w:szCs w:val="18"/>
          <w:color w:val="auto"/>
        </w:rPr>
        <w:t>means a Revolving Loan bearing interest at a rate based on LIBOR.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“LIBOR Margin” </w:t>
      </w:r>
      <w:r>
        <w:rPr>
          <w:rFonts w:ascii="Arial" w:cs="Arial" w:eastAsia="Arial" w:hAnsi="Arial"/>
          <w:sz w:val="18"/>
          <w:szCs w:val="18"/>
          <w:color w:val="auto"/>
        </w:rPr>
        <w:t>has the meaning given that term in Section 2.2.(c)(ii)(D).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“LIBOR Margin Loan” </w:t>
      </w:r>
      <w:r>
        <w:rPr>
          <w:rFonts w:ascii="Arial" w:cs="Arial" w:eastAsia="Arial" w:hAnsi="Arial"/>
          <w:sz w:val="16"/>
          <w:szCs w:val="16"/>
          <w:color w:val="auto"/>
        </w:rPr>
        <w:t>means a Bid Rate Loan the interest rate on which is determined on the basis of LIBOR pursuant to a LIBOR Auction.</w:t>
      </w:r>
    </w:p>
    <w:p>
      <w:pPr>
        <w:spacing w:after="0" w:line="19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“Lien” </w:t>
      </w:r>
      <w:r>
        <w:rPr>
          <w:rFonts w:ascii="Arial" w:cs="Arial" w:eastAsia="Arial" w:hAnsi="Arial"/>
          <w:sz w:val="16"/>
          <w:szCs w:val="16"/>
          <w:color w:val="auto"/>
        </w:rPr>
        <w:t>as applied to the property of any Person means: (a) any security interest, encumbrance, mortgage, deed to secure debt, deed of trust, assignment of</w:t>
      </w:r>
      <w:r>
        <w:rPr>
          <w:rFonts w:ascii="Arial" w:cs="Arial" w:eastAsia="Arial" w:hAnsi="Arial"/>
          <w:sz w:val="16"/>
          <w:szCs w:val="16"/>
          <w:b w:val="1"/>
          <w:bCs w:val="1"/>
          <w:color w:val="auto"/>
        </w:rPr>
        <w:t xml:space="preserve"> </w:t>
      </w:r>
      <w:r>
        <w:rPr>
          <w:rFonts w:ascii="Arial" w:cs="Arial" w:eastAsia="Arial" w:hAnsi="Arial"/>
          <w:sz w:val="16"/>
          <w:szCs w:val="16"/>
          <w:color w:val="auto"/>
        </w:rPr>
        <w:t>leases and rents, pledge, lien,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(c) the filing of any financing statement under the Uniform Commercial Code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 and (d) any agreement by such Person to grant, give or otherwise convey any of the foregoing.</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a Revolving Loan, a Bid Rate Loan or a Swingline Loan.</w:t>
      </w:r>
    </w:p>
    <w:p>
      <w:pPr>
        <w:spacing w:after="0" w:line="171"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“Loan Document” </w:t>
      </w:r>
      <w:r>
        <w:rPr>
          <w:rFonts w:ascii="Arial" w:cs="Arial" w:eastAsia="Arial" w:hAnsi="Arial"/>
          <w:sz w:val="18"/>
          <w:szCs w:val="18"/>
          <w:color w:val="auto"/>
        </w:rPr>
        <w:t>means this Agreement, each Note, each Letter of Credit Document, the Guaranty and each other document or instrument now or</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executed and delivered by a Loan Party in connection with, pursuant to or relating to this Agreement.</w:t>
      </w:r>
    </w:p>
    <w:p>
      <w:pPr>
        <w:spacing w:after="0" w:line="120" w:lineRule="exact"/>
        <w:rPr>
          <w:sz w:val="20"/>
          <w:szCs w:val="20"/>
          <w:color w:val="auto"/>
        </w:rPr>
      </w:pPr>
    </w:p>
    <w:p>
      <w:pPr>
        <w:ind w:right="340" w:firstLine="456"/>
        <w:spacing w:after="0" w:line="378" w:lineRule="auto"/>
        <w:rPr>
          <w:sz w:val="20"/>
          <w:szCs w:val="20"/>
          <w:color w:val="auto"/>
        </w:rPr>
      </w:pPr>
      <w:r>
        <w:rPr>
          <w:rFonts w:ascii="Arial" w:cs="Arial" w:eastAsia="Arial" w:hAnsi="Arial"/>
          <w:sz w:val="15"/>
          <w:szCs w:val="15"/>
          <w:b w:val="1"/>
          <w:bCs w:val="1"/>
          <w:color w:val="auto"/>
        </w:rPr>
        <w:t xml:space="preserve">“Loan Party” </w:t>
      </w:r>
      <w:r>
        <w:rPr>
          <w:rFonts w:ascii="Arial" w:cs="Arial" w:eastAsia="Arial" w:hAnsi="Arial"/>
          <w:sz w:val="15"/>
          <w:szCs w:val="15"/>
          <w:color w:val="auto"/>
        </w:rPr>
        <w:t>means each of the Borrower and each other Person who guarantees all or a portion of the Obligations and/or who pledges any collateral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security to secure all or a portion of the Obligations. </w:t>
      </w:r>
      <w:r>
        <w:rPr>
          <w:rFonts w:ascii="Arial" w:cs="Arial" w:eastAsia="Arial" w:hAnsi="Arial"/>
          <w:sz w:val="15"/>
          <w:szCs w:val="15"/>
          <w:u w:val="single" w:color="auto"/>
          <w:color w:val="auto"/>
        </w:rPr>
        <w:t>Schedule 1.1.(A)</w:t>
      </w:r>
      <w:r>
        <w:rPr>
          <w:rFonts w:ascii="Arial" w:cs="Arial" w:eastAsia="Arial" w:hAnsi="Arial"/>
          <w:sz w:val="15"/>
          <w:szCs w:val="15"/>
          <w:color w:val="auto"/>
        </w:rPr>
        <w:t xml:space="preserve"> sets forth the Loan Parties in addition to the Borrower as of the Agreement Date.</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80" w:right="259" w:bottom="1440" w:gutter="0" w:footer="0" w:header="0"/>
        </w:sectPr>
      </w:pPr>
    </w:p>
    <w:bookmarkStart w:id="49" w:name="page50"/>
    <w:bookmarkEnd w:id="49"/>
    <w:p>
      <w:pPr>
        <w:ind w:right="3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“Major Default” </w:t>
      </w:r>
      <w:r>
        <w:rPr>
          <w:rFonts w:ascii="Arial" w:cs="Arial" w:eastAsia="Arial" w:hAnsi="Arial"/>
          <w:sz w:val="18"/>
          <w:szCs w:val="18"/>
          <w:color w:val="auto"/>
        </w:rPr>
        <w:t>means a Default resulting from the occurrence of any of the events described in Section 10.1.(a), Section 10.1.(b), Section 10.1.(f)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10.1.(g).</w:t>
      </w:r>
    </w:p>
    <w:p>
      <w:pPr>
        <w:spacing w:after="0" w:line="12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 xml:space="preserve">“Mandatorily Redeemable Stock” </w:t>
      </w:r>
      <w:r>
        <w:rPr>
          <w:rFonts w:ascii="Arial" w:cs="Arial" w:eastAsia="Arial" w:hAnsi="Arial"/>
          <w:sz w:val="16"/>
          <w:szCs w:val="16"/>
          <w:color w:val="auto"/>
        </w:rPr>
        <w:t>means, with respect to any Person, any Equity Interest of such Person which by the terms of such Equity Interest (or</w:t>
      </w:r>
      <w:r>
        <w:rPr>
          <w:rFonts w:ascii="Arial" w:cs="Arial" w:eastAsia="Arial" w:hAnsi="Arial"/>
          <w:sz w:val="16"/>
          <w:szCs w:val="16"/>
          <w:b w:val="1"/>
          <w:bCs w:val="1"/>
          <w:color w:val="auto"/>
        </w:rPr>
        <w:t xml:space="preserve"> </w:t>
      </w:r>
      <w:r>
        <w:rPr>
          <w:rFonts w:ascii="Arial" w:cs="Arial" w:eastAsia="Arial" w:hAnsi="Arial"/>
          <w:sz w:val="16"/>
          <w:szCs w:val="16"/>
          <w:color w:val="auto"/>
        </w:rPr>
        <w:t>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w:t>
      </w:r>
    </w:p>
    <w:p>
      <w:pPr>
        <w:spacing w:after="0" w:line="3" w:lineRule="exact"/>
        <w:rPr>
          <w:sz w:val="20"/>
          <w:szCs w:val="20"/>
          <w:color w:val="auto"/>
        </w:rPr>
      </w:pPr>
    </w:p>
    <w:p>
      <w:pPr>
        <w:ind w:right="60" w:firstLine="8"/>
        <w:spacing w:after="0" w:line="292" w:lineRule="auto"/>
        <w:tabs>
          <w:tab w:leader="none" w:pos="23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 redeemable at the option of the holder thereof, in whole or in part (other than an Equity Interest which is redeemable solely in exchange for common stock or other equivalent common Equity Interests), in each case on or prior to the date on which all Loans are scheduled to be due and payable in full. For purposes of this definition, Equity Interests in any of the following Subsidiaries which the Borrower is obligated to acquire pursuant to currently existing agreements with the holders of such Equity Interest shall not be considered to be Mandatorily Redeemable Stock: Congressional Plaza Associates, LLC; Street Retail West 4, L.P.; Street Retail West 7, L.P., FR Pike 7 Limited Partnership, Federal Realty Partners L.P., and FR Leesburg Plaza, LP.</w:t>
      </w:r>
    </w:p>
    <w:p>
      <w:pPr>
        <w:spacing w:after="0" w:line="11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materially adverse effect on (a) the business, assets, liabilities, financial condition or results of operations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Agent under any of the Loan Documents or (e) the timely payment of the principal of or interest on the Loans or other amounts payable in connection therewith or the timely payment of all Reimbursement Obligations.</w:t>
      </w:r>
    </w:p>
    <w:p>
      <w:pPr>
        <w:spacing w:after="0" w:line="139"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b w:val="1"/>
          <w:bCs w:val="1"/>
          <w:color w:val="auto"/>
        </w:rPr>
        <w:t xml:space="preserve">“Material Contract” </w:t>
      </w:r>
      <w:r>
        <w:rPr>
          <w:rFonts w:ascii="Arial" w:cs="Arial" w:eastAsia="Arial" w:hAnsi="Arial"/>
          <w:sz w:val="18"/>
          <w:szCs w:val="18"/>
          <w:color w:val="auto"/>
        </w:rPr>
        <w:t>means any contract or other arrangement (other than Loan Documents), whether written or oral, to which the Borrower,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any other Loan Party is a party as to which the breach, nonperformance, cancellation or failure to renew (if renewable by its terms) by any party thereto could reasonably be expected to have a Material Adverse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“Material Indebtedness” </w:t>
      </w:r>
      <w:r>
        <w:rPr>
          <w:rFonts w:ascii="Arial" w:cs="Arial" w:eastAsia="Arial" w:hAnsi="Arial"/>
          <w:sz w:val="18"/>
          <w:szCs w:val="18"/>
          <w:color w:val="auto"/>
        </w:rPr>
        <w:t>has the meaning given that term in Section 10.1.(e)(i).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“Material Subsidiary” </w:t>
      </w:r>
      <w:r>
        <w:rPr>
          <w:rFonts w:ascii="Arial" w:cs="Arial" w:eastAsia="Arial" w:hAnsi="Arial"/>
          <w:sz w:val="16"/>
          <w:szCs w:val="16"/>
          <w:color w:val="auto"/>
        </w:rPr>
        <w:t>means any Subsidiary to which more than two percent of Adjusted Total Asset Value is attributable on an individual basis.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“Moody’s” </w:t>
      </w:r>
      <w:r>
        <w:rPr>
          <w:rFonts w:ascii="Arial" w:cs="Arial" w:eastAsia="Arial" w:hAnsi="Arial"/>
          <w:sz w:val="18"/>
          <w:szCs w:val="18"/>
          <w:color w:val="auto"/>
        </w:rPr>
        <w:t>means Moody’s Investors Service, Inc., and its successors.</w:t>
      </w:r>
    </w:p>
    <w:p>
      <w:pPr>
        <w:spacing w:after="0" w:line="171" w:lineRule="exact"/>
        <w:rPr>
          <w:sz w:val="20"/>
          <w:szCs w:val="20"/>
          <w:color w:val="auto"/>
        </w:rPr>
      </w:pPr>
    </w:p>
    <w:p>
      <w:pPr>
        <w:ind w:right="460" w:firstLine="456"/>
        <w:spacing w:after="0" w:line="339" w:lineRule="auto"/>
        <w:rPr>
          <w:sz w:val="20"/>
          <w:szCs w:val="20"/>
          <w:color w:val="auto"/>
        </w:rPr>
      </w:pPr>
      <w:r>
        <w:rPr>
          <w:rFonts w:ascii="Arial" w:cs="Arial" w:eastAsia="Arial" w:hAnsi="Arial"/>
          <w:sz w:val="16"/>
          <w:szCs w:val="16"/>
          <w:b w:val="1"/>
          <w:bCs w:val="1"/>
          <w:color w:val="auto"/>
        </w:rPr>
        <w:t xml:space="preserve">“Mortgage” </w:t>
      </w:r>
      <w:r>
        <w:rPr>
          <w:rFonts w:ascii="Arial" w:cs="Arial" w:eastAsia="Arial" w:hAnsi="Arial"/>
          <w:sz w:val="16"/>
          <w:szCs w:val="16"/>
          <w:color w:val="auto"/>
        </w:rPr>
        <w:t>means a mortgage, deed of trust, deed to secure debt or similar security instrument made by a Person owning an interest in real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granting a Lien on such interest in real property as security for the payment of Indebtedness of such Person or another Person.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74" w:right="239" w:bottom="1440" w:gutter="0" w:footer="0" w:header="0"/>
        </w:sectPr>
      </w:pPr>
    </w:p>
    <w:bookmarkStart w:id="50" w:name="page51"/>
    <w:bookmarkEnd w:id="50"/>
    <w:p>
      <w:pPr>
        <w:ind w:right="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“Mortgage Receivable” </w:t>
      </w:r>
      <w:r>
        <w:rPr>
          <w:rFonts w:ascii="Arial" w:cs="Arial" w:eastAsia="Arial" w:hAnsi="Arial"/>
          <w:sz w:val="18"/>
          <w:szCs w:val="18"/>
          <w:color w:val="auto"/>
        </w:rPr>
        <w:t>means a promissory note secured by a Mortgage of which the Borrower, a Guarantor or one of their respective Subsidiaries is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and retains the rights of collection of all payments thereunder.</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“Multiemployer Plan” </w:t>
      </w:r>
      <w:r>
        <w:rPr>
          <w:rFonts w:ascii="Arial" w:cs="Arial" w:eastAsia="Arial" w:hAnsi="Arial"/>
          <w:sz w:val="18"/>
          <w:szCs w:val="18"/>
          <w:color w:val="auto"/>
        </w:rPr>
        <w:t>means at any time a multiemployer plan within the meaning of Section 4001(a)(3) of ERISA to which any member of the ERISA</w:t>
      </w:r>
      <w:r>
        <w:rPr>
          <w:rFonts w:ascii="Arial" w:cs="Arial" w:eastAsia="Arial" w:hAnsi="Arial"/>
          <w:sz w:val="18"/>
          <w:szCs w:val="18"/>
          <w:b w:val="1"/>
          <w:bCs w:val="1"/>
          <w:color w:val="auto"/>
        </w:rPr>
        <w:t xml:space="preserve"> </w:t>
      </w:r>
      <w:r>
        <w:rPr>
          <w:rFonts w:ascii="Arial" w:cs="Arial" w:eastAsia="Arial" w:hAnsi="Arial"/>
          <w:sz w:val="18"/>
          <w:szCs w:val="18"/>
          <w:color w:val="auto"/>
        </w:rPr>
        <w:t>Group is then making or accruing an obligation to make contributions or has within the preceding five plan years made contributions, including for these purposes any Person which ceased to be a member of the ERISA Group during such five year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“Multifamily Property” </w:t>
      </w:r>
      <w:r>
        <w:rPr>
          <w:rFonts w:ascii="Arial" w:cs="Arial" w:eastAsia="Arial" w:hAnsi="Arial"/>
          <w:sz w:val="16"/>
          <w:szCs w:val="16"/>
          <w:color w:val="auto"/>
        </w:rPr>
        <w:t>means a Property improved with, and from which at least 80% of the rental income is derived from, residential apartments.</w:t>
      </w:r>
    </w:p>
    <w:p>
      <w:pPr>
        <w:spacing w:after="0" w:line="194"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b w:val="1"/>
          <w:bCs w:val="1"/>
          <w:color w:val="auto"/>
        </w:rPr>
        <w:t xml:space="preserve">“Negative Pledge” </w:t>
      </w:r>
      <w:r>
        <w:rPr>
          <w:rFonts w:ascii="Arial" w:cs="Arial" w:eastAsia="Arial" w:hAnsi="Arial"/>
          <w:sz w:val="18"/>
          <w:szCs w:val="18"/>
          <w:color w:val="auto"/>
        </w:rPr>
        <w:t>means, with respect to a given asset, any provision of a document, instrument or agreement (other than any Loan Document)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3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“Net Operating Income” </w:t>
      </w:r>
      <w:r>
        <w:rPr>
          <w:rFonts w:ascii="Arial" w:cs="Arial" w:eastAsia="Arial" w:hAnsi="Arial"/>
          <w:sz w:val="16"/>
          <w:szCs w:val="16"/>
          <w:color w:val="auto"/>
        </w:rPr>
        <w:t>or</w:t>
      </w:r>
      <w:r>
        <w:rPr>
          <w:rFonts w:ascii="Arial" w:cs="Arial" w:eastAsia="Arial" w:hAnsi="Arial"/>
          <w:sz w:val="16"/>
          <w:szCs w:val="16"/>
          <w:b w:val="1"/>
          <w:bCs w:val="1"/>
          <w:color w:val="auto"/>
        </w:rPr>
        <w:t xml:space="preserve"> “NOI” </w:t>
      </w:r>
      <w:r>
        <w:rPr>
          <w:rFonts w:ascii="Arial" w:cs="Arial" w:eastAsia="Arial" w:hAnsi="Arial"/>
          <w:sz w:val="16"/>
          <w:szCs w:val="16"/>
          <w:color w:val="auto"/>
        </w:rPr>
        <w:t>means, for any Property and for a given period, the sum of the following (without duplication and determined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minus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or any Subsidiary and any property management fees) minus (c) the Capital Reserves for such Property as of the end of such period minus (d) the greater of (i) the actual property management fee paid during such period and (ii) an imputed management fee in the amount of three percent (3.0%) of the gross revenues for such Property for such period.</w:t>
      </w:r>
    </w:p>
    <w:p>
      <w:pPr>
        <w:spacing w:after="0" w:line="113"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 xml:space="preserve">“Net Proceeds” </w:t>
      </w:r>
      <w:r>
        <w:rPr>
          <w:rFonts w:ascii="Arial" w:cs="Arial" w:eastAsia="Arial" w:hAnsi="Arial"/>
          <w:sz w:val="16"/>
          <w:szCs w:val="16"/>
          <w:color w:val="auto"/>
        </w:rPr>
        <w:t>means with respect to any Equity Issuance by a Person, the aggregate amount of all cash and the Fair Market Value of all other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securities of such same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274" w:right="239" w:bottom="1440" w:gutter="0" w:footer="0" w:header="0"/>
        </w:sectPr>
      </w:pPr>
    </w:p>
    <w:bookmarkStart w:id="51" w:name="page52"/>
    <w:bookmarkEnd w:id="51"/>
    <w:p>
      <w:pPr>
        <w:jc w:val="both"/>
        <w:ind w:right="4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“Non-Controlled Property” </w:t>
      </w:r>
      <w:r>
        <w:rPr>
          <w:rFonts w:ascii="Arial" w:cs="Arial" w:eastAsia="Arial" w:hAnsi="Arial"/>
          <w:sz w:val="16"/>
          <w:szCs w:val="16"/>
          <w:color w:val="auto"/>
        </w:rPr>
        <w:t>means an Eligible Property owned in fee simple (or leased under a Ground Lease) by (a) an Unconsolidated Affiliate or (b) a</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that is not a Wholly Owned Subsidiary but which Property does not otherwise qualify as a Controlled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means a Revolving Note, a Bid Rate Note or a Swingline Note.</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“Notice of Borrowing” </w:t>
      </w:r>
      <w:r>
        <w:rPr>
          <w:rFonts w:ascii="Arial" w:cs="Arial" w:eastAsia="Arial" w:hAnsi="Arial"/>
          <w:sz w:val="18"/>
          <w:szCs w:val="18"/>
          <w:color w:val="auto"/>
        </w:rPr>
        <w:t>means a notice in the form of Exhibit C to be delivered to the Agent pursuant to Section 2.l.(b) evidencing the Borrower’s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for a borrowing of Revolving Loans.</w:t>
      </w:r>
    </w:p>
    <w:p>
      <w:pPr>
        <w:spacing w:after="0" w:line="120" w:lineRule="exact"/>
        <w:rPr>
          <w:sz w:val="20"/>
          <w:szCs w:val="20"/>
          <w:color w:val="auto"/>
        </w:rPr>
      </w:pPr>
    </w:p>
    <w:p>
      <w:pPr>
        <w:jc w:val="both"/>
        <w:ind w:right="40" w:firstLine="456"/>
        <w:spacing w:after="0" w:line="275" w:lineRule="auto"/>
        <w:rPr>
          <w:sz w:val="20"/>
          <w:szCs w:val="20"/>
          <w:color w:val="auto"/>
        </w:rPr>
      </w:pPr>
      <w:r>
        <w:rPr>
          <w:rFonts w:ascii="Arial" w:cs="Arial" w:eastAsia="Arial" w:hAnsi="Arial"/>
          <w:sz w:val="18"/>
          <w:szCs w:val="18"/>
          <w:b w:val="1"/>
          <w:bCs w:val="1"/>
          <w:color w:val="auto"/>
        </w:rPr>
        <w:t xml:space="preserve">“Notice of Continuation” </w:t>
      </w:r>
      <w:r>
        <w:rPr>
          <w:rFonts w:ascii="Arial" w:cs="Arial" w:eastAsia="Arial" w:hAnsi="Arial"/>
          <w:sz w:val="18"/>
          <w:szCs w:val="18"/>
          <w:color w:val="auto"/>
        </w:rPr>
        <w:t>means a notice in the form of Exhibit D to be delivered to the Agent pursuant to Section 2.9. evidencing the Borrower’s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Continuation of a LIBOR Loan.</w:t>
      </w:r>
    </w:p>
    <w:p>
      <w:pPr>
        <w:spacing w:after="0" w:line="1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“Notice of Conversion” </w:t>
      </w:r>
      <w:r>
        <w:rPr>
          <w:rFonts w:ascii="Arial" w:cs="Arial" w:eastAsia="Arial" w:hAnsi="Arial"/>
          <w:sz w:val="18"/>
          <w:szCs w:val="18"/>
          <w:color w:val="auto"/>
        </w:rPr>
        <w:t>means a notice in the form of Exhibit E to be delivered to the Agent pursuant to Section 2.10. evidencing the Borrower’s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Conversion of a Loan from one Type to another Type.</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“Notice of Swingline Borrowing” means </w:t>
      </w:r>
      <w:r>
        <w:rPr>
          <w:rFonts w:ascii="Arial" w:cs="Arial" w:eastAsia="Arial" w:hAnsi="Arial"/>
          <w:sz w:val="18"/>
          <w:szCs w:val="18"/>
          <w:color w:val="auto"/>
        </w:rPr>
        <w:t>a notice in the form of Exhibit F to be delivered to the Agent pursuant to Section 2.3. evidencing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for a Swingline Loan.</w:t>
      </w:r>
    </w:p>
    <w:p>
      <w:pPr>
        <w:spacing w:after="0" w:line="120"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“Obligations” </w:t>
      </w:r>
      <w:r>
        <w:rPr>
          <w:rFonts w:ascii="Arial" w:cs="Arial" w:eastAsia="Arial" w:hAnsi="Arial"/>
          <w:sz w:val="16"/>
          <w:szCs w:val="16"/>
          <w:color w:val="auto"/>
        </w:rPr>
        <w:t>means, individually and collectively: (a) the aggregate principal balance of, and all accrued and unpaid interest on, all Loans; (b) all</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Reimbursement Obligations and all other Letter of Credit Liabilities; and (c) all other indebtedness, liabilities, obligations, covenants and duties of the Borrower and the other Loan Parties owing to the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w:t>
      </w:r>
    </w:p>
    <w:p>
      <w:pPr>
        <w:spacing w:after="0" w:line="108" w:lineRule="exact"/>
        <w:rPr>
          <w:sz w:val="20"/>
          <w:szCs w:val="20"/>
          <w:color w:val="auto"/>
        </w:rPr>
      </w:pPr>
    </w:p>
    <w:p>
      <w:pPr>
        <w:ind w:right="380" w:firstLine="456"/>
        <w:spacing w:after="0" w:line="296" w:lineRule="auto"/>
        <w:rPr>
          <w:sz w:val="20"/>
          <w:szCs w:val="20"/>
          <w:color w:val="auto"/>
        </w:rPr>
      </w:pPr>
      <w:r>
        <w:rPr>
          <w:rFonts w:ascii="Arial" w:cs="Arial" w:eastAsia="Arial" w:hAnsi="Arial"/>
          <w:sz w:val="16"/>
          <w:szCs w:val="16"/>
          <w:b w:val="1"/>
          <w:bCs w:val="1"/>
          <w:color w:val="auto"/>
        </w:rPr>
        <w:t xml:space="preserve">“Occupancy Rate” </w:t>
      </w:r>
      <w:r>
        <w:rPr>
          <w:rFonts w:ascii="Arial" w:cs="Arial" w:eastAsia="Arial" w:hAnsi="Arial"/>
          <w:sz w:val="16"/>
          <w:szCs w:val="16"/>
          <w:color w:val="auto"/>
        </w:rPr>
        <w:t>means, with respect to a Property at any time, the ratio, expressed as a percentage, of (a) the net rentable square footage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Property for which the Borrower or a Subsidiary is collecting rent, or for which a lease has been signed but the term has not yet commenced, to (b) the total square footage of such Property available for lease;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Multifamily Property, “Occupancy Rate” means the ratio, expressed as a percentage, of (a) the net rentable units of such Multifamily Property for which the Borrower or a Subsidiary is collecting rent, or for which a lease has been signed but the term has not yet commenced, to (b) the total units of such Multifamily Property available for lease.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means U.S. Department of the Treasury’s Office of Foreign Assets Control and any successor Governmental Authority.</w:t>
      </w:r>
    </w:p>
    <w:p>
      <w:pPr>
        <w:spacing w:after="0" w:line="171"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“Off-Balance Sheet Obligations” </w:t>
      </w:r>
      <w:r>
        <w:rPr>
          <w:rFonts w:ascii="Arial" w:cs="Arial" w:eastAsia="Arial" w:hAnsi="Arial"/>
          <w:sz w:val="18"/>
          <w:szCs w:val="18"/>
          <w:color w:val="auto"/>
        </w:rPr>
        <w:t>means liabilities and obligations of the Borrower, any Subsidiary or any other Person in respect of “off-balance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(as defined in Item</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80"/>
          </w:cols>
          <w:pgMar w:left="240" w:top="274" w:right="279" w:bottom="1440" w:gutter="0" w:footer="0" w:header="0"/>
        </w:sectPr>
      </w:pPr>
    </w:p>
    <w:bookmarkStart w:id="52" w:name="page53"/>
    <w:bookmarkEnd w:id="52"/>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303(a)(4)(ii) of Regulation S-K promulgated under the Securities Act)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has the meaning given that term in Section 12.5.(c).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“PBGC” </w:t>
      </w:r>
      <w:r>
        <w:rPr>
          <w:rFonts w:ascii="Arial" w:cs="Arial" w:eastAsia="Arial" w:hAnsi="Arial"/>
          <w:sz w:val="18"/>
          <w:szCs w:val="18"/>
          <w:color w:val="auto"/>
        </w:rPr>
        <w:t>means the Pension Benefit Guaranty Corporation and any successor agency.</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“Permitted Liens” </w:t>
      </w:r>
      <w:r>
        <w:rPr>
          <w:rFonts w:ascii="Arial" w:cs="Arial" w:eastAsia="Arial" w:hAnsi="Arial"/>
          <w:sz w:val="16"/>
          <w:szCs w:val="16"/>
          <w:color w:val="auto"/>
        </w:rPr>
        <w:t>means, as to any Person: (a) Liens securing taxes, assessments and other charges or levies imposed by any Governmental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any Lien imposed pursuant to any of the provisions of ERISA or pursuant to any Environmental Laws) or the claims of materialmen, mechanics, carriers, warehousemen or landlords for labor, materials, supplies or rentals incurred in the ordinary course of business, which are not at the time required to be paid or discharged under Section 7.6.; (b) Liens consisting of deposits or pledges made, in the ordinary course of business, in connection with, or to secure payment of, obligations under workers’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use thereof in the business of such Person; (d) the rights of tenants under leases or subleases not interfering with the ordinary conduct of business of such Person; (e) Liens in favor of the Agent for the benefit of the Lenders; (f) Liens in favor of the Borrower or a Guarantor securing obligations owing by a Subsidiary to the Borrower or a Guarantor, which obligations have been subordinated to the obligations owing by the Borrower and the Guarantors under the Loan Documents on terms satisfactory to the Agent; (g) Liens in existence as of the Agreement Date set forth in Part II of Schedule 6.l.(f); and (h) Liens securing Indebtedness permitted by Section 9.6.</w:t>
      </w:r>
    </w:p>
    <w:p>
      <w:pPr>
        <w:spacing w:after="0" w:line="119"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corporation, partnership, limited liability company, association, trust or unincorporated organization, or a government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agency or political subdivision thereof.</w:t>
      </w:r>
    </w:p>
    <w:p>
      <w:pPr>
        <w:spacing w:after="0" w:line="120"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means at any time an employee pension benefit plan (other than a Multiemployer Plan) which is covered by Title IV of ERISA or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minimum funding standards under Section 412 of the Internal Revenue Code and either (a) is maintained, or contributed to, by any member of the ERISA Group for employees of any member of the ERISA Group or (b) has at any time within the preceding five years been maintained, or contributed to, by any Person which was at such time a member of the ERISA Group for employees of any Person which was at such time a member of the ERISA Group.</w:t>
      </w:r>
    </w:p>
    <w:p>
      <w:pPr>
        <w:spacing w:after="0" w:line="103" w:lineRule="exact"/>
        <w:rPr>
          <w:sz w:val="20"/>
          <w:szCs w:val="20"/>
          <w:color w:val="auto"/>
        </w:rPr>
      </w:pPr>
    </w:p>
    <w:p>
      <w:pPr>
        <w:jc w:val="both"/>
        <w:ind w:right="440" w:firstLine="456"/>
        <w:spacing w:after="0" w:line="262" w:lineRule="auto"/>
        <w:rPr>
          <w:sz w:val="20"/>
          <w:szCs w:val="20"/>
          <w:color w:val="auto"/>
        </w:rPr>
      </w:pPr>
      <w:r>
        <w:rPr>
          <w:rFonts w:ascii="Arial" w:cs="Arial" w:eastAsia="Arial" w:hAnsi="Arial"/>
          <w:sz w:val="18"/>
          <w:szCs w:val="18"/>
          <w:b w:val="1"/>
          <w:bCs w:val="1"/>
          <w:color w:val="auto"/>
        </w:rPr>
        <w:t xml:space="preserve">“Post-Default Rate” </w:t>
      </w:r>
      <w:r>
        <w:rPr>
          <w:rFonts w:ascii="Arial" w:cs="Arial" w:eastAsia="Arial" w:hAnsi="Arial"/>
          <w:sz w:val="18"/>
          <w:szCs w:val="18"/>
          <w:color w:val="auto"/>
        </w:rPr>
        <w:t>means, in respect of any principal of any Loan or any other Obligation that is not paid when due (whether at stated maturity,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acceleration, by optional or mandatory prepayment or otherwise),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280" w:right="259" w:bottom="1440" w:gutter="0" w:footer="0" w:header="0"/>
        </w:sectPr>
      </w:pPr>
    </w:p>
    <w:bookmarkStart w:id="53" w:name="page54"/>
    <w:bookmarkEnd w:id="53"/>
    <w:p>
      <w:pPr>
        <w:ind w:right="16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“Preferred Dividends” </w:t>
      </w:r>
      <w:r>
        <w:rPr>
          <w:rFonts w:ascii="Arial" w:cs="Arial" w:eastAsia="Arial" w:hAnsi="Arial"/>
          <w:sz w:val="16"/>
          <w:szCs w:val="16"/>
          <w:color w:val="auto"/>
        </w:rPr>
        <w:t>means, for any period and without duplication, all Restricted Payments paid during such period on Preferred Equity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issued by the Borrower or a Subsidiary.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Interests in full.</w:t>
      </w:r>
    </w:p>
    <w:p>
      <w:pPr>
        <w:spacing w:after="0" w:line="103"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“Preferred Equity Interests” </w:t>
      </w:r>
      <w:r>
        <w:rPr>
          <w:rFonts w:ascii="Arial" w:cs="Arial" w:eastAsia="Arial" w:hAnsi="Arial"/>
          <w:sz w:val="18"/>
          <w:szCs w:val="18"/>
          <w:color w:val="auto"/>
        </w:rPr>
        <w:t>means, with respect to any Person, Equity Interests in such Person which are entitled to preference or priority over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Interest in such Person in respect of the payment of dividends or distribution of assets upon liquidation or both.</w:t>
      </w:r>
    </w:p>
    <w:p>
      <w:pPr>
        <w:spacing w:after="0" w:line="120"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b w:val="1"/>
          <w:bCs w:val="1"/>
          <w:color w:val="auto"/>
        </w:rPr>
        <w:t xml:space="preserve">“Prime Rate” </w:t>
      </w:r>
      <w:r>
        <w:rPr>
          <w:rFonts w:ascii="Arial" w:cs="Arial" w:eastAsia="Arial" w:hAnsi="Arial"/>
          <w:sz w:val="16"/>
          <w:szCs w:val="16"/>
          <w:color w:val="auto"/>
        </w:rPr>
        <w:t>means the rate of interest per annum announced publicly by the Lender then acting as the Agent as its prime rate from time to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Prime Rate is not necessarily the best or the lowest rate of interest offered by the Lender acting as the Agent or any other Lender.</w:t>
      </w:r>
    </w:p>
    <w:p>
      <w:pPr>
        <w:spacing w:after="0" w:line="74"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“Principal Office” </w:t>
      </w:r>
      <w:r>
        <w:rPr>
          <w:rFonts w:ascii="Arial" w:cs="Arial" w:eastAsia="Arial" w:hAnsi="Arial"/>
          <w:sz w:val="18"/>
          <w:szCs w:val="18"/>
          <w:color w:val="auto"/>
        </w:rPr>
        <w:t>means the office of the Agent located at One Wachovia Center, Charlotte, North Carolina, or such other office of the Agent as the</w:t>
      </w:r>
      <w:r>
        <w:rPr>
          <w:rFonts w:ascii="Arial" w:cs="Arial" w:eastAsia="Arial" w:hAnsi="Arial"/>
          <w:sz w:val="18"/>
          <w:szCs w:val="18"/>
          <w:b w:val="1"/>
          <w:bCs w:val="1"/>
          <w:color w:val="auto"/>
        </w:rPr>
        <w:t xml:space="preserve"> </w:t>
      </w:r>
      <w:r>
        <w:rPr>
          <w:rFonts w:ascii="Arial" w:cs="Arial" w:eastAsia="Arial" w:hAnsi="Arial"/>
          <w:sz w:val="18"/>
          <w:szCs w:val="18"/>
          <w:color w:val="auto"/>
        </w:rPr>
        <w:t>Agent may designate from time to time.</w:t>
      </w:r>
    </w:p>
    <w:p>
      <w:pPr>
        <w:spacing w:after="0" w:line="12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means any parcel of real property owned or leased (in whole or in part) or operated by the Borrower, any Subsidiary or any Unconsolidated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the Borrower and which is located in a state of the United States of America or the District of Columbia.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“Rating Agency” </w:t>
      </w:r>
      <w:r>
        <w:rPr>
          <w:rFonts w:ascii="Arial" w:cs="Arial" w:eastAsia="Arial" w:hAnsi="Arial"/>
          <w:sz w:val="18"/>
          <w:szCs w:val="18"/>
          <w:color w:val="auto"/>
        </w:rPr>
        <w:t>means S&amp;P or Moody’s,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has the meaning given that term in Section 12.5.(f).</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“Regulatory Change” </w:t>
      </w:r>
      <w:r>
        <w:rPr>
          <w:rFonts w:ascii="Arial" w:cs="Arial" w:eastAsia="Arial" w:hAnsi="Arial"/>
          <w:sz w:val="18"/>
          <w:szCs w:val="18"/>
          <w:color w:val="auto"/>
        </w:rPr>
        <w:t>means, with respect to any Lender, any change effective after the Agreement Date in Applicable Law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w:t>
      </w:r>
    </w:p>
    <w:p>
      <w:pPr>
        <w:spacing w:after="0" w:line="139"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“Reimbursement Obligation” </w:t>
      </w:r>
      <w:r>
        <w:rPr>
          <w:rFonts w:ascii="Arial" w:cs="Arial" w:eastAsia="Arial" w:hAnsi="Arial"/>
          <w:sz w:val="18"/>
          <w:szCs w:val="18"/>
          <w:color w:val="auto"/>
        </w:rPr>
        <w:t>means the absolute, unconditional and irrevocable obligation of the Borrower to reimburse the Agent for any drawing</w:t>
      </w:r>
      <w:r>
        <w:rPr>
          <w:rFonts w:ascii="Arial" w:cs="Arial" w:eastAsia="Arial" w:hAnsi="Arial"/>
          <w:sz w:val="18"/>
          <w:szCs w:val="18"/>
          <w:b w:val="1"/>
          <w:bCs w:val="1"/>
          <w:color w:val="auto"/>
        </w:rPr>
        <w:t xml:space="preserve"> </w:t>
      </w:r>
      <w:r>
        <w:rPr>
          <w:rFonts w:ascii="Arial" w:cs="Arial" w:eastAsia="Arial" w:hAnsi="Arial"/>
          <w:sz w:val="18"/>
          <w:szCs w:val="18"/>
          <w:color w:val="auto"/>
        </w:rPr>
        <w:t>honored by the Agent under a Letter of Credit.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“REIT” </w:t>
      </w:r>
      <w:r>
        <w:rPr>
          <w:rFonts w:ascii="Arial" w:cs="Arial" w:eastAsia="Arial" w:hAnsi="Arial"/>
          <w:sz w:val="18"/>
          <w:szCs w:val="18"/>
          <w:color w:val="auto"/>
        </w:rPr>
        <w:t>means a Person qualifying for treatment as a “real estate investment trust” under the Internal Revenue Code.</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74" w:right="239" w:bottom="1440" w:gutter="0" w:footer="0" w:header="0"/>
        </w:sectPr>
      </w:pPr>
    </w:p>
    <w:bookmarkStart w:id="54" w:name="page55"/>
    <w:bookmarkEnd w:id="54"/>
    <w:p>
      <w:pPr>
        <w:ind w:right="180" w:firstLine="456"/>
        <w:spacing w:after="0" w:line="32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“Requisite Lenders” </w:t>
      </w:r>
      <w:r>
        <w:rPr>
          <w:rFonts w:ascii="Arial" w:cs="Arial" w:eastAsia="Arial" w:hAnsi="Arial"/>
          <w:sz w:val="15"/>
          <w:szCs w:val="15"/>
          <w:color w:val="auto"/>
        </w:rPr>
        <w:t>means, as of any date, (a) Lenders having at least 66</w:t>
      </w:r>
      <w:r>
        <w:rPr>
          <w:rFonts w:ascii="Arial" w:cs="Arial" w:eastAsia="Arial" w:hAnsi="Arial"/>
          <w:sz w:val="15"/>
          <w:szCs w:val="15"/>
          <w:b w:val="1"/>
          <w:bCs w:val="1"/>
          <w:color w:val="auto"/>
        </w:rPr>
        <w:t xml:space="preserve"> </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1"/>
          <w:szCs w:val="11"/>
          <w:color w:val="auto"/>
        </w:rPr>
        <w:t>3</w:t>
      </w:r>
      <w:r>
        <w:rPr>
          <w:rFonts w:ascii="Arial" w:cs="Arial" w:eastAsia="Arial" w:hAnsi="Arial"/>
          <w:sz w:val="15"/>
          <w:szCs w:val="15"/>
          <w:color w:val="auto"/>
        </w:rPr>
        <w:t>% of the aggregate amount of the Commitments or (b) if the Commitments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have been terminated or reduced to zero, Lenders holding at least 66 </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1"/>
          <w:szCs w:val="11"/>
          <w:color w:val="auto"/>
        </w:rPr>
        <w:t>3</w:t>
      </w:r>
      <w:r>
        <w:rPr>
          <w:rFonts w:ascii="Arial" w:cs="Arial" w:eastAsia="Arial" w:hAnsi="Arial"/>
          <w:sz w:val="15"/>
          <w:szCs w:val="15"/>
          <w:color w:val="auto"/>
        </w:rPr>
        <w:t>% of the principal amount of the aggregate outstanding Loans and Letter of Credit Liabilities. Commitments, Loans and Letter of Credit Liabilities held by Defaulting Lenders shall be disregarded when determining the Requisite Lenders. For purposes of this definition, a Lender (other than a Swingline Lender) shall be deemed to hold a Swingline Loan or a Letter of Credit Liability to the extent such Lender has acquired a participation therein under the terms of this Agreement and has not failed to perform its obligations in respect of such participation.</w:t>
      </w:r>
    </w:p>
    <w:p>
      <w:pPr>
        <w:spacing w:after="0" w:line="93"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“Responsible Officer” </w:t>
      </w:r>
      <w:r>
        <w:rPr>
          <w:rFonts w:ascii="Arial" w:cs="Arial" w:eastAsia="Arial" w:hAnsi="Arial"/>
          <w:sz w:val="18"/>
          <w:szCs w:val="18"/>
          <w:color w:val="auto"/>
        </w:rPr>
        <w:t>means with respect to the Borrower or any Subsidiary, the chief executive officer, the chief financial officer, the treasurer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operations officer, and in the case of the Borrower, the Vice President-Capital Markets &amp; Investor Relations or the Vice President-Chief Accounting Officer of the Borrower.</w:t>
      </w:r>
    </w:p>
    <w:p>
      <w:pPr>
        <w:spacing w:after="0" w:line="132"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“Restricted Payment” </w:t>
      </w:r>
      <w:r>
        <w:rPr>
          <w:rFonts w:ascii="Arial" w:cs="Arial" w:eastAsia="Arial" w:hAnsi="Arial"/>
          <w:sz w:val="16"/>
          <w:szCs w:val="16"/>
          <w:color w:val="auto"/>
        </w:rPr>
        <w:t>means: (a) any dividend or other distribution, direct or indirect, on account of any Equity Interest of the Borrower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now or hereafter outstanding, except a dividend payable solely in Equity Interests of identical class to the holders of that class; (b) any redemption, conversion, exchange, retirement, sinking fund or similar payment, purchase or other acquisition for value, direct or indirect, of any Equity Interest of the Borrower or any Subsidiary now or hereafter outstanding; and (c) any payment made to retire, or to obtain the surrender of, any outstanding warrants, options or other rights to acquire any Equity Interests of the Borrower or any Subsidiary now or hereafter outstanding.</w:t>
      </w:r>
    </w:p>
    <w:p>
      <w:pPr>
        <w:spacing w:after="0" w:line="108"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 xml:space="preserve">“Retail Property” </w:t>
      </w:r>
      <w:r>
        <w:rPr>
          <w:rFonts w:ascii="Arial" w:cs="Arial" w:eastAsia="Arial" w:hAnsi="Arial"/>
          <w:sz w:val="18"/>
          <w:szCs w:val="18"/>
          <w:color w:val="auto"/>
        </w:rPr>
        <w:t>means (a) any Property identified as a “Retail Property” on Schedule 6.1.(x) and (b) any Property, a substantial use of which, is the</w:t>
      </w:r>
      <w:r>
        <w:rPr>
          <w:rFonts w:ascii="Arial" w:cs="Arial" w:eastAsia="Arial" w:hAnsi="Arial"/>
          <w:sz w:val="18"/>
          <w:szCs w:val="18"/>
          <w:b w:val="1"/>
          <w:bCs w:val="1"/>
          <w:color w:val="auto"/>
        </w:rPr>
        <w:t xml:space="preserve"> </w:t>
      </w:r>
      <w:r>
        <w:rPr>
          <w:rFonts w:ascii="Arial" w:cs="Arial" w:eastAsia="Arial" w:hAnsi="Arial"/>
          <w:sz w:val="18"/>
          <w:szCs w:val="18"/>
          <w:color w:val="auto"/>
        </w:rPr>
        <w:t>retail sale of goods and services.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“Revolving Loan” </w:t>
      </w:r>
      <w:r>
        <w:rPr>
          <w:rFonts w:ascii="Arial" w:cs="Arial" w:eastAsia="Arial" w:hAnsi="Arial"/>
          <w:sz w:val="18"/>
          <w:szCs w:val="18"/>
          <w:color w:val="auto"/>
        </w:rPr>
        <w:t>means a loan made by a Lender to the Borrower pursuant to Section 2.1.(a).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“Revolving Note” </w:t>
      </w:r>
      <w:r>
        <w:rPr>
          <w:rFonts w:ascii="Arial" w:cs="Arial" w:eastAsia="Arial" w:hAnsi="Arial"/>
          <w:sz w:val="18"/>
          <w:szCs w:val="18"/>
          <w:color w:val="auto"/>
        </w:rPr>
        <w:t>has the meaning given that term in Section 2.11.(a).</w:t>
      </w:r>
    </w:p>
    <w:p>
      <w:pPr>
        <w:spacing w:after="0" w:line="17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“Sanctioned Entity” </w:t>
      </w:r>
      <w:r>
        <w:rPr>
          <w:rFonts w:ascii="Arial" w:cs="Arial" w:eastAsia="Arial" w:hAnsi="Arial"/>
          <w:sz w:val="18"/>
          <w:szCs w:val="18"/>
          <w:color w:val="auto"/>
        </w:rPr>
        <w:t>means (a) an agency of the government of, (b) an organization directly or indirectly controlled by, or (c) a Person resident in,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a country that is subject to a sanctions program identified on the list maintained by the OFAC and published from time to time, as such program may be applicable to such agency, organization or Person.</w:t>
      </w:r>
    </w:p>
    <w:p>
      <w:pPr>
        <w:spacing w:after="0" w:line="13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“Sanctioned Person” </w:t>
      </w:r>
      <w:r>
        <w:rPr>
          <w:rFonts w:ascii="Arial" w:cs="Arial" w:eastAsia="Arial" w:hAnsi="Arial"/>
          <w:sz w:val="18"/>
          <w:szCs w:val="18"/>
          <w:color w:val="auto"/>
        </w:rPr>
        <w:t>means a Person named on the list of Specially Designated Nationals or Blocked Persons maintained by the OFAC as published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“Secured Indebtedness” </w:t>
      </w:r>
      <w:r>
        <w:rPr>
          <w:rFonts w:ascii="Arial" w:cs="Arial" w:eastAsia="Arial" w:hAnsi="Arial"/>
          <w:sz w:val="18"/>
          <w:szCs w:val="18"/>
          <w:color w:val="auto"/>
        </w:rPr>
        <w:t>means, with respect to any Person, (a) all Indebtedness of such Person that is secured in any manner by any Lien on any Property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Person’s pro rata share of the Secured Indebtedness of any of such Person’s Unconsolidated Affiliates.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80"/>
          </w:cols>
          <w:pgMar w:left="240" w:top="274" w:right="279" w:bottom="1440" w:gutter="0" w:footer="0" w:header="0"/>
        </w:sectPr>
      </w:pPr>
    </w:p>
    <w:bookmarkStart w:id="55" w:name="page56"/>
    <w:bookmarkEnd w:id="55"/>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Act” </w:t>
      </w:r>
      <w:r>
        <w:rPr>
          <w:rFonts w:ascii="Arial" w:cs="Arial" w:eastAsia="Arial" w:hAnsi="Arial"/>
          <w:sz w:val="16"/>
          <w:szCs w:val="16"/>
          <w:color w:val="auto"/>
        </w:rPr>
        <w:t>means the Securities Act of 1933, as amended from time to time, together with all rules and regulations issued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“Significant Subsidiary” </w:t>
      </w:r>
      <w:r>
        <w:rPr>
          <w:rFonts w:ascii="Arial" w:cs="Arial" w:eastAsia="Arial" w:hAnsi="Arial"/>
          <w:sz w:val="16"/>
          <w:szCs w:val="16"/>
          <w:color w:val="auto"/>
        </w:rPr>
        <w:t>means any Subsidiary to which more than $10,000,000 of Total Asset Value is attributable on an individual basis.</w:t>
      </w:r>
    </w:p>
    <w:p>
      <w:pPr>
        <w:spacing w:after="0" w:line="19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“Solvent” </w:t>
      </w:r>
      <w:r>
        <w:rPr>
          <w:rFonts w:ascii="Arial" w:cs="Arial" w:eastAsia="Arial" w:hAnsi="Arial"/>
          <w:sz w:val="16"/>
          <w:szCs w:val="16"/>
          <w:color w:val="auto"/>
        </w:rPr>
        <w:t>means, when used with respect to any Person, that (a) the fair value and the fair salable value of its assets (excluding any Indebtedness due from</w:t>
      </w:r>
      <w:r>
        <w:rPr>
          <w:rFonts w:ascii="Arial" w:cs="Arial" w:eastAsia="Arial" w:hAnsi="Arial"/>
          <w:sz w:val="16"/>
          <w:szCs w:val="16"/>
          <w:b w:val="1"/>
          <w:bCs w:val="1"/>
          <w:color w:val="auto"/>
        </w:rPr>
        <w:t xml:space="preserve"> </w:t>
      </w:r>
      <w:r>
        <w:rPr>
          <w:rFonts w:ascii="Arial" w:cs="Arial" w:eastAsia="Arial" w:hAnsi="Arial"/>
          <w:sz w:val="16"/>
          <w:szCs w:val="16"/>
          <w:color w:val="auto"/>
        </w:rPr>
        <w:t>any affiliate of such Person if such affiliate is not itself Solvent) are each in excess of the fair valuation of its total liabilities (including all contingent liabilities computed at the amount which, in light of all the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“S&amp;P” </w:t>
      </w:r>
      <w:r>
        <w:rPr>
          <w:rFonts w:ascii="Arial" w:cs="Arial" w:eastAsia="Arial" w:hAnsi="Arial"/>
          <w:sz w:val="18"/>
          <w:szCs w:val="18"/>
          <w:color w:val="auto"/>
        </w:rPr>
        <w:t>means Standard &amp; Poor’s Rating Services, a division of The McGraw-Hill Companies, Inc., and its successors.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“Specified Non-Wholly Owned Subsidiaries” </w:t>
      </w:r>
      <w:r>
        <w:rPr>
          <w:rFonts w:ascii="Arial" w:cs="Arial" w:eastAsia="Arial" w:hAnsi="Arial"/>
          <w:sz w:val="18"/>
          <w:szCs w:val="18"/>
          <w:color w:val="auto"/>
        </w:rPr>
        <w:t>means Congressional Plaza Associates, LLC; FRIT Escondido Promenade, LLC; Street Retail West 4, L.P.;</w:t>
      </w:r>
      <w:r>
        <w:rPr>
          <w:rFonts w:ascii="Arial" w:cs="Arial" w:eastAsia="Arial" w:hAnsi="Arial"/>
          <w:sz w:val="18"/>
          <w:szCs w:val="18"/>
          <w:b w:val="1"/>
          <w:bCs w:val="1"/>
          <w:color w:val="auto"/>
        </w:rPr>
        <w:t xml:space="preserve"> </w:t>
      </w:r>
      <w:r>
        <w:rPr>
          <w:rFonts w:ascii="Arial" w:cs="Arial" w:eastAsia="Arial" w:hAnsi="Arial"/>
          <w:sz w:val="18"/>
          <w:szCs w:val="18"/>
          <w:color w:val="auto"/>
        </w:rPr>
        <w:t>and Street Retail West 7, L.P.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“Stabilized Property” </w:t>
      </w:r>
      <w:r>
        <w:rPr>
          <w:rFonts w:ascii="Arial" w:cs="Arial" w:eastAsia="Arial" w:hAnsi="Arial"/>
          <w:sz w:val="18"/>
          <w:szCs w:val="18"/>
          <w:color w:val="auto"/>
        </w:rPr>
        <w:t>means a completed Property that has achieved an Occupancy Rate of at least 85%.</w:t>
      </w:r>
    </w:p>
    <w:p>
      <w:pPr>
        <w:spacing w:after="0" w:line="17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“Stated Amount” </w:t>
      </w:r>
      <w:r>
        <w:rPr>
          <w:rFonts w:ascii="Arial" w:cs="Arial" w:eastAsia="Arial" w:hAnsi="Arial"/>
          <w:sz w:val="18"/>
          <w:szCs w:val="18"/>
          <w:color w:val="auto"/>
        </w:rPr>
        <w:t>means the amount available to be drawn by a beneficiary under a Letter of Credit from time to time, as such amount may be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or reduced from time to time in accordance with the terms of such Letter of Credit.</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for any Person, any corporation, partnership or other entity of which at least a majority of the Equity Interests having by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39"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 xml:space="preserve">“Swingline Commitment” </w:t>
      </w:r>
      <w:r>
        <w:rPr>
          <w:rFonts w:ascii="Arial" w:cs="Arial" w:eastAsia="Arial" w:hAnsi="Arial"/>
          <w:sz w:val="18"/>
          <w:szCs w:val="18"/>
          <w:color w:val="auto"/>
        </w:rPr>
        <w:t>means the Swingline Lender’s obligation to make Swingline Loans pursuant to Section 2.3. in an amount up to,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exceeding, $25,000,000, as such amount may be reduced from time to time in accordance with the terms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“Swingline Lender” </w:t>
      </w:r>
      <w:r>
        <w:rPr>
          <w:rFonts w:ascii="Arial" w:cs="Arial" w:eastAsia="Arial" w:hAnsi="Arial"/>
          <w:sz w:val="18"/>
          <w:szCs w:val="18"/>
          <w:color w:val="auto"/>
        </w:rPr>
        <w:t>means Wachovia Bank, National Association, together with its respective successors and assigns.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“Swingline Loan” </w:t>
      </w:r>
      <w:r>
        <w:rPr>
          <w:rFonts w:ascii="Arial" w:cs="Arial" w:eastAsia="Arial" w:hAnsi="Arial"/>
          <w:sz w:val="18"/>
          <w:szCs w:val="18"/>
          <w:color w:val="auto"/>
        </w:rPr>
        <w:t>means a loan made by the Swingline Lender to the Borrower pursuant to Section 2.3.(a).</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274" w:right="239" w:bottom="1440" w:gutter="0" w:footer="0" w:header="0"/>
        </w:sectPr>
      </w:pPr>
    </w:p>
    <w:bookmarkStart w:id="56" w:name="page57"/>
    <w:bookmarkEnd w:id="56"/>
    <w:p>
      <w:pPr>
        <w:ind w:right="1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“Swingline Note” </w:t>
      </w:r>
      <w:r>
        <w:rPr>
          <w:rFonts w:ascii="Arial" w:cs="Arial" w:eastAsia="Arial" w:hAnsi="Arial"/>
          <w:sz w:val="18"/>
          <w:szCs w:val="18"/>
          <w:color w:val="auto"/>
        </w:rPr>
        <w:t>means the promissory note of the Borrower payable to the order of the Swingline Lender in a principal amount equal to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Swingline Commitment as originally in effect and otherwise duly completed, substantially in the form of Exhibit G.</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“Tangible Net Worth” </w:t>
      </w:r>
      <w:r>
        <w:rPr>
          <w:rFonts w:ascii="Arial" w:cs="Arial" w:eastAsia="Arial" w:hAnsi="Arial"/>
          <w:sz w:val="16"/>
          <w:szCs w:val="16"/>
          <w:color w:val="auto"/>
        </w:rPr>
        <w:t>means, as of a given date, the stockholders’ equity of the Borrower and Subsidiaries determined on a consolidated basis plus</w:t>
      </w:r>
    </w:p>
    <w:p>
      <w:pPr>
        <w:spacing w:after="0" w:line="44" w:lineRule="exact"/>
        <w:rPr>
          <w:sz w:val="20"/>
          <w:szCs w:val="20"/>
          <w:color w:val="auto"/>
        </w:rPr>
      </w:pPr>
    </w:p>
    <w:p>
      <w:pPr>
        <w:ind w:right="100" w:firstLine="8"/>
        <w:spacing w:after="0" w:line="254"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accumulated depreciation and amortization minus the following (to the extent reflected in determining stockholders’ equity of the Borrower and its Subsidiaries): (b) the amount of any write-up in the book value of any assets contained in any balance sheet resulting from revaluation thereof or any write-up in excess of the cost of such assets acquired, and (c) all amounts appearing on the assets side of any such balance sheet for assets which would be classified as intangible assets under GAAP, all determined on a consolidated basis.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has the meaning given that term in Section 3.12.(a).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July 27, 2010, or such later date to which the Termination Date may be extended pursuant to Section 2.13.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“Titled Agents” </w:t>
      </w:r>
      <w:r>
        <w:rPr>
          <w:rFonts w:ascii="Arial" w:cs="Arial" w:eastAsia="Arial" w:hAnsi="Arial"/>
          <w:sz w:val="15"/>
          <w:szCs w:val="15"/>
          <w:color w:val="auto"/>
        </w:rPr>
        <w:t>means each of the Arranger, the Syndication Agent, and each Documentation Agent and their respective successors and permitted assigns.</w:t>
      </w:r>
    </w:p>
    <w:p>
      <w:pPr>
        <w:spacing w:after="0" w:line="206" w:lineRule="exact"/>
        <w:rPr>
          <w:sz w:val="20"/>
          <w:szCs w:val="20"/>
          <w:color w:val="auto"/>
        </w:rPr>
      </w:pPr>
    </w:p>
    <w:p>
      <w:pPr>
        <w:ind w:right="240" w:firstLine="456"/>
        <w:spacing w:after="0" w:line="309" w:lineRule="auto"/>
        <w:rPr>
          <w:sz w:val="20"/>
          <w:szCs w:val="20"/>
          <w:color w:val="auto"/>
        </w:rPr>
      </w:pPr>
      <w:r>
        <w:rPr>
          <w:rFonts w:ascii="Arial" w:cs="Arial" w:eastAsia="Arial" w:hAnsi="Arial"/>
          <w:sz w:val="15"/>
          <w:szCs w:val="15"/>
          <w:b w:val="1"/>
          <w:bCs w:val="1"/>
          <w:color w:val="auto"/>
        </w:rPr>
        <w:t xml:space="preserve">“Total Asset Value” </w:t>
      </w:r>
      <w:r>
        <w:rPr>
          <w:rFonts w:ascii="Arial" w:cs="Arial" w:eastAsia="Arial" w:hAnsi="Arial"/>
          <w:sz w:val="15"/>
          <w:szCs w:val="15"/>
          <w:color w:val="auto"/>
        </w:rPr>
        <w:t>means the sum of all of the following of the Borrower and its Subsidiaries on a consolidated basis determined in accordance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GAAP applied on a consistent basis: (a) cash and cash equivalents, plus (b) with respect to each Stabilized Property owned by the Borrower or any Subsidiary,</w:t>
      </w:r>
    </w:p>
    <w:p>
      <w:pPr>
        <w:ind w:right="140" w:firstLine="8"/>
        <w:spacing w:after="0" w:line="281" w:lineRule="auto"/>
        <w:tabs>
          <w:tab w:leader="none" w:pos="21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EBITDA attributable to such Property for the fiscal quarter most recently ended (adjusted for acquisitions and dispositions) times (ii) 4, divided by (iii) the Capitalization Rate, plus (c) the GAAP book value of Properties acquired during the most recent quarter, plus (d) Construction-in-Process until the earlier of the</w:t>
      </w:r>
    </w:p>
    <w:p>
      <w:pPr>
        <w:spacing w:after="0" w:line="1" w:lineRule="exact"/>
        <w:rPr>
          <w:rFonts w:ascii="Arial" w:cs="Arial" w:eastAsia="Arial" w:hAnsi="Arial"/>
          <w:sz w:val="16"/>
          <w:szCs w:val="16"/>
          <w:color w:val="auto"/>
        </w:rPr>
      </w:pPr>
    </w:p>
    <w:p>
      <w:pPr>
        <w:ind w:right="40" w:firstLine="8"/>
        <w:spacing w:after="0" w:line="281" w:lineRule="auto"/>
        <w:tabs>
          <w:tab w:leader="none" w:pos="21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one year anniversary date of project completion or (ii) the second quarter after the project achieves an Occupancy Rate of 85%, plus (e) the GAAP book value of Unimproved Land, Mortgage Receivables and other promissory notes. The Borrower’s pro rata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above.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“Total Indebtedness” </w:t>
      </w:r>
      <w:r>
        <w:rPr>
          <w:rFonts w:ascii="Arial" w:cs="Arial" w:eastAsia="Arial" w:hAnsi="Arial"/>
          <w:sz w:val="18"/>
          <w:szCs w:val="18"/>
          <w:color w:val="auto"/>
        </w:rPr>
        <w:t>means all Indebtedness of the Borrower and its Subsidiaries determined on a consolidated basis.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“Type” </w:t>
      </w:r>
      <w:r>
        <w:rPr>
          <w:rFonts w:ascii="Arial" w:cs="Arial" w:eastAsia="Arial" w:hAnsi="Arial"/>
          <w:sz w:val="18"/>
          <w:szCs w:val="18"/>
          <w:color w:val="auto"/>
        </w:rPr>
        <w:t>with respect to any Revolving Loan, refers to whether such Loan is a LIBOR Loan or Base Rate Loan.</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“Unconsolidated Affiliate” </w:t>
      </w:r>
      <w:r>
        <w:rPr>
          <w:rFonts w:ascii="Arial" w:cs="Arial" w:eastAsia="Arial" w:hAnsi="Arial"/>
          <w:sz w:val="18"/>
          <w:szCs w:val="18"/>
          <w:color w:val="auto"/>
        </w:rPr>
        <w:t>means, with respect to any Person, any other Person in whom such Person holds an Investment, which Investment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274" w:right="259" w:bottom="1440" w:gutter="0" w:footer="0" w:header="0"/>
        </w:sectPr>
      </w:pPr>
    </w:p>
    <w:bookmarkStart w:id="57" w:name="page58"/>
    <w:bookmarkEnd w:id="57"/>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“Unencumbered Adjusted NOI” </w:t>
      </w:r>
      <w:r>
        <w:rPr>
          <w:rFonts w:ascii="Arial" w:cs="Arial" w:eastAsia="Arial" w:hAnsi="Arial"/>
          <w:sz w:val="16"/>
          <w:szCs w:val="16"/>
          <w:color w:val="auto"/>
        </w:rPr>
        <w:t>means, for any period, NOI from (a) Wholly Owned Properties; (b) Controlled Properties; and (c) Non-Controlled</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all of which have been owned for the entire period and as adjusted for any non-recurring items during the reporting period. For purposes of this definition, to the extent the NOI attributable to Non-Controlled Properties would exceed 10% of the Unencumbered Adjusted NOI, such excess shall be excluded.</w:t>
      </w:r>
    </w:p>
    <w:p>
      <w:pPr>
        <w:spacing w:after="0" w:line="9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“Unencumbered Asset Value” </w:t>
      </w:r>
      <w:r>
        <w:rPr>
          <w:rFonts w:ascii="Arial" w:cs="Arial" w:eastAsia="Arial" w:hAnsi="Arial"/>
          <w:sz w:val="16"/>
          <w:szCs w:val="16"/>
          <w:color w:val="auto"/>
        </w:rPr>
        <w:t>means (a) the Unencumbered Adjusted NOI for the fiscal quarter most recently ending times 4 divided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Capitalization Rate, plus (b) the GAAP book value of all Properties acquired during the fiscal quarter most recently ended which Properties are not subject to any Lien other than Permitted Liens (excluding Permitted Liens of the type described in clauses (g) and (h) of the definition thereof) or subject to any Negative Pledge, plus (c) the GAAP book value of Development Property not subject to any Lien other than Permitted Liens (excluding Permitted Liens of the type described in clauses (g) and (h) of the definition thereof) or subject to any Negative Pledge, until the earlier of (i) the one year anniversary date of project completion or (ii) the second quarter after the project achieves an Occupancy Rate of 85%. For purposes of this definition, to the extent the Unencumbered Asset Value attributable to Development Properties would exceed 10% of the Unencumbered Asset Value, such excess shall be excluded.</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“Unfunded Liabilities” </w:t>
      </w:r>
      <w:r>
        <w:rPr>
          <w:rFonts w:ascii="Arial" w:cs="Arial" w:eastAsia="Arial" w:hAnsi="Arial"/>
          <w:sz w:val="18"/>
          <w:szCs w:val="18"/>
          <w:color w:val="auto"/>
        </w:rPr>
        <w:t>means, with respect to any Plan at any time, the amount (if any) by which (a) the value of all benefit liabilities under such Plan,</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139"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“Unimproved Land” </w:t>
      </w:r>
      <w:r>
        <w:rPr>
          <w:rFonts w:ascii="Arial" w:cs="Arial" w:eastAsia="Arial" w:hAnsi="Arial"/>
          <w:sz w:val="18"/>
          <w:szCs w:val="18"/>
          <w:color w:val="auto"/>
        </w:rPr>
        <w:t>consists of land on which no development (other than paving or other improvements that are not material and are temporary in</w:t>
      </w:r>
      <w:r>
        <w:rPr>
          <w:rFonts w:ascii="Arial" w:cs="Arial" w:eastAsia="Arial" w:hAnsi="Arial"/>
          <w:sz w:val="18"/>
          <w:szCs w:val="18"/>
          <w:b w:val="1"/>
          <w:bCs w:val="1"/>
          <w:color w:val="auto"/>
        </w:rPr>
        <w:t xml:space="preserve"> </w:t>
      </w:r>
      <w:r>
        <w:rPr>
          <w:rFonts w:ascii="Arial" w:cs="Arial" w:eastAsia="Arial" w:hAnsi="Arial"/>
          <w:sz w:val="18"/>
          <w:szCs w:val="18"/>
          <w:color w:val="auto"/>
        </w:rPr>
        <w:t>nature) has occurred and for which no development is planned in the 12 months following any date of determination.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“Unsecured Indebtedness” </w:t>
      </w:r>
      <w:r>
        <w:rPr>
          <w:rFonts w:ascii="Arial" w:cs="Arial" w:eastAsia="Arial" w:hAnsi="Arial"/>
          <w:sz w:val="18"/>
          <w:szCs w:val="18"/>
          <w:color w:val="auto"/>
        </w:rPr>
        <w:t>means Indebtedness which is not Secured Indebtedness.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“Unstabilized Property” </w:t>
      </w:r>
      <w:r>
        <w:rPr>
          <w:rFonts w:ascii="Arial" w:cs="Arial" w:eastAsia="Arial" w:hAnsi="Arial"/>
          <w:sz w:val="16"/>
          <w:szCs w:val="16"/>
          <w:color w:val="auto"/>
        </w:rPr>
        <w:t>means a Property (a) the improvements on which were completed within twelve months prior to any date of determination;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 which has not achieved an Occupancy Rate of 85%.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“Wachovia” </w:t>
      </w:r>
      <w:r>
        <w:rPr>
          <w:rFonts w:ascii="Arial" w:cs="Arial" w:eastAsia="Arial" w:hAnsi="Arial"/>
          <w:sz w:val="18"/>
          <w:szCs w:val="18"/>
          <w:color w:val="auto"/>
        </w:rPr>
        <w:t>means Wachovia Bank, National Association, together with its successors and permitted assigns.</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274" w:right="259" w:bottom="1440" w:gutter="0" w:footer="0" w:header="0"/>
        </w:sectPr>
      </w:pPr>
    </w:p>
    <w:bookmarkStart w:id="58" w:name="page59"/>
    <w:bookmarkEnd w:id="58"/>
    <w:p>
      <w:pPr>
        <w:jc w:val="both"/>
        <w:ind w:right="1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“Wholly Owned Property” </w:t>
      </w:r>
      <w:r>
        <w:rPr>
          <w:rFonts w:ascii="Arial" w:cs="Arial" w:eastAsia="Arial" w:hAnsi="Arial"/>
          <w:sz w:val="18"/>
          <w:szCs w:val="18"/>
          <w:color w:val="auto"/>
        </w:rPr>
        <w:t>means an Eligible Property which is wholly owned in fee simple (or leased under a Ground Lease) by only the Borrower or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that is a Wholly Owned Subsidiary.</w:t>
      </w:r>
    </w:p>
    <w:p>
      <w:pPr>
        <w:spacing w:after="0" w:line="120"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 xml:space="preserve">“Wholly Owned Subsidiary” </w:t>
      </w:r>
      <w:r>
        <w:rPr>
          <w:rFonts w:ascii="Arial" w:cs="Arial" w:eastAsia="Arial" w:hAnsi="Arial"/>
          <w:sz w:val="18"/>
          <w:szCs w:val="18"/>
          <w:color w:val="auto"/>
        </w:rPr>
        <w:t>means any Subsidiary of a Person in respect of which all of the equity securities or other ownership interests (other than,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References to Times.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Unless otherwise indicated, all accounting terms, ratios and measurements shall be interpreted or determined in accordance with GAAP; provided that, if at any time any change in GAAP would affect the computation of any financial ratio or requirement set forth in any Loan Document, and either the Borrower or the Requisite Lenders shall so request, the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Agent financial statements and other documents required under this Agreement or as reasonably requested hereunder setting forth a reconciliation between calculations of such ratio or requirement made before and after giving effect to such change in GAAP.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as of the date of this Agreement and from time to time thereafter to the extent not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direct or indirect Subsidiary of the Borrower and a reference to an “Affiliate” means a reference to an Affiliate of the Borrower. Titles and captions of Articles, Sections, subsections and clauses in this Agreement are for convenience only and neither limit nor amplify the provisions of this Agreement. Unless otherwise indicated, all references to time are references to Charlotte, North Carolina, time.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Financial Attributes of Non-Wholly Owned Subsidiaries.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When determining the Borrower’s compliance with any financial covenant contained in any of the Loan Documents, only the Borrower’s pro rata share of the financial attributes of a Subsidiary that is not a Wholly Owned Subsidiary shall be included.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274"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Revolving Loans.</w:t>
      </w:r>
    </w:p>
    <w:p>
      <w:pPr>
        <w:spacing w:after="0" w:line="96" w:lineRule="exact"/>
        <w:rPr>
          <w:sz w:val="20"/>
          <w:szCs w:val="20"/>
          <w:color w:val="auto"/>
        </w:rPr>
      </w:pPr>
    </w:p>
    <w:p>
      <w:pPr>
        <w:ind w:right="60" w:firstLine="464"/>
        <w:spacing w:after="0" w:line="298"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Subject to the terms and conditions hereof, during the period from the Effective Date to but excluding the Termination Date, each Lender severally and not jointly agrees to make Revolving Loans to the Borrower in an aggregate principal amount at any one time outstanding up to, but not exceeding, the amount of such Lender’s Commitment. Subject to the terms and conditions of this Agreement, during the period from the Effective Date to but excluding the Termination Date, the Borrower may borrow, repay and reborrow Revolving Loans hereunder.</w:t>
      </w:r>
    </w:p>
    <w:p>
      <w:pPr>
        <w:spacing w:after="0" w:line="112" w:lineRule="exact"/>
        <w:rPr>
          <w:rFonts w:ascii="Arial" w:cs="Arial" w:eastAsia="Arial" w:hAnsi="Arial"/>
          <w:sz w:val="16"/>
          <w:szCs w:val="16"/>
          <w:color w:val="auto"/>
        </w:rPr>
      </w:pPr>
    </w:p>
    <w:p>
      <w:pPr>
        <w:ind w:firstLine="464"/>
        <w:spacing w:after="0" w:line="290" w:lineRule="auto"/>
        <w:tabs>
          <w:tab w:leader="none" w:pos="70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Requesting Revolving Loans</w:t>
      </w:r>
      <w:r>
        <w:rPr>
          <w:rFonts w:ascii="Arial" w:cs="Arial" w:eastAsia="Arial" w:hAnsi="Arial"/>
          <w:sz w:val="16"/>
          <w:szCs w:val="16"/>
          <w:color w:val="auto"/>
        </w:rPr>
        <w:t>. The Borrower shall give the Agent notice pursuant to a Notice of Borrowing or telephonic notice of each borrowing of Revolving Loans. Each Notice of Borrowing shall be delivered to the Agent before 11:00 a.m. (i) in the case of LIBOR Loans, on the date three Business Days prior to the proposed date of such borrowing and (ii) in the case of Base Rate Loans, on the proposed date of such borrowing. Any such telephonic notice shall include all information to be specified in a written Notice of Borrowing and shall be promptly confirmed in writing by the Borrower pursuant to a Notice of Borrowing sent to the Agent by telecopy on the same day of the giving of such telephonic notice. The Agent will transmit by telecopy the Notice of Borrowing (or the information contained in such Notice of Borrowing) to each Lender promptly upon receipt by the Agent. Each Notice of Borrowing or telephonic notice of each borrowing shall be irrevocable once given and binding on the Borrower.</w:t>
      </w:r>
    </w:p>
    <w:p>
      <w:pPr>
        <w:spacing w:after="0" w:line="118" w:lineRule="exact"/>
        <w:rPr>
          <w:rFonts w:ascii="Arial" w:cs="Arial" w:eastAsia="Arial" w:hAnsi="Arial"/>
          <w:sz w:val="16"/>
          <w:szCs w:val="16"/>
          <w:color w:val="auto"/>
        </w:rPr>
      </w:pPr>
    </w:p>
    <w:p>
      <w:pPr>
        <w:ind w:firstLine="464"/>
        <w:spacing w:after="0" w:line="287"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Disbursements of Revolving Loan Proceeds</w:t>
      </w:r>
      <w:r>
        <w:rPr>
          <w:rFonts w:ascii="Arial" w:cs="Arial" w:eastAsia="Arial" w:hAnsi="Arial"/>
          <w:sz w:val="16"/>
          <w:szCs w:val="16"/>
          <w:color w:val="auto"/>
        </w:rPr>
        <w:t>. No later than 1:00 p.m. in the case of LIBOR Loans or 2:00 p.m. in the case of Base Rate Loans on the date specified in the Notice of Borrowing, each Lender will make available for the account of its applicable Lending Office to the Agent at the Principal Office, in immediately available funds, the proceeds of the Revolving Loan to be made by such Lender. With respect to Revolving Loans to be made after the Effective Date, unless the Agent shall have been notified by any Lender prior to the specified date of borrowing that such Lender does not intend to make available to the Agent the Revolving Loan to be made by such Lender on such date, the Agent may assume that such Lender will make the proceeds of such Revolving Loan available to the Agent on the date of the requested borrowing as set forth in the Notice of Borrowing and the Agent may (but shall not be obligated to), in reliance upon such assumption, make available to the Borrower the amount of such Revolving Loan to be provided by such Lender. Subject to satisfaction of the applicable conditions set forth in Article V. for such borrowing, the Agent will make the proceeds of such borrowing available to the Borrower no later than 2:00 p.m. in the case of LIBOR Loans or 3:00 p.m. in the case of Base Rate Loans on the date and at the account specified by the Borrower in such Notice of Borrowing.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Bid Rate Loans.</w:t>
      </w:r>
    </w:p>
    <w:p>
      <w:pPr>
        <w:spacing w:after="0" w:line="96" w:lineRule="exact"/>
        <w:rPr>
          <w:sz w:val="20"/>
          <w:szCs w:val="20"/>
          <w:color w:val="auto"/>
        </w:rPr>
      </w:pPr>
    </w:p>
    <w:p>
      <w:pPr>
        <w:ind w:right="20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Bid Rate Loans</w:t>
      </w:r>
      <w:r>
        <w:rPr>
          <w:rFonts w:ascii="Arial" w:cs="Arial" w:eastAsia="Arial" w:hAnsi="Arial"/>
          <w:sz w:val="18"/>
          <w:szCs w:val="18"/>
          <w:color w:val="auto"/>
        </w:rPr>
        <w:t>. So long as the Borrower maintains an Investment Grade Rating, in addition to borrowings of Revolving Loans, at any time and from time to time during the period from the Effective Date to but excluding the Termination Date, the Borrower may, as set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00"/>
          </w:cols>
          <w:pgMar w:left="240" w:top="274" w:right="259" w:bottom="1440" w:gutter="0" w:footer="0" w:header="0"/>
        </w:sectPr>
      </w:pPr>
    </w:p>
    <w:bookmarkStart w:id="60" w:name="page61"/>
    <w:bookmarkEnd w:id="60"/>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forth in this Section, request the Lenders to make offers to make Bid Rate Loans to the Borrower in Dollars. The Lenders may, but shall have no obligation to, make such offers and the Borrower may, but shall have no obligation to, accept any such offers in the manner set forth in this Section.</w:t>
      </w:r>
    </w:p>
    <w:p>
      <w:pPr>
        <w:spacing w:after="0" w:line="85" w:lineRule="exact"/>
        <w:rPr>
          <w:sz w:val="20"/>
          <w:szCs w:val="20"/>
          <w:color w:val="auto"/>
        </w:rPr>
      </w:pPr>
    </w:p>
    <w:p>
      <w:pPr>
        <w:ind w:right="20" w:firstLine="464"/>
        <w:spacing w:after="0" w:line="290"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R</w:t>
      </w:r>
      <w:r>
        <w:rPr>
          <w:rFonts w:ascii="Arial" w:cs="Arial" w:eastAsia="Arial" w:hAnsi="Arial"/>
          <w:sz w:val="16"/>
          <w:szCs w:val="16"/>
          <w:u w:val="single" w:color="auto"/>
          <w:color w:val="auto"/>
        </w:rPr>
        <w:t>equests for Bid Rate Loans</w:t>
      </w:r>
      <w:r>
        <w:rPr>
          <w:rFonts w:ascii="Arial" w:cs="Arial" w:eastAsia="Arial" w:hAnsi="Arial"/>
          <w:sz w:val="16"/>
          <w:szCs w:val="16"/>
          <w:color w:val="auto"/>
        </w:rPr>
        <w:t xml:space="preserve">. When the Borrower wishes to request from the Lenders offers to make Bid Rate Loans, it shall give the Agent notice (a </w:t>
      </w:r>
      <w:r>
        <w:rPr>
          <w:rFonts w:ascii="Arial" w:cs="Arial" w:eastAsia="Arial" w:hAnsi="Arial"/>
          <w:sz w:val="16"/>
          <w:szCs w:val="16"/>
          <w:b w:val="1"/>
          <w:bCs w:val="1"/>
          <w:color w:val="auto"/>
        </w:rPr>
        <w:t>“Bid Rate Quote Request”</w:t>
      </w:r>
      <w:r>
        <w:rPr>
          <w:rFonts w:ascii="Arial" w:cs="Arial" w:eastAsia="Arial" w:hAnsi="Arial"/>
          <w:sz w:val="16"/>
          <w:szCs w:val="16"/>
          <w:color w:val="auto"/>
        </w:rPr>
        <w:t>) so as to be received no later than 10:00 a.m. on (x) the Business Day immediately preceding the date of borrowing proposed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case of an Absolute Rate Auction and (y) the date four Business Days prior to the proposed date of borrowing, in the case of a LIBOR Auction. The Agent shall deliver to each Lender a copy of each Bid Rate Quote Request promptly upon receipt thereof by the Agent. The Borrower may request offers to make Bid Rate Loans for up to 4 different Interest Periods in each Bid Rate Quote Request; provided that the request for each separate Interest Period shall be deemed to be a separate Bid Rate Quote Request for a separate borrowing (a </w:t>
      </w:r>
      <w:r>
        <w:rPr>
          <w:rFonts w:ascii="Arial" w:cs="Arial" w:eastAsia="Arial" w:hAnsi="Arial"/>
          <w:sz w:val="16"/>
          <w:szCs w:val="16"/>
          <w:b w:val="1"/>
          <w:bCs w:val="1"/>
          <w:color w:val="auto"/>
        </w:rPr>
        <w:t>“Bid Rate Borrowing”</w:t>
      </w:r>
      <w:r>
        <w:rPr>
          <w:rFonts w:ascii="Arial" w:cs="Arial" w:eastAsia="Arial" w:hAnsi="Arial"/>
          <w:sz w:val="16"/>
          <w:szCs w:val="16"/>
          <w:color w:val="auto"/>
        </w:rPr>
        <w:t>). Each Bid Rate Quote Request shall be substantially in the form of Exhibit H and shall specify as to each Bid Rate Borrowing:</w:t>
      </w:r>
    </w:p>
    <w:p>
      <w:pPr>
        <w:spacing w:after="0" w:line="37" w:lineRule="exact"/>
        <w:rPr>
          <w:rFonts w:ascii="Arial" w:cs="Arial" w:eastAsia="Arial" w:hAnsi="Arial"/>
          <w:sz w:val="16"/>
          <w:szCs w:val="16"/>
          <w:color w:val="auto"/>
        </w:rPr>
      </w:pPr>
    </w:p>
    <w:p>
      <w:pPr>
        <w:ind w:left="1120" w:hanging="217"/>
        <w:spacing w:after="0"/>
        <w:tabs>
          <w:tab w:leader="none" w:pos="1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proposed date of such Bid Rate Borrowing, which shall be a Business Day;</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aggregate amount of such Bid Rate Borrowing requested, which (x) shall be in the minimum amount of $5,000,000 and integral multiples of $1,000,000 and (y) shall not itself cause any of the limits specified in Section 2.15. to be violated if it were accepted;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whether the Bid Rate Quote Request is for LIBOR Margin Loans or Absolute Rate Loans;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duration of the Interest Period applicable thereto, which shall not extend beyond the Termination Date.</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Except as otherwise provided in this subsection (b), no Bid Rate Quote Request shall be given within five Business Days (or such other number of days as the Borrower and the Agent, with the consent of the Requisite Lenders, may agree) of the giving of any other Bid Rate Quote Request.</w:t>
      </w:r>
    </w:p>
    <w:p>
      <w:pPr>
        <w:spacing w:after="0" w:line="85" w:lineRule="exact"/>
        <w:rPr>
          <w:sz w:val="20"/>
          <w:szCs w:val="20"/>
          <w:color w:val="auto"/>
        </w:rPr>
      </w:pPr>
    </w:p>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Bid Rate Quotes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54" w:lineRule="auto"/>
        <w:tabs>
          <w:tab w:leader="none" w:pos="11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Lender may submit one or more Bid Rate Quotes, each containing an offer to make a Bid Rate Loan in response to any Bid Rate Quote Request; provided that, if the Borrower’s request under Section 2.2.(b) specified more than one Interest Period, such Lender may make a single submission containing one or more Bid Rate Quotes for each such Interest Period. Each Bid Rate Quote must be submitted to the Agent not later than 10:00 a.m. (x) on the proposed date of borrowing, in the case of an Absolute Rate Auction and (y) on the date three Business Days prior to the proposed date of borrowing, in the case of a LIBOR Auction; provided that the Lender then acting as Agent may submit a Bid Rate Quote only if it notifies the Borrower of the terms of the offer</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20"/>
          </w:cols>
          <w:pgMar w:left="240" w:top="280" w:right="239" w:bottom="1440" w:gutter="0" w:footer="0" w:header="0"/>
        </w:sectPr>
      </w:pPr>
    </w:p>
    <w:bookmarkStart w:id="61" w:name="page62"/>
    <w:bookmarkEnd w:id="61"/>
    <w:p>
      <w:pPr>
        <w:ind w:left="45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contained therein not later than 9:00 a.m. (x) on the proposed date of such borrowing, in the case of an Absolute Rate Auction and (y) on the date three Business Days prior to the proposed date of borrowing, in the case of a LIBOR Auction. Subject to Articles V. and X., any Bid Rate Quote so made shall be irrevocable except with the consent of the Agent given at the request of the Borrower. Any Bid Rate Loan may be funded by a Lender’s Designated Lender (if any) as provided in Section 12.5.(e); however, such Lender shall not be required to specify in its Bid Rate Quote whether such Bid Rate Loan will be funded by such Designated Lender.</w:t>
      </w:r>
    </w:p>
    <w:p>
      <w:pPr>
        <w:spacing w:after="0" w:line="62" w:lineRule="exact"/>
        <w:rPr>
          <w:sz w:val="20"/>
          <w:szCs w:val="20"/>
          <w:color w:val="auto"/>
        </w:rPr>
      </w:pPr>
    </w:p>
    <w:p>
      <w:pPr>
        <w:ind w:left="1152" w:hanging="257"/>
        <w:spacing w:after="0"/>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Bid Rate Quote shall be substantially in the form of Exhibit I and shall specify:</w:t>
      </w:r>
    </w:p>
    <w:p>
      <w:pPr>
        <w:spacing w:after="0" w:line="90" w:lineRule="exact"/>
        <w:rPr>
          <w:rFonts w:ascii="Arial" w:cs="Arial" w:eastAsia="Arial" w:hAnsi="Arial"/>
          <w:sz w:val="18"/>
          <w:szCs w:val="18"/>
          <w:color w:val="auto"/>
        </w:rPr>
      </w:pPr>
    </w:p>
    <w:p>
      <w:pPr>
        <w:ind w:left="1612" w:hanging="279"/>
        <w:spacing w:after="0"/>
        <w:tabs>
          <w:tab w:leader="none" w:pos="161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proposed date of borrowing and the Interest Period therefor;</w:t>
      </w:r>
    </w:p>
    <w:p>
      <w:pPr>
        <w:spacing w:after="0" w:line="90" w:lineRule="exact"/>
        <w:rPr>
          <w:rFonts w:ascii="Arial" w:cs="Arial" w:eastAsia="Arial" w:hAnsi="Arial"/>
          <w:sz w:val="18"/>
          <w:szCs w:val="18"/>
          <w:color w:val="auto"/>
        </w:rPr>
      </w:pPr>
    </w:p>
    <w:p>
      <w:pPr>
        <w:jc w:val="both"/>
        <w:ind w:left="912" w:right="20" w:firstLine="421"/>
        <w:spacing w:after="0" w:line="306" w:lineRule="auto"/>
        <w:tabs>
          <w:tab w:leader="none" w:pos="161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principal amount of the Bid Rate Loan for which each such offer is being made; provided that the aggregate principal amount of all Bid Rate Loans for which a Lender submits Bid Rate Quotes (x) may be greater or less than the Commitment of such Lender but (y) shall not exceed the principal amount of the Bid Rate Borrowing for a particular Interest Period for which offers were requested;</w:t>
      </w:r>
    </w:p>
    <w:p>
      <w:pPr>
        <w:spacing w:after="0" w:line="25" w:lineRule="exact"/>
        <w:rPr>
          <w:rFonts w:ascii="Arial" w:cs="Arial" w:eastAsia="Arial" w:hAnsi="Arial"/>
          <w:sz w:val="16"/>
          <w:szCs w:val="16"/>
          <w:color w:val="auto"/>
        </w:rPr>
      </w:pPr>
    </w:p>
    <w:p>
      <w:pPr>
        <w:ind w:left="912" w:right="500" w:firstLine="421"/>
        <w:spacing w:after="0" w:line="268" w:lineRule="auto"/>
        <w:tabs>
          <w:tab w:leader="none" w:pos="16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in the case of an Absolute Rate Auction, the rate of interest per annum (rounded upwards, if necessary, to the nearest 1/100th of 1%) offered for each such Bid Rate Loan (the </w:t>
      </w:r>
      <w:r>
        <w:rPr>
          <w:rFonts w:ascii="Arial" w:cs="Arial" w:eastAsia="Arial" w:hAnsi="Arial"/>
          <w:sz w:val="18"/>
          <w:szCs w:val="18"/>
          <w:b w:val="1"/>
          <w:bCs w:val="1"/>
          <w:color w:val="auto"/>
        </w:rPr>
        <w:t>“Absolute Rate”</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912" w:right="380" w:firstLine="421"/>
        <w:spacing w:after="0" w:line="262" w:lineRule="auto"/>
        <w:tabs>
          <w:tab w:leader="none" w:pos="1619"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in the case of a LIBOR Auction, the margin above or below applicable LIBOR (the </w:t>
      </w:r>
      <w:r>
        <w:rPr>
          <w:rFonts w:ascii="Arial" w:cs="Arial" w:eastAsia="Arial" w:hAnsi="Arial"/>
          <w:sz w:val="18"/>
          <w:szCs w:val="18"/>
          <w:b w:val="1"/>
          <w:bCs w:val="1"/>
          <w:color w:val="auto"/>
        </w:rPr>
        <w:t>“LIBOR Margin”</w:t>
      </w:r>
      <w:r>
        <w:rPr>
          <w:rFonts w:ascii="Arial" w:cs="Arial" w:eastAsia="Arial" w:hAnsi="Arial"/>
          <w:sz w:val="18"/>
          <w:szCs w:val="18"/>
          <w:color w:val="auto"/>
        </w:rPr>
        <w:t>) offered for each such LIBOR Margin Loan, expressed as a percentage (rounded upwards, if necessary, to the nearest 1/100th of 1%) to be added to (or subtracted from) the applicable LIBOR; and</w:t>
      </w:r>
    </w:p>
    <w:p>
      <w:pPr>
        <w:spacing w:after="0" w:line="57" w:lineRule="exact"/>
        <w:rPr>
          <w:rFonts w:ascii="Arial" w:cs="Arial" w:eastAsia="Arial" w:hAnsi="Arial"/>
          <w:sz w:val="18"/>
          <w:szCs w:val="18"/>
          <w:color w:val="auto"/>
        </w:rPr>
      </w:pPr>
    </w:p>
    <w:p>
      <w:pPr>
        <w:ind w:left="1592" w:hanging="259"/>
        <w:spacing w:after="0"/>
        <w:tabs>
          <w:tab w:leader="none" w:pos="15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identity of the quoting Lender.</w:t>
      </w:r>
    </w:p>
    <w:p>
      <w:pPr>
        <w:spacing w:after="0" w:line="90" w:lineRule="exact"/>
        <w:rPr>
          <w:sz w:val="20"/>
          <w:szCs w:val="20"/>
          <w:color w:val="auto"/>
        </w:rPr>
      </w:pPr>
    </w:p>
    <w:p>
      <w:pPr>
        <w:jc w:val="both"/>
        <w:ind w:left="452"/>
        <w:spacing w:after="0" w:line="306" w:lineRule="auto"/>
        <w:rPr>
          <w:sz w:val="20"/>
          <w:szCs w:val="20"/>
          <w:color w:val="auto"/>
        </w:rPr>
      </w:pPr>
      <w:r>
        <w:rPr>
          <w:rFonts w:ascii="Arial" w:cs="Arial" w:eastAsia="Arial" w:hAnsi="Arial"/>
          <w:sz w:val="16"/>
          <w:szCs w:val="16"/>
          <w:color w:val="auto"/>
        </w:rPr>
        <w:t>Unless otherwise agreed by the Agent and the Borrower, no Bid Rate Quote shall contain qualifying, conditional or similar language or propose terms other than or in addition to those set forth in the applicable Bid Rate Quote Request and, in particular, no Bid Rate Quote may be conditioned upon acceptance by the Borrower of all (or some specified minimum) of the principal amount of the Bid Rate Loan for which such Bid Rate Quote is being made.</w:t>
      </w:r>
    </w:p>
    <w:p>
      <w:pPr>
        <w:spacing w:after="0" w:line="107" w:lineRule="exact"/>
        <w:rPr>
          <w:sz w:val="20"/>
          <w:szCs w:val="20"/>
          <w:color w:val="auto"/>
        </w:rPr>
      </w:pPr>
    </w:p>
    <w:p>
      <w:pPr>
        <w:ind w:left="712" w:hanging="256"/>
        <w:spacing w:after="0"/>
        <w:tabs>
          <w:tab w:leader="none" w:pos="712"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Notification by Agent</w:t>
      </w:r>
      <w:r>
        <w:rPr>
          <w:rFonts w:ascii="Arial" w:cs="Arial" w:eastAsia="Arial" w:hAnsi="Arial"/>
          <w:sz w:val="16"/>
          <w:szCs w:val="16"/>
          <w:color w:val="auto"/>
        </w:rPr>
        <w:t>. The Agent shall, as promptly as practicable after the Bid Rate Quotes are submitted (but in any event not later than 10:30 a.m.</w:t>
      </w:r>
    </w:p>
    <w:p>
      <w:pPr>
        <w:spacing w:after="0" w:line="38" w:lineRule="exact"/>
        <w:rPr>
          <w:rFonts w:ascii="Arial" w:cs="Arial" w:eastAsia="Arial" w:hAnsi="Arial"/>
          <w:sz w:val="16"/>
          <w:szCs w:val="16"/>
          <w:color w:val="auto"/>
        </w:rPr>
      </w:pPr>
    </w:p>
    <w:p>
      <w:pPr>
        <w:ind w:left="-8" w:right="100" w:firstLine="8"/>
        <w:spacing w:after="0" w:line="281" w:lineRule="auto"/>
        <w:tabs>
          <w:tab w:leader="none" w:pos="241"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the proposed date of borrowing, in the case of an Absolute Rate Auction or (y) on the date three Business Days prior to the proposed date of borrowing, in the case of a LIBOR Auction), notify the Borrower of the terms (i) of any Bid Rate Quote submitted by a Lender that is in accordance with Section 2.2.(c) and</w:t>
      </w:r>
    </w:p>
    <w:p>
      <w:pPr>
        <w:spacing w:after="0" w:line="1" w:lineRule="exact"/>
        <w:rPr>
          <w:rFonts w:ascii="Arial" w:cs="Arial" w:eastAsia="Arial" w:hAnsi="Arial"/>
          <w:sz w:val="16"/>
          <w:szCs w:val="16"/>
          <w:color w:val="auto"/>
        </w:rPr>
      </w:pPr>
    </w:p>
    <w:p>
      <w:pPr>
        <w:ind w:left="-8" w:right="160" w:firstLine="8"/>
        <w:spacing w:after="0" w:line="261" w:lineRule="auto"/>
        <w:tabs>
          <w:tab w:leader="none" w:pos="2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 any Bid Rate Quote that amends, modifies or is otherwise inconsistent with a previous Bid Rate Quote submitted by such Lender with respect to the same Bid Rate Quote Request.</w:t>
      </w:r>
    </w:p>
    <w:p>
      <w:pPr>
        <w:spacing w:after="0" w:line="124" w:lineRule="exact"/>
        <w:rPr>
          <w:rFonts w:ascii="Arial" w:cs="Arial" w:eastAsia="Arial" w:hAnsi="Arial"/>
          <w:sz w:val="18"/>
          <w:szCs w:val="18"/>
          <w:color w:val="auto"/>
        </w:rPr>
      </w:pPr>
    </w:p>
    <w:p>
      <w:pPr>
        <w:ind w:left="5612" w:hanging="96"/>
        <w:spacing w:after="0"/>
        <w:tabs>
          <w:tab w:leader="none" w:pos="5612" w:val="left"/>
        </w:tabs>
        <w:numPr>
          <w:ilvl w:val="2"/>
          <w:numId w:val="33"/>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12"/>
          </w:cols>
          <w:pgMar w:left="248" w:top="280" w:right="239" w:bottom="1440" w:gutter="0" w:footer="0" w:header="0"/>
        </w:sectPr>
      </w:pPr>
    </w:p>
    <w:bookmarkStart w:id="62" w:name="page63"/>
    <w:bookmarkEnd w:id="62"/>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subsequent Bid Rate Quote shall be disregarded by the Agent unless such subsequent Bid Rate Quote is submitted solely to correct a manifest error in such former Bid Rate Quote. The Agent’s notice to the Borrower shall specify (A) the aggregate principal amount of the Bid Rate Borrowing for which offers have been received and (B) the principal amounts and Absolute Rates or LIBOR Margins, as applicable, so offered by each Lender (identifying the Lender that made each Bid Rate Quote).</w:t>
      </w:r>
    </w:p>
    <w:p>
      <w:pPr>
        <w:spacing w:after="0" w:line="143" w:lineRule="exact"/>
        <w:rPr>
          <w:sz w:val="20"/>
          <w:szCs w:val="20"/>
          <w:color w:val="auto"/>
        </w:rPr>
      </w:pPr>
    </w:p>
    <w:p>
      <w:pPr>
        <w:ind w:left="700" w:hanging="23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Acceptance by Borrower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318" w:lineRule="auto"/>
        <w:tabs>
          <w:tab w:leader="none" w:pos="1108" w:val="left"/>
        </w:tabs>
        <w:numPr>
          <w:ilvl w:val="1"/>
          <w:numId w:val="34"/>
        </w:numPr>
        <w:rPr>
          <w:rFonts w:ascii="Arial" w:cs="Arial" w:eastAsia="Arial" w:hAnsi="Arial"/>
          <w:sz w:val="15"/>
          <w:szCs w:val="15"/>
          <w:color w:val="auto"/>
        </w:rPr>
      </w:pPr>
      <w:r>
        <w:rPr>
          <w:rFonts w:ascii="Arial" w:cs="Arial" w:eastAsia="Arial" w:hAnsi="Arial"/>
          <w:sz w:val="15"/>
          <w:szCs w:val="15"/>
          <w:color w:val="auto"/>
        </w:rPr>
        <w:t>Not later than 11:00 a.m. (x) on the proposed date of borrowing, in the case of an Absolute Rate Auction and (y) on the date three Business Days prior to the proposed date of borrowing, in the case of a LIBOR Auction, the Borrower shall notify the Agent of its acceptance or nonacceptance of the offers so notified to it pursuant to Section 2.2.(d) which notice shall be in the form of Exhibit J. In the case of acceptance, such notice shall specify the aggregate principal amount of offers for each Interest Period that are accepted. The failure of the Borrower to give such notice by such time shall constitute nonacceptance. The Agent shall promptly notify each affected Lender. The Borrower may accept any Bid Rate Quote in whole or in part; provided that:</w:t>
      </w:r>
    </w:p>
    <w:p>
      <w:pPr>
        <w:spacing w:after="0" w:line="18" w:lineRule="exact"/>
        <w:rPr>
          <w:rFonts w:ascii="Arial" w:cs="Arial" w:eastAsia="Arial" w:hAnsi="Arial"/>
          <w:sz w:val="15"/>
          <w:szCs w:val="15"/>
          <w:color w:val="auto"/>
        </w:rPr>
      </w:pPr>
    </w:p>
    <w:p>
      <w:pPr>
        <w:ind w:left="1620" w:hanging="279"/>
        <w:spacing w:after="0"/>
        <w:tabs>
          <w:tab w:leader="none" w:pos="1620" w:val="left"/>
        </w:tabs>
        <w:numPr>
          <w:ilvl w:val="2"/>
          <w:numId w:val="34"/>
        </w:numPr>
        <w:rPr>
          <w:rFonts w:ascii="Arial" w:cs="Arial" w:eastAsia="Arial" w:hAnsi="Arial"/>
          <w:sz w:val="16"/>
          <w:szCs w:val="16"/>
          <w:color w:val="auto"/>
        </w:rPr>
      </w:pPr>
      <w:r>
        <w:rPr>
          <w:rFonts w:ascii="Arial" w:cs="Arial" w:eastAsia="Arial" w:hAnsi="Arial"/>
          <w:sz w:val="16"/>
          <w:szCs w:val="16"/>
          <w:color w:val="auto"/>
        </w:rPr>
        <w:t>the aggregate principal amount of each Bid Rate Borrowing may not exceed the applicable amount set forth in the related Bid Rate Quote</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83" w:lineRule="exact"/>
        <w:rPr>
          <w:rFonts w:ascii="Arial" w:cs="Arial" w:eastAsia="Arial" w:hAnsi="Arial"/>
          <w:sz w:val="16"/>
          <w:szCs w:val="16"/>
          <w:color w:val="auto"/>
        </w:rPr>
      </w:pPr>
    </w:p>
    <w:p>
      <w:pPr>
        <w:ind w:left="920" w:right="60" w:firstLine="421"/>
        <w:spacing w:after="0" w:line="268" w:lineRule="auto"/>
        <w:tabs>
          <w:tab w:leader="none" w:pos="1618"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aggregate principal amount of each Bid Rate Borrowing shall comply with the provisions of Section 3.5., and with all other Bid Loans accepted in such auction, shall not cause the limits specified in Section 2.15. to be violated;</w:t>
      </w:r>
    </w:p>
    <w:p>
      <w:pPr>
        <w:spacing w:after="0" w:line="50" w:lineRule="exact"/>
        <w:rPr>
          <w:rFonts w:ascii="Arial" w:cs="Arial" w:eastAsia="Arial" w:hAnsi="Arial"/>
          <w:sz w:val="18"/>
          <w:szCs w:val="18"/>
          <w:color w:val="auto"/>
        </w:rPr>
      </w:pPr>
    </w:p>
    <w:p>
      <w:pPr>
        <w:ind w:left="920" w:right="300" w:firstLine="421"/>
        <w:spacing w:after="0" w:line="268" w:lineRule="auto"/>
        <w:tabs>
          <w:tab w:leader="none" w:pos="1618" w:val="left"/>
        </w:tabs>
        <w:numPr>
          <w:ilvl w:val="2"/>
          <w:numId w:val="34"/>
        </w:numPr>
        <w:rPr>
          <w:rFonts w:ascii="Arial" w:cs="Arial" w:eastAsia="Arial" w:hAnsi="Arial"/>
          <w:sz w:val="18"/>
          <w:szCs w:val="18"/>
          <w:color w:val="auto"/>
        </w:rPr>
      </w:pPr>
      <w:r>
        <w:rPr>
          <w:rFonts w:ascii="Arial" w:cs="Arial" w:eastAsia="Arial" w:hAnsi="Arial"/>
          <w:sz w:val="18"/>
          <w:szCs w:val="18"/>
          <w:color w:val="auto"/>
        </w:rPr>
        <w:t>acceptance of offers may be made only in ascending order of Absolute Rates or LIBOR Margins, as applicable, in each case beginning with the lowest rate so offered;</w:t>
      </w:r>
    </w:p>
    <w:p>
      <w:pPr>
        <w:spacing w:after="0" w:line="50" w:lineRule="exact"/>
        <w:rPr>
          <w:rFonts w:ascii="Arial" w:cs="Arial" w:eastAsia="Arial" w:hAnsi="Arial"/>
          <w:sz w:val="18"/>
          <w:szCs w:val="18"/>
          <w:color w:val="auto"/>
        </w:rPr>
      </w:pPr>
    </w:p>
    <w:p>
      <w:pPr>
        <w:ind w:left="920" w:right="820" w:firstLine="421"/>
        <w:spacing w:after="0" w:line="268" w:lineRule="auto"/>
        <w:tabs>
          <w:tab w:leader="none" w:pos="1627"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Borrower may not accept any Bid Rate Quote that fails to comply with Section 2.2.(c) or otherwise fails to comply with the requirements of this Agreement; and</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acceptance in part shall be in a minimum amount of $1,000,000 and integral multiples of $500,000 in excess thereof.</w:t>
      </w:r>
    </w:p>
    <w:p>
      <w:pPr>
        <w:spacing w:after="0" w:line="171" w:lineRule="exact"/>
        <w:rPr>
          <w:rFonts w:ascii="Arial" w:cs="Arial" w:eastAsia="Arial" w:hAnsi="Arial"/>
          <w:sz w:val="18"/>
          <w:szCs w:val="18"/>
          <w:color w:val="auto"/>
        </w:rPr>
      </w:pPr>
    </w:p>
    <w:p>
      <w:pPr>
        <w:ind w:left="460" w:right="200" w:firstLine="443"/>
        <w:spacing w:after="0" w:line="298" w:lineRule="auto"/>
        <w:tabs>
          <w:tab w:leader="none" w:pos="1157"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offers are made by two or more Lenders with the same Absolute Rates or LIBOR Margins, as applicable, for a greater aggregate principal amount than the amount in respect of which offers are permitted to be accepted for the related Interest Period, the principal amount of Bid Rate Loans in respect of which such offers are accepted shall be allocated by the Agent among such Lenders in proportion to the aggregate principal amount of such offers. Determinations by the Agent of the amounts of Bid Rate Loans shall be conclusive in the absence of manifest error.</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3"/>
          <w:numId w:val="34"/>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380"/>
          </w:cols>
          <w:pgMar w:left="240" w:top="280" w:right="279" w:bottom="1440" w:gutter="0" w:footer="0" w:header="0"/>
        </w:sectPr>
      </w:pPr>
    </w:p>
    <w:bookmarkStart w:id="63" w:name="page64"/>
    <w:bookmarkEnd w:id="63"/>
    <w:p>
      <w:pPr>
        <w:ind w:right="80" w:firstLine="464"/>
        <w:spacing w:after="0" w:line="287" w:lineRule="auto"/>
        <w:tabs>
          <w:tab w:leader="none" w:pos="67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 to Make Bid Rate Loans</w:t>
      </w:r>
      <w:r>
        <w:rPr>
          <w:rFonts w:ascii="Arial" w:cs="Arial" w:eastAsia="Arial" w:hAnsi="Arial"/>
          <w:sz w:val="16"/>
          <w:szCs w:val="16"/>
          <w:color w:val="auto"/>
        </w:rPr>
        <w:t>. The Agent shall promptly (and in any event not later than 12:00 noon (x) on the proposed date of borrowing of Absolute Rate Loans and (y) on the date three Business Days prior to the proposed date of borrowing of LIBOR Margin Loans) notify each Lender whose Bid Rate Quote has been accepted and the amount and rate thereof. A Lender who is notified that it has been selected to make a Bid Rate Loan may designate its Designated Lender (if any) to fund such Bid Rate Loan on its behalf, as described in Section 12.5.(e). Any Designated Lender which funds a Bid Rate Loan shall on and after the time of such funding become the obligee under such Bid Rate Loan and be entitled to receive payment thereof when due. No Lender shall be relieved of its obligation to fund a Bid Rate Loan, and no Designated Lender shall assume such obligation, prior to the time the applicable Bid Rate Loan is funded. Any Lender whose offer to make any Bid Rate Loan has been accepted shall, not later than 1:30 p.m. on the date specified for the making of such Loan, make the amount of such Loan available to the Agent at its Principal Office in immediately available funds, for the account of the Borrower. The amount so received by the Agent shall, subject to the terms and conditions of this Agreement, be made available to the Borrower no later than 2:00 p.m. on such date by depositing the same, in immediately available funds, in an account of the Borrower designated by the Borrower.</w:t>
      </w:r>
    </w:p>
    <w:p>
      <w:pPr>
        <w:spacing w:after="0" w:line="122" w:lineRule="exact"/>
        <w:rPr>
          <w:rFonts w:ascii="Arial" w:cs="Arial" w:eastAsia="Arial" w:hAnsi="Arial"/>
          <w:sz w:val="16"/>
          <w:szCs w:val="16"/>
          <w:color w:val="auto"/>
        </w:rPr>
      </w:pPr>
    </w:p>
    <w:p>
      <w:pPr>
        <w:ind w:firstLine="464"/>
        <w:spacing w:after="0" w:line="268"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 Effect on Commitment</w:t>
      </w:r>
      <w:r>
        <w:rPr>
          <w:rFonts w:ascii="Arial" w:cs="Arial" w:eastAsia="Arial" w:hAnsi="Arial"/>
          <w:sz w:val="18"/>
          <w:szCs w:val="18"/>
          <w:color w:val="auto"/>
        </w:rPr>
        <w:t>. Except for the purpose and to the extent expressly stated in Sections 2.12. and 2.15., the amount of any Bid Rate Loan made by any Lender shall not constitute a utilization of such Lender’s Commitment.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Swingline Loans.</w:t>
      </w:r>
    </w:p>
    <w:p>
      <w:pPr>
        <w:spacing w:after="0" w:line="96" w:lineRule="exact"/>
        <w:rPr>
          <w:sz w:val="20"/>
          <w:szCs w:val="20"/>
          <w:color w:val="auto"/>
        </w:rPr>
      </w:pPr>
    </w:p>
    <w:p>
      <w:pPr>
        <w:ind w:right="80" w:firstLine="464"/>
        <w:spacing w:after="0" w:line="294"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Swingline Loans</w:t>
      </w:r>
      <w:r>
        <w:rPr>
          <w:rFonts w:ascii="Arial" w:cs="Arial" w:eastAsia="Arial" w:hAnsi="Arial"/>
          <w:sz w:val="16"/>
          <w:szCs w:val="16"/>
          <w:color w:val="auto"/>
        </w:rPr>
        <w:t>. Subject to the terms and conditions hereof, during the period from the Effective Date to but excluding the Termination Date, the Swingline Lender agrees to make Swingline Loans to the Borrower in an aggregate principal amount at any one time outstanding up to, but not exceeding, the amount of the Swingline Commitment. If at any time the aggregate principal amount of the Swingline Loans outstanding at such time exceeds the Swingline Commitment in effect at such time, the Borrower shall immediately pay the Agent for the account of the Swingline Lender the amount of such excess. Subject to the terms and conditions of this Agreement, the Borrower may borrow, repay and reborrow Swingline Loans hereunder.</w:t>
      </w:r>
    </w:p>
    <w:p>
      <w:pPr>
        <w:spacing w:after="0" w:line="115" w:lineRule="exact"/>
        <w:rPr>
          <w:rFonts w:ascii="Arial" w:cs="Arial" w:eastAsia="Arial" w:hAnsi="Arial"/>
          <w:sz w:val="16"/>
          <w:szCs w:val="16"/>
          <w:color w:val="auto"/>
        </w:rPr>
      </w:pPr>
    </w:p>
    <w:p>
      <w:pPr>
        <w:ind w:right="100" w:firstLine="464"/>
        <w:spacing w:after="0" w:line="290"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Procedure for Borrowing Swingline Loans</w:t>
      </w:r>
      <w:r>
        <w:rPr>
          <w:rFonts w:ascii="Arial" w:cs="Arial" w:eastAsia="Arial" w:hAnsi="Arial"/>
          <w:sz w:val="16"/>
          <w:szCs w:val="16"/>
          <w:color w:val="auto"/>
        </w:rPr>
        <w:t>. The Borrower shall give the Agent and the Swingline Lender notice pursuant to a Notice of Swingline Borrowing or telephonic notice of each borrowing of a Swingline Loan. Each Notice of Swingline Borrowing shall be delivered to the Swingline Lender no later than 3:00 p.m. on the proposed date of such borrowing. Any such notice given telephonically shall include all information to be specified in a written Notice of Swingline Borrowing and shall be promptly confirmed in writing by the Borrower pursuant to a Notice of Swingline Borrowing sent to the Swingline Lender by telecopy on the same day of the giving of such telephonic notice. On the date of the requested Swingline Loan and subject to satisfaction of the applicable conditions set forth in Article V. for such borrowing, the Swingline Lender will make the proceeds of such Swingline Loan available to the Borrower in Dollars, in immediately available funds, at the account specified by the Borrower in the Notice of Swingline Borrowing, not later than 4:00 p.m. on such date.</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00"/>
          </w:cols>
          <w:pgMar w:left="240" w:top="280" w:right="259" w:bottom="1440" w:gutter="0" w:footer="0" w:header="0"/>
        </w:sectPr>
      </w:pPr>
    </w:p>
    <w:bookmarkStart w:id="64" w:name="page65"/>
    <w:bookmarkEnd w:id="64"/>
    <w:p>
      <w:pPr>
        <w:ind w:left="-464" w:firstLine="464"/>
        <w:spacing w:after="0" w:line="323" w:lineRule="auto"/>
        <w:tabs>
          <w:tab w:leader="none" w:pos="231"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w:t>
      </w:r>
      <w:r>
        <w:rPr>
          <w:rFonts w:ascii="Arial" w:cs="Arial" w:eastAsia="Arial" w:hAnsi="Arial"/>
          <w:sz w:val="15"/>
          <w:szCs w:val="15"/>
          <w:color w:val="auto"/>
        </w:rPr>
        <w:t xml:space="preserve">. Swingline Loans shall bear interest at a per annum rate equal to the Base Rate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Applicable Margin for Base Rate Loans (or at such other rate or rates as the Borrower and the Swingline Lender may agree from time to time in writing). Interest payable on Swingline Loans is solely for the account of the Swingline Lender. All accrued and unpaid interest on Swingline Loans shall be payable on the dates and in the manner provided in Section 2.5. with respect to interest on Base Rate Loans (except as the Swingline Lender and the Borrower may otherwise agree in writing in connection with any particular Swingline Loan).</w:t>
      </w:r>
    </w:p>
    <w:p>
      <w:pPr>
        <w:spacing w:after="0" w:line="97" w:lineRule="exact"/>
        <w:rPr>
          <w:rFonts w:ascii="Arial" w:cs="Arial" w:eastAsia="Arial" w:hAnsi="Arial"/>
          <w:sz w:val="15"/>
          <w:szCs w:val="15"/>
          <w:color w:val="auto"/>
        </w:rPr>
      </w:pPr>
    </w:p>
    <w:p>
      <w:pPr>
        <w:ind w:left="-464" w:right="20" w:firstLine="464"/>
        <w:spacing w:after="0" w:line="294" w:lineRule="auto"/>
        <w:tabs>
          <w:tab w:leader="none" w:pos="24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Swingline Loan Amounts, Etc</w:t>
      </w:r>
      <w:r>
        <w:rPr>
          <w:rFonts w:ascii="Arial" w:cs="Arial" w:eastAsia="Arial" w:hAnsi="Arial"/>
          <w:sz w:val="16"/>
          <w:szCs w:val="16"/>
          <w:color w:val="auto"/>
        </w:rPr>
        <w:t>. Each Swingline Loan shall be in the minimum amount of $50,000 and integral multiples of $50,000 or such other minimum amounts agreed to by the Swingline Lender and the Borrower. Any voluntary prepayment of a Swingline Loan must be in integral multiples of $50,000 or the aggregate principal amount of all outstanding Swingline Loans (or such other minimum amounts upon which the Swingline Lender and the Borrower may agree) and in connection with any such prepayment, the Borrower must give the Swingline Lender prior written notice thereof no later than 10:00 a.m. on the date of such prepayment. The Swingline Loans shall, in addition to this Agreement, be evidenced by the Swingline Note.</w:t>
      </w:r>
    </w:p>
    <w:p>
      <w:pPr>
        <w:spacing w:after="0" w:line="115" w:lineRule="exact"/>
        <w:rPr>
          <w:rFonts w:ascii="Arial" w:cs="Arial" w:eastAsia="Arial" w:hAnsi="Arial"/>
          <w:sz w:val="16"/>
          <w:szCs w:val="16"/>
          <w:color w:val="auto"/>
        </w:rPr>
      </w:pPr>
    </w:p>
    <w:p>
      <w:pPr>
        <w:ind w:left="236" w:hanging="236"/>
        <w:spacing w:after="0"/>
        <w:tabs>
          <w:tab w:leader="none" w:pos="23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Repayment and Participations of Swingline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 w:firstLine="443"/>
        <w:spacing w:after="0" w:line="285" w:lineRule="auto"/>
        <w:tabs>
          <w:tab w:leader="none" w:pos="643"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Borrower agrees to repay each Swingline Loan within one Business Day of demand therefor by the Swingline Lender and in any event, within 5 Business Days after the date such Swingline Loan was made; provided, that the proceeds of a Swingline Loan may not be used to repay a Swingline Loan. Notwithstanding the foregoing, the Borrower shall repay the entire outstanding principal amount of, and all accrued but unpaid interest on, the Swingline Loans on the Termination Date (or such earlier date as the Swingline Lender and the Borrower may agree in writing). Promptly upon any such demand, or if no such demand is made then at least one Business Day before a Swingline Loan otherwise becomes due, the Borrower shall advise the Agent whether or not the Borrower intends to borrow hereunder to finance its obligation to repay such Swingline Loan and, if it does, the Borrower shall submit a timely request for such borrowing as provided in the applicable provisions of this Agreement. If the Borrower fails to so advise the Agent, or if the Borrower fails to repay such Swingline Loan by the date due then (x) if the applicable conditions contained in Article V. would permit the making of Revolving Loans, the Borrower shall be deemed to have requested a borrowing of Revolving Loans (which shall be Base Rate Loans) in an amount equal to such Swingline Loan and the Agent shall give each Lender notice not later than 12:00 noon on such date of the amount of the Revolving Loan to be made available to the Agent not later than 2:00 p.m. on such date and (y) if such conditions would not permit the making of Revolving Loans, the provisions of the immediately following subsection (ii) shall apply. The amount limitations of Section 3.5.(a) shall not apply to any borrowing of Base Rate Loans made pursuant to this subsection. Each Lender will make available to the Agent at the Principal Office for the account of the Swingline Lender, in immediately available funds, the proceeds of the Base Rate Loan to be made by such Lender and, to the extent of such Base Rate Loan, such Lender’s participation in the Swingline Loan so repaid shall be deemed to be funded by such Base Rate Loan. The</w:t>
      </w:r>
    </w:p>
    <w:p>
      <w:pPr>
        <w:spacing w:after="0" w:line="112" w:lineRule="exact"/>
        <w:rPr>
          <w:rFonts w:ascii="Arial" w:cs="Arial" w:eastAsia="Arial" w:hAnsi="Arial"/>
          <w:sz w:val="16"/>
          <w:szCs w:val="16"/>
          <w:color w:val="auto"/>
        </w:rPr>
      </w:pPr>
    </w:p>
    <w:p>
      <w:pPr>
        <w:ind w:left="5156" w:hanging="96"/>
        <w:spacing w:after="0"/>
        <w:tabs>
          <w:tab w:leader="none" w:pos="5156" w:val="left"/>
        </w:tabs>
        <w:numPr>
          <w:ilvl w:val="2"/>
          <w:numId w:val="37"/>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956"/>
          </w:cols>
          <w:pgMar w:left="704" w:top="280" w:right="239" w:bottom="1440" w:gutter="0" w:footer="0" w:header="0"/>
        </w:sectPr>
      </w:pPr>
    </w:p>
    <w:bookmarkStart w:id="65" w:name="page66"/>
    <w:bookmarkEnd w:id="65"/>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shall pay the proceeds of such Base Rate Loans to the Swingline Lender, which shall apply such proceeds to repay such Swingline Loan. The Borrower’s failure to repay a Swingline Loan when due (other than on and at any time following the Termination Date) shall not in and of itself constitute a Default or Event of Default.</w:t>
      </w:r>
    </w:p>
    <w:p>
      <w:pPr>
        <w:spacing w:after="0" w:line="59" w:lineRule="exact"/>
        <w:rPr>
          <w:sz w:val="20"/>
          <w:szCs w:val="20"/>
          <w:color w:val="auto"/>
        </w:rPr>
      </w:pPr>
    </w:p>
    <w:p>
      <w:pPr>
        <w:ind w:left="460" w:firstLine="443"/>
        <w:spacing w:after="0" w:line="284" w:lineRule="auto"/>
        <w:tabs>
          <w:tab w:leader="none" w:pos="115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 the time each Swingline Loan is made, each Lender shall automatically (and without any further notice or action) be deemed to have purchased from the Swingline Lender, without recourse or warranty, an undivided interest and participation to the extent of such Lender’s Commitment Percentage in such Swingline Loan. If the Lenders are prohibited from making Loans contemplated by the immediately preceding subsection for any reason, including without limitation, the occurrence of any Default or Event of Default described in Section 10.1.(f) or 10.1.(g), upon notice from the Agent or the Swingline Lender, each Lender severally agrees to pay to the Agent for the account of the Swingline Lender in respect of such participation the amount of such Lender’s Commitment Percentage of each outstanding Swingline Loan. If such amount is not in fact made available to the Agent by any Lender, the Swingline Lender shall be entitled to recover such amount on demand from such Lender, together with accrued interest thereon for each day from the date of demand thereof, at the Federal Funds Rate. If such Lender does not pay such amount forthwith upon demand therefor by the Agent or the Swingline Lender, and until such time as such Lender makes the required payment, the Swingline Lender shall be deemed to continue to have outstanding Swingline Loans in the amount of such unpaid participation obligation for all purposes of the Loan Documents (other than those provisions requiring the other Lenders to purchase a participation therein). Further, such Lender shall be deemed to have assigned any and all payments made of principal and interest on its Loans, and any other amounts due to it hereunder, to the Swingline Lender to fund Swingline Loans in the amount of the participation in Swingline Loans that such Lender failed to purchase pursuant to this Section until such amount has been purchased (as a result of such assignment or otherwise). A Lender’s obligation to make payments in respect of a participation in a Swingline Loan shall be absolute and unconditional and shall not be affected by any circumstance whatsoever, including, without limitation, (i) any claim of setoff, counterclaim, recoupment, defense or other right which such Lender or any other Person may have or claim against the Agent, the Swingline Lender or any other Person whatsoever, (ii) the occurrence or continuation of a Default or Event of Default (including, without limitation, any of the Defaults or Events of Default described in Sections 10.1.(f) or 10.1. (g)) or the termination of any Lender’s Commitment, (iii) the existence (or alleged existence) of an event or condition which has had or could have a Material Adverse Effect, (iv) any breach of any Loan Document by the Agent, any Lender or the Borrower or (v) any other circumstance, happening or event whatsoever, whether or not similar to any of the foregoing.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Letters of Credit.</w:t>
      </w:r>
    </w:p>
    <w:p>
      <w:pPr>
        <w:spacing w:after="0" w:line="96" w:lineRule="exact"/>
        <w:rPr>
          <w:sz w:val="20"/>
          <w:szCs w:val="20"/>
          <w:color w:val="auto"/>
        </w:rPr>
      </w:pPr>
    </w:p>
    <w:p>
      <w:pPr>
        <w:ind w:right="180" w:firstLine="464"/>
        <w:spacing w:after="0" w:line="306"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Subject to the terms and conditions of this Agreement, the Agent, on behalf of the Lenders, agrees to issue for the account of the Borrower during the period from and including the Effective Date to, but excluding, the date 30 days prior to the Termination Date, one or more letters of credit (each a </w:t>
      </w:r>
      <w:r>
        <w:rPr>
          <w:rFonts w:ascii="Arial" w:cs="Arial" w:eastAsia="Arial" w:hAnsi="Arial"/>
          <w:sz w:val="16"/>
          <w:szCs w:val="16"/>
          <w:b w:val="1"/>
          <w:bCs w:val="1"/>
          <w:color w:val="auto"/>
        </w:rPr>
        <w:t>“Letter of Credit”</w:t>
      </w:r>
      <w:r>
        <w:rPr>
          <w:rFonts w:ascii="Arial" w:cs="Arial" w:eastAsia="Arial" w:hAnsi="Arial"/>
          <w:sz w:val="16"/>
          <w:szCs w:val="16"/>
          <w:color w:val="auto"/>
        </w:rPr>
        <w:t>) up to a maximum aggregate Stated Amount at any one time outstanding not to exceed the L/C Commitment Amount.</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20"/>
          </w:cols>
          <w:pgMar w:left="240" w:top="280" w:right="239" w:bottom="1440" w:gutter="0" w:footer="0" w:header="0"/>
        </w:sectPr>
      </w:pPr>
    </w:p>
    <w:bookmarkStart w:id="66" w:name="page67"/>
    <w:bookmarkEnd w:id="66"/>
    <w:p>
      <w:pPr>
        <w:ind w:left="-464" w:firstLine="464"/>
        <w:spacing w:after="0" w:line="254" w:lineRule="auto"/>
        <w:tabs>
          <w:tab w:leader="none" w:pos="24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of Letters of Credit</w:t>
      </w:r>
      <w:r>
        <w:rPr>
          <w:rFonts w:ascii="Arial" w:cs="Arial" w:eastAsia="Arial" w:hAnsi="Arial"/>
          <w:sz w:val="18"/>
          <w:szCs w:val="18"/>
          <w:color w:val="auto"/>
        </w:rPr>
        <w:t xml:space="preserve">. At the time of issuance, the amount, form, terms and conditions of each Letter of Credit, and of any drafts or acceptances thereunder, shall be subject to approval by the Agent and the Borrower (which approval, in the case of each of the Borrower and the Agent, shall not be unreasonably withheld). Notwithstanding the foregoing, in no event may the expiration date of any Letter of Credit extend beyond the earlier of (i) the date one year from its date of issuance or (ii)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 Letter of Credit may contain a provision providing for the automatic extension of the expiration date in the absence of a notice of non-renewal from the Agent but in no event shall any such provision permit the extension of the expiration date of such Letter of Credit beyond the Termination Date.</w:t>
      </w:r>
    </w:p>
    <w:p>
      <w:pPr>
        <w:spacing w:after="0" w:line="144" w:lineRule="exact"/>
        <w:rPr>
          <w:rFonts w:ascii="Arial" w:cs="Arial" w:eastAsia="Arial" w:hAnsi="Arial"/>
          <w:sz w:val="18"/>
          <w:szCs w:val="18"/>
          <w:color w:val="auto"/>
        </w:rPr>
      </w:pPr>
    </w:p>
    <w:p>
      <w:pPr>
        <w:ind w:left="-464" w:right="40" w:firstLine="464"/>
        <w:spacing w:after="0" w:line="287" w:lineRule="auto"/>
        <w:tabs>
          <w:tab w:leader="none" w:pos="23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Requests for Issuance of Letters of Credit</w:t>
      </w:r>
      <w:r>
        <w:rPr>
          <w:rFonts w:ascii="Arial" w:cs="Arial" w:eastAsia="Arial" w:hAnsi="Arial"/>
          <w:sz w:val="16"/>
          <w:szCs w:val="16"/>
          <w:color w:val="auto"/>
        </w:rPr>
        <w:t>. The Borrower shall give the Agent written notice (or telephonic notice promptly confirmed in writing) at least 5 Business Days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Stated Amount, (ii) the beneficiary, and (iii) the expiration date. The Borrower shall also execute and deliver such customary letter of credit application forms as requested from time to time by the Agent. Provided the Borrower has given the notice prescribed by the first sentence of this subsection and subject to the other terms and conditions of this Agreement, including the satisfaction of any applicable conditions precedent set forth in Article V., the Agent shall issue the requested Letter of Credit on the requested date of issuance for the benefit of the stipulated beneficiary. Upon the written request of the Borrower, the Agent shall deliver to the Borrower a copy of each issued Letter of Credit within a reasonable time after the date of issuance thereof. As between the Borrower, the Agent and the Lenders, to the extent any term of a Letter of Credit Document is inconsistent with a term of any Loan Document, the term of such Loan Document shall control.</w:t>
      </w:r>
    </w:p>
    <w:p>
      <w:pPr>
        <w:spacing w:after="0" w:line="122" w:lineRule="exact"/>
        <w:rPr>
          <w:rFonts w:ascii="Arial" w:cs="Arial" w:eastAsia="Arial" w:hAnsi="Arial"/>
          <w:sz w:val="16"/>
          <w:szCs w:val="16"/>
          <w:color w:val="auto"/>
        </w:rPr>
      </w:pPr>
    </w:p>
    <w:p>
      <w:pPr>
        <w:ind w:left="-464" w:right="60" w:firstLine="464"/>
        <w:spacing w:after="0" w:line="289" w:lineRule="auto"/>
        <w:tabs>
          <w:tab w:leader="none" w:pos="24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Reimbursement Obligations</w:t>
      </w:r>
      <w:r>
        <w:rPr>
          <w:rFonts w:ascii="Arial" w:cs="Arial" w:eastAsia="Arial" w:hAnsi="Arial"/>
          <w:sz w:val="16"/>
          <w:szCs w:val="16"/>
          <w:color w:val="auto"/>
        </w:rPr>
        <w:t xml:space="preserve">. Upon receipt by the Agent from the beneficiary of a Letter of Credit of any demand for payment under such Letter of Credit, the Agent shall promptly notify the Borrower of the amount to be paid by the Agent as a result of such demand and the date on which payment is to be made by the Agent to such beneficiary in respect of such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Agent’s failure to give, or delay in giving, such notice shall not discharge the Borrower in any respect from the applicable Reimbursement Obligation. The Borrower hereby unconditionally and irrevocably agrees to pay and reimburse the Agent for the amount of each demand for payment under such Letter of Credit on or prior to the date on which payment is to be made by the Agent to the beneficiary thereunder, without presentment, demand, protest or other formalities of any kind (other than notice as provided in this subsection). Upon receipt by the Agent of any payment in respect of any Reimbursement Obligation, the Agent shall promptly pay to each Lender that has acquired a participation therein under the second sentence of Section 2.4.(i) such Lender’s Commitment Percentage of such payment.</w:t>
      </w:r>
    </w:p>
    <w:p>
      <w:pPr>
        <w:spacing w:after="0" w:line="118" w:lineRule="exact"/>
        <w:rPr>
          <w:rFonts w:ascii="Arial" w:cs="Arial" w:eastAsia="Arial" w:hAnsi="Arial"/>
          <w:sz w:val="16"/>
          <w:szCs w:val="16"/>
          <w:color w:val="auto"/>
        </w:rPr>
      </w:pPr>
    </w:p>
    <w:p>
      <w:pPr>
        <w:ind w:left="-464" w:right="300" w:firstLine="464"/>
        <w:spacing w:after="0" w:line="268" w:lineRule="auto"/>
        <w:tabs>
          <w:tab w:leader="none" w:pos="23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Manner of Reimbursement</w:t>
      </w:r>
      <w:r>
        <w:rPr>
          <w:rFonts w:ascii="Arial" w:cs="Arial" w:eastAsia="Arial" w:hAnsi="Arial"/>
          <w:sz w:val="18"/>
          <w:szCs w:val="18"/>
          <w:color w:val="auto"/>
        </w:rPr>
        <w:t>. Upon its receipt of a notice referred to in the immediately preceding subsection (d), the Borrower shall advise the Agent whether or not the</w:t>
      </w:r>
    </w:p>
    <w:p>
      <w:pPr>
        <w:spacing w:after="0" w:line="118" w:lineRule="exact"/>
        <w:rPr>
          <w:rFonts w:ascii="Arial" w:cs="Arial" w:eastAsia="Arial" w:hAnsi="Arial"/>
          <w:sz w:val="18"/>
          <w:szCs w:val="18"/>
          <w:color w:val="auto"/>
        </w:rPr>
      </w:pPr>
    </w:p>
    <w:p>
      <w:pPr>
        <w:ind w:left="5156" w:hanging="96"/>
        <w:spacing w:after="0"/>
        <w:tabs>
          <w:tab w:leader="none" w:pos="51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956"/>
          </w:cols>
          <w:pgMar w:left="704" w:top="280" w:right="239" w:bottom="1440" w:gutter="0" w:footer="0" w:header="0"/>
        </w:sectPr>
      </w:pPr>
    </w:p>
    <w:bookmarkStart w:id="67" w:name="page68"/>
    <w:bookmarkEnd w:id="67"/>
    <w:p>
      <w:pPr>
        <w:ind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intends to borrow hereunder to finance its obligation to reimburse the Agent for the amount of the related demand for payment and, if it does, the Borrower shall submit a timely request for such borrowing as provided in the applicable provisions of this Agreement. If the Borrower fails to so advise the Agent, or if the Borrower fails to reimburse the Agent for a demand for payment under a Letter of Credit by the date of such payment, then (i) if the applicable conditions contained in Article V. would permit the making of Revolving Loans, the Borrower shall be deemed to have requested a borrowing of Revolving Loans (which shall be Base Rate Loans) in an amount equal to the unpaid Reimbursement Obligation and the Agent shall give each Lender prompt notice of the amount of the Revolving Loan to be made available to the Agent not later than 2:00 p.m. and (ii) if such conditions would not permit the making of Revolving Loans, the provisions of subsection (j) of this Section shall apply. The limitations of Section 3.5.(a) shall not apply to any borrowing of Base Rate Loans under this subsection. The Borrower’s failure to reimburse the Agent for a demand for payment under a Letter of Credit (other than on and at any time following the Termination Date) shall not in and of itself constitute a Default or Event of Default.</w:t>
      </w:r>
    </w:p>
    <w:p>
      <w:pPr>
        <w:spacing w:after="0" w:line="120" w:lineRule="exact"/>
        <w:rPr>
          <w:sz w:val="20"/>
          <w:szCs w:val="20"/>
          <w:color w:val="auto"/>
        </w:rPr>
      </w:pPr>
    </w:p>
    <w:p>
      <w:pPr>
        <w:ind w:right="40" w:firstLine="464"/>
        <w:spacing w:after="0" w:line="256" w:lineRule="auto"/>
        <w:tabs>
          <w:tab w:leader="none" w:pos="67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Effect of Letters of Credit on Commitments</w:t>
      </w:r>
      <w:r>
        <w:rPr>
          <w:rFonts w:ascii="Arial" w:cs="Arial" w:eastAsia="Arial" w:hAnsi="Arial"/>
          <w:sz w:val="18"/>
          <w:szCs w:val="18"/>
          <w:color w:val="auto"/>
        </w:rPr>
        <w:t>. Upon the issuance by the Agent of any Letter of Credit and until such Letter of Credit shall have expired or been terminated, the Commitment of each Lender shall be deemed to be utilized for all purposes of this Agreement in an amount equal to the product of (i) such Lender’s Commitment Percentage and (ii) the sum (without duplication) of (A) the Stated Amount of such Letter of Credit plus (B) any related Reimbursement Obligations then outstanding.</w:t>
      </w:r>
    </w:p>
    <w:p>
      <w:pPr>
        <w:spacing w:after="0" w:line="143" w:lineRule="exact"/>
        <w:rPr>
          <w:rFonts w:ascii="Arial" w:cs="Arial" w:eastAsia="Arial" w:hAnsi="Arial"/>
          <w:sz w:val="18"/>
          <w:szCs w:val="18"/>
          <w:color w:val="auto"/>
        </w:rPr>
      </w:pPr>
    </w:p>
    <w:p>
      <w:pPr>
        <w:ind w:firstLine="464"/>
        <w:spacing w:after="0" w:line="285"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Agent’s Duties Regarding Letters of Credit; Unconditional Nature of Reimbursement Obligations</w:t>
      </w:r>
      <w:r>
        <w:rPr>
          <w:rFonts w:ascii="Arial" w:cs="Arial" w:eastAsia="Arial" w:hAnsi="Arial"/>
          <w:sz w:val="16"/>
          <w:szCs w:val="16"/>
          <w:color w:val="auto"/>
        </w:rPr>
        <w:t>. In examining documents presented in connection with drawings under Letters of Credit and making payments under such Letters of Credit against such documents, the Agent shall only be required to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neither the Agent nor any of the Lenders shall be responsible for (i) the form, validity, sufficiency, accuracy, genuineness or legal effects of any document submitted by any party in connection with the application for and issuance of or any drawing honored under any Letter of Credit even if it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telex, telecopy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the proceeds of any drawing under any Letter of Credit; or (viii) any consequences arising from causes beyond the control of the Agent or the</w:t>
      </w:r>
    </w:p>
    <w:p>
      <w:pPr>
        <w:spacing w:after="0" w:line="114" w:lineRule="exact"/>
        <w:rPr>
          <w:rFonts w:ascii="Arial" w:cs="Arial" w:eastAsia="Arial" w:hAnsi="Arial"/>
          <w:sz w:val="16"/>
          <w:szCs w:val="16"/>
          <w:color w:val="auto"/>
        </w:rPr>
      </w:pPr>
    </w:p>
    <w:p>
      <w:pPr>
        <w:ind w:left="5620" w:hanging="96"/>
        <w:spacing w:after="0"/>
        <w:tabs>
          <w:tab w:leader="none" w:pos="5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280" w:right="239" w:bottom="1440" w:gutter="0" w:footer="0" w:header="0"/>
        </w:sectPr>
      </w:pPr>
    </w:p>
    <w:bookmarkStart w:id="68" w:name="page69"/>
    <w:bookmarkEnd w:id="6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 None of the above shall affect, impair or prevent the vesting of any of the Agent’s or any Lender’s rights or powers hereunder. The Agent shall have no liability to the Borrower for any action taken or omitted to be taken by the Agent under or in connection with any Letter of Credit except to the extent resulting from the gross negligence or willful misconduct of the Agent, as determined by a court of competent jurisdiction in a final, non-appealable judgment. In this regard, the obligation of the Borrower to reimburse the Agent for any drawing made under any Letter of Credit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the Borrower may have at any time against the Agent, any Lender, any beneficiary of a Letter of Credit or any other Person, whether in connection with this Agreement or the transactions contemplated hereby or in the Letter of Credit Documents or any unrelated transaction; (D) any breach of contract or dispute between the Borrower, the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of the proceeds of any drawing under such Letter of Credit; (G) payment by the Agent under any Letter of Credit against presentation of a draft or certificate which does not strictly comply with the terms of such Letter of Credit; and (H) any other act, omission to act, delay or circumstance whatsoever that might, but for the provisions of this Section, constitute a legal or equitable defense to or discharge of the Borrower’s Reimbursement Obligations. Notwithstanding anything to the contrary contained in this Section or Section 12.9., but not in limitation of the Borrower’s unconditional obligation to reimburse the Agent for any drawing made under a Letter of Credit as provided in this Section, the Borrower shall have no obligation to indemnify the Agent or any Lender in respect of any liability incurred by the Agent or such Lender to the extent arising out of the gross negligence or willful misconduct of, respectively, the Agent or such Lender in respect of a Letter of Credit as determined by a court of competent jurisdiction in a final, non-appealable judgment. Nothing in this Section shall affect any rights the Borrower may have with respect to the gross negligence or willful misconduct of the Agent or any Lender with respect to any Letter of Credit.</w:t>
      </w:r>
    </w:p>
    <w:p>
      <w:pPr>
        <w:spacing w:after="0" w:line="129" w:lineRule="exact"/>
        <w:rPr>
          <w:sz w:val="20"/>
          <w:szCs w:val="20"/>
          <w:color w:val="auto"/>
        </w:rPr>
      </w:pPr>
    </w:p>
    <w:p>
      <w:pPr>
        <w:ind w:firstLine="464"/>
        <w:spacing w:after="0" w:line="291"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Amendments, Etc</w:t>
      </w:r>
      <w:r>
        <w:rPr>
          <w:rFonts w:ascii="Arial" w:cs="Arial" w:eastAsia="Arial" w:hAnsi="Arial"/>
          <w:sz w:val="16"/>
          <w:szCs w:val="16"/>
          <w:color w:val="auto"/>
        </w:rPr>
        <w:t>. The issuance by the Agent of any amendment, supplement or other modification to any Letter of Credit shall be subject to the same conditions applicable under this Agreement to the issuance of new Letters of Credit (including, without limitation, that the request therefor be made through the Agent), and no such amendment, supplement or other modification shall be issued unless either (i) the respective Letter of Credit affected thereby would have complied with such conditions had it originally been issued hereunder in such amended, supplemented or modified form or (ii) the Requisite Lenders (or all of the Lenders if required by Section 12.6.) shall have consented thereto. In connection with any such amendment, supplement or other modification, the Borrower shall pay the Fees, if any, payable under the last sentence of Section 3.6.(b).</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00"/>
          </w:cols>
          <w:pgMar w:left="240" w:top="280" w:right="259" w:bottom="1440" w:gutter="0" w:footer="0" w:header="0"/>
        </w:sectPr>
      </w:pPr>
    </w:p>
    <w:bookmarkStart w:id="69" w:name="page70"/>
    <w:bookmarkEnd w:id="69"/>
    <w:p>
      <w:pPr>
        <w:ind w:left="-464" w:firstLine="464"/>
        <w:spacing w:after="0" w:line="287" w:lineRule="auto"/>
        <w:tabs>
          <w:tab w:leader="none" w:pos="20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Participation in Letters of Credit</w:t>
      </w:r>
      <w:r>
        <w:rPr>
          <w:rFonts w:ascii="Arial" w:cs="Arial" w:eastAsia="Arial" w:hAnsi="Arial"/>
          <w:sz w:val="16"/>
          <w:szCs w:val="16"/>
          <w:color w:val="auto"/>
        </w:rPr>
        <w:t>. Immediately upon the issuance by the Agent of any Letter of Credit each Lender shall be deemed to have irrevocably and unconditionally purchased and received from the Agent, without recourse or warranty, an undivided interest and participation to the extent of such Lender’s Commitment Percentage of the liability of the Agent with respect to such Letter of Credit, and each Lender thereby shall absolutely, unconditionally and irrevocably assume, as primary obligor and not as surety, and shall be unconditionally obligated to the Agent to pay and discharge when due, such Lender’s Commitment Percentage of the Agent’s liability under such Letter of Credit. In addition, upon the making of each payment by a Lender to the Agent in respect of any Letter of Credit pursuant to the immediately following subsection (j), such Lender shall, automatically and without any further action on the part of the Agent or such Lender, acquire (i) a participation in an amount equal to such payment in the Reimbursement Obligation owing to the Agent by the Borrower in respect of such Letter of Credit and (ii) a participation in a percentage equal to such Lender’s Commitment Percentage in any interest or other amounts payable by the Borrower in respect of such Reimbursement Obligation (other than the Fees payable to the Agent pursuant to the third and last sentences of Section 3.6.(b)).</w:t>
      </w:r>
    </w:p>
    <w:p>
      <w:pPr>
        <w:spacing w:after="0" w:line="122" w:lineRule="exact"/>
        <w:rPr>
          <w:rFonts w:ascii="Arial" w:cs="Arial" w:eastAsia="Arial" w:hAnsi="Arial"/>
          <w:sz w:val="16"/>
          <w:szCs w:val="16"/>
          <w:color w:val="auto"/>
        </w:rPr>
      </w:pPr>
    </w:p>
    <w:p>
      <w:pPr>
        <w:ind w:left="-464" w:right="100" w:firstLine="464"/>
        <w:spacing w:after="0" w:line="307" w:lineRule="auto"/>
        <w:tabs>
          <w:tab w:leader="none" w:pos="202" w:val="left"/>
        </w:tabs>
        <w:numPr>
          <w:ilvl w:val="0"/>
          <w:numId w:val="43"/>
        </w:numPr>
        <w:rPr>
          <w:rFonts w:ascii="Arial" w:cs="Arial" w:eastAsia="Arial" w:hAnsi="Arial"/>
          <w:sz w:val="15"/>
          <w:szCs w:val="15"/>
          <w:color w:val="auto"/>
        </w:rPr>
      </w:pPr>
      <w:r>
        <w:rPr>
          <w:rFonts w:ascii="Arial" w:cs="Arial" w:eastAsia="Arial" w:hAnsi="Arial"/>
          <w:sz w:val="15"/>
          <w:szCs w:val="15"/>
          <w:u w:val="single" w:color="auto"/>
          <w:color w:val="auto"/>
        </w:rPr>
        <w:t>Payment Obligation of Lenders</w:t>
      </w:r>
      <w:r>
        <w:rPr>
          <w:rFonts w:ascii="Arial" w:cs="Arial" w:eastAsia="Arial" w:hAnsi="Arial"/>
          <w:sz w:val="15"/>
          <w:szCs w:val="15"/>
          <w:color w:val="auto"/>
        </w:rPr>
        <w:t>. Each Lender severally agrees to pay to the Agent on demand in immediately available funds in Dollars the amount of such Lender’s Commitment Percentage of each drawing paid by the Agent under each Letter of Credit to the extent such amount is not reimbursed by the Borrower as contemplated by Section 2.4.(d) or Section 2.4.(e); provided, however, that in respect of any drawing under any Letter of Credit, the maximum amount that any Lender shall be required to fund, whether as a Revolving Loan or as a participation, shall not exceed such Lender’s Commitment Percentage of such drawing. If the notice referenced in the second sentence of Section 2.4.(e) is received by a Lender not later than 11:00 a.m., then such Lender shall make such payment available to the Agent not later than 2:00 p.m. on the date of demand therefor; otherwise, such payment shall be made available to the Agent not later than 1:00 p.m. on the next succeeding Business Day. Each such Lender’s obligation to make such payments to the Agent under this subsection, and the Agent’s right to receive the same, shall be absolute, irrevocable and unconditional and shall not be affected in any way by any circumstance whatsoever, including, without limitation, (i) the failure of any other Lender to make its payment under this subsection, (ii) the financial condition of the Borrower or any other Loan Party, (iii) the existence of any Default or Event of Default, including any Event of Default described in Section 10.1.(f) or 10.1.(g), or (iv) the termination of the Commitments. Each such payment to the Agent shall be made without any offset, abatement, withholding or deduction whatsoever.</w:t>
      </w:r>
    </w:p>
    <w:p>
      <w:pPr>
        <w:spacing w:after="0" w:line="111" w:lineRule="exact"/>
        <w:rPr>
          <w:rFonts w:ascii="Arial" w:cs="Arial" w:eastAsia="Arial" w:hAnsi="Arial"/>
          <w:sz w:val="15"/>
          <w:szCs w:val="15"/>
          <w:color w:val="auto"/>
        </w:rPr>
      </w:pPr>
    </w:p>
    <w:p>
      <w:pPr>
        <w:ind w:left="-464" w:right="20" w:firstLine="464"/>
        <w:spacing w:after="0" w:line="256" w:lineRule="auto"/>
        <w:tabs>
          <w:tab w:leader="none" w:pos="24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Information to Lenders</w:t>
      </w:r>
      <w:r>
        <w:rPr>
          <w:rFonts w:ascii="Arial" w:cs="Arial" w:eastAsia="Arial" w:hAnsi="Arial"/>
          <w:sz w:val="18"/>
          <w:szCs w:val="18"/>
          <w:color w:val="auto"/>
        </w:rPr>
        <w:t>. Upon the request of any Lender from time to time, the Agent shall deliver to such Lender information reasonably requested by such Lender with respect to each Letter of Credit then outstanding. Other than as set forth in this subsection, the Agent shall have no duty to notify the Lenders regarding the issuance or other matters regarding Letters of Credit issued hereunder. The failure of the Agent to perform its requirements under this subsection shall not relieve any Lender from its obligations under Section 2.4.(j).</w:t>
      </w:r>
    </w:p>
    <w:p>
      <w:pPr>
        <w:spacing w:after="0" w:line="129" w:lineRule="exact"/>
        <w:rPr>
          <w:rFonts w:ascii="Arial" w:cs="Arial" w:eastAsia="Arial" w:hAnsi="Arial"/>
          <w:sz w:val="18"/>
          <w:szCs w:val="18"/>
          <w:color w:val="auto"/>
        </w:rPr>
      </w:pPr>
    </w:p>
    <w:p>
      <w:pPr>
        <w:ind w:left="5156" w:hanging="96"/>
        <w:spacing w:after="0"/>
        <w:tabs>
          <w:tab w:leader="none" w:pos="51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0876"/>
          </w:cols>
          <w:pgMar w:left="704" w:top="280"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2.5. Rates and Payment of Interest on Loans.</w:t>
      </w:r>
    </w:p>
    <w:p>
      <w:pPr>
        <w:spacing w:after="0" w:line="96" w:lineRule="exact"/>
        <w:rPr>
          <w:sz w:val="20"/>
          <w:szCs w:val="20"/>
          <w:color w:val="auto"/>
        </w:rPr>
      </w:pPr>
    </w:p>
    <w:p>
      <w:pPr>
        <w:ind w:right="20" w:firstLine="464"/>
        <w:spacing w:after="0" w:line="259"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The Borrower promises to pay to the Agent for the account of each Lender interest on the unpaid principal amount of each Loan made by such Lender for the period from and including the date of the making of such Loan to but excluding the date such Loan shall be paid in full, at the following per annum rates: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during such periods as such Loan is a Base Rate Loan, at the Base Rate (as in effect from time to time) plus the Applicable Margin;</w:t>
      </w:r>
    </w:p>
    <w:p>
      <w:pPr>
        <w:spacing w:after="0" w:line="113" w:lineRule="exact"/>
        <w:rPr>
          <w:rFonts w:ascii="Arial" w:cs="Arial" w:eastAsia="Arial" w:hAnsi="Arial"/>
          <w:sz w:val="16"/>
          <w:szCs w:val="16"/>
          <w:color w:val="auto"/>
        </w:rPr>
      </w:pPr>
    </w:p>
    <w:p>
      <w:pPr>
        <w:ind w:left="460" w:right="560" w:firstLine="443"/>
        <w:spacing w:after="0" w:line="268" w:lineRule="auto"/>
        <w:tabs>
          <w:tab w:leader="none" w:pos="115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during such periods as such Loan is a LIBOR Loan, at the Adjusted Eurodollar Rate for such Loan for the Interest Period therefor plus the Applicable Margin;</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205"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such Loan is an Absolute Rate Loan, at the Absolute Rate for such Loan, as applicable, for the Interest Period therefor quoted by the Lender making such Loan in accordance with Section 2.2.;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such Loan is a LIBOR Margin Loan, at LIBOR for such Loan for the Interest Period therefor, plus (or minus) the LIBOR Margin quoted by the Lender making such Loan in accordance with Section 2.2.</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Notwithstanding the foregoing, during the continuance of an Event of Default, the Borrower shall pay to the Agent for the account of each Lender interest at the Post-Default Rate on the outstanding principal amount of any Loan made by such Lender, on all due and unpaid Reimbursement Obligations and on any other amount payable by the Borrower hereunder or under the Notes held by such Lender to or for the account of such Lender (including, without limitation, accrued but unpaid interest to the extent permitted under Applicable Law).</w:t>
      </w:r>
    </w:p>
    <w:p>
      <w:pPr>
        <w:spacing w:after="0" w:line="143" w:lineRule="exact"/>
        <w:rPr>
          <w:sz w:val="20"/>
          <w:szCs w:val="20"/>
          <w:color w:val="auto"/>
        </w:rPr>
      </w:pPr>
    </w:p>
    <w:p>
      <w:pPr>
        <w:ind w:right="20" w:firstLine="464"/>
        <w:spacing w:after="0" w:line="312" w:lineRule="auto"/>
        <w:tabs>
          <w:tab w:leader="none" w:pos="705"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Payment of Interest</w:t>
      </w:r>
      <w:r>
        <w:rPr>
          <w:rFonts w:ascii="Arial" w:cs="Arial" w:eastAsia="Arial" w:hAnsi="Arial"/>
          <w:sz w:val="15"/>
          <w:szCs w:val="15"/>
          <w:color w:val="auto"/>
        </w:rPr>
        <w:t>. Accrued and unpaid interest on each Loan shall be payable (i) in the case of a Base Rate Loan, monthly in arrears on the first day of each calendar month, (ii) in the case of a LIBOR Loan or a Bid Rate Loan, in arrears on the last day of each Interest Period therefor, and, if such Interest Period is longer than three months, at three-month intervals following the first day of such Interest Period, and (iii) in the case of any Loan, in arrears upon the payment, prepayment or Continuation thereof or the Conversion of such Loan to a Loan of another Type (but only on the principal amount so paid, prepaid, Continued or Converted). Interest payable at the Post-Default Rate shall be payable from time to time on demand. Promptly after the determination of any interest rate provided for herein or any change therein, the Agent shall give notice thereof to the Lenders to which such interest is payable and to the Borrower. All determinations by the Agent of an interest rate hereunder shall be conclusive and binding on the Lenders and the Borrower for all purposes, absent manifest error.</w:t>
      </w:r>
    </w:p>
    <w:p>
      <w:pPr>
        <w:spacing w:after="0" w:line="105" w:lineRule="exact"/>
        <w:rPr>
          <w:rFonts w:ascii="Arial" w:cs="Arial" w:eastAsia="Arial" w:hAnsi="Arial"/>
          <w:sz w:val="15"/>
          <w:szCs w:val="15"/>
          <w:color w:val="auto"/>
        </w:rPr>
      </w:pPr>
    </w:p>
    <w:p>
      <w:pPr>
        <w:ind w:right="160" w:firstLine="464"/>
        <w:spacing w:after="0" w:line="306"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Ratings Change</w:t>
      </w:r>
      <w:r>
        <w:rPr>
          <w:rFonts w:ascii="Arial" w:cs="Arial" w:eastAsia="Arial" w:hAnsi="Arial"/>
          <w:sz w:val="16"/>
          <w:szCs w:val="16"/>
          <w:color w:val="auto"/>
        </w:rPr>
        <w:t>. If the Applicable Margin shall change as a result of a change in the Borrower’s Credit Rating and then within a 90-day period change back to the Applicable Margin in effect at the beginning of such period as a result of another change in such Credit Rating, and (i) if the initial change in the Applicable Margin was an increase, then the Borrower will receive as a credit against its Obligations for the period during which the increase existed</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20"/>
          </w:cols>
          <w:pgMar w:left="240" w:top="274" w:right="239" w:bottom="1440" w:gutter="0" w:footer="0" w:header="0"/>
        </w:sectPr>
      </w:pPr>
    </w:p>
    <w:bookmarkStart w:id="71" w:name="page72"/>
    <w:bookmarkEnd w:id="71"/>
    <w:p>
      <w:pPr>
        <w:jc w:val="both"/>
        <w:ind w:right="320" w:firstLine="8"/>
        <w:spacing w:after="0" w:line="298"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incremental interest expense with respect to the Loans the interest rate on which included the Applicable Margin and (y) any incremental Facility Fee expense and (ii) if the initial change in the Applicable Margin was a decrease, then the Borrower shall promptly pay to the Agent for the ratable benefit of the Lenders for the period during which the increase existed determined as if such decrease had not occurred (x) additional interest with respect to the Loans the interest rate on which included the Applicable Margin and (y) additional Facility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Number of Interest Periods.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may be no more than 12 different Interest Periods for Revolving Loans and Bid Rate Loans, collectively, outstanding at the same time (for which purpose Interest Periods described in different lettered clauses of the definition of the term “Interest Period” shall be deemed to be different Interest Periods even if they are coterminous).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Repayment of Loans.</w:t>
      </w:r>
    </w:p>
    <w:p>
      <w:pPr>
        <w:spacing w:after="0" w:line="96" w:lineRule="exact"/>
        <w:rPr>
          <w:sz w:val="20"/>
          <w:szCs w:val="20"/>
          <w:color w:val="auto"/>
        </w:rPr>
      </w:pPr>
    </w:p>
    <w:p>
      <w:pPr>
        <w:ind w:right="120" w:firstLine="464"/>
        <w:spacing w:after="0" w:line="268"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Borrower shall repay the entire outstanding principal amount of, and all accrued but unpaid interest on, the Revolving Loans on the Termination Date.</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Bid Rate Loans</w:t>
      </w:r>
      <w:r>
        <w:rPr>
          <w:rFonts w:ascii="Arial" w:cs="Arial" w:eastAsia="Arial" w:hAnsi="Arial"/>
          <w:sz w:val="18"/>
          <w:szCs w:val="18"/>
          <w:color w:val="auto"/>
        </w:rPr>
        <w:t>. The Borrower shall repay the entire outstanding principal amount of, and all accrued but unpaid interest on, each Bid Rate Loan on the last day of the Interest Period of such Bid Rate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Prepayments.</w:t>
      </w:r>
    </w:p>
    <w:p>
      <w:pPr>
        <w:spacing w:after="0" w:line="96" w:lineRule="exact"/>
        <w:rPr>
          <w:sz w:val="20"/>
          <w:szCs w:val="20"/>
          <w:color w:val="auto"/>
        </w:rPr>
      </w:pPr>
    </w:p>
    <w:p>
      <w:pPr>
        <w:jc w:val="both"/>
        <w:ind w:right="160" w:firstLine="464"/>
        <w:spacing w:after="0" w:line="298"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Subject to Section 4.4., the Borrower may prepay any Revolving Loan or Swingline Loan at any time without premium or penalty. Bid Rate Loans may not be prepaid without the prior written consent of the Lender to whom such Bid Rate Loan is owed; provided, however, subject to Section 4.4., the Borrower may prepay all outstanding Bid Rate Loans in connection with the Borrower’s termination of all Commitments pursuant to Section 2.12. and the repayment of all Obligations in full. The Borrower shall give the Agent at least one Business Day’s prior written notice of the prepayment of any Loan.</w:t>
      </w:r>
    </w:p>
    <w:p>
      <w:pPr>
        <w:spacing w:after="0" w:line="112" w:lineRule="exact"/>
        <w:rPr>
          <w:rFonts w:ascii="Arial" w:cs="Arial" w:eastAsia="Arial" w:hAnsi="Arial"/>
          <w:sz w:val="16"/>
          <w:szCs w:val="16"/>
          <w:color w:val="auto"/>
        </w:rPr>
      </w:pPr>
    </w:p>
    <w:p>
      <w:pPr>
        <w:ind w:firstLine="464"/>
        <w:spacing w:after="0" w:line="290"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Mandatory</w:t>
      </w:r>
      <w:r>
        <w:rPr>
          <w:rFonts w:ascii="Arial" w:cs="Arial" w:eastAsia="Arial" w:hAnsi="Arial"/>
          <w:sz w:val="16"/>
          <w:szCs w:val="16"/>
          <w:color w:val="auto"/>
        </w:rPr>
        <w:t>. If at any time the aggregate principal amount of all outstanding Revolving Loans, together with the aggregate amount of all Letter of Credit Liabilities, the aggregate principal amount of all outstanding Bid Rate Loans and the aggregate principal amount of all outstanding Swingline Loans, exceeds the aggregate amount of the Commitments in effect at such time, the Borrower shall immediately pay to the Agent for the accounts of the Lenders the amount of such excess. Such payment shall be applied to pay all amounts of principal outstanding on the Loans and any due and unpaid Reimbursement Obligations pro rata in accordance with Section 3.2. and if any Letters of Credit are outstanding at such time, the remainder, if any, shall be deposited into the Collateral Account for application to any Reimbursement Obligations. If the Borrower is required to pay any outstanding LIBOR Loans or Bid Rate Loans by reason of this Section prior to the end of the applicable Interest Period therefor, the Borrower shall pay all amounts due under Section 4.4.</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00"/>
          </w:cols>
          <w:pgMar w:left="240" w:top="280"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2.9. Continuation.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 long as no Event of Default shall exist, the Borrower may on any Business Day, with respect to any LIBOR Loan, elect to maintain such LIBOR Loan or any portion thereof as a LIBOR Loan by selecting a new Interest Period for such LIBOR Loan. Each new Interest Period selected under this Section shall commence on the last day of the immediately preceding Interest Period. Each selection of a new Interest Period shall be made by the Borrower giving to the Agent a Notice of Continuation not later than 11:00 a.m. on the third Business Day prior to the date of any such Continuation. Such notice by the Borrower of a Continuation shall be by telephone or telecopy, confirmed immediately in writing if by telephone, in the form of a Notice of Continuation, specifying (a) the proposed date of such Continuation, (b) the LIBOR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Agent shall notify each Lender holding any such Loan being Continued by telecopy, or other similar form of transmission, of the proposed Continuation. If the Borrower shall fail to select in a timely manner a new Interest Period for any LIBOR Loan in accordance with this Section, or if an Event of Default shall exist at the end of the current Interest Period of a LIBOR Loan, such Loan will automatically, on the last day of the current Interest Period therefor, Convert into a Base Rate Loan notwithstanding the first sentence of Section 2.10. or the Borrower’s failure to comply with any of the terms of such Section.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2.10. Conversion.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may on any Business Day, upon the Borrower’s giving of a Notice of Conversion to the Agent, Convert all or a portion of a Loan of one Type into a Loan of another Type; provided, however, a Base Rate Loan may not be Converted to a LIBOR Loan if an Event of Default shall exist. Any Conversion of a LIBOR Loan into a Base Rate Loan shall be made on, and only on, the last day of an Interest Period for such LIBOR Loan and, upon Conversion of a Base Rate Loan into a LIBOR Loan, the Borrower shall pay accrued interest to the date of Conversion on the principal amount so Converted. Each such Notice of Conversion shall be given not later than 11:00 a.m. on the date of any proposed Conversion into Base Rate Loans and on the third Business Day prior to the date of any proposed Conversion into LIBOR Loans. Promptly after receipt of a Notice of Conversion, the Agent shall notify each Lender holding a Loan being Converted by telecopy, or other similar form of transmission, of the proposed Conversion. Subject to the restrictions specified above, each Notice of Conversion shall be by telephone (confirmed immediately in writing) or telecopy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00"/>
          </w:cols>
          <w:pgMar w:left="240" w:top="274"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2.11. Notes.</w:t>
      </w:r>
    </w:p>
    <w:p>
      <w:pPr>
        <w:spacing w:after="0" w:line="96" w:lineRule="exact"/>
        <w:rPr>
          <w:sz w:val="20"/>
          <w:szCs w:val="20"/>
          <w:color w:val="auto"/>
        </w:rPr>
      </w:pPr>
    </w:p>
    <w:p>
      <w:pPr>
        <w:ind w:right="40" w:firstLine="464"/>
        <w:spacing w:after="0" w:line="259"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Revolving Note</w:t>
      </w:r>
      <w:r>
        <w:rPr>
          <w:rFonts w:ascii="Arial" w:cs="Arial" w:eastAsia="Arial" w:hAnsi="Arial"/>
          <w:sz w:val="18"/>
          <w:szCs w:val="18"/>
          <w:color w:val="auto"/>
        </w:rPr>
        <w:t xml:space="preserve">. The Revolving Loans made by each Lender shall, in addition to this Agreement, also be evidenced by a promissory note of the Borrower substantially in the form of Exhibit K (each a </w:t>
      </w:r>
      <w:r>
        <w:rPr>
          <w:rFonts w:ascii="Arial" w:cs="Arial" w:eastAsia="Arial" w:hAnsi="Arial"/>
          <w:sz w:val="18"/>
          <w:szCs w:val="18"/>
          <w:b w:val="1"/>
          <w:bCs w:val="1"/>
          <w:color w:val="auto"/>
        </w:rPr>
        <w:t>“Revolving Note”</w:t>
      </w:r>
      <w:r>
        <w:rPr>
          <w:rFonts w:ascii="Arial" w:cs="Arial" w:eastAsia="Arial" w:hAnsi="Arial"/>
          <w:sz w:val="18"/>
          <w:szCs w:val="18"/>
          <w:color w:val="auto"/>
        </w:rPr>
        <w:t>), payable to the order of such Lender in a principal amount equal to the amount of its Commitment as originally in effect and otherwise duly completed.</w:t>
      </w:r>
    </w:p>
    <w:p>
      <w:pPr>
        <w:spacing w:after="0" w:line="140" w:lineRule="exact"/>
        <w:rPr>
          <w:rFonts w:ascii="Arial" w:cs="Arial" w:eastAsia="Arial" w:hAnsi="Arial"/>
          <w:sz w:val="18"/>
          <w:szCs w:val="18"/>
          <w:color w:val="auto"/>
        </w:rPr>
      </w:pPr>
    </w:p>
    <w:p>
      <w:pPr>
        <w:ind w:right="20" w:firstLine="464"/>
        <w:spacing w:after="0" w:line="332"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Bid Rate Notes</w:t>
      </w:r>
      <w:r>
        <w:rPr>
          <w:rFonts w:ascii="Arial" w:cs="Arial" w:eastAsia="Arial" w:hAnsi="Arial"/>
          <w:sz w:val="16"/>
          <w:szCs w:val="16"/>
          <w:color w:val="auto"/>
        </w:rPr>
        <w:t xml:space="preserve">. The Bid Rate Loans made by any Lender shall, in addition to this Agreement, also be evidenced by a promissory note of the Borrower substantially in the form of Exhibit L (each a </w:t>
      </w:r>
      <w:r>
        <w:rPr>
          <w:rFonts w:ascii="Arial" w:cs="Arial" w:eastAsia="Arial" w:hAnsi="Arial"/>
          <w:sz w:val="16"/>
          <w:szCs w:val="16"/>
          <w:b w:val="1"/>
          <w:bCs w:val="1"/>
          <w:color w:val="auto"/>
        </w:rPr>
        <w:t>“Bid Rate Note”</w:t>
      </w:r>
      <w:r>
        <w:rPr>
          <w:rFonts w:ascii="Arial" w:cs="Arial" w:eastAsia="Arial" w:hAnsi="Arial"/>
          <w:sz w:val="16"/>
          <w:szCs w:val="16"/>
          <w:color w:val="auto"/>
        </w:rPr>
        <w:t>), payable to the order of such Lender and otherwise duly completed.</w:t>
      </w:r>
    </w:p>
    <w:p>
      <w:pPr>
        <w:spacing w:after="0" w:line="85" w:lineRule="exact"/>
        <w:rPr>
          <w:rFonts w:ascii="Arial" w:cs="Arial" w:eastAsia="Arial" w:hAnsi="Arial"/>
          <w:sz w:val="16"/>
          <w:szCs w:val="16"/>
          <w:color w:val="auto"/>
        </w:rPr>
      </w:pPr>
    </w:p>
    <w:p>
      <w:pPr>
        <w:jc w:val="both"/>
        <w:ind w:right="80" w:firstLine="464"/>
        <w:spacing w:after="0" w:line="256"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The date, amount, interest rate, Type and duration of Interest Periods (if applicable) of each Loan made by each Lender to the Borrower, and each payment made on account of the principal thereof, shall be recorded by such Lender on its books and such entries shall be binding on the Borrower, absent manifest error; provided, however, that the failure of a Lender to make any such record shall not affect the obligations of the Borrower under any of the Loan Documents.</w:t>
      </w:r>
    </w:p>
    <w:p>
      <w:pPr>
        <w:spacing w:after="0" w:line="143"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Lost, Stolen, Destroyed or Mutilated Notes</w:t>
      </w:r>
      <w:r>
        <w:rPr>
          <w:rFonts w:ascii="Arial" w:cs="Arial" w:eastAsia="Arial" w:hAnsi="Arial"/>
          <w:sz w:val="16"/>
          <w:szCs w:val="16"/>
          <w:color w:val="auto"/>
        </w:rPr>
        <w:t>. Upon receipt by the Borrower of (i) written notice from a Lender that a Note of such Lender has been lost, stolen, destroyed or mutilated, and (ii) (A) in the case of loss, theft or destruction, an unsecured agreement of indemnity from such Lender in form reasonably satisfactory to the Borrower, or (B) in the case of mutilation, upon surrender and cancellation of such Note, the Borrower shall at the expense of such Lender execute and deliver to such Lender a new Note dated the date of such lost, stolen, destroyed or mutilated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2.12. Voluntary Reductions of the Commitments.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Borrower shall have the right to terminate or reduce the aggregate unused amount of the Commitments (for which purpose use of the Commitments shall be deemed to include the aggregate amount of Letter of Credit Liabilities and the aggregate principal amount of all outstanding Swingline Loans and Bid Rate Loans) at any time and from time to time without penalty or premium upon not less than 5 Business Days prior written notice to the Agent of each such termination or reduction, which notice shall specify the effective date thereof and the amount of any such reduction and shall be irrevocable once given and effective only upon receipt by the Agent; provided, however, (i) no reduction of the Commitments shall be permitted if such reduction would result in a violation of Section 2.15. and (ii) if the Borrower seeks to reduce the aggregate amount of the Commitments below $150,000,000, then the Commitments, the L/C Commitment and the Swingline Commitment shall all automatically and permanently be reduced to zero. The Agent will promptly transmit such notice to each Lender. The Commitments, once terminated or reduced may not be increased or reinstated.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320"/>
          </w:cols>
          <w:pgMar w:left="240" w:top="27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2.13. Extension of Termination Date.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Borrower shall have the right, exercisable one time, to extend the Termination Date for one year. The Borrower may exercise such right only by executing and delivering to the Agent at least 90 days but not more than 180 days prior to the current Termination Date, a written request for such extension (an </w:t>
      </w:r>
      <w:r>
        <w:rPr>
          <w:rFonts w:ascii="Arial" w:cs="Arial" w:eastAsia="Arial" w:hAnsi="Arial"/>
          <w:sz w:val="16"/>
          <w:szCs w:val="16"/>
          <w:b w:val="1"/>
          <w:bCs w:val="1"/>
          <w:color w:val="auto"/>
        </w:rPr>
        <w:t>“Extension Request”</w:t>
      </w:r>
      <w:r>
        <w:rPr>
          <w:rFonts w:ascii="Arial" w:cs="Arial" w:eastAsia="Arial" w:hAnsi="Arial"/>
          <w:sz w:val="16"/>
          <w:szCs w:val="16"/>
          <w:color w:val="auto"/>
        </w:rPr>
        <w:t>). The Agent shall forward to each Lender a copy of the Extension Request delivered to the Agent promptly upon receipt thereof.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the following conditions, the Termination Date shall be extended for one year effective upon receipt of the Extension Request and payment of the fee referred to in the following clause (b): (a) immediately prior to such extension and immediately after giving effect thereto, (i) no Default or Event of Default shall exist and (ii) the representations and warranties made or deemed made by the Borrower and each other Loan Party in the Loan Documents to which any of them is a party shall be true and correct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and (b) the Borrower shall have paid the Fees payable under Section 3.6.(c).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2.14. Expiration or Maturity Date of Letters of Credit Past Termination Date.</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on the date the Commitments are terminated or reduced to zero (whether voluntarily, by reason of the occurrence of an Event of Default or otherwise), there are any Letters of Credit outstanding hereunder, the Borrower shall, on such date, pay to the Agent an amount of money equal to the Stated Amount of such Letter(s) of Credit for deposit into the Collateral Account.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2.15. Amount Limitations.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Notwithstanding any other term of this Agreement or any other Loan Document, no Lender shall be required to make a Loan (nor shall any Bid Rate Loan be made), the Agent shall not be required to issue a Letter of Credit and no reduction of the Commitments pursuant to Section 2.12. shall take effect, if immediately after the making of such Loan, the issuance of such Letter of Credit or such reduction in the Commitments:</w:t>
      </w:r>
    </w:p>
    <w:p>
      <w:pPr>
        <w:spacing w:after="0" w:line="107" w:lineRule="exact"/>
        <w:rPr>
          <w:sz w:val="20"/>
          <w:szCs w:val="20"/>
          <w:color w:val="auto"/>
        </w:rPr>
      </w:pPr>
    </w:p>
    <w:p>
      <w:pPr>
        <w:jc w:val="both"/>
        <w:ind w:firstLine="464"/>
        <w:spacing w:after="0" w:line="259"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principal amount of all outstanding Revolving Loans, together with the aggregate principal amount of all outstanding Bid Rate Loans, the aggregate principal amount of all outstanding Swingline Loans and the aggregate amount of all Letter of Credit Liabilities, would exceed the aggregate amount of the Commitments at such time; or</w:t>
      </w:r>
    </w:p>
    <w:p>
      <w:pPr>
        <w:spacing w:after="0" w:line="140"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all outstanding Bid Rate Loans would exceed 50% of the aggregate amount of the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Lenders may accept requests for Bid Rate Loans in an aggregate principal amount in excess of 50%, but not in excess of 75%, of the aggregate amount of the Commitments once per calendar quarter.</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380"/>
          </w:cols>
          <w:pgMar w:left="240" w:top="274"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2.16. Increase of Commitments.</w:t>
      </w:r>
    </w:p>
    <w:p>
      <w:pPr>
        <w:spacing w:after="0" w:line="96"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With the prior consent of the Agent, the Borrower shall have the right at any time and from time to time to request increases in the aggregate amount of the Commitments (provided that after giving effect to any increases in the Commitments pursuant to this Section, the aggregate amount of the Commitments may not exceed $500,000,000) by providing written notice to the Agent, which notice shall be irrevocable once given. Each such increase in the Commitments must be in an aggregate minimum amount of $10,000,000 and integral multiples of $1,000,000 in excess thereof. No Lender shall be required to increase its Commitment and any new Lender becoming a party to this Agreement in connection with any such requested increase must be an Eligible Assignee. If a new Lender becomes a party to this Agreement, or if any existing Lender agrees to increase its Commitment, such Lender shall on the date it becomes a Lender hereunder (or increases its Commitment, in the case of an existing Lender) (and as a condition thereto) purchase from the other Lenders its Commitment Percentage (or in the case of an existing Lender, the increase in the amount of its Commitment Percentage, in each case as determined after giving effect to the increase of Commitments) of any outstanding Revolving Loans and Letter of Credit Liabilities, by making available to the Agent for the account of such other Lenders at the Principal Office, in same day funds, an amount equal to the sum of (A) the portion of the outstanding principal amount of such Revolving Loans to be purchased by such Lender plus</w:t>
      </w:r>
    </w:p>
    <w:p>
      <w:pPr>
        <w:spacing w:after="0" w:line="4" w:lineRule="exact"/>
        <w:rPr>
          <w:sz w:val="20"/>
          <w:szCs w:val="20"/>
          <w:color w:val="auto"/>
        </w:rPr>
      </w:pPr>
    </w:p>
    <w:p>
      <w:pPr>
        <w:ind w:firstLine="8"/>
        <w:spacing w:after="0" w:line="285" w:lineRule="auto"/>
        <w:tabs>
          <w:tab w:leader="none" w:pos="27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aggregate amount of payments previously made by the other Lenders under Section 2.4.(j) which have not been repaid plus (C) interest accrued and unpaid to and as of such date on such portion of the outstanding principal amount of such Revolving Loans. The Borrower shall pay to the Lenders amounts payable, if any, to such Lenders under Section 4.4. as a result of the prepayment of any such Revolving Loans. In connection with any increase of the Commitments effected under this Section, (i) the Borrower shall deliver to the Agent such certificates, documents and opinions as the Agent on behalf of the Lenders may reasonably request to evidence the Borrower’s corporate authority to request such increase and each Guarantor’s corporate authority to guarantee such increase and (ii) (A) the Borrower shall certify to any Person to become a Lender or any Lender increasing the amount of its Commitment whether (x) a Default or Event of Default exists on the effective date of such increase and (y) any representation or warranty made or deemed made by the Borrower or any other Loan Party in any Loan Document to which any such Loan Party is a party is not true or correct on the effective date of such increase (except for representations or warranties which expressly relate solely to an earlier date) and (B) if a Default or Event of Default exists or any such representation or warranty is not true or correct on the effective date of such increase, any Person to become a Lender or any Lender to increase the amount of its Commitment may in its sole discretion elect not to do so. In connection with any increase in the aggregate amount of the Commitments pursuant to this subsection, (a) any Lender becoming a party hereto shall execute such documents and agreements as the Agent may reasonably request and (b) the Borrower shall make appropriate arrangements so that each new Lender, and any existing Lender increasing its Commitment, receives a new or replacement Note, as appropriate, in the amount of such Lender’s Commitment within 2 Business Days of the effectiveness of the applicable increase in the aggregate amount of Commitments.</w:t>
      </w:r>
    </w:p>
    <w:p>
      <w:pPr>
        <w:spacing w:after="0" w:line="108" w:lineRule="exact"/>
        <w:rPr>
          <w:rFonts w:ascii="Arial" w:cs="Arial" w:eastAsia="Arial" w:hAnsi="Arial"/>
          <w:sz w:val="16"/>
          <w:szCs w:val="16"/>
          <w:color w:val="auto"/>
        </w:rPr>
      </w:pPr>
    </w:p>
    <w:p>
      <w:pPr>
        <w:ind w:left="5620" w:hanging="96"/>
        <w:spacing w:after="0"/>
        <w:tabs>
          <w:tab w:leader="none" w:pos="5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00"/>
          </w:cols>
          <w:pgMar w:left="240" w:top="274"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Payments.</w:t>
      </w:r>
    </w:p>
    <w:p>
      <w:pPr>
        <w:spacing w:after="0" w:line="96" w:lineRule="exact"/>
        <w:rPr>
          <w:sz w:val="20"/>
          <w:szCs w:val="20"/>
          <w:color w:val="auto"/>
        </w:rPr>
      </w:pPr>
    </w:p>
    <w:p>
      <w:pPr>
        <w:ind w:right="60" w:firstLine="464"/>
        <w:spacing w:after="0" w:line="286"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Except to the extent otherwise provided herein, all payments of principal, interest and other amounts to be made by the Borrower under this Agreement or any other Loan Document shall be made in Dollars, in immediately available funds, without deduction, set-off or counterclaim, to the Agent at its Principal Office, not later than 2:00 p.m. on the date on which such payment shall become due (each such payment made after such time on such due date to be deemed to have been made on the next succeeding Business Day). Subject to Section 10.3., the Borrower may, at the time of making each payment under this Agreement or any Note, specify to the Agent the amounts payable by the Borrower hereunder to which such payment is to be applied and if the Borrower fails to so specify, any such payment shall be applied as provided in the immediately following subsection (b). Each payment received by the Agent for the account of a Lender under this Agreement or any Note shall be paid to such Lender at the applicable Lending Office of such Lender no later than 5:00 p.m. on the date of receipt. If the Agent fails to pay such amount to a Lender as provided in the previous sentence, the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be payable for the period of such extension.</w:t>
      </w:r>
    </w:p>
    <w:p>
      <w:pPr>
        <w:spacing w:after="0" w:line="127" w:lineRule="exact"/>
        <w:rPr>
          <w:rFonts w:ascii="Arial" w:cs="Arial" w:eastAsia="Arial" w:hAnsi="Arial"/>
          <w:sz w:val="16"/>
          <w:szCs w:val="16"/>
          <w:color w:val="auto"/>
        </w:rPr>
      </w:pPr>
    </w:p>
    <w:p>
      <w:pPr>
        <w:ind w:firstLine="464"/>
        <w:spacing w:after="0" w:line="256"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Order of Application of Principal Payments</w:t>
      </w:r>
      <w:r>
        <w:rPr>
          <w:rFonts w:ascii="Arial" w:cs="Arial" w:eastAsia="Arial" w:hAnsi="Arial"/>
          <w:sz w:val="18"/>
          <w:szCs w:val="18"/>
          <w:color w:val="auto"/>
        </w:rPr>
        <w:t>. Subject to Section 10.3., if at the time of the making of any principal payment hereunder the Borrower fails to specify to which amounts such principal payment is to be applied, such principal payment shall be applied in the following order and priority: first, to the Swingline Loans; second, to the Revolving Loans; and third, to the then outstanding Bid Rate Loans to the extent such Bid Rate Loans are then due and payable or may be prepaid pursuant to Section 2.8.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Pro Rata Treatment.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to the extent otherwise provided herein:</w:t>
      </w:r>
    </w:p>
    <w:p>
      <w:pPr>
        <w:spacing w:after="0" w:line="90" w:lineRule="exact"/>
        <w:rPr>
          <w:sz w:val="20"/>
          <w:szCs w:val="20"/>
          <w:color w:val="auto"/>
        </w:rPr>
      </w:pPr>
    </w:p>
    <w:p>
      <w:pPr>
        <w:ind w:right="400" w:firstLine="464"/>
        <w:spacing w:after="0" w:line="256"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borrowing of Revolving Loans under Section 2.1. (a), 2.3.(e) and 2.4.(e) shall be made from the Lenders, each payment of the fees under Section 3.6.(a), the first sentence of Section 3.6.(b) and Section 3.6.(c) shall be made for the account of the Lenders, and each termination or reduction of the amount of the Commitments under Section 2.12. shall be applied to the respective Commitments of the Lenders pro rata according to the amounts of their respective Commitments;</w:t>
      </w:r>
    </w:p>
    <w:p>
      <w:pPr>
        <w:spacing w:after="0" w:line="143" w:lineRule="exact"/>
        <w:rPr>
          <w:rFonts w:ascii="Arial" w:cs="Arial" w:eastAsia="Arial" w:hAnsi="Arial"/>
          <w:sz w:val="18"/>
          <w:szCs w:val="18"/>
          <w:color w:val="auto"/>
        </w:rPr>
      </w:pPr>
    </w:p>
    <w:p>
      <w:pPr>
        <w:ind w:right="60" w:firstLine="464"/>
        <w:spacing w:after="0" w:line="256"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payment or prepayment of principal of Revolving Loans by the Borrower shall be made for the account of the Lenders pro rata in accordance with the respective unpaid principal amounts of the Revolving Loans held by them, provided that if immediately prior to giving effect to any such payment in respect of any Revolving Loans the outstanding principal amount of the Revolving Loans shall not be held by the Lenders pro rata in accordance with their respective Commitments in effect at the time such Loans were made, then such payment shall be</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420"/>
          </w:cols>
          <w:pgMar w:left="240" w:top="274" w:right="239" w:bottom="1440" w:gutter="0" w:footer="0" w:header="0"/>
        </w:sectPr>
      </w:pPr>
    </w:p>
    <w:bookmarkStart w:id="77" w:name="page78"/>
    <w:bookmarkEnd w:id="77"/>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applied to the Revolving Loans in such manner as shall result, as nearly as is practicable, in the outstanding principal amount of the Revolving Loans being held by the Lenders pro rata in accordance with their respective Commitments;</w:t>
      </w:r>
    </w:p>
    <w:p>
      <w:pPr>
        <w:spacing w:after="0" w:line="132" w:lineRule="exact"/>
        <w:rPr>
          <w:sz w:val="20"/>
          <w:szCs w:val="20"/>
          <w:color w:val="auto"/>
        </w:rPr>
      </w:pPr>
    </w:p>
    <w:p>
      <w:pPr>
        <w:ind w:right="120" w:firstLine="464"/>
        <w:spacing w:after="0" w:line="268"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payment of interest on Revolving Loans by the Borrower shall be made for the account of the Lenders pro rata in accordance with the amounts of interest on such Loans then due and payable to the respective Lenders;</w:t>
      </w:r>
    </w:p>
    <w:p>
      <w:pPr>
        <w:spacing w:after="0" w:line="131" w:lineRule="exact"/>
        <w:rPr>
          <w:rFonts w:ascii="Arial" w:cs="Arial" w:eastAsia="Arial" w:hAnsi="Arial"/>
          <w:sz w:val="18"/>
          <w:szCs w:val="18"/>
          <w:color w:val="auto"/>
        </w:rPr>
      </w:pPr>
    </w:p>
    <w:p>
      <w:pPr>
        <w:ind w:firstLine="464"/>
        <w:spacing w:after="0" w:line="256"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Conversion and Continuation of Revolving Loans of a particular Type (other than Conversions provided for by Section 4.5.) shall be made pro rata among the Lenders according to the amounts of their respective Commitments (in the case of making of Revolving Loans) or their respective Revolving Loans (in the case of Conversions and Continuations of Revolving Loans) and the then current Interest Period for each Lender’s portion of each Loan of such Type shall be coterminous;</w:t>
      </w:r>
    </w:p>
    <w:p>
      <w:pPr>
        <w:spacing w:after="0" w:line="143" w:lineRule="exact"/>
        <w:rPr>
          <w:rFonts w:ascii="Arial" w:cs="Arial" w:eastAsia="Arial" w:hAnsi="Arial"/>
          <w:sz w:val="18"/>
          <w:szCs w:val="18"/>
          <w:color w:val="auto"/>
        </w:rPr>
      </w:pPr>
    </w:p>
    <w:p>
      <w:pPr>
        <w:ind w:right="480" w:firstLine="464"/>
        <w:spacing w:after="0" w:line="268"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Lenders’ participation in, and payment obligations in respect of, Letters of Credit under Section 2.4., shall be pro rata in accordance with their respective Commitments; and</w:t>
      </w:r>
    </w:p>
    <w:p>
      <w:pPr>
        <w:spacing w:after="0" w:line="131" w:lineRule="exact"/>
        <w:rPr>
          <w:rFonts w:ascii="Arial" w:cs="Arial" w:eastAsia="Arial" w:hAnsi="Arial"/>
          <w:sz w:val="18"/>
          <w:szCs w:val="18"/>
          <w:color w:val="auto"/>
        </w:rPr>
      </w:pPr>
    </w:p>
    <w:p>
      <w:pPr>
        <w:ind w:right="480" w:firstLine="464"/>
        <w:spacing w:after="0" w:line="268" w:lineRule="auto"/>
        <w:tabs>
          <w:tab w:leader="none" w:pos="6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Lenders’ participation in, and payment obligations in respect of, Swingline Loans under Section 2.3., shall be pro rata in accordance with their respective Commitments.</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payments of principal, interest, fees and other amounts in respect of the Swingline Loans shall be for the account of the Swingline Lender only (except to the extent any Lender shall have acquired a participating interest in any such Swingline Loan pursuant to Section 2.3.(e), in which case such payments shall be pro rata in accordance with such participating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Sharing of Payments, Etc.</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If a Lender shall obtain payment of any principal of, or interest on, any Loan made by it to the Borrower under this Agreement, or shall obtain payment on any other Obligation owing by the Borrower or other Loan Party through the exercise of any right of set-off, banker’s lien or counterclaim or similar right or otherwise or through voluntary prepayments directly to a Lender or other payments made by the Borrower to a Lender not in accordance with the terms of this Agreement and such payment should be distributed to the Lenders pro rata in accordance with Section 3.2. or Section 10.3.,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be incurred by such Lender in obtaining or preserving such benefit) pro rata in accordance with Section 3.2. or Section 10.3.,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pursuant to this Section may exercise all rights of set-off, banker’s lien, counterclaim or similar rights with respect to such participation as fully as if such Lender were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280" w:right="239" w:bottom="1440" w:gutter="0" w:footer="0" w:header="0"/>
        </w:sectPr>
      </w:pPr>
    </w:p>
    <w:bookmarkStart w:id="78" w:name="page79"/>
    <w:bookmarkEnd w:id="78"/>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Several Obligations.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Minimum Amounts.</w:t>
      </w:r>
    </w:p>
    <w:p>
      <w:pPr>
        <w:spacing w:after="0" w:line="96" w:lineRule="exact"/>
        <w:rPr>
          <w:sz w:val="20"/>
          <w:szCs w:val="20"/>
          <w:color w:val="auto"/>
        </w:rPr>
      </w:pPr>
    </w:p>
    <w:p>
      <w:pPr>
        <w:ind w:right="60" w:firstLine="464"/>
        <w:spacing w:after="0" w:line="306"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Borrowings and Conversions</w:t>
      </w:r>
      <w:r>
        <w:rPr>
          <w:rFonts w:ascii="Arial" w:cs="Arial" w:eastAsia="Arial" w:hAnsi="Arial"/>
          <w:sz w:val="16"/>
          <w:szCs w:val="16"/>
          <w:color w:val="auto"/>
        </w:rPr>
        <w:t>. Except as otherwise provided in Sections 2.3.(e) and 2.4.(e), each borrowing of Base Rate Loans shall be in an aggregate minimum amount of $1,000,000 and integral multiples of $500,000 in excess thereof. Each borrowing and each Conversion of LIBOR Loans shall be in an aggregate minimum amount of $1,000,000 and integral multiples of $1,000,000 in excess of that amount.</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Prepayments</w:t>
      </w:r>
      <w:r>
        <w:rPr>
          <w:rFonts w:ascii="Arial" w:cs="Arial" w:eastAsia="Arial" w:hAnsi="Arial"/>
          <w:sz w:val="16"/>
          <w:szCs w:val="16"/>
          <w:color w:val="auto"/>
        </w:rPr>
        <w:t>. Each voluntary prepayment of Revolving Loans shall be in an aggregate minimum amount of $1,000,000 and integral multiples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$100,000 in excess thereof (or, if less, the aggregate principal amount of Loans then outstanding).</w:t>
      </w:r>
    </w:p>
    <w:p>
      <w:pPr>
        <w:spacing w:after="0" w:line="165" w:lineRule="exact"/>
        <w:rPr>
          <w:sz w:val="20"/>
          <w:szCs w:val="20"/>
          <w:color w:val="auto"/>
        </w:rPr>
      </w:pPr>
    </w:p>
    <w:p>
      <w:pPr>
        <w:ind w:right="320" w:firstLine="464"/>
        <w:spacing w:after="0" w:line="268"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Reductions of Commitments</w:t>
      </w:r>
      <w:r>
        <w:rPr>
          <w:rFonts w:ascii="Arial" w:cs="Arial" w:eastAsia="Arial" w:hAnsi="Arial"/>
          <w:sz w:val="18"/>
          <w:szCs w:val="18"/>
          <w:color w:val="auto"/>
        </w:rPr>
        <w:t>. Each reduction of the Commitments under Section 2.12. shall be in an aggregate minimum amount of $5,000,000 and integral multiples of $1,000,000 in excess thereof.</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The initial Stated Amount of each Letter of Credit shall be at least $50,000.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Fees.</w:t>
      </w:r>
    </w:p>
    <w:p>
      <w:pPr>
        <w:spacing w:after="0" w:line="96" w:lineRule="exact"/>
        <w:rPr>
          <w:sz w:val="20"/>
          <w:szCs w:val="20"/>
          <w:color w:val="auto"/>
        </w:rPr>
      </w:pPr>
    </w:p>
    <w:p>
      <w:pPr>
        <w:jc w:val="both"/>
        <w:ind w:right="60" w:firstLine="464"/>
        <w:spacing w:after="0" w:line="298"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Revolving Facility Fees</w:t>
      </w:r>
      <w:r>
        <w:rPr>
          <w:rFonts w:ascii="Arial" w:cs="Arial" w:eastAsia="Arial" w:hAnsi="Arial"/>
          <w:sz w:val="16"/>
          <w:szCs w:val="16"/>
          <w:color w:val="auto"/>
        </w:rPr>
        <w:t>. The Borrower agrees to pay to the Agent for the account of each Lender a facility fee equal to the average daily amount of the Commitment of such Lender (whether or not utilized) times the Facility Fee for the period from and including the Agreement Date to but excluding the date such Commitment is terminated or reduced to zero or the Termination Date, such fee to be paid in arrears on (i) the last day of March, June, September and December in each year, (ii) the date of each reduction in the Commitments (but only on the amount of the reduction) and (iii) on the Termination Date.</w:t>
      </w:r>
    </w:p>
    <w:p>
      <w:pPr>
        <w:spacing w:after="0" w:line="112" w:lineRule="exact"/>
        <w:rPr>
          <w:rFonts w:ascii="Arial" w:cs="Arial" w:eastAsia="Arial" w:hAnsi="Arial"/>
          <w:sz w:val="16"/>
          <w:szCs w:val="16"/>
          <w:color w:val="auto"/>
        </w:rPr>
      </w:pPr>
    </w:p>
    <w:p>
      <w:pPr>
        <w:ind w:right="300" w:firstLine="464"/>
        <w:spacing w:after="0" w:line="306"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 agrees to pay to the Agent for the account of each Lender a letter of credit fee at a rate per annum equal to the Applicable Margin for LIBOR Loans times the daily average Stated Amount of each Letter of Credit for the period from and including the date of issuance of such Letter of Credit (x) through and including the date such Letter of Credit expires or is terminated or (y) to but excluding the date such Letter of Credit is</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00"/>
          </w:cols>
          <w:pgMar w:left="240" w:top="280" w:right="259" w:bottom="1440" w:gutter="0" w:footer="0" w:header="0"/>
        </w:sectPr>
      </w:pPr>
    </w:p>
    <w:bookmarkStart w:id="79" w:name="page80"/>
    <w:bookmarkEnd w:id="7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drawn in full and is not subject to reinstatement, as the case may be. The fees provided for in the immediately preceding sentence shall be nonrefundable and payable in arrears on (i) the last day of March, June, September and December in each year, (ii) the Termination Date, (iii) the date the Commitments are terminated or reduced to zero and (iv) following the occurrence of the events referred to in either the preceding clause (ii) or (iii), from time to time on demand of the Agent. in addition, the Borrower shall pay to the Agent for its own account and not the account of any Lender, an issuance fee in respect of each Letter of Credit equal to the greater of (i) $500 or (ii) one-eighth of one percent (0.125%) per annum on the initial Stated Amount of such Letter of Credit payable (A) for the period from and including the date of issuance of such Letter of Credit through and including the expiration date of such Letter of Credit and (B) if the expiration date of any Letter of Credit is extended (whether as a result of the operation of an automatic extension clause or otherwise), for the period from but excluding the previous expiration date to and including the extended expiration date. The fees provided for in the immediately preceding sentence shall be nonrefundable and payable upon issuance (or in the case of an extension of the expiration date, on the previous expiration date). The Borrower shall pay directly to the Agent from time to time on demand all commissions, charges, costs and expenses in the amounts customarily charged by the Agent from time to time in like circumstances with respect to the issuance of each Letter of Credit, drawings, amendments and other transactions relating thereto.</w:t>
      </w:r>
    </w:p>
    <w:p>
      <w:pPr>
        <w:spacing w:after="0" w:line="127" w:lineRule="exact"/>
        <w:rPr>
          <w:sz w:val="20"/>
          <w:szCs w:val="20"/>
          <w:color w:val="auto"/>
        </w:rPr>
      </w:pPr>
    </w:p>
    <w:p>
      <w:pPr>
        <w:jc w:val="both"/>
        <w:ind w:right="220" w:firstLine="464"/>
        <w:spacing w:after="0" w:line="306"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Extension Fee</w:t>
      </w:r>
      <w:r>
        <w:rPr>
          <w:rFonts w:ascii="Arial" w:cs="Arial" w:eastAsia="Arial" w:hAnsi="Arial"/>
          <w:sz w:val="16"/>
          <w:szCs w:val="16"/>
          <w:color w:val="auto"/>
        </w:rPr>
        <w:t>. If the Borrower exercises its right to extend the Termination Date in accordance with Section 2.13., the Borrower agrees to pay to the Agent for the account of each Lender a fee equal to fifteen-one hundreths of one percent (0.15%) of the amount of such Lender’s Commitment (whether or not utilized) at the time of such extension. Such fee shall be due and payable in full on the date the Agent receives the Extension Request.</w:t>
      </w:r>
    </w:p>
    <w:p>
      <w:pPr>
        <w:spacing w:after="0" w:line="106" w:lineRule="exact"/>
        <w:rPr>
          <w:rFonts w:ascii="Arial" w:cs="Arial" w:eastAsia="Arial" w:hAnsi="Arial"/>
          <w:sz w:val="16"/>
          <w:szCs w:val="16"/>
          <w:color w:val="auto"/>
        </w:rPr>
      </w:pPr>
    </w:p>
    <w:p>
      <w:pPr>
        <w:ind w:right="560" w:firstLine="464"/>
        <w:spacing w:after="0" w:line="268"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Administrative and Other Fees</w:t>
      </w:r>
      <w:r>
        <w:rPr>
          <w:rFonts w:ascii="Arial" w:cs="Arial" w:eastAsia="Arial" w:hAnsi="Arial"/>
          <w:sz w:val="18"/>
          <w:szCs w:val="18"/>
          <w:color w:val="auto"/>
        </w:rPr>
        <w:t>. The Borrower agrees to pay the administrative and other fees of the Agent as may be agreed to in writing by the Borrower and the Agent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Computations.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otherwise expressly set forth herein, any accrued interest on any Loan, any Fees or any other Obligations due hereunder shall be computed on the basis of a year of 360 days and the actual number of days elapsed, except in the case of Base Rate Loans which shall be computed on the basis of a year of 365 or 366 days, as applicable, and the actual number of days elapsed.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Usury.</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except to the extent the payment thereof as principal would result in the payment of amounts under Section 4.4., in which case such amount shall be paid to the Borrower or whomever else may be legally entitled thereto. It is the express intent of the parties hereto that the Borrower not pay and the Lenders not receive, directly or indirectly, in any manner whatsoever, interest in excess of that which may be lawfully paid by the Borrower under Applicable Law.</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80"/>
          </w:cols>
          <w:pgMar w:left="240" w:top="280" w:right="2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3.9. Agreement Regarding Interest and Charges.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parties hereto hereby agree and stipulate that the only charge imposed upon the Borrower for the use of money in connection with this Agreement is and shall be the interest specifically described in Section 2.5.(a)(i) through (iv) and in Section 2.3.(c).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Agent or any Lender to third parties or for damages incurred by the Agent or any Lender, in each case in connection with the transactions contemplated by this Agreement and the other Loan Documents, are charges made to compensate the Agent or any such Lender for underwriting or administrative services and costs or losses performed or incurred, and to be performed or incurred, by the Agent and the Lenders in connection with this Agreement and shall under no circumstances be deemed to be charges for the use of money. All charges other than charges for the use of money shall be fully earned and nonrefundable when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Statements of Account.</w:t>
      </w:r>
    </w:p>
    <w:p>
      <w:pPr>
        <w:spacing w:after="0" w:line="96"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Agent will account to the Borrower monthly with a statement of Loans, Letters of Credit, accrued interest and Fees, charges and payments made pursuant to this Agreement and the other Loan Documents, and such account rendered by the Agent shall be deemed conclusive upon Borrower absent manifest error. The failure of the Agent to deliver such a statement of accounts shall not relieve or discharge the Borrower from any of its obligations hereunder.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Defaulting Lenders.</w:t>
      </w:r>
    </w:p>
    <w:p>
      <w:pPr>
        <w:spacing w:after="0" w:line="90" w:lineRule="exact"/>
        <w:rPr>
          <w:sz w:val="20"/>
          <w:szCs w:val="20"/>
          <w:color w:val="auto"/>
        </w:rPr>
      </w:pPr>
    </w:p>
    <w:p>
      <w:pPr>
        <w:ind w:firstLine="464"/>
        <w:spacing w:after="0" w:line="288"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If for any reason any Lender (a </w:t>
      </w:r>
      <w:r>
        <w:rPr>
          <w:rFonts w:ascii="Arial" w:cs="Arial" w:eastAsia="Arial" w:hAnsi="Arial"/>
          <w:sz w:val="16"/>
          <w:szCs w:val="16"/>
          <w:b w:val="1"/>
          <w:bCs w:val="1"/>
          <w:color w:val="auto"/>
        </w:rPr>
        <w:t>“Defaulting Lender”</w:t>
      </w:r>
      <w:r>
        <w:rPr>
          <w:rFonts w:ascii="Arial" w:cs="Arial" w:eastAsia="Arial" w:hAnsi="Arial"/>
          <w:sz w:val="16"/>
          <w:szCs w:val="16"/>
          <w:color w:val="auto"/>
        </w:rPr>
        <w:t>) shall fail or refuse to perform any of its obligations under this Agreement or any other Loan Document to which it is a party within the time period specified for performance of such obligation or, if no time period is specified, if such failure or refusal continues for a period of two Business Days after notice from the Agent, then, in addition to the rights and remedies that may be available to the Agent or the Borrower under this Agreement or Applicable Law, such Defaulting Lender’s right to participate in the administration of the Loans, this Agreement and the other Loan Documents, including, without limitation, any right to vote in respect of, to consent to or to direct any action or inaction of the Agent or to be taken into account in the calculation of the Requisite Lenders, shall be suspended during the pendency of such failure or refusal. If a Lender is a Defaulting Lender because it has failed to make timely payment to the Agent of any amount required to be paid to the Agent hereunder (without giving effect to any notice or cure periods), in addition to other rights and remedies which the Agent or the Borrower may have under the immediately preceding provisions or otherwise, the Agent shall be entitled (i) to collect interest from such Defaulting Lender on such delinquent payment for the period from the date on which the payment was due until the date on which the payment is made, at the Federal Funds Rate, (ii) to withhold or setoff and to apply in satisfaction of the defaulted payment and any related</w:t>
      </w:r>
    </w:p>
    <w:p>
      <w:pPr>
        <w:spacing w:after="0" w:line="107" w:lineRule="exact"/>
        <w:rPr>
          <w:rFonts w:ascii="Arial" w:cs="Arial" w:eastAsia="Arial" w:hAnsi="Arial"/>
          <w:sz w:val="16"/>
          <w:szCs w:val="16"/>
          <w:color w:val="auto"/>
        </w:rPr>
      </w:pPr>
    </w:p>
    <w:p>
      <w:pPr>
        <w:ind w:left="5620" w:hanging="96"/>
        <w:spacing w:after="0"/>
        <w:tabs>
          <w:tab w:leader="none" w:pos="5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420"/>
          </w:cols>
          <w:pgMar w:left="240" w:top="274" w:right="239" w:bottom="1440" w:gutter="0" w:footer="0" w:header="0"/>
        </w:sectPr>
      </w:pPr>
    </w:p>
    <w:bookmarkStart w:id="81" w:name="page82"/>
    <w:bookmarkEnd w:id="81"/>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any amounts otherwise payable to such Defaulting Lender under this Agreement or any other Loan Document and (iii) to bring an action or suit against such Defaulting Lender in a court of competent jurisdiction to recover the defaulted amount and any related interest. Any amounts received by the Agent in respect of a Defaulting Lender’s Loans shall not be paid to such Defaulting Lender and shall be held uninvested by the Agent and either applied against the purchase price of such Loans under the following subsection (b) or paid to such Defaulting Lender upon the Defaulting Lender’s curing of its default.</w:t>
      </w:r>
    </w:p>
    <w:p>
      <w:pPr>
        <w:spacing w:after="0" w:line="113" w:lineRule="exact"/>
        <w:rPr>
          <w:sz w:val="20"/>
          <w:szCs w:val="20"/>
          <w:color w:val="auto"/>
        </w:rPr>
      </w:pPr>
    </w:p>
    <w:p>
      <w:pPr>
        <w:ind w:firstLine="464"/>
        <w:spacing w:after="0" w:line="284"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Purchase or Cancellation of Defaulting Lender’s Commitment</w:t>
      </w:r>
      <w:r>
        <w:rPr>
          <w:rFonts w:ascii="Arial" w:cs="Arial" w:eastAsia="Arial" w:hAnsi="Arial"/>
          <w:sz w:val="16"/>
          <w:szCs w:val="16"/>
          <w:color w:val="auto"/>
        </w:rPr>
        <w:t>. Any Lender who is not a Defaulting Lender shall have the right, but not the obligation, in its sole discretion, to acquire all of a Defaulting Lender’s Commitment. Any Lender desiring to exercise such right shall give written notice thereof to the Agent and the Borrower no sooner than 2 Business Days and not later than 5 Business Days after such Defaulting Lender became a Defaulting Lender. If more than one Lender exercises such right, each such Lender shall have the right to acquire an amount of such Defaulting Lender’s Commitment in proportion to the Commitments of the other Lenders exercising such right. If after such 5th Business Day, the Lenders have not elected to purchase all of the Commitment of such Defaulting Lender, then the Borrower may, by giving written notice thereof to the Agent, such Defaulting Lender and the other Lenders, either (i) demand that such Defaulting Lender assign its Commitment to an Eligible Assignee subject to and in accordance with the provisions of Section 12.5.(d) for the purchase price provided for below or (ii) terminate the Commitment of such Defaulting Lender, whereupon such Defaulting Lender shall no longer be a party hereto or have any rights or obligations hereunder or under any of the other Loan Documents. No party hereto shall have any obligation whatsoever to initiate any such replacement or to assist in finding an Eligible Assignee. Upon any such purchase or assignment, the Defaulting Lender’s interest in the Revolving Loans and its rights hereunder with respect thereto (but not its liability in respect thereof or under the Loan Documents or this Agreement to the extent the same relate to the period prior to the effective date of the purchase) shall terminate on the date of purchase, and the Defaulting Lender shall promptly execute all documents reasonably requested to surrender and transfer such interest to the purchaser or assignee thereof, including an appropriate Assignment and Acceptance Agreement and, notwithstanding Section l2.5.(d), shall pay to the Agent an assignment fee in the amount of $7,000. The purchase price for the Commitment of a Defaulting Lender shall be equal to the amount of the principal balance of the Revolving Loans outstanding and owed by the Borrower to the Defaulting Lender. Prior to payment of such purchase price to a Defaulting Lender, the Agent shall apply against such purchase price any amounts retained by the Agent pursuant to the last sentence of the immediately preceding subsection (a). The Defaulting Lender shall be entitled to receive amounts owed to it by the Borrower under the Loan Documents which accrued prior to the date of the default by the Defaulting Lender, to the extent the same are received by the Agent from or on behalf of the Borrower. There shall be no recourse against any Lender or the Agent for the payment of such sums except to the extent of the receipt of payments from any other party or in respect of the Loans.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3.12. Taxes.</w:t>
      </w:r>
    </w:p>
    <w:p>
      <w:pPr>
        <w:spacing w:after="0" w:line="96" w:lineRule="exact"/>
        <w:rPr>
          <w:sz w:val="20"/>
          <w:szCs w:val="20"/>
          <w:color w:val="auto"/>
        </w:rPr>
      </w:pPr>
    </w:p>
    <w:p>
      <w:pPr>
        <w:ind w:right="100" w:firstLine="464"/>
        <w:spacing w:after="0" w:line="268"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Taxes Generally</w:t>
      </w:r>
      <w:r>
        <w:rPr>
          <w:rFonts w:ascii="Arial" w:cs="Arial" w:eastAsia="Arial" w:hAnsi="Arial"/>
          <w:sz w:val="18"/>
          <w:szCs w:val="18"/>
          <w:color w:val="auto"/>
        </w:rPr>
        <w:t>. All payments by the Borrower of principal of, and interest on, the Loans and all other Obligations shall be made free and clear of and without deduction for any present or future excise, stamp or other taxes, fees, duties, levies, imposts, charges, deductions,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400"/>
          </w:cols>
          <w:pgMar w:left="240" w:top="280" w:right="259" w:bottom="1440" w:gutter="0" w:footer="0" w:header="0"/>
        </w:sectPr>
      </w:pPr>
    </w:p>
    <w:bookmarkStart w:id="82" w:name="page83"/>
    <w:bookmarkEnd w:id="82"/>
    <w:p>
      <w:pPr>
        <w:ind w:right="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withholdings or other charges of any nature whatsoever imposed by any taxing authority, but excluding (i) franchise taxes, (ii) any taxes (other than withholding taxes) with respect to the Agent or a Lender that would not be imposed but for a connection between the Agent or such Lender and the jurisdiction imposing such taxes (other than a connection arising solely by virtue of the activities of the Agent or such Lender pursuant to or in respect of this Agreement or any other Loan Document), (iii) any taxes imposed on or measured by any Lender’s assets, net income, gross receipts or branch profits, (iv) any withholding taxes payable with respect to payments hereunder or under any other Loan Document under Applicable Law as currently interpreted and applied as of the Agreement Date, and</w:t>
      </w:r>
    </w:p>
    <w:p>
      <w:pPr>
        <w:spacing w:after="0" w:line="2" w:lineRule="exact"/>
        <w:rPr>
          <w:sz w:val="20"/>
          <w:szCs w:val="20"/>
          <w:color w:val="auto"/>
        </w:rPr>
      </w:pPr>
    </w:p>
    <w:p>
      <w:pPr>
        <w:ind w:right="180" w:firstLine="8"/>
        <w:spacing w:after="0" w:line="302"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any taxes arising after the Agreement Date solely as a result of or attributable to a Lender changing its designated Lending Office after the date such Lender becomes a party hereto (such non-excluded items being collectively called </w:t>
      </w:r>
      <w:r>
        <w:rPr>
          <w:rFonts w:ascii="Arial" w:cs="Arial" w:eastAsia="Arial" w:hAnsi="Arial"/>
          <w:sz w:val="16"/>
          <w:szCs w:val="16"/>
          <w:b w:val="1"/>
          <w:bCs w:val="1"/>
          <w:color w:val="auto"/>
        </w:rPr>
        <w:t>“Taxes”</w:t>
      </w:r>
      <w:r>
        <w:rPr>
          <w:rFonts w:ascii="Arial" w:cs="Arial" w:eastAsia="Arial" w:hAnsi="Arial"/>
          <w:sz w:val="16"/>
          <w:szCs w:val="16"/>
          <w:color w:val="auto"/>
        </w:rPr>
        <w:t>). If any withholding or deduction from any payment to be made by the Borrower hereunder is required in respect of any Taxes pursuant to any Applicable Law, then the Borrower will:</w:t>
      </w:r>
    </w:p>
    <w:p>
      <w:pPr>
        <w:spacing w:after="0" w:line="28" w:lineRule="exact"/>
        <w:rPr>
          <w:rFonts w:ascii="Arial" w:cs="Arial" w:eastAsia="Arial" w:hAnsi="Arial"/>
          <w:sz w:val="16"/>
          <w:szCs w:val="16"/>
          <w:color w:val="auto"/>
        </w:rPr>
      </w:pPr>
    </w:p>
    <w:p>
      <w:pPr>
        <w:ind w:left="460" w:right="460" w:firstLine="443"/>
        <w:spacing w:after="0" w:line="268" w:lineRule="auto"/>
        <w:tabs>
          <w:tab w:leader="none" w:pos="1108" w:val="left"/>
        </w:tabs>
        <w:numPr>
          <w:ilvl w:val="2"/>
          <w:numId w:val="62"/>
        </w:numPr>
        <w:rPr>
          <w:rFonts w:ascii="Arial" w:cs="Arial" w:eastAsia="Arial" w:hAnsi="Arial"/>
          <w:sz w:val="18"/>
          <w:szCs w:val="18"/>
          <w:color w:val="auto"/>
        </w:rPr>
      </w:pPr>
      <w:r>
        <w:rPr>
          <w:rFonts w:ascii="Arial" w:cs="Arial" w:eastAsia="Arial" w:hAnsi="Arial"/>
          <w:sz w:val="18"/>
          <w:szCs w:val="18"/>
          <w:color w:val="auto"/>
        </w:rPr>
        <w:t>pay directly to the relevant Governmental Authority the full amount required to be so withheld or deducted prior to the date the same would become delinquent;</w:t>
      </w:r>
    </w:p>
    <w:p>
      <w:pPr>
        <w:spacing w:after="0" w:line="50" w:lineRule="exact"/>
        <w:rPr>
          <w:rFonts w:ascii="Arial" w:cs="Arial" w:eastAsia="Arial" w:hAnsi="Arial"/>
          <w:sz w:val="18"/>
          <w:szCs w:val="18"/>
          <w:color w:val="auto"/>
        </w:rPr>
      </w:pPr>
    </w:p>
    <w:p>
      <w:pPr>
        <w:ind w:left="460" w:right="980" w:firstLine="443"/>
        <w:spacing w:after="0" w:line="268" w:lineRule="auto"/>
        <w:tabs>
          <w:tab w:leader="none" w:pos="1157" w:val="left"/>
        </w:tabs>
        <w:numPr>
          <w:ilvl w:val="2"/>
          <w:numId w:val="62"/>
        </w:numPr>
        <w:rPr>
          <w:rFonts w:ascii="Arial" w:cs="Arial" w:eastAsia="Arial" w:hAnsi="Arial"/>
          <w:sz w:val="18"/>
          <w:szCs w:val="18"/>
          <w:color w:val="auto"/>
        </w:rPr>
      </w:pPr>
      <w:r>
        <w:rPr>
          <w:rFonts w:ascii="Arial" w:cs="Arial" w:eastAsia="Arial" w:hAnsi="Arial"/>
          <w:sz w:val="18"/>
          <w:szCs w:val="18"/>
          <w:color w:val="auto"/>
        </w:rPr>
        <w:t>promptly forward to the Agent an official receipt or other documentation satisfactory to the Agent evidencing such payment to such Governmental Authority; and</w:t>
      </w:r>
    </w:p>
    <w:p>
      <w:pPr>
        <w:spacing w:after="0" w:line="50" w:lineRule="exact"/>
        <w:rPr>
          <w:rFonts w:ascii="Arial" w:cs="Arial" w:eastAsia="Arial" w:hAnsi="Arial"/>
          <w:sz w:val="18"/>
          <w:szCs w:val="18"/>
          <w:color w:val="auto"/>
        </w:rPr>
      </w:pPr>
    </w:p>
    <w:p>
      <w:pPr>
        <w:ind w:left="460" w:right="200" w:firstLine="443"/>
        <w:spacing w:after="0" w:line="335" w:lineRule="auto"/>
        <w:tabs>
          <w:tab w:leader="none" w:pos="1205" w:val="left"/>
        </w:tabs>
        <w:numPr>
          <w:ilvl w:val="2"/>
          <w:numId w:val="62"/>
        </w:numPr>
        <w:rPr>
          <w:rFonts w:ascii="Arial" w:cs="Arial" w:eastAsia="Arial" w:hAnsi="Arial"/>
          <w:sz w:val="15"/>
          <w:szCs w:val="15"/>
          <w:color w:val="auto"/>
        </w:rPr>
      </w:pPr>
      <w:r>
        <w:rPr>
          <w:rFonts w:ascii="Arial" w:cs="Arial" w:eastAsia="Arial" w:hAnsi="Arial"/>
          <w:sz w:val="15"/>
          <w:szCs w:val="15"/>
          <w:color w:val="auto"/>
        </w:rPr>
        <w:t>without duplication of amounts paid pursuant to the immediately preceding clause (i), pay to the Agent for its account or the account of the applicable Lender, as the case may be, such additional amount or amounts as is necessary to ensure that the net amount actually received by the Agent or such Lender will equal the full amount that the Agent or such Lender would have received had no such withholding or deduction been required.</w:t>
      </w:r>
    </w:p>
    <w:p>
      <w:pPr>
        <w:spacing w:after="0" w:line="88" w:lineRule="exact"/>
        <w:rPr>
          <w:rFonts w:ascii="Arial" w:cs="Arial" w:eastAsia="Arial" w:hAnsi="Arial"/>
          <w:sz w:val="15"/>
          <w:szCs w:val="15"/>
          <w:color w:val="auto"/>
        </w:rPr>
      </w:pPr>
    </w:p>
    <w:p>
      <w:pPr>
        <w:jc w:val="both"/>
        <w:ind w:right="140" w:firstLine="464"/>
        <w:spacing w:after="0" w:line="303" w:lineRule="auto"/>
        <w:tabs>
          <w:tab w:leader="none" w:pos="705" w:val="left"/>
        </w:tabs>
        <w:numPr>
          <w:ilvl w:val="1"/>
          <w:numId w:val="62"/>
        </w:numPr>
        <w:rPr>
          <w:rFonts w:ascii="Arial" w:cs="Arial" w:eastAsia="Arial" w:hAnsi="Arial"/>
          <w:sz w:val="15"/>
          <w:szCs w:val="15"/>
          <w:color w:val="auto"/>
        </w:rPr>
      </w:pPr>
      <w:r>
        <w:rPr>
          <w:rFonts w:ascii="Arial" w:cs="Arial" w:eastAsia="Arial" w:hAnsi="Arial"/>
          <w:sz w:val="15"/>
          <w:szCs w:val="15"/>
          <w:u w:val="single" w:color="auto"/>
          <w:color w:val="auto"/>
        </w:rPr>
        <w:t>Tax Indemnification</w:t>
      </w:r>
      <w:r>
        <w:rPr>
          <w:rFonts w:ascii="Arial" w:cs="Arial" w:eastAsia="Arial" w:hAnsi="Arial"/>
          <w:sz w:val="15"/>
          <w:szCs w:val="15"/>
          <w:color w:val="auto"/>
        </w:rPr>
        <w:t>. If the Borrower fails to pay any Taxes when due to the appropriate Governmental Authority or fails to remit to the Agent, for its account or the account of the respective Lender, as the case may be, the required receipts or other required documentary evidence, the Borrower shall indemnify the Agent and the Lenders for any incremental Taxes, interest or penalties that may become payable by the Agent or any Lender as a result of any such failure.</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For purposes of this Section, a distribution hereunder by the Agent or any Lender to or for the account of any Lender shall be deemed a payment by the Borrower.</w:t>
      </w:r>
    </w:p>
    <w:p>
      <w:pPr>
        <w:spacing w:after="0" w:line="199" w:lineRule="exact"/>
        <w:rPr>
          <w:rFonts w:ascii="Arial" w:cs="Arial" w:eastAsia="Arial" w:hAnsi="Arial"/>
          <w:sz w:val="15"/>
          <w:szCs w:val="15"/>
          <w:color w:val="auto"/>
        </w:rPr>
      </w:pPr>
    </w:p>
    <w:p>
      <w:pPr>
        <w:ind w:right="40" w:firstLine="464"/>
        <w:spacing w:after="0" w:line="254" w:lineRule="auto"/>
        <w:tabs>
          <w:tab w:leader="none" w:pos="69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Tax Forms</w:t>
      </w:r>
      <w:r>
        <w:rPr>
          <w:rFonts w:ascii="Arial" w:cs="Arial" w:eastAsia="Arial" w:hAnsi="Arial"/>
          <w:sz w:val="18"/>
          <w:szCs w:val="18"/>
          <w:color w:val="auto"/>
        </w:rPr>
        <w:t>. Prior to the date that any Lender or Participant organized under the laws of a jurisdiction outside the United States of America becomes a party hereto, such Person shall deliver to the Borrower and the Agent such certificates, documents or other evidence, as required by the Internal Revenue Code or Treasury Regulations issued pursuant thereto (including Internal Revenue Service Forms W-8ECI and W-8BEN, as applicable, or appropriate successor forms), properly completed, currently effective and duly executed by such Lender or Participant establishing that payments to it hereunder and under the Notes are (i) not subject to United States Federal backup withholding tax and (ii) not subject to United States Federal withholding tax imposed under the Internal Revenue Code. Each such Lender or Participant</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3"/>
          <w:numId w:val="62"/>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400"/>
          </w:cols>
          <w:pgMar w:left="240" w:top="280" w:right="259" w:bottom="1440" w:gutter="0" w:footer="0" w:header="0"/>
        </w:sectPr>
      </w:pPr>
    </w:p>
    <w:bookmarkStart w:id="83" w:name="page84"/>
    <w:bookmarkEnd w:id="8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to the extent it may lawfully do so, (x) deliver further copies of such forms or other appropriate certifications on or before the date that any such forms expire or become obsolete and after the occurrence of any event requiring a change in the most recent form delivered to the Borrower or the Agent and (y) obtain such extensions of the time for filing, and renew such forms and certifications thereof, as may be reasonably requested by the Borrower or the Agent. The Borrower shall not be required to pay any amount pursuant to the last sentence of subsection (a) above (or in respect thereof, under subsection (b) above) to any Lender or Participant that is organized under the laws of a jurisdiction outside of the United States of America or the Agent, if it is organized under the laws of a jurisdiction outside of the United States of America, if such Lender, Participant or the Agent, as applicable, fails to comply with the requirements of this subsection. If any such Lender or Participant, to the extent it may lawfully do so, fails to deliver the above forms or other documentation, then the Agent may withhold from any payments to be made to such Lender under any of the Loan Documents such amounts as are required by the Internal Revenue Code. If any Governmental Authority asserts that the Agent did not properly withhold or backup withhold, as the case may be, any tax or other amount from payments made to or for the account of any Lender, such Lender shall indemnify the Agent therefor, including all penalties and interest, any taxes imposed by any jurisdiction on the amounts payable to the Agent under this Section, and costs and expenses (including all reasonable fees and disbursements of any law firm or other external counsel and the allocated cost of internal legal services and all disbursements of internal counsel) of the Agent. The obligation of the Lenders under this Section shall survive the termination of the Commitments, repayment of all Obligations and the resignation or replacement of the Agent.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 Y</w:t>
      </w:r>
      <w:r>
        <w:rPr>
          <w:rFonts w:ascii="Arial" w:cs="Arial" w:eastAsia="Arial" w:hAnsi="Arial"/>
          <w:sz w:val="14"/>
          <w:szCs w:val="14"/>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Additional Costs; Capital Adequacy.</w:t>
      </w:r>
    </w:p>
    <w:p>
      <w:pPr>
        <w:spacing w:after="0" w:line="96" w:lineRule="exact"/>
        <w:rPr>
          <w:sz w:val="20"/>
          <w:szCs w:val="20"/>
          <w:color w:val="auto"/>
        </w:rPr>
      </w:pPr>
    </w:p>
    <w:p>
      <w:pPr>
        <w:ind w:right="40" w:firstLine="464"/>
        <w:spacing w:after="0" w:line="282"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Additional Costs</w:t>
      </w:r>
      <w:r>
        <w:rPr>
          <w:rFonts w:ascii="Arial" w:cs="Arial" w:eastAsia="Arial" w:hAnsi="Arial"/>
          <w:sz w:val="16"/>
          <w:szCs w:val="16"/>
          <w:color w:val="auto"/>
        </w:rPr>
        <w:t xml:space="preserve">. The Borrower shall promptly pay to the Agent for the account of a Lender from time to time such amounts as such Lender may reasonably determine to be necessary to compensate such Lender for any costs incurred by such Lender that it determines are attributable to its making or maintaining of any LIBOR Loans or its obligation to make any LIBOR Loans hereunder, any reduction in any amount receivable by such Lender under this Agreement or any of the other Loan Documents in respect of any of such Loans or such obligation or the maintenance by such Lender of capital in respect of its Loans or its Commitment (such increases in costs and reductions in amounts receivable being herein called </w:t>
      </w:r>
      <w:r>
        <w:rPr>
          <w:rFonts w:ascii="Arial" w:cs="Arial" w:eastAsia="Arial" w:hAnsi="Arial"/>
          <w:sz w:val="16"/>
          <w:szCs w:val="16"/>
          <w:b w:val="1"/>
          <w:bCs w:val="1"/>
          <w:color w:val="auto"/>
        </w:rPr>
        <w:t>“Additional Costs”</w:t>
      </w:r>
      <w:r>
        <w:rPr>
          <w:rFonts w:ascii="Arial" w:cs="Arial" w:eastAsia="Arial" w:hAnsi="Arial"/>
          <w:sz w:val="16"/>
          <w:szCs w:val="16"/>
          <w:color w:val="auto"/>
        </w:rPr>
        <w:t>), to the extent resulting from any Regulatory Change that: (i) changes the basis of taxation of any amounts payable to such Lender under this Agreement or any of the other Loan Documents in respect of any of such Loans or its Commitment (other than taxes, fees, duties, levies, imposts, charges, deductions, withholdings or other charges which are excluded from the definition of Taxes pursuant to the first sentence of Section 3.12.(a) or payable as a result of failing to deliver forms required by</w:t>
      </w:r>
    </w:p>
    <w:p>
      <w:pPr>
        <w:spacing w:after="0" w:line="5" w:lineRule="exact"/>
        <w:rPr>
          <w:rFonts w:ascii="Arial" w:cs="Arial" w:eastAsia="Arial" w:hAnsi="Arial"/>
          <w:sz w:val="16"/>
          <w:szCs w:val="16"/>
          <w:color w:val="auto"/>
        </w:rPr>
      </w:pPr>
    </w:p>
    <w:p>
      <w:pPr>
        <w:ind w:right="120"/>
        <w:spacing w:after="0" w:line="295" w:lineRule="auto"/>
        <w:rPr>
          <w:rFonts w:ascii="Arial" w:cs="Arial" w:eastAsia="Arial" w:hAnsi="Arial"/>
          <w:sz w:val="16"/>
          <w:szCs w:val="16"/>
          <w:color w:val="auto"/>
        </w:rPr>
      </w:pPr>
      <w:r>
        <w:rPr>
          <w:rFonts w:ascii="Arial" w:cs="Arial" w:eastAsia="Arial" w:hAnsi="Arial"/>
          <w:sz w:val="16"/>
          <w:szCs w:val="16"/>
          <w:color w:val="auto"/>
        </w:rPr>
        <w:t>Section 3.12(c)); or (ii) imposes or modifies any reserve, special deposit or similar requirements (other than Regulation D of the Board of Governors of the Federal Reserve System or other reserve requirement to the extent utilized in the determination of the Adjusted Eurodollar Rate for such Loan) relating to any extensions of credit or other assets of, or any deposits with or other liabilities of, such Lender, or any commitment of such Lender (including, without limitation, the Commitment of such Lender hereunder); or (iii) has or would have the effect of reducing the rate of return on capital of such</w:t>
      </w:r>
    </w:p>
    <w:p>
      <w:pPr>
        <w:spacing w:after="0" w:line="101" w:lineRule="exact"/>
        <w:rPr>
          <w:rFonts w:ascii="Arial" w:cs="Arial" w:eastAsia="Arial" w:hAnsi="Arial"/>
          <w:sz w:val="16"/>
          <w:szCs w:val="16"/>
          <w:color w:val="auto"/>
        </w:rPr>
      </w:pPr>
    </w:p>
    <w:p>
      <w:pPr>
        <w:ind w:left="5620" w:hanging="96"/>
        <w:spacing w:after="0"/>
        <w:tabs>
          <w:tab w:leader="none" w:pos="5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400"/>
          </w:cols>
          <w:pgMar w:left="240" w:top="280" w:right="259" w:bottom="1440" w:gutter="0" w:footer="0" w:header="0"/>
        </w:sectPr>
      </w:pPr>
    </w:p>
    <w:bookmarkStart w:id="84" w:name="page85"/>
    <w:bookmarkEnd w:id="84"/>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 to a level below that which such Lender could have achieved but for such Regulatory Change (taking into consideration such Lender’s policies with respect to capital adequacy).</w:t>
      </w:r>
    </w:p>
    <w:p>
      <w:pPr>
        <w:spacing w:after="0" w:line="132" w:lineRule="exact"/>
        <w:rPr>
          <w:sz w:val="20"/>
          <w:szCs w:val="20"/>
          <w:color w:val="auto"/>
        </w:rPr>
      </w:pPr>
    </w:p>
    <w:p>
      <w:pPr>
        <w:ind w:right="40" w:firstLine="464"/>
        <w:spacing w:after="0" w:line="290"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Lender’s Suspension of LIBOR Loans</w:t>
      </w:r>
      <w:r>
        <w:rPr>
          <w:rFonts w:ascii="Arial" w:cs="Arial" w:eastAsia="Arial" w:hAnsi="Arial"/>
          <w:sz w:val="16"/>
          <w:szCs w:val="16"/>
          <w:color w:val="auto"/>
        </w:rPr>
        <w:t>. Without limiting the effect of the provisions of the immediately preceding subsection (a),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is determined as provided in this Agreement or a category of extensions of credit or other assets of such Lender that includes LIBOR Loans or (ii) becomes subject to restrictions on the amount of such a category of liabilities or assets that it may hold, then, if such Lender so elects by notice to the Borrower (with a copy to the Agent), the obligation of such Lender to make or Continue, or to Convert any other Type of Loans into, LIBOR Loans hereunder shall be suspended until such Regulatory Change ceases to be in effect (in which case the provisions of Section 4.5. shall apply).</w:t>
      </w:r>
    </w:p>
    <w:p>
      <w:pPr>
        <w:spacing w:after="0" w:line="118" w:lineRule="exact"/>
        <w:rPr>
          <w:rFonts w:ascii="Arial" w:cs="Arial" w:eastAsia="Arial" w:hAnsi="Arial"/>
          <w:sz w:val="16"/>
          <w:szCs w:val="16"/>
          <w:color w:val="auto"/>
        </w:rPr>
      </w:pPr>
    </w:p>
    <w:p>
      <w:pPr>
        <w:ind w:right="40" w:firstLine="464"/>
        <w:spacing w:after="0" w:line="289"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Additional Costs in Respect of Letters of Credit</w:t>
      </w:r>
      <w:r>
        <w:rPr>
          <w:rFonts w:ascii="Arial" w:cs="Arial" w:eastAsia="Arial" w:hAnsi="Arial"/>
          <w:sz w:val="16"/>
          <w:szCs w:val="16"/>
          <w:color w:val="auto"/>
        </w:rPr>
        <w:t>. Without limiting the obligations of the Borrower under the preceding subsections of this Section (but without duplication), if as a result of any Regulatory Change or any risk-based capital guideline or other requirement issued by any Governmental Authority there shall be imposed, modified or deemed applicable after the Agreement Date any tax, reserve, special deposit, capital adequacy or similar requirement against or with respect to or measured by reference to Letters of Credit and the result shall be to increase the cost to the Agent of issuing (or any Lender of purchasing participations in) or maintaining its obligation hereunder to issue (or purchase participations in) any Letter of Credit or reduce any amount receivable by the Agent or any Lender hereunder in respect of any Letter of Credit, then, upon demand by the Agent or such Lender, the Borrower shall pay promptly, and in any event within 3 Business Days of demand, to the Agent for its account or the account of such Lender, as applicable, from time to time as specified by the Agent or a Lender, such additional amounts as shall be sufficient to compensate the Agent or such Lender for such increased costs or reductions in amount.</w:t>
      </w:r>
    </w:p>
    <w:p>
      <w:pPr>
        <w:spacing w:after="0" w:line="118" w:lineRule="exact"/>
        <w:rPr>
          <w:rFonts w:ascii="Arial" w:cs="Arial" w:eastAsia="Arial" w:hAnsi="Arial"/>
          <w:sz w:val="16"/>
          <w:szCs w:val="16"/>
          <w:color w:val="auto"/>
        </w:rPr>
      </w:pPr>
    </w:p>
    <w:p>
      <w:pPr>
        <w:ind w:firstLine="464"/>
        <w:spacing w:after="0" w:line="288"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Notification and Determination of Additional Costs</w:t>
      </w:r>
      <w:r>
        <w:rPr>
          <w:rFonts w:ascii="Arial" w:cs="Arial" w:eastAsia="Arial" w:hAnsi="Arial"/>
          <w:sz w:val="16"/>
          <w:szCs w:val="16"/>
          <w:color w:val="auto"/>
        </w:rPr>
        <w:t>. Each of the Agent and each Lender agrees to notify the Borrower of any event occurring after the Agreement Date entitling the Agent or such Lender to compensation under any of the preceding subsections of this Section as promptly as practicable; provided, however, the failure of the Agent or any Lender to give such notice shall not release the Borrower from any of its obligations hereunder (and in the case of a Lender, to the Agent); provided further that no Lender shall be entitled to claim any additional cost, reduction in amounts, loss, tax or other additional amount under this Article IV if such Lender fails to provide such notice to the Borrower within 180 days of the date such Lender becomes aware of the occurrence of the event giving rise to the additional cost, reduction in amounts, loss, tax or other additional amount. The Agent or such Lender agrees to furnish to the Borrower (and in the case of a Lender, to the Agent) a certificate setting forth the basis and amount of each request by the Agent or such Lender for compensation under this Section. Absent manifest error, determinations by the Agent or any Lender of the effect of any Regulatory Change shall be conclusive, provided that such determinations are made on a reasonable basis and in good faith.</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20"/>
          </w:cols>
          <w:pgMar w:left="240" w:top="280"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4.2. Suspension of LIBOR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Anything herein to the contrary notwithstanding, if, on or prior to the determination of any Adjusted Eurodollar Rate for any Interest Period:</w:t>
      </w:r>
    </w:p>
    <w:p>
      <w:pPr>
        <w:spacing w:after="0" w:line="113" w:lineRule="exact"/>
        <w:rPr>
          <w:sz w:val="20"/>
          <w:szCs w:val="20"/>
          <w:color w:val="auto"/>
        </w:rPr>
      </w:pPr>
    </w:p>
    <w:p>
      <w:pPr>
        <w:ind w:left="460" w:right="620" w:firstLine="443"/>
        <w:spacing w:after="0" w:line="332" w:lineRule="auto"/>
        <w:tabs>
          <w:tab w:leader="none" w:pos="113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Agent reasonably determines (which determination shall be conclusive) that by reason of circumstances affecting the relevant market, adequate and reasonable means do not exist for ascertaining the Adjusted Eurodollar Rate for such Interest Period, or</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Agent reasonably determines (which determination shall be conclusive) that the Adjusted Eurodollar Rate will not adequately and fairly reflect the cost to the Lenders of making or maintaining LIBOR Loans for such Interest Period;</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then the Agent shall give the Borrower and each Lender prompt notice thereof and, so long as such condition remains in effect, the Lenders shall be under no obligation to, and shall not, make additional LIBOR Loans, Continue LIBOR Loans or Convert Loans into LIBOR Loans and the Borrower shall, on the last day of each current interest Period for each outstanding LIBOR Loan, either repay such Loan or Convert such Loan into a Base Rate Loan.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Illegality.</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Notwithstanding any other provision of this Agreement, if any Lender shall reasonably determine (which determination shall be conclusive and binding) that it has become unlawful after the Agreement Date for such Lender to honor its obligation to make or maintain LIBOR Loans hereunder, then such Lender shall promptly notify the Borrower thereof (with a copy to the Agent) and such Lender’s obligation to make or Continue, or to Convert Loans of any other Type into, LIBOR Loans shall be suspended until such time as such Lender may again make and maintain LIBOR Loans (in which case the provisions of Section 4.5. shall be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Compensation.</w:t>
      </w:r>
    </w:p>
    <w:p>
      <w:pPr>
        <w:spacing w:after="0" w:line="96" w:lineRule="exact"/>
        <w:rPr>
          <w:sz w:val="20"/>
          <w:szCs w:val="20"/>
          <w:color w:val="auto"/>
        </w:rPr>
      </w:pPr>
    </w:p>
    <w:p>
      <w:pPr>
        <w:ind w:right="160" w:firstLine="456"/>
        <w:spacing w:after="0" w:line="357" w:lineRule="auto"/>
        <w:rPr>
          <w:sz w:val="20"/>
          <w:szCs w:val="20"/>
          <w:color w:val="auto"/>
        </w:rPr>
      </w:pPr>
      <w:r>
        <w:rPr>
          <w:rFonts w:ascii="Arial" w:cs="Arial" w:eastAsia="Arial" w:hAnsi="Arial"/>
          <w:sz w:val="15"/>
          <w:szCs w:val="15"/>
          <w:color w:val="auto"/>
        </w:rPr>
        <w:t>The Borrower shall pay to the Agent for the account of each Lender, upon the request of such Lender through the Agent, such amount or amounts as shall be sufficient (in the reasonable opinion of such Lender) to compensate it for any loss, cost or expense that such Lender reasonably determines is attributable to:</w:t>
      </w:r>
    </w:p>
    <w:p>
      <w:pPr>
        <w:ind w:left="460" w:firstLine="443"/>
        <w:spacing w:after="0" w:line="332" w:lineRule="auto"/>
        <w:tabs>
          <w:tab w:leader="none" w:pos="1137"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payment or prepayment (whether mandatory or optional) of a LIBOR Loan or Bid Rate Loan, or Conversion of a LIBOR Loan, made by such Lender for any reason (including, without limitation, acceleration) on a date other than the last day of the Interest Period for such Loan; or</w:t>
      </w:r>
    </w:p>
    <w:p>
      <w:pPr>
        <w:spacing w:after="0" w:line="4"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failure by the Borrower for any reason (including, without limitation, the failure of any of the applicable conditions precedent specified in Article V. to be satisfied) to borrow a LIBOR Loan or Bid Rate Loan from such Lender on the requested date for such borrowing, or to Convert a Base Rate Loan into a LIBOR Loan or Continue a LIBOR Loan on the requested date of such Conversion or Continuation.</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420"/>
          </w:cols>
          <w:pgMar w:left="240" w:top="274" w:right="239" w:bottom="1440" w:gutter="0" w:footer="0" w:header="0"/>
        </w:sectPr>
      </w:pPr>
    </w:p>
    <w:bookmarkStart w:id="86" w:name="page87"/>
    <w:bookmarkEnd w:id="86"/>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Borrower’s request, any Lender requesting compensation under this Section shall provide the Borrower with a statement setting forth the basis for requesting such compensation and the method for determining the amount thereof. Absent manifest error, determinations by any Lender in any such statement shall be conclusive, provided that such determinations are made on a reasonable basis and in good faith.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Treatment of Affected Loans.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obligation of any Lender to make LIBOR Loans or to Continue, or to Convert Base Rate Loans into, LIBOR Loans shall be suspended pursuant to Section 4.1.(b), 4.2. or 4.3., then such Lender’s LIBOR Loans shall be automatically Converted into Base Rate Loans on the last day(s) of the then current Interest Period(s) for LIBOR Loans (or, in the case of a Conversion required by Section 4.l.(b) or 4.3., on such earlier date as such Lender may specify to the Borrower with a copy to the Agent) and, unless and until such Lender gives notice as provided below that the circumstances specified in Section 4.1. or 4.3. that gave rise to such Conversion no longer exist:</w:t>
      </w:r>
    </w:p>
    <w:p>
      <w:pPr>
        <w:spacing w:after="0" w:line="62" w:lineRule="exact"/>
        <w:rPr>
          <w:sz w:val="20"/>
          <w:szCs w:val="20"/>
          <w:color w:val="auto"/>
        </w:rPr>
      </w:pPr>
    </w:p>
    <w:p>
      <w:pPr>
        <w:ind w:left="460" w:right="500" w:firstLine="443"/>
        <w:spacing w:after="0" w:line="268" w:lineRule="auto"/>
        <w:tabs>
          <w:tab w:leader="none" w:pos="11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50" w:lineRule="exact"/>
        <w:rPr>
          <w:rFonts w:ascii="Arial" w:cs="Arial" w:eastAsia="Arial" w:hAnsi="Arial"/>
          <w:sz w:val="18"/>
          <w:szCs w:val="18"/>
          <w:color w:val="auto"/>
        </w:rPr>
      </w:pPr>
    </w:p>
    <w:p>
      <w:pPr>
        <w:ind w:left="460" w:right="180" w:firstLine="443"/>
        <w:spacing w:after="0" w:line="332" w:lineRule="auto"/>
        <w:tabs>
          <w:tab w:leader="none" w:pos="11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Loans that would otherwise be made or Continued by such Lender as LIBOR Loans shall be made or Continued instead as Base Rate Loans, and all Base Rate Loans of such Lender that would otherwise be Converted into LIBOR Loans shall remain as Base Rate Loans.</w:t>
      </w:r>
    </w:p>
    <w:p>
      <w:pPr>
        <w:spacing w:after="0" w:line="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such Lender gives notice to the Borrower (with a copy to the Agent) that the circumstances specified in Section 4.1. or 4.3. that gave rise to the Conversion of such Lender’s LIBOR Loans pursuant to this Section no longer exist (which such Lender agrees to do promptly upon such circumstances ceasing to exist) at a time when LIBOR Loans made by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their respective Commitments.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Change of Lending Office.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Lender agrees that it will file any certificate or document reasonably requested by the Borrower and use reasonable efforts to designate an alternate Lending Office with respect to any of its Loans affected by the matters or circumstances described in Sections 3.12., 4.1. or 4.3. to reduce the liability of the Borrower or avoid the results provided thereunder, so long as such filing or designation is not disadvantageous to such Lender as determined by such Lender in its sole discretion, except that any such Lender shall have no obligation to designate a Lending Office located in the United States of America if such Lender has no office in the United States of America at the time of designation.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20"/>
          </w:cols>
          <w:pgMar w:left="240" w:top="28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4.7. Assumptions Concerning Funding of LIBOR Loans.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Calculation of all amounts payable to a Lender under this Article IV.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 IV.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4.8. Affected Lenders.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If (a) a Lender requests compensation pursuant to Section 3.12. or 4.1., and the Requisite Lenders are not also doing the same, or (b) the obligation of any Lender to make LIBOR Loans or to Continue, or to Convert Base Rate Loans into, LIBOR Loans shall be suspended pursuant to Section 4.1.(b) or 4.3. but the obligation of the Requisite Lenders shall not have been suspended under such Sections, then, so long as there does not then exist any Event of Default, the Borrower may demand that such Lender (the </w:t>
      </w:r>
      <w:r>
        <w:rPr>
          <w:rFonts w:ascii="Arial" w:cs="Arial" w:eastAsia="Arial" w:hAnsi="Arial"/>
          <w:sz w:val="16"/>
          <w:szCs w:val="16"/>
          <w:b w:val="1"/>
          <w:bCs w:val="1"/>
          <w:color w:val="auto"/>
        </w:rPr>
        <w:t>“Affected Lender”</w:t>
      </w:r>
      <w:r>
        <w:rPr>
          <w:rFonts w:ascii="Arial" w:cs="Arial" w:eastAsia="Arial" w:hAnsi="Arial"/>
          <w:sz w:val="16"/>
          <w:szCs w:val="16"/>
          <w:color w:val="auto"/>
        </w:rPr>
        <w:t>), and upon such demand the Affected Lender shall promptly, assign its Commitment to an Eligible Assignee subject to and in accordance with the provisions of Section 12.5.(d) for a purchase price to be agreed upon by the Affected Lender and the Eligible Assignee. Each of the Agent and the Affected Lender shall reasonably cooperate in effectuating the replacement of such Affected Lender under this Section, but at no time shall the Agent, such Affected Lender nor any other Lender be obligated in any way whatsoever to initiate any such replacement or to assist in finding an Eligible Assignee. The exercise by the Borrower of its rights under this Section shall be at the Borrower’s sole cost and expenses and at no cost or expense to the Agent, the Affected Lender or any of the other Lenders. Subject to the proviso to Section 4.1(d), the terms of this Section shall not in any way limit the Borrower’s obligation to pay to any Affected Lender compensation owing to such Affected Lender pursuant to Section 3.12. or 4.1. for periods up to the date of replacement.</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Initial Conditions Precedent.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the Lenders to effect or permit the occurrence of the first Credit Event hereunder, whether as the making of a Loan or the issuance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is subject to the following conditions precedent:</w:t>
      </w:r>
    </w:p>
    <w:p>
      <w:pPr>
        <w:spacing w:after="0" w:line="84" w:lineRule="exact"/>
        <w:rPr>
          <w:sz w:val="20"/>
          <w:szCs w:val="20"/>
          <w:color w:val="auto"/>
        </w:rPr>
      </w:pPr>
    </w:p>
    <w:p>
      <w:pPr>
        <w:ind w:left="700" w:hanging="23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Agent shall have received each of the following, in form and substance satisfactory to the Agent: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Counterparts of this Agreement executed by each of the parties hereto;</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280"/>
          </w:cols>
          <w:pgMar w:left="240" w:top="274" w:right="379" w:bottom="1440" w:gutter="0" w:footer="0" w:header="0"/>
        </w:sectPr>
      </w:pPr>
    </w:p>
    <w:bookmarkStart w:id="88" w:name="page89"/>
    <w:bookmarkEnd w:id="88"/>
    <w:p>
      <w:pPr>
        <w:ind w:left="-443" w:firstLine="443"/>
        <w:spacing w:after="0" w:line="268" w:lineRule="auto"/>
        <w:tabs>
          <w:tab w:leader="none" w:pos="254"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Notes and Bid Rate Notes executed by the Borrower and complying with the applicable provisions of Section 2.11., and the Swingline Note executed by the Borrower;</w:t>
      </w:r>
    </w:p>
    <w:p>
      <w:pPr>
        <w:spacing w:after="0" w:line="50" w:lineRule="exact"/>
        <w:rPr>
          <w:rFonts w:ascii="Arial" w:cs="Arial" w:eastAsia="Arial" w:hAnsi="Arial"/>
          <w:sz w:val="18"/>
          <w:szCs w:val="18"/>
          <w:color w:val="auto"/>
        </w:rPr>
      </w:pPr>
    </w:p>
    <w:p>
      <w:pPr>
        <w:ind w:left="297" w:hanging="297"/>
        <w:spacing w:after="0"/>
        <w:tabs>
          <w:tab w:leader="none" w:pos="2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Guaranty executed by each Guarantor existing as of the Effective Date;</w:t>
      </w:r>
    </w:p>
    <w:p>
      <w:pPr>
        <w:spacing w:after="0" w:line="90" w:lineRule="exact"/>
        <w:rPr>
          <w:rFonts w:ascii="Arial" w:cs="Arial" w:eastAsia="Arial" w:hAnsi="Arial"/>
          <w:sz w:val="18"/>
          <w:szCs w:val="18"/>
          <w:color w:val="auto"/>
        </w:rPr>
      </w:pPr>
    </w:p>
    <w:p>
      <w:pPr>
        <w:ind w:left="297" w:hanging="297"/>
        <w:spacing w:after="0"/>
        <w:tabs>
          <w:tab w:leader="none" w:pos="29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opinion of counsel to the Loan Parties, addressed to the Agent and the Lenders, in substantially the form set forth in Exhibit M;</w:t>
      </w:r>
    </w:p>
    <w:p>
      <w:pPr>
        <w:spacing w:after="0" w:line="113" w:lineRule="exact"/>
        <w:rPr>
          <w:rFonts w:ascii="Arial" w:cs="Arial" w:eastAsia="Arial" w:hAnsi="Arial"/>
          <w:sz w:val="16"/>
          <w:szCs w:val="16"/>
          <w:color w:val="auto"/>
        </w:rPr>
      </w:pPr>
    </w:p>
    <w:p>
      <w:pPr>
        <w:ind w:left="257" w:hanging="257"/>
        <w:spacing w:after="0"/>
        <w:tabs>
          <w:tab w:leader="none" w:pos="25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declaration of trust of the Borrower certified as of a recent date by the Secretary of State of the state of its incorporation;</w:t>
      </w:r>
    </w:p>
    <w:p>
      <w:pPr>
        <w:spacing w:after="0" w:line="90" w:lineRule="exact"/>
        <w:rPr>
          <w:rFonts w:ascii="Arial" w:cs="Arial" w:eastAsia="Arial" w:hAnsi="Arial"/>
          <w:sz w:val="18"/>
          <w:szCs w:val="18"/>
          <w:color w:val="auto"/>
        </w:rPr>
      </w:pPr>
    </w:p>
    <w:p>
      <w:pPr>
        <w:jc w:val="both"/>
        <w:ind w:left="-443" w:right="80" w:firstLine="443"/>
        <w:spacing w:after="0" w:line="256" w:lineRule="auto"/>
        <w:tabs>
          <w:tab w:leader="none" w:pos="2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good standing certificate with respect to the Borrower issued as of a recent date by the Secretary of State of the state of its incorporation and certificates of qualification to transact business or other comparable certificates issued by the Secretary of State (and any state department of taxation, as applicable) of each state in which the Borrower is required to be so qualified and where the failure to be so qualified could reasonably be expected to have a Material Adverse Effect;</w:t>
      </w:r>
    </w:p>
    <w:p>
      <w:pPr>
        <w:spacing w:after="0" w:line="62" w:lineRule="exact"/>
        <w:rPr>
          <w:rFonts w:ascii="Arial" w:cs="Arial" w:eastAsia="Arial" w:hAnsi="Arial"/>
          <w:sz w:val="18"/>
          <w:szCs w:val="18"/>
          <w:color w:val="auto"/>
        </w:rPr>
      </w:pPr>
    </w:p>
    <w:p>
      <w:pPr>
        <w:jc w:val="both"/>
        <w:ind w:left="-443" w:right="40" w:firstLine="443"/>
        <w:spacing w:after="0" w:line="256" w:lineRule="auto"/>
        <w:tabs>
          <w:tab w:leader="none" w:pos="3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of the Borrower with respect to each of the officers of the Borrower authorized to execute and deliver the Loan Documents to which the Borrower is a party and the officers of the Borrower then authorized to deliver Notices of Borrowing, Notices of Swingline Borrowings, Bid Rate Quote Requests, Bid Rate Quote Acceptances, Notices of Continuation and Notices of Conversion and to request the issuance of Letters of Credit;</w:t>
      </w:r>
    </w:p>
    <w:p>
      <w:pPr>
        <w:spacing w:after="0" w:line="62" w:lineRule="exact"/>
        <w:rPr>
          <w:rFonts w:ascii="Arial" w:cs="Arial" w:eastAsia="Arial" w:hAnsi="Arial"/>
          <w:sz w:val="18"/>
          <w:szCs w:val="18"/>
          <w:color w:val="auto"/>
        </w:rPr>
      </w:pPr>
    </w:p>
    <w:p>
      <w:pPr>
        <w:ind w:left="-443" w:right="140" w:firstLine="443"/>
        <w:spacing w:after="0" w:line="332" w:lineRule="auto"/>
        <w:tabs>
          <w:tab w:leader="none" w:pos="391"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the Borrower, of (i) the bylaws of the Borrower and (ii) all corporate (or comparable) action taken by the Borrower to authorize the execution, delivery and performance of the Loan Documents to which the Borrower is a party;</w:t>
      </w:r>
    </w:p>
    <w:p>
      <w:pPr>
        <w:spacing w:after="0" w:line="4" w:lineRule="exact"/>
        <w:rPr>
          <w:rFonts w:ascii="Arial" w:cs="Arial" w:eastAsia="Arial" w:hAnsi="Arial"/>
          <w:sz w:val="16"/>
          <w:szCs w:val="16"/>
          <w:color w:val="auto"/>
        </w:rPr>
      </w:pPr>
    </w:p>
    <w:p>
      <w:pPr>
        <w:ind w:left="-443" w:right="60" w:firstLine="443"/>
        <w:spacing w:after="0" w:line="268" w:lineRule="auto"/>
        <w:tabs>
          <w:tab w:leader="none" w:pos="2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articles of incorporation, articles of organization, certificate of limited partnership or other comparable organizational instrument (if any) of each Guarantor certified as of a recent date by the Secretary of State of the state of formation of such Guarantor;</w:t>
      </w:r>
    </w:p>
    <w:p>
      <w:pPr>
        <w:spacing w:after="0" w:line="50" w:lineRule="exact"/>
        <w:rPr>
          <w:rFonts w:ascii="Arial" w:cs="Arial" w:eastAsia="Arial" w:hAnsi="Arial"/>
          <w:sz w:val="18"/>
          <w:szCs w:val="18"/>
          <w:color w:val="auto"/>
        </w:rPr>
      </w:pPr>
    </w:p>
    <w:p>
      <w:pPr>
        <w:ind w:left="-443" w:right="20" w:firstLine="443"/>
        <w:spacing w:after="0" w:line="255" w:lineRule="auto"/>
        <w:tabs>
          <w:tab w:leader="none" w:pos="2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certificate of good standing or certificate of similar meaning with respect to each Guarantor issued as of a recent date by (or other comparable evidence from) the Secretary of State of the state of formation of each such Guarantor and certificates of qualification to transact business or other comparable certificates issued by (or other comparable evidence from) each Secretary of State (and any state department of taxation, as applicable) of each state in which such Guarantor is required to be so qualified and where the failure to be so qualified could reasonably be expected to have a Material Adverse Effect;</w:t>
      </w:r>
    </w:p>
    <w:p>
      <w:pPr>
        <w:spacing w:after="0" w:line="129" w:lineRule="exact"/>
        <w:rPr>
          <w:rFonts w:ascii="Arial" w:cs="Arial" w:eastAsia="Arial" w:hAnsi="Arial"/>
          <w:sz w:val="18"/>
          <w:szCs w:val="18"/>
          <w:color w:val="auto"/>
        </w:rPr>
      </w:pPr>
    </w:p>
    <w:p>
      <w:pPr>
        <w:ind w:left="4717" w:hanging="96"/>
        <w:spacing w:after="0"/>
        <w:tabs>
          <w:tab w:leader="none" w:pos="4717" w:val="left"/>
        </w:tabs>
        <w:numPr>
          <w:ilvl w:val="1"/>
          <w:numId w:val="69"/>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0477"/>
          </w:cols>
          <w:pgMar w:left="1143" w:top="280" w:right="279" w:bottom="1440" w:gutter="0" w:footer="0" w:header="0"/>
        </w:sectPr>
      </w:pPr>
    </w:p>
    <w:bookmarkStart w:id="89" w:name="page90"/>
    <w:bookmarkEnd w:id="89"/>
    <w:p>
      <w:pPr>
        <w:ind w:right="120" w:firstLine="443"/>
        <w:spacing w:after="0" w:line="332" w:lineRule="auto"/>
        <w:tabs>
          <w:tab w:leader="none" w:pos="736" w:val="left"/>
        </w:tabs>
        <w:numPr>
          <w:ilvl w:val="1"/>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of incumbency signed by the Secretary or Assistant Secretary (or other individual performing similar functions) of each Guarantor with respect to each of the officers of such Guarantor authorized to execute and deliver the Loan Documents to which such Guarantor is a party;</w:t>
      </w:r>
    </w:p>
    <w:p>
      <w:pPr>
        <w:spacing w:after="0" w:line="4" w:lineRule="exact"/>
        <w:rPr>
          <w:rFonts w:ascii="Arial" w:cs="Arial" w:eastAsia="Arial" w:hAnsi="Arial"/>
          <w:sz w:val="16"/>
          <w:szCs w:val="16"/>
          <w:color w:val="auto"/>
        </w:rPr>
      </w:pPr>
    </w:p>
    <w:p>
      <w:pPr>
        <w:ind w:firstLine="443"/>
        <w:spacing w:after="0" w:line="294" w:lineRule="auto"/>
        <w:tabs>
          <w:tab w:leader="none" w:pos="784" w:val="left"/>
        </w:tabs>
        <w:numPr>
          <w:ilvl w:val="1"/>
          <w:numId w:val="70"/>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each Guarantor (or other individual performing similar functions) of (i) the by-laws of such Guarantor, if a corporation, the operating agreement, if a limited liability company, the partnership agreement, if a limited or general partnership, or other comparable document in the case of any other form of legal entity, (ii) all corporate, partnership, member or other necessary action taken by such Guarantor to authorize the execution, delivery and performance of the Loan Documents to which it is a party and (iii) the articles of incorporation, articles of organization, certificate of limited partnership or other comparable organizational instrument (if any) of such Guarantor;</w:t>
      </w:r>
    </w:p>
    <w:p>
      <w:pPr>
        <w:spacing w:after="0" w:line="34" w:lineRule="exact"/>
        <w:rPr>
          <w:rFonts w:ascii="Arial" w:cs="Arial" w:eastAsia="Arial" w:hAnsi="Arial"/>
          <w:sz w:val="16"/>
          <w:szCs w:val="16"/>
          <w:color w:val="auto"/>
        </w:rPr>
      </w:pPr>
    </w:p>
    <w:p>
      <w:pPr>
        <w:ind w:firstLine="443"/>
        <w:spacing w:after="0" w:line="268" w:lineRule="auto"/>
        <w:tabs>
          <w:tab w:leader="none" w:pos="83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Fees then due and payable under Section 3.6., and any other Fees payable to the Agent, the Titled Agents and the Lenders on or prior to the Effective Date;</w:t>
      </w:r>
    </w:p>
    <w:p>
      <w:pPr>
        <w:spacing w:after="0" w:line="50" w:lineRule="exact"/>
        <w:rPr>
          <w:rFonts w:ascii="Arial" w:cs="Arial" w:eastAsia="Arial" w:hAnsi="Arial"/>
          <w:sz w:val="18"/>
          <w:szCs w:val="18"/>
          <w:color w:val="auto"/>
        </w:rPr>
      </w:pPr>
    </w:p>
    <w:p>
      <w:pPr>
        <w:ind w:left="820" w:hanging="377"/>
        <w:spacing w:after="0"/>
        <w:tabs>
          <w:tab w:leader="none" w:pos="8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Compliance Certificate calculated as of March 31, 2006; and</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Agent on behalf of the Lenders may reasonably request; and</w:t>
      </w:r>
    </w:p>
    <w:p>
      <w:pPr>
        <w:spacing w:after="0" w:line="171" w:lineRule="exact"/>
        <w:rPr>
          <w:rFonts w:ascii="Arial" w:cs="Arial" w:eastAsia="Arial" w:hAnsi="Arial"/>
          <w:sz w:val="18"/>
          <w:szCs w:val="18"/>
          <w:color w:val="auto"/>
        </w:rPr>
      </w:pPr>
    </w:p>
    <w:p>
      <w:pPr>
        <w:ind w:left="260" w:hanging="256"/>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good faith judgment of the Agent and the Lenders:</w:t>
      </w:r>
    </w:p>
    <w:p>
      <w:pPr>
        <w:spacing w:after="0" w:line="90" w:lineRule="exact"/>
        <w:rPr>
          <w:rFonts w:ascii="Arial" w:cs="Arial" w:eastAsia="Arial" w:hAnsi="Arial"/>
          <w:sz w:val="18"/>
          <w:szCs w:val="18"/>
          <w:color w:val="auto"/>
        </w:rPr>
      </w:pPr>
    </w:p>
    <w:p>
      <w:pPr>
        <w:ind w:right="200" w:firstLine="443"/>
        <w:spacing w:after="0" w:line="306" w:lineRule="auto"/>
        <w:tabs>
          <w:tab w:leader="none" w:pos="648"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There shall not have occurred or become known to the Agent or any of the Lenders any event, condition, situation or status since the date of the information contained in the financial and business projections, budgets, pro forma data and forecasts concerning the Borrower and its Subsidiaries delivered to the Agent and the Lenders prior to the Agreement Date that has had or could reasonably be expected to result in a Material Adverse Effect;</w:t>
      </w:r>
    </w:p>
    <w:p>
      <w:pPr>
        <w:spacing w:after="0" w:line="25" w:lineRule="exact"/>
        <w:rPr>
          <w:rFonts w:ascii="Arial" w:cs="Arial" w:eastAsia="Arial" w:hAnsi="Arial"/>
          <w:sz w:val="16"/>
          <w:szCs w:val="16"/>
          <w:color w:val="auto"/>
        </w:rPr>
      </w:pPr>
    </w:p>
    <w:p>
      <w:pPr>
        <w:ind w:firstLine="443"/>
        <w:spacing w:after="0" w:line="306" w:lineRule="auto"/>
        <w:tabs>
          <w:tab w:leader="none" w:pos="697" w:val="left"/>
        </w:tabs>
        <w:numPr>
          <w:ilvl w:val="1"/>
          <w:numId w:val="71"/>
        </w:numPr>
        <w:rPr>
          <w:rFonts w:ascii="Arial" w:cs="Arial" w:eastAsia="Arial" w:hAnsi="Arial"/>
          <w:sz w:val="16"/>
          <w:szCs w:val="16"/>
          <w:color w:val="auto"/>
        </w:rPr>
      </w:pPr>
      <w:r>
        <w:rPr>
          <w:rFonts w:ascii="Arial" w:cs="Arial" w:eastAsia="Arial" w:hAnsi="Arial"/>
          <w:sz w:val="16"/>
          <w:szCs w:val="16"/>
          <w:color w:val="auto"/>
        </w:rPr>
        <w:t>No litigation, action, suit, investigation or other arbitral, administrative or judicial proceeding shall be pending or threatened which could reasonably be expected to (1) result in a Material Adverse Effect or (2) restrain or enjoin, impose materially burdensome conditions on, or otherwise materially and adversely affect the ability of the Borrower or any other Loan Party to fulfill its obligations under the Loan Documents to which it is a party;</w:t>
      </w:r>
    </w:p>
    <w:p>
      <w:pPr>
        <w:spacing w:after="0" w:line="25" w:lineRule="exact"/>
        <w:rPr>
          <w:rFonts w:ascii="Arial" w:cs="Arial" w:eastAsia="Arial" w:hAnsi="Arial"/>
          <w:sz w:val="16"/>
          <w:szCs w:val="16"/>
          <w:color w:val="auto"/>
        </w:rPr>
      </w:pPr>
    </w:p>
    <w:p>
      <w:pPr>
        <w:ind w:firstLine="443"/>
        <w:spacing w:after="0" w:line="305" w:lineRule="auto"/>
        <w:tabs>
          <w:tab w:leader="none" w:pos="745" w:val="left"/>
        </w:tabs>
        <w:numPr>
          <w:ilvl w:val="1"/>
          <w:numId w:val="71"/>
        </w:numPr>
        <w:rPr>
          <w:rFonts w:ascii="Arial" w:cs="Arial" w:eastAsia="Arial" w:hAnsi="Arial"/>
          <w:sz w:val="15"/>
          <w:szCs w:val="15"/>
          <w:color w:val="auto"/>
        </w:rPr>
      </w:pPr>
      <w:r>
        <w:rPr>
          <w:rFonts w:ascii="Arial" w:cs="Arial" w:eastAsia="Arial" w:hAnsi="Arial"/>
          <w:sz w:val="15"/>
          <w:szCs w:val="15"/>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w:t>
      </w:r>
    </w:p>
    <w:p>
      <w:pPr>
        <w:spacing w:after="0" w:line="323" w:lineRule="auto"/>
        <w:rPr>
          <w:rFonts w:ascii="Arial" w:cs="Arial" w:eastAsia="Arial" w:hAnsi="Arial"/>
          <w:sz w:val="15"/>
          <w:szCs w:val="15"/>
          <w:color w:val="auto"/>
        </w:rPr>
      </w:pPr>
      <w:r>
        <w:rPr>
          <w:rFonts w:ascii="Arial" w:cs="Arial" w:eastAsia="Arial" w:hAnsi="Arial"/>
          <w:sz w:val="16"/>
          <w:szCs w:val="16"/>
          <w:color w:val="auto"/>
        </w:rPr>
        <w:t>(1) any Applicable Law or (2) any agreement, document or instrument to which the Borrower or any other Loan Party is a party or by which any of them or their respective properties is bound, except for such approvals, consents, waivers, filings and notices the receipt, making or giving of</w:t>
      </w:r>
    </w:p>
    <w:p>
      <w:pPr>
        <w:spacing w:after="0" w:line="79" w:lineRule="exact"/>
        <w:rPr>
          <w:rFonts w:ascii="Arial" w:cs="Arial" w:eastAsia="Arial" w:hAnsi="Arial"/>
          <w:sz w:val="15"/>
          <w:szCs w:val="15"/>
          <w:color w:val="auto"/>
        </w:rPr>
      </w:pPr>
    </w:p>
    <w:p>
      <w:pPr>
        <w:ind w:left="5160" w:hanging="96"/>
        <w:spacing w:after="0"/>
        <w:tabs>
          <w:tab w:leader="none" w:pos="51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0940"/>
          </w:cols>
          <w:pgMar w:left="700" w:top="280" w:right="259" w:bottom="1440" w:gutter="0" w:footer="0" w:header="0"/>
        </w:sectPr>
      </w:pPr>
    </w:p>
    <w:bookmarkStart w:id="90" w:name="page91"/>
    <w:bookmarkEnd w:id="90"/>
    <w:p>
      <w:pPr>
        <w:ind w:left="4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would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and</w:t>
      </w:r>
    </w:p>
    <w:p>
      <w:pPr>
        <w:spacing w:after="0" w:line="59" w:lineRule="exact"/>
        <w:rPr>
          <w:sz w:val="20"/>
          <w:szCs w:val="20"/>
          <w:color w:val="auto"/>
        </w:rPr>
      </w:pPr>
    </w:p>
    <w:p>
      <w:pPr>
        <w:ind w:left="460" w:right="740" w:firstLine="443"/>
        <w:spacing w:after="0" w:line="268" w:lineRule="auto"/>
        <w:tabs>
          <w:tab w:leader="none" w:pos="11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Conditions Precedent to All Loans and Letters of Credit.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obligations of the Lenders to make any Loans, of the Agent to issue Letters of Credit, and of the Swingline Lender to make any Swingline Loan are all subject to the further condition precedent that: (a) no Default or Event of Default shall exist as of the date of the making of such Loan or date of issuance of such Letter of Credit or would exist immediately after giving effect thereto; and (b) the representations and warranties made or deemed made by the Borrower and each other Loan Party in the Loan Documents to which any of them is a party shall be true and correct on and as of the date of the making of such Loan or date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Each Credit Event shall constitute a certification by the Borrower to the effect set forth in the preceding sentence (both as of the date of the giving of notice relating to such Credit Event and, unless the Borrower otherwise notifies the Agent prior to the date of such Credit Event, as of the date of the occurrence of such Credit Event).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Representations and Warranties.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order to induce the Agent and each Lender to enter into this Agreement and to make Loans and issue Letters of Credit, the Borrower represents and warrants to the Agent and each Lender as follows:</w:t>
      </w:r>
    </w:p>
    <w:p>
      <w:pPr>
        <w:spacing w:after="0" w:line="51" w:lineRule="exact"/>
        <w:rPr>
          <w:sz w:val="20"/>
          <w:szCs w:val="20"/>
          <w:color w:val="auto"/>
        </w:rPr>
      </w:pPr>
    </w:p>
    <w:p>
      <w:pPr>
        <w:ind w:right="20" w:firstLine="464"/>
        <w:spacing w:after="0" w:line="254"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Organization; Power; Qualification</w:t>
      </w:r>
      <w:r>
        <w:rPr>
          <w:rFonts w:ascii="Arial" w:cs="Arial" w:eastAsia="Arial" w:hAnsi="Arial"/>
          <w:sz w:val="18"/>
          <w:szCs w:val="18"/>
          <w:color w:val="auto"/>
        </w:rPr>
        <w:t>. Each of the Borrower, its Subsidiaries and the other Loan Parties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144"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Ownership Structure</w:t>
      </w:r>
      <w:r>
        <w:rPr>
          <w:rFonts w:ascii="Arial" w:cs="Arial" w:eastAsia="Arial" w:hAnsi="Arial"/>
          <w:sz w:val="18"/>
          <w:szCs w:val="18"/>
          <w:color w:val="auto"/>
        </w:rPr>
        <w:t xml:space="preserve">. As of the Agreement Date, Part I of </w:t>
      </w:r>
      <w:r>
        <w:rPr>
          <w:rFonts w:ascii="Arial" w:cs="Arial" w:eastAsia="Arial" w:hAnsi="Arial"/>
          <w:sz w:val="18"/>
          <w:szCs w:val="18"/>
          <w:u w:val="single" w:color="auto"/>
          <w:color w:val="auto"/>
        </w:rPr>
        <w:t>Schedule 6.l.(b)</w:t>
      </w:r>
      <w:r>
        <w:rPr>
          <w:rFonts w:ascii="Arial" w:cs="Arial" w:eastAsia="Arial" w:hAnsi="Arial"/>
          <w:sz w:val="18"/>
          <w:szCs w:val="18"/>
          <w:color w:val="auto"/>
        </w:rPr>
        <w:t xml:space="preserve"> is a true, complete and correct list of all Subsidiaries of the Borrower setting forth for each such</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420"/>
          </w:cols>
          <w:pgMar w:left="240" w:top="280" w:right="239" w:bottom="1440" w:gutter="0" w:footer="0" w:header="0"/>
        </w:sectPr>
      </w:pPr>
    </w:p>
    <w:bookmarkStart w:id="91" w:name="page92"/>
    <w:bookmarkEnd w:id="9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(i) the jurisdiction of organization of such Subsidiary, (ii) each Person holding any Equity Interests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Except as disclosed in such Schedule, as of the Agreement Date (i) each of the Borrower and its Subsidiaries owns, free and clear of all Liens (other than Permitted Liens) and has the unencumbered right to vote, all outstanding Equity Interests in each Person shown to be held by it on such Schedule, (ii) all of the issued and outstanding capital stock of each such Person organized as a corporation is validly issued, fully paid and nonassessable and (iii)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127" w:lineRule="exact"/>
        <w:rPr>
          <w:sz w:val="20"/>
          <w:szCs w:val="20"/>
          <w:color w:val="auto"/>
        </w:rPr>
      </w:pPr>
    </w:p>
    <w:p>
      <w:pPr>
        <w:ind w:right="60" w:firstLine="464"/>
        <w:spacing w:after="0" w:line="289" w:lineRule="auto"/>
        <w:tabs>
          <w:tab w:leader="none" w:pos="695"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Authorization of Agreement, Etc</w:t>
      </w:r>
      <w:r>
        <w:rPr>
          <w:rFonts w:ascii="Arial" w:cs="Arial" w:eastAsia="Arial" w:hAnsi="Arial"/>
          <w:sz w:val="16"/>
          <w:szCs w:val="16"/>
          <w:color w:val="auto"/>
        </w:rPr>
        <w:t>. The Borrower has the right and power, and has taken all necessary action to authorize the Borrower, to borrow and obtain other extensions of credit hereunder. The Borrower and each other Loan Party has the right and power, and has taken all necessary action to authorize it, to execute, deliver and perform each of the Loan Documents to which it is a party in accordance with their respective terms and to consummate the transactions contemplated hereby and thereby. The Loan Documents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18" w:lineRule="exact"/>
        <w:rPr>
          <w:rFonts w:ascii="Arial" w:cs="Arial" w:eastAsia="Arial" w:hAnsi="Arial"/>
          <w:sz w:val="16"/>
          <w:szCs w:val="16"/>
          <w:color w:val="auto"/>
        </w:rPr>
      </w:pPr>
    </w:p>
    <w:p>
      <w:pPr>
        <w:jc w:val="both"/>
        <w:ind w:right="20" w:firstLine="464"/>
        <w:spacing w:after="0" w:line="284" w:lineRule="auto"/>
        <w:tabs>
          <w:tab w:leader="none" w:pos="705"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Compliance of Loan Documents with Laws, Etc</w:t>
      </w:r>
      <w:r>
        <w:rPr>
          <w:rFonts w:ascii="Arial" w:cs="Arial" w:eastAsia="Arial" w:hAnsi="Arial"/>
          <w:sz w:val="16"/>
          <w:szCs w:val="16"/>
          <w:color w:val="auto"/>
        </w:rPr>
        <w:t>. The execution, delivery and performance of this Agreement, the Notes and the other Loan Documents to which the Borrower or any other Loan Party is a party in accordance with their respective terms and the borrowings and other extensions of credit hereunder do not: (i) require any Governmental Approval or violate any Applicable Law (including all Environmental Laws) relating to the Borrower or any other Loan Party;</w:t>
      </w:r>
    </w:p>
    <w:p>
      <w:pPr>
        <w:spacing w:after="0" w:line="1" w:lineRule="exact"/>
        <w:rPr>
          <w:rFonts w:ascii="Arial" w:cs="Arial" w:eastAsia="Arial" w:hAnsi="Arial"/>
          <w:sz w:val="16"/>
          <w:szCs w:val="16"/>
          <w:color w:val="auto"/>
        </w:rPr>
      </w:pPr>
    </w:p>
    <w:p>
      <w:pPr>
        <w:ind w:right="520" w:firstLine="8"/>
        <w:spacing w:after="0" w:line="281" w:lineRule="auto"/>
        <w:tabs>
          <w:tab w:leader="none" w:pos="2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conflict with, result in a breach of or constitute a default under the organizational documents of the Borrower or any other Loan Party, or any indenture, agreement or other instrument to which the Borrower or any other Loan Party is a party or by which it or any of its respective properties may be bound; or</w:t>
      </w:r>
    </w:p>
    <w:p>
      <w:pPr>
        <w:spacing w:after="0" w:line="1" w:lineRule="exact"/>
        <w:rPr>
          <w:rFonts w:ascii="Arial" w:cs="Arial" w:eastAsia="Arial" w:hAnsi="Arial"/>
          <w:sz w:val="16"/>
          <w:szCs w:val="16"/>
          <w:color w:val="auto"/>
        </w:rPr>
      </w:pPr>
    </w:p>
    <w:p>
      <w:pPr>
        <w:ind w:right="40" w:firstLine="8"/>
        <w:spacing w:after="0" w:line="261" w:lineRule="auto"/>
        <w:tabs>
          <w:tab w:leader="none" w:pos="3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result in or require the creation or imposition of any Lien upon or with respect to any property now owned or hereafter acquired by the Borrower or any other Loan Party.</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420"/>
          </w:cols>
          <w:pgMar w:left="240" w:top="280" w:right="239" w:bottom="1440" w:gutter="0" w:footer="0" w:header="0"/>
        </w:sectPr>
      </w:pPr>
    </w:p>
    <w:bookmarkStart w:id="92" w:name="page93"/>
    <w:bookmarkEnd w:id="92"/>
    <w:p>
      <w:pPr>
        <w:jc w:val="both"/>
        <w:ind w:left="-464" w:right="120" w:firstLine="464"/>
        <w:spacing w:after="0" w:line="256" w:lineRule="auto"/>
        <w:tabs>
          <w:tab w:leader="none" w:pos="23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Law; Governmental Approvals</w:t>
      </w:r>
      <w:r>
        <w:rPr>
          <w:rFonts w:ascii="Arial" w:cs="Arial" w:eastAsia="Arial" w:hAnsi="Arial"/>
          <w:sz w:val="18"/>
          <w:szCs w:val="18"/>
          <w:color w:val="auto"/>
        </w:rPr>
        <w:t>. The Borrower, each Subsidiary and each other Loan Party is in compliance with each Governmental Approval applicable to it and in compliance with all other Applicable Laws (including without limitation, Environmental Laws) relating such Person except for noncompliances which, and Governmental Approvals the failure to possess which, could not, individually or in the aggregate, reasonably be expected to cause a Default or Event of Default or have a Material Adverse Effect.</w:t>
      </w:r>
    </w:p>
    <w:p>
      <w:pPr>
        <w:spacing w:after="0" w:line="143" w:lineRule="exact"/>
        <w:rPr>
          <w:rFonts w:ascii="Arial" w:cs="Arial" w:eastAsia="Arial" w:hAnsi="Arial"/>
          <w:sz w:val="18"/>
          <w:szCs w:val="18"/>
          <w:color w:val="auto"/>
        </w:rPr>
      </w:pPr>
    </w:p>
    <w:p>
      <w:pPr>
        <w:jc w:val="both"/>
        <w:ind w:left="-464" w:right="160" w:firstLine="464"/>
        <w:spacing w:after="0" w:line="306" w:lineRule="auto"/>
        <w:tabs>
          <w:tab w:leader="none" w:pos="21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Title to Properties; Liens</w:t>
      </w:r>
      <w:r>
        <w:rPr>
          <w:rFonts w:ascii="Arial" w:cs="Arial" w:eastAsia="Arial" w:hAnsi="Arial"/>
          <w:sz w:val="16"/>
          <w:szCs w:val="16"/>
          <w:color w:val="auto"/>
        </w:rPr>
        <w:t>. As of the Agreement Date, Part I of Schedule 6.l.(f) sets forth all of the real property owned or leased by the Borrower, each other Loan Party and each other Subsidiary. Each such Person has good, marketable and legal title to, or a valid leasehold interest in, its respective assets. As of the Agreement Date, there are no Liens against any assets of the Borrower, any Subsidiary or any other Loan Party except for Permitted Liens.</w:t>
      </w:r>
    </w:p>
    <w:p>
      <w:pPr>
        <w:spacing w:after="0" w:line="106" w:lineRule="exact"/>
        <w:rPr>
          <w:rFonts w:ascii="Arial" w:cs="Arial" w:eastAsia="Arial" w:hAnsi="Arial"/>
          <w:sz w:val="16"/>
          <w:szCs w:val="16"/>
          <w:color w:val="auto"/>
        </w:rPr>
      </w:pPr>
    </w:p>
    <w:p>
      <w:pPr>
        <w:jc w:val="both"/>
        <w:ind w:left="-464" w:right="180" w:firstLine="464"/>
        <w:spacing w:after="0" w:line="298" w:lineRule="auto"/>
        <w:tabs>
          <w:tab w:leader="none" w:pos="24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Existing 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6.l.(g)</w:t>
      </w:r>
      <w:r>
        <w:rPr>
          <w:rFonts w:ascii="Arial" w:cs="Arial" w:eastAsia="Arial" w:hAnsi="Arial"/>
          <w:sz w:val="16"/>
          <w:szCs w:val="16"/>
          <w:color w:val="auto"/>
        </w:rPr>
        <w:t xml:space="preserve"> is, as of June 30, 2006, a complete and correct listing of all Indebtedness of the Borrower and its Subsidiaries, including without limitation, Guarantees of the Borrower and its Subsidiaries, and indicating whether such Indebtedness is Secured Indebtedness or Unsecured Indebtedness. Except as set forth on such Schedule, from June 30, 2006 through the Agreement Date, neither the Borrower nor any of its Subsidiaries has incurred any Indebtedness having an outstanding principal balance in excess of $1,000,000 in the aggregate.</w:t>
      </w:r>
    </w:p>
    <w:p>
      <w:pPr>
        <w:spacing w:after="0" w:line="112" w:lineRule="exact"/>
        <w:rPr>
          <w:rFonts w:ascii="Arial" w:cs="Arial" w:eastAsia="Arial" w:hAnsi="Arial"/>
          <w:sz w:val="16"/>
          <w:szCs w:val="16"/>
          <w:color w:val="auto"/>
        </w:rPr>
      </w:pPr>
    </w:p>
    <w:p>
      <w:pPr>
        <w:ind w:left="-464" w:firstLine="464"/>
        <w:spacing w:after="0" w:line="291" w:lineRule="auto"/>
        <w:tabs>
          <w:tab w:leader="none" w:pos="24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6.1.(h)</w:t>
      </w:r>
      <w:r>
        <w:rPr>
          <w:rFonts w:ascii="Arial" w:cs="Arial" w:eastAsia="Arial" w:hAnsi="Arial"/>
          <w:sz w:val="16"/>
          <w:szCs w:val="16"/>
          <w:color w:val="auto"/>
        </w:rPr>
        <w:t>, there are no actions, suits, investigations or proceedings pending (nor, to the knowledge of the Borrower, are there any actions, suits or proceedings threatened, nor to the knowledge of the Borrower is there any basis therefor) against or in any other way relating adversely to or affecting the Borrower, any Subsidiary or any other Loan Party or any of its respective property in any court or before any arbitrator of any kind or before or by any other Governmental Authority which could reasonably be expected to have a Material Adverse Effect.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20" w:lineRule="exact"/>
        <w:rPr>
          <w:rFonts w:ascii="Arial" w:cs="Arial" w:eastAsia="Arial" w:hAnsi="Arial"/>
          <w:sz w:val="16"/>
          <w:szCs w:val="16"/>
          <w:color w:val="auto"/>
        </w:rPr>
      </w:pPr>
    </w:p>
    <w:p>
      <w:pPr>
        <w:ind w:left="-464" w:right="40" w:firstLine="464"/>
        <w:spacing w:after="0" w:line="291" w:lineRule="auto"/>
        <w:tabs>
          <w:tab w:leader="none" w:pos="202"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federal, state and other tax returns of the Borrower, any Subsidiary or any other Loan Party required by Applicable Law to be filed have been duly filed, and all federal, state and other taxes, assessments and other governmental charges or levies upon the Borrower, any Subsidiary and each other Loan Party and its respective properties, income, profits and assets which are due and payable have, been paid, except any such nonpayment which is at the time permitted under Section 7.6. As of the Agreement Date, none of the United States income tax returns of the Borrower, its Subsidiaries or any other Loan Party is under audit. All charges, accruals and reserves on the books of the Borrower and each of its Subsidiaries and each other Loan Party in respect of any taxes or other governmental charges are in accordance with GAAP.</w:t>
      </w:r>
    </w:p>
    <w:p>
      <w:pPr>
        <w:spacing w:after="0" w:line="120" w:lineRule="exact"/>
        <w:rPr>
          <w:rFonts w:ascii="Arial" w:cs="Arial" w:eastAsia="Arial" w:hAnsi="Arial"/>
          <w:sz w:val="16"/>
          <w:szCs w:val="16"/>
          <w:color w:val="auto"/>
        </w:rPr>
      </w:pPr>
    </w:p>
    <w:p>
      <w:pPr>
        <w:ind w:left="-464" w:right="60" w:firstLine="464"/>
        <w:spacing w:after="0" w:line="268" w:lineRule="auto"/>
        <w:tabs>
          <w:tab w:leader="none" w:pos="20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Borrower has furnished to the Agent copies of (i) the audited consolidated balance sheet of the Borrower and its consolidated Subsidiaries for the fiscal year ending December 31, 2005, and the related audited consolidated statements of</w:t>
      </w:r>
    </w:p>
    <w:p>
      <w:pPr>
        <w:spacing w:after="0" w:line="118" w:lineRule="exact"/>
        <w:rPr>
          <w:rFonts w:ascii="Arial" w:cs="Arial" w:eastAsia="Arial" w:hAnsi="Arial"/>
          <w:sz w:val="18"/>
          <w:szCs w:val="18"/>
          <w:color w:val="auto"/>
        </w:rPr>
      </w:pPr>
    </w:p>
    <w:p>
      <w:pPr>
        <w:ind w:left="5156" w:hanging="96"/>
        <w:spacing w:after="0"/>
        <w:tabs>
          <w:tab w:leader="none" w:pos="5156" w:val="left"/>
        </w:tabs>
        <w:numPr>
          <w:ilvl w:val="1"/>
          <w:numId w:val="76"/>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0936"/>
          </w:cols>
          <w:pgMar w:left="704" w:top="280" w:right="259" w:bottom="1440" w:gutter="0" w:footer="0" w:header="0"/>
        </w:sectPr>
      </w:pPr>
    </w:p>
    <w:bookmarkStart w:id="93" w:name="page94"/>
    <w:bookmarkEnd w:id="93"/>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operations, cash flows and shareholders’ equity for the fiscal year ending on such dates, with the opinion thereon of Grant Thornton LLP, and (ii) the unaudited consolidated balance sheet of the Borrower and its consolidated Subsidiaries for the fiscal quarter ending March 31, 2006, and the related unaudited consolidated statements of operations, cash flows and shareholders’ equity of the Borrower and its consolidated Subsidiaries for the period of two fiscal quarters ending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except as referred to or reflected or provided for in said financial statements.</w:t>
      </w:r>
    </w:p>
    <w:p>
      <w:pPr>
        <w:spacing w:after="0" w:line="120" w:lineRule="exact"/>
        <w:rPr>
          <w:sz w:val="20"/>
          <w:szCs w:val="20"/>
          <w:color w:val="auto"/>
        </w:rPr>
      </w:pPr>
    </w:p>
    <w:p>
      <w:pPr>
        <w:ind w:right="260" w:firstLine="464"/>
        <w:spacing w:after="0" w:line="259" w:lineRule="auto"/>
        <w:tabs>
          <w:tab w:leader="none" w:pos="705"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2005, there has been no material adverse change in the business, assets, liabilities, financial condition or results of operations of the Borrower and its consolidated Subsidiaries taken as a whole. Each of the Borrower, its Subsidiaries and the other Loan Parties is Solvent.</w:t>
      </w:r>
    </w:p>
    <w:p>
      <w:pPr>
        <w:spacing w:after="0" w:line="140" w:lineRule="exact"/>
        <w:rPr>
          <w:rFonts w:ascii="Arial" w:cs="Arial" w:eastAsia="Arial" w:hAnsi="Arial"/>
          <w:sz w:val="18"/>
          <w:szCs w:val="18"/>
          <w:color w:val="auto"/>
        </w:rPr>
      </w:pPr>
    </w:p>
    <w:p>
      <w:pPr>
        <w:ind w:right="220" w:firstLine="464"/>
        <w:spacing w:after="0" w:line="302" w:lineRule="auto"/>
        <w:tabs>
          <w:tab w:leader="none" w:pos="666" w:val="left"/>
        </w:tabs>
        <w:numPr>
          <w:ilvl w:val="1"/>
          <w:numId w:val="77"/>
        </w:numPr>
        <w:rPr>
          <w:rFonts w:ascii="Arial" w:cs="Arial" w:eastAsia="Arial" w:hAnsi="Arial"/>
          <w:sz w:val="15"/>
          <w:szCs w:val="15"/>
          <w:color w:val="auto"/>
        </w:rPr>
      </w:pPr>
      <w:r>
        <w:rPr>
          <w:rFonts w:ascii="Arial" w:cs="Arial" w:eastAsia="Arial" w:hAnsi="Arial"/>
          <w:sz w:val="15"/>
          <w:szCs w:val="15"/>
          <w:u w:val="single" w:color="auto"/>
          <w:color w:val="auto"/>
        </w:rPr>
        <w:t>ERISA</w:t>
      </w:r>
      <w:r>
        <w:rPr>
          <w:rFonts w:ascii="Arial" w:cs="Arial" w:eastAsia="Arial" w:hAnsi="Arial"/>
          <w:sz w:val="15"/>
          <w:szCs w:val="15"/>
          <w:color w:val="auto"/>
        </w:rPr>
        <w:t>. Each member of the ERISA Group is in compliance with its obligations under the minimum funding standards of ERISA and the Internal Revenue Code with respect to each Plan and is in compliance with the presently applicable provisions of ERISA and the Internal Revenue Code with respect to each Plan,: except in each case for noncompliances which could not reasonably be expected to have a Material Adverse Effect. As of the Agreement Date, no member of the ERISA Group has (i) sought a waiver of the minimum funding standard under Section 412 of the Internal Revenue Code in respect of any Plan,</w:t>
      </w:r>
    </w:p>
    <w:p>
      <w:pPr>
        <w:spacing w:after="0" w:line="2" w:lineRule="exact"/>
        <w:rPr>
          <w:rFonts w:ascii="Arial" w:cs="Arial" w:eastAsia="Arial" w:hAnsi="Arial"/>
          <w:sz w:val="15"/>
          <w:szCs w:val="15"/>
          <w:color w:val="auto"/>
        </w:rPr>
      </w:pPr>
    </w:p>
    <w:p>
      <w:pPr>
        <w:ind w:right="60" w:firstLine="8"/>
        <w:spacing w:after="0" w:line="302" w:lineRule="auto"/>
        <w:tabs>
          <w:tab w:leader="none" w:pos="258" w:val="left"/>
        </w:tabs>
        <w:numPr>
          <w:ilvl w:val="0"/>
          <w:numId w:val="78"/>
        </w:numPr>
        <w:rPr>
          <w:rFonts w:ascii="Arial" w:cs="Arial" w:eastAsia="Arial" w:hAnsi="Arial"/>
          <w:sz w:val="16"/>
          <w:szCs w:val="16"/>
          <w:color w:val="auto"/>
        </w:rPr>
      </w:pPr>
      <w:r>
        <w:rPr>
          <w:rFonts w:ascii="Arial" w:cs="Arial" w:eastAsia="Arial" w:hAnsi="Arial"/>
          <w:sz w:val="16"/>
          <w:szCs w:val="16"/>
          <w:color w:val="auto"/>
        </w:rPr>
        <w:t>failed to make any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109" w:lineRule="exact"/>
        <w:rPr>
          <w:rFonts w:ascii="Arial" w:cs="Arial" w:eastAsia="Arial" w:hAnsi="Arial"/>
          <w:sz w:val="16"/>
          <w:szCs w:val="16"/>
          <w:color w:val="auto"/>
        </w:rPr>
      </w:pPr>
    </w:p>
    <w:p>
      <w:pPr>
        <w:ind w:firstLine="464"/>
        <w:spacing w:after="0" w:line="256" w:lineRule="auto"/>
        <w:tabs>
          <w:tab w:leader="none" w:pos="754"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Not Plan Assets; No Prohibited Transaction</w:t>
      </w:r>
      <w:r>
        <w:rPr>
          <w:rFonts w:ascii="Arial" w:cs="Arial" w:eastAsia="Arial" w:hAnsi="Arial"/>
          <w:sz w:val="18"/>
          <w:szCs w:val="18"/>
          <w:color w:val="auto"/>
        </w:rPr>
        <w:t>. None of the assets of the Borrower, any Subsidiary or any other Loan Party constitute “plan assets” within the meaning of ERISA, the Internal Revenue Code and the respective regulations promulgated thereunder. The execution, delivery and performance of this Agreement and the other Loan Documents, and the borrowing and repayment of amounts hereunder, do not and will not constitute “prohibited transactions” under ERISA or the Internal Revenue Code.</w:t>
      </w:r>
    </w:p>
    <w:p>
      <w:pPr>
        <w:spacing w:after="0" w:line="143" w:lineRule="exact"/>
        <w:rPr>
          <w:rFonts w:ascii="Arial" w:cs="Arial" w:eastAsia="Arial" w:hAnsi="Arial"/>
          <w:sz w:val="18"/>
          <w:szCs w:val="18"/>
          <w:color w:val="auto"/>
        </w:rPr>
      </w:pPr>
    </w:p>
    <w:p>
      <w:pPr>
        <w:ind w:right="40" w:firstLine="464"/>
        <w:spacing w:after="0" w:line="286" w:lineRule="auto"/>
        <w:tabs>
          <w:tab w:leader="none" w:pos="705"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Absence of Defaults</w:t>
      </w:r>
      <w:r>
        <w:rPr>
          <w:rFonts w:ascii="Arial" w:cs="Arial" w:eastAsia="Arial" w:hAnsi="Arial"/>
          <w:sz w:val="16"/>
          <w:szCs w:val="16"/>
          <w:color w:val="auto"/>
        </w:rPr>
        <w:t>. Neither the Borrower, any Subsidiary nor any other Loan Party is in default under its articles of incorporation, bylaws, partnership agreement or other similar organizational documents, and no event has occurred, which has not been remedied, cured or waived, which in any such case:</w:t>
      </w:r>
    </w:p>
    <w:p>
      <w:pPr>
        <w:ind w:right="460" w:firstLine="8"/>
        <w:spacing w:after="0" w:line="261" w:lineRule="auto"/>
        <w:tabs>
          <w:tab w:leader="none" w:pos="2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constitutes a Default or an Event of Default; or (ii) constitutes, or which with the passage of time, the giving of notice, a determination of materiality, the satisfaction of any condition, or any combination of the foregoing, would</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20"/>
          </w:cols>
          <w:pgMar w:left="240" w:top="280" w:right="239" w:bottom="1440" w:gutter="0" w:footer="0" w:header="0"/>
        </w:sectPr>
      </w:pPr>
    </w:p>
    <w:bookmarkStart w:id="94" w:name="page95"/>
    <w:bookmarkEnd w:id="94"/>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a default or event of default by the Borrower, any Subsidiary or any other Loan Party under any material agreement (other than this Agreement) or judgment, decree or order to which the Borrower or any Subsidiary or other Loan Party is a party or by which the Borrower or any Subsidiary or other Loan Party or any of their respective properties may be bound where such default or event of default could, individually or in the aggregate, could reasonably be expected to have a Material Adverse Effect.</w:t>
      </w:r>
    </w:p>
    <w:p>
      <w:pPr>
        <w:spacing w:after="0" w:line="143" w:lineRule="exact"/>
        <w:rPr>
          <w:sz w:val="20"/>
          <w:szCs w:val="20"/>
          <w:color w:val="auto"/>
        </w:rPr>
      </w:pPr>
    </w:p>
    <w:p>
      <w:pPr>
        <w:ind w:right="20" w:firstLine="464"/>
        <w:spacing w:after="0" w:line="286" w:lineRule="auto"/>
        <w:tabs>
          <w:tab w:leader="none" w:pos="70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Each of the Borrower, its Subsidiaries and the other Loan Parties has obtained all Governmental Approvals which are required under Environmental Laws and is in compliance with all terms and conditions of such Governmental Approvals which the failure to obtain or to comply with could reasonably be expected to have a Material Adverse Effect. Except for any of the following matters that could not reasonably be expected to have a Material Adverse Effect, (i) the Borrower is not aware of, and has not received notice of, any past, present, or future events, conditions, circumstances, activities, practices, incidents, actions, or plans which, with respect to the Borrower, its Subsidiaries and each other Loan Party, may interfere with or prevent compliance or continued compliance with Environmental Laws; or may give rise to any common-law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pollutant, contaminant, chemical, or industrial, toxic, or other Hazardous Material; and (ii) there is no civil, criminal, or administrative action, suit, demand, claim, hearing, notice, or demand letter, notice of violation, investigation, or proceeding pending or, to the Borrower’s knowledge after due inquiry, threatened, against the Borrower, its Subsidiaries and each other Loan Party relating in any way to Environmental Laws.</w:t>
      </w:r>
    </w:p>
    <w:p>
      <w:pPr>
        <w:spacing w:after="0" w:line="127" w:lineRule="exact"/>
        <w:rPr>
          <w:rFonts w:ascii="Arial" w:cs="Arial" w:eastAsia="Arial" w:hAnsi="Arial"/>
          <w:sz w:val="16"/>
          <w:szCs w:val="16"/>
          <w:color w:val="auto"/>
        </w:rPr>
      </w:pPr>
    </w:p>
    <w:p>
      <w:pPr>
        <w:ind w:left="720" w:hanging="256"/>
        <w:spacing w:after="0"/>
        <w:tabs>
          <w:tab w:leader="none" w:pos="72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Investment Company; Etc</w:t>
      </w:r>
      <w:r>
        <w:rPr>
          <w:rFonts w:ascii="Arial" w:cs="Arial" w:eastAsia="Arial" w:hAnsi="Arial"/>
          <w:sz w:val="16"/>
          <w:szCs w:val="16"/>
          <w:color w:val="auto"/>
        </w:rPr>
        <w:t>. Neither the Borrower nor any Subsidiary nor any other Loan Party is (i) an “investment company” or a company</w:t>
      </w:r>
    </w:p>
    <w:p>
      <w:pPr>
        <w:spacing w:after="0" w:line="38"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“controlled” by an “investment company” within the meaning of the Investment Company Act of 1940, as amended, or (ii) subject to any other Applicable Law which purports to regulate or restrict its ability to borrow money or to consummate the transactions contemplated by this Agreement or to perform its obligations under any Loan Document to which it is a party.</w:t>
      </w:r>
    </w:p>
    <w:p>
      <w:pPr>
        <w:spacing w:after="0" w:line="144" w:lineRule="exact"/>
        <w:rPr>
          <w:rFonts w:ascii="Arial" w:cs="Arial" w:eastAsia="Arial" w:hAnsi="Arial"/>
          <w:sz w:val="16"/>
          <w:szCs w:val="16"/>
          <w:color w:val="auto"/>
        </w:rPr>
      </w:pPr>
    </w:p>
    <w:p>
      <w:pPr>
        <w:ind w:firstLine="464"/>
        <w:spacing w:after="0" w:line="25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Neither the Borrower, any Subsidiary nor any other Loan Party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40" w:lineRule="exact"/>
        <w:rPr>
          <w:rFonts w:ascii="Arial" w:cs="Arial" w:eastAsia="Arial" w:hAnsi="Arial"/>
          <w:sz w:val="18"/>
          <w:szCs w:val="18"/>
          <w:color w:val="auto"/>
        </w:rPr>
      </w:pPr>
    </w:p>
    <w:p>
      <w:pPr>
        <w:ind w:firstLine="464"/>
        <w:spacing w:after="0" w:line="332" w:lineRule="auto"/>
        <w:tabs>
          <w:tab w:leader="none" w:pos="67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Affiliate Transactions</w:t>
      </w:r>
      <w:r>
        <w:rPr>
          <w:rFonts w:ascii="Arial" w:cs="Arial" w:eastAsia="Arial" w:hAnsi="Arial"/>
          <w:sz w:val="16"/>
          <w:szCs w:val="16"/>
          <w:color w:val="auto"/>
        </w:rPr>
        <w:t>. Except as permitted by Section 9.10., neither the Borrower, any Subsidiary nor any other Loan Party is a party to or bound by any agreement or arrangement (whether oral or written) to which any Affiliate of the Borrower, any Subsidiary or any other Loan Party is a party.</w:t>
      </w:r>
    </w:p>
    <w:p>
      <w:pPr>
        <w:spacing w:after="0" w:line="85" w:lineRule="exact"/>
        <w:rPr>
          <w:rFonts w:ascii="Arial" w:cs="Arial" w:eastAsia="Arial" w:hAnsi="Arial"/>
          <w:sz w:val="16"/>
          <w:szCs w:val="16"/>
          <w:color w:val="auto"/>
        </w:rPr>
      </w:pPr>
    </w:p>
    <w:p>
      <w:pPr>
        <w:ind w:right="800" w:firstLine="464"/>
        <w:spacing w:after="0" w:line="332" w:lineRule="auto"/>
        <w:tabs>
          <w:tab w:leader="none" w:pos="68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of the Borrower, each other Loan Party and each other Subsidiary owns or has the right to use, under valid license agreements or otherwise, all material patents, licenses, franchises, trademarks, trademark rights, trade names, trade name rights, trade</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420"/>
          </w:cols>
          <w:pgMar w:left="240" w:top="280" w:right="239" w:bottom="1440" w:gutter="0" w:footer="0" w:header="0"/>
        </w:sectPr>
      </w:pPr>
    </w:p>
    <w:bookmarkStart w:id="95" w:name="page96"/>
    <w:bookmarkEnd w:id="9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secrets and copyrights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the conduct of its businesses as now conducted and as contemplated by the Loan Documents, without known conflict with any patent, license, franchise, trademark,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118" w:lineRule="exact"/>
        <w:rPr>
          <w:sz w:val="20"/>
          <w:szCs w:val="20"/>
          <w:color w:val="auto"/>
        </w:rPr>
      </w:pPr>
    </w:p>
    <w:p>
      <w:pPr>
        <w:ind w:right="380" w:firstLine="464"/>
        <w:spacing w:after="0" w:line="332" w:lineRule="auto"/>
        <w:tabs>
          <w:tab w:leader="none" w:pos="666"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Business</w:t>
      </w:r>
      <w:r>
        <w:rPr>
          <w:rFonts w:ascii="Arial" w:cs="Arial" w:eastAsia="Arial" w:hAnsi="Arial"/>
          <w:sz w:val="16"/>
          <w:szCs w:val="16"/>
          <w:color w:val="auto"/>
        </w:rPr>
        <w:t>. As of the Agreement Date, the Borrower and its Subsidiaries are engaged in the business of acquiring, developing, owning and managing commercial real estate, including retail and multi-family properties, together with other business activities incidental thereto.</w:t>
      </w:r>
    </w:p>
    <w:p>
      <w:pPr>
        <w:spacing w:after="0" w:line="85"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or any of its Subsidiaries ancillary to the transactions contemplated hereby.</w:t>
      </w:r>
    </w:p>
    <w:p>
      <w:pPr>
        <w:spacing w:after="0" w:line="140" w:lineRule="exact"/>
        <w:rPr>
          <w:rFonts w:ascii="Arial" w:cs="Arial" w:eastAsia="Arial" w:hAnsi="Arial"/>
          <w:sz w:val="18"/>
          <w:szCs w:val="18"/>
          <w:color w:val="auto"/>
        </w:rPr>
      </w:pPr>
    </w:p>
    <w:p>
      <w:pPr>
        <w:ind w:firstLine="464"/>
        <w:spacing w:after="0" w:line="286"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Accuracy and Completeness of Information</w:t>
      </w:r>
      <w:r>
        <w:rPr>
          <w:rFonts w:ascii="Arial" w:cs="Arial" w:eastAsia="Arial" w:hAnsi="Arial"/>
          <w:sz w:val="16"/>
          <w:szCs w:val="16"/>
          <w:color w:val="auto"/>
        </w:rPr>
        <w:t>. None of the written information, reports or other papers or data (excluding financial projections and other forward looking statements), taken as a whole as of the date of delivery thereof, furnished to the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All financial projections and other forward looking statements prepared by or on behalf of the Borrower, any Subsidiary or any other Loan Party that have been or may hereafter be made available to the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 .(j) or in such information, reports or other papers or data or otherwise disclosed in writing to the Agent and the Lenders.</w:t>
      </w:r>
    </w:p>
    <w:p>
      <w:pPr>
        <w:spacing w:after="0" w:line="110" w:lineRule="exact"/>
        <w:rPr>
          <w:rFonts w:ascii="Arial" w:cs="Arial" w:eastAsia="Arial" w:hAnsi="Arial"/>
          <w:sz w:val="16"/>
          <w:szCs w:val="16"/>
          <w:color w:val="auto"/>
        </w:rPr>
      </w:pPr>
    </w:p>
    <w:p>
      <w:pPr>
        <w:ind w:left="5620" w:hanging="96"/>
        <w:spacing w:after="0"/>
        <w:tabs>
          <w:tab w:leader="none" w:pos="5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420"/>
          </w:cols>
          <w:pgMar w:left="240" w:top="274" w:right="239" w:bottom="1440" w:gutter="0" w:footer="0" w:header="0"/>
        </w:sectPr>
      </w:pPr>
    </w:p>
    <w:bookmarkStart w:id="96" w:name="page97"/>
    <w:bookmarkEnd w:id="96"/>
    <w:p>
      <w:pPr>
        <w:ind w:firstLine="464"/>
        <w:spacing w:after="0" w:line="268" w:lineRule="auto"/>
        <w:tabs>
          <w:tab w:leader="none" w:pos="74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REIT Status</w:t>
      </w:r>
      <w:r>
        <w:rPr>
          <w:rFonts w:ascii="Arial" w:cs="Arial" w:eastAsia="Arial" w:hAnsi="Arial"/>
          <w:sz w:val="18"/>
          <w:szCs w:val="18"/>
          <w:color w:val="auto"/>
        </w:rPr>
        <w:t>. The Borrower qualifies as a REIT and is in compliance with all requirements and conditions imposed under the Internal Revenue Code to allow the Borrower to maintain its status as a REIT.</w:t>
      </w:r>
    </w:p>
    <w:p>
      <w:pPr>
        <w:spacing w:after="0" w:line="131" w:lineRule="exact"/>
        <w:rPr>
          <w:rFonts w:ascii="Arial" w:cs="Arial" w:eastAsia="Arial" w:hAnsi="Arial"/>
          <w:sz w:val="18"/>
          <w:szCs w:val="18"/>
          <w:color w:val="auto"/>
        </w:rPr>
      </w:pPr>
    </w:p>
    <w:p>
      <w:pPr>
        <w:ind w:right="20" w:firstLine="464"/>
        <w:spacing w:after="0" w:line="306" w:lineRule="auto"/>
        <w:tabs>
          <w:tab w:leader="none" w:pos="70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Unencumbered Assets</w:t>
      </w:r>
      <w:r>
        <w:rPr>
          <w:rFonts w:ascii="Arial" w:cs="Arial" w:eastAsia="Arial" w:hAnsi="Arial"/>
          <w:sz w:val="16"/>
          <w:szCs w:val="16"/>
          <w:color w:val="auto"/>
        </w:rPr>
        <w:t xml:space="preserve">. As of the Agreement Date, </w:t>
      </w:r>
      <w:r>
        <w:rPr>
          <w:rFonts w:ascii="Arial" w:cs="Arial" w:eastAsia="Arial" w:hAnsi="Arial"/>
          <w:sz w:val="16"/>
          <w:szCs w:val="16"/>
          <w:u w:val="single" w:color="auto"/>
          <w:color w:val="auto"/>
        </w:rPr>
        <w:t>Schedule 6.1 .(x)</w:t>
      </w:r>
      <w:r>
        <w:rPr>
          <w:rFonts w:ascii="Arial" w:cs="Arial" w:eastAsia="Arial" w:hAnsi="Arial"/>
          <w:sz w:val="16"/>
          <w:szCs w:val="16"/>
          <w:color w:val="auto"/>
        </w:rPr>
        <w:t xml:space="preserve">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106" w:lineRule="exact"/>
        <w:rPr>
          <w:rFonts w:ascii="Arial" w:cs="Arial" w:eastAsia="Arial" w:hAnsi="Arial"/>
          <w:sz w:val="16"/>
          <w:szCs w:val="16"/>
          <w:color w:val="auto"/>
        </w:rPr>
      </w:pPr>
    </w:p>
    <w:p>
      <w:pPr>
        <w:ind w:right="180" w:firstLine="464"/>
        <w:spacing w:after="0" w:line="332" w:lineRule="auto"/>
        <w:tabs>
          <w:tab w:leader="none" w:pos="70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Foreign Assets Control</w:t>
      </w:r>
      <w:r>
        <w:rPr>
          <w:rFonts w:ascii="Arial" w:cs="Arial" w:eastAsia="Arial" w:hAnsi="Arial"/>
          <w:sz w:val="16"/>
          <w:szCs w:val="16"/>
          <w:color w:val="auto"/>
        </w:rPr>
        <w:t>. None of the Borrower, any Subsidiary or any Affiliate of the Borrower: (i) is a Sanctioned Person, (ii) has any of its assets in Sanctioned Entities, or (iii) derives any of its operating income from investments in, or transactions with, Sanctioned Persons or Sanctioned Entities.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Survival of Representations and Warranties, Etc.</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All statements contained in any certificate, financial statement or other instrument delivered by or on behalf of the Borrower, any Subsidiary or any other Loan Party to the Agent or any Lender pursuant to or in connection with this Agreement or any of the other Loan Documents (including, but not limited to, any such statement made in or in connection with any amendment hereto or thereto or any statement contained in any certificate, financial statement or other instrument delivered by or on behalf of the Borrower prior to the Agreement Date and delivered to the Agent or any Lender in connection with the underwriting or closing of the transactions contemplated hereby) shall constitute representations and warranties made by the Borrower in favor of the Agent or any of the Lenders under this Agreement. All representations and warranties made under this Agreement and the other Loan Documents shall be deemed to be made at and as of the Agreement Date, the Effective Date, the date on which any extension of the Termination Date is effectuated pursuant to Section 2.13. and the date of the occurrence of any Credit Event,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All such representations and warranties shall survive the effectiveness of this Agreement, the execution and delivery of the Loan Documents and the making of the Loans and the issuance of the Letters of Credit.</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 A</w:t>
      </w:r>
      <w:r>
        <w:rPr>
          <w:rFonts w:ascii="Arial" w:cs="Arial" w:eastAsia="Arial" w:hAnsi="Arial"/>
          <w:sz w:val="14"/>
          <w:szCs w:val="14"/>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provided for in Section 12.6.,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Preservation of Existence and Similar Matters.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Except as otherwise permitted under Section 9.7., the Borrower shall, and shall cause each Subsidiary and each other Loan Party to, preserve and maintain its respective existence, rights, franchises, licenses and privileges in the jurisdiction of its incorporation or formation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380"/>
          </w:cols>
          <w:pgMar w:left="240" w:top="280" w:right="279" w:bottom="1440" w:gutter="0" w:footer="0" w:header="0"/>
        </w:sectPr>
      </w:pPr>
    </w:p>
    <w:bookmarkStart w:id="97" w:name="page98"/>
    <w:bookmarkEnd w:id="97"/>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Compliance with Applicable Law and Material Contracts.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Borrower shall, and shall cause each Subsidiary and each other Loan Party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Maintenance of Property.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requirements of any of tie other Loan Documents, the Borrower shall, and shall cause each Subsidiary and other Loan Party to, (a) protect and preserve all of its material properties, including, but not limited to, all Intellectual Property, and maintain in good repair, working order and condition all tangible properties, ordinary wear and tear excepted, and (b) make or cause to be made all needed and appropriate repairs, renewals, replacements and additions to such properties, so that the business carried on in connection therewith may be properly and advantageously conducted at all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Conduct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and shall cause its Subsidiaries and the other Loan Parties to, carry on their respective businesses as described in Section 6.1 .(t).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7.5. Insurance.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the requirements of any of the other Loan Documents, the Borrower shall, and shall cause each Subsidiary and other Loan Party to, maintain insurance (on a replacement cost basis) with financially sound and reputable insurance companies against such risks and in such amounts as is customarily maintained by Persons engaged in similar businesses or as may be required by Applicable Law, and from time to time deliver to the Agent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7.6. Payment of Taxes and Claims.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Borrower shall, and shall cause each Subsidiary and other Loan Party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00"/>
          </w:cols>
          <w:pgMar w:left="240" w:top="280" w:right="259" w:bottom="1440" w:gutter="0" w:footer="0" w:header="0"/>
        </w:sectPr>
      </w:pPr>
    </w:p>
    <w:bookmarkStart w:id="98" w:name="page99"/>
    <w:bookmarkEnd w:id="9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Borrower, such Subsidiary or such other Loan Party, as applicable, in accordance with GAAP.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7.7. Visits and Inspections.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Borrower shall, and shall cause each Subsidiary and other Loan Party to, permit representatives or agents of any Lender or the Agent, from time to time after reasonable prior notice if no Event of Default shall be in existence, as often as may be reasonably requested, but only during normal business hours and at the expense of such Lender or the Agent (unless an Event of Default shall exist, in which case the exercise by the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its business, properties, condition (financial or otherwise), results of operations and performance. If requested by the Agent, the Borrower shall execute an authorization letter addressed to its accountants authorizing the Agent or any Lender to discuss the financial affairs of the Borrower and any Subsidiary or any other Loan Party with its accountants.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7.8. Use of Proceeds; Letters of Credit.</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Borrower shall use the proceeds of the Loans and the Letters of Credit for general corporate purposes only. No part of the proceeds of any Loan or Letter of Credit will be used (a) for the purpose of buying or carrying “margin stock” within the meaning of Regulation U of the Board of Governors of the Federal Reserve System or to extend credit to others for the purpose of purchasing or carrying any such margin stock or (b) to fund any operations in, finance any investments or activities in, or make any payments to, a Sanctioned Person or Sanctioned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7.9. Environmental Matters.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Borrower shall, and shall cause all of its Subsidiaries and the other Loan Parties to, comply with all Environmental Laws the failure with which to comply could reasonably be expected to have a Material Adverse Effect. If the Borrower, any Subsidiary or any other Loan Party shall (a) receive notice that any violation of any Environmental Law may have been committed or is about to be committed by such Person, (b) receive notice that any administrative or judicial complaint or order has been filed or is about to be filed against the Borrower, any Subsidiary or any other Loan Party alleging violations of any Environmental Law or requiring the Borrower, any Subsidiary or any other Loan Party to take any action in connection with the release of Hazardous Materials or (c) receive any notice from a Governmental Authority or private party alleging that the Borrower, any Subsidiary or any other Loan Party may be liable or responsible for costs associated with a response to or cleanup of a release of Hazardous Materials or any damages caused thereby, and the matters referred to in such notices, individually or in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20"/>
          </w:cols>
          <w:pgMar w:left="240" w:top="280" w:right="239" w:bottom="1440" w:gutter="0" w:footer="0" w:header="0"/>
        </w:sectPr>
      </w:pPr>
    </w:p>
    <w:bookmarkStart w:id="99" w:name="page100"/>
    <w:bookmarkEnd w:id="99"/>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aggregate, could reasonably be expected to have a Material Adverse Effect, the Borrower shall provide the Agent with a copy of such notice promptly, and in any event within 10 Business Days, after the receipt thereof by the Borrower, any Subsidiary or any other Loan Party. The Borrower shall, and shall cause its Subsidiaries and the other Loan Parties to, take promptly all actions necessary to prevent the imposition of any Liens on any of their respective properties arising out of or related to any Environmental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Books and Records.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Borrower shall, and shall cause each of its Subsidiaries and the other Loan Parties to, maintain books and records pertaining to its respective business operations in such detail, form and scope as is consistent with good business practice and in accordance with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7.11. Further Assurances.</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Borrower shall, at the Borrower’s cost and expense and upon request of the Agent, execute and deliver or cause to be executed and delivered, to the Agent such further instruments, documents and certificates, and do and cause to be done such further acts that may be reasonably necessary or advisable in the reasonable opinion of the Agent to carry out the provisions and purposes of this Agreement and the other Loan Documents.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7.12. New Subsidiaries/Guarantors.</w:t>
      </w:r>
    </w:p>
    <w:p>
      <w:pPr>
        <w:spacing w:after="0" w:line="96" w:lineRule="exact"/>
        <w:rPr>
          <w:sz w:val="20"/>
          <w:szCs w:val="20"/>
          <w:color w:val="auto"/>
        </w:rPr>
      </w:pPr>
    </w:p>
    <w:p>
      <w:pPr>
        <w:ind w:firstLine="464"/>
        <w:spacing w:after="0" w:line="289" w:lineRule="auto"/>
        <w:tabs>
          <w:tab w:leader="none" w:pos="69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Requirement to Become Guarantor</w:t>
      </w:r>
      <w:r>
        <w:rPr>
          <w:rFonts w:ascii="Arial" w:cs="Arial" w:eastAsia="Arial" w:hAnsi="Arial"/>
          <w:sz w:val="16"/>
          <w:szCs w:val="16"/>
          <w:color w:val="auto"/>
        </w:rPr>
        <w:t xml:space="preserve">. Within 10 Business Days of any Person (other than an Excluded Subsidiary or a Subsidiary owning a Non-Controlled Property) becoming a Material Subsidiary after the Effective Date, the Borrower shall deliver to the Agent each of the following items, each in form and substance satisfactory to the Agent: (i) an Accession Agreement executed by such Material Subsidiary and (ii) the items that would have been delivered under Sections 5.1.(a) (iv), (ix) through (xii) and (xv) if such Material Subsidiary had been one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promptly (and in any event within 10 Business Days) upon (x) any Excluded Subsidiary ceasing to be subject to the restriction which prevented it from becoming a Guarantor on the Effective Date or delivering an Accession Agreement pursuant to this Section, as the case may be, or (y) a Subsidiary ceasing to own any Non-Controlled Properties, such Subsidiary shall comply with the provisions of this Section if then applicable. The Borrower shall send to each Lender copies of each of the foregoing items once the Agent has received all such items with respect to a Material Subsidiary.</w:t>
      </w:r>
    </w:p>
    <w:p>
      <w:pPr>
        <w:spacing w:after="0" w:line="118"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Other Guarantors</w:t>
      </w:r>
      <w:r>
        <w:rPr>
          <w:rFonts w:ascii="Arial" w:cs="Arial" w:eastAsia="Arial" w:hAnsi="Arial"/>
          <w:sz w:val="18"/>
          <w:szCs w:val="18"/>
          <w:color w:val="auto"/>
        </w:rPr>
        <w:t>. The Borrower may, at its option, cause any Subsidiary that is not already a Guarantor to become a Guarantor by executing and delivering to the Agent the items required to be delivered under the immediately preceding subsection (a).</w:t>
      </w:r>
    </w:p>
    <w:p>
      <w:pPr>
        <w:spacing w:after="0" w:line="131" w:lineRule="exact"/>
        <w:rPr>
          <w:rFonts w:ascii="Arial" w:cs="Arial" w:eastAsia="Arial" w:hAnsi="Arial"/>
          <w:sz w:val="18"/>
          <w:szCs w:val="18"/>
          <w:color w:val="auto"/>
        </w:rPr>
      </w:pPr>
    </w:p>
    <w:p>
      <w:pPr>
        <w:ind w:right="120" w:firstLine="464"/>
        <w:spacing w:after="0" w:line="256"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Release of a Guarantor</w:t>
      </w:r>
      <w:r>
        <w:rPr>
          <w:rFonts w:ascii="Arial" w:cs="Arial" w:eastAsia="Arial" w:hAnsi="Arial"/>
          <w:sz w:val="18"/>
          <w:szCs w:val="18"/>
          <w:color w:val="auto"/>
        </w:rPr>
        <w:t>. The Borrower may request in writing that the Agent release, and upon receipt of such request the Agent shall release, a Guarantor from the Guaranty so long as: (i) such Guarantor (x) meets, or will meet simultaneously with its release from the Guaranty, all of the provisions of the definition of the term “Excluded Subsidiary” or (y) has ceased to be, or simultaneously with its release from the Guaranty will cease to be, a Material Subsidiary (whether pursuant to a transaction permitted under Section 9.7. or otherwise);</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1420"/>
          </w:cols>
          <w:pgMar w:left="240" w:top="280" w:right="239" w:bottom="1440" w:gutter="0" w:footer="0" w:header="0"/>
        </w:sectPr>
      </w:pPr>
    </w:p>
    <w:bookmarkStart w:id="100" w:name="page101"/>
    <w:bookmarkEnd w:id="100"/>
    <w:p>
      <w:pPr>
        <w:ind w:right="40" w:firstLine="8"/>
        <w:spacing w:after="0" w:line="318" w:lineRule="auto"/>
        <w:tabs>
          <w:tab w:leader="none" w:pos="258" w:val="left"/>
        </w:tabs>
        <w:numPr>
          <w:ilvl w:val="0"/>
          <w:numId w:val="8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Guarantor is not otherwise required to be a party to the Guaranty under the immediately preceding subsection (a); (iii) no Default or Event of Default shall then be in existence or would occur as a result of such release, including, without limitation, a Default or Event of Default resulting from a violation of any of the covenants contained in Section 9.1.; and (iv) the Agent shall have received such written request at least 10 Business Days prior to the requested date of release. Delivery by the Borrower to the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7.13. REIT Status.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at all times maintain its status as a REIT.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7.14. Exchange Listing.</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Borrower shall maintain at least one class of common shares of the Borrower having trading privileges on the New York Stock Exchange, the American Stock Exchange or other national exchange reasonably acceptable to the Agent or which is the subject of price quotations in the over-the-counter market as reported by the National Association of Securities Dealers Automated Quotation System.</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 I</w:t>
      </w:r>
      <w:r>
        <w:rPr>
          <w:rFonts w:ascii="Arial" w:cs="Arial" w:eastAsia="Arial" w:hAnsi="Arial"/>
          <w:sz w:val="14"/>
          <w:szCs w:val="14"/>
          <w:b w:val="1"/>
          <w:bCs w:val="1"/>
          <w:color w:val="auto"/>
        </w:rPr>
        <w:t>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set forth in Section 12.6., the Borrower shall furnish to the Agent at its Lending Office: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Quarterly Financial Statements.</w:t>
      </w:r>
    </w:p>
    <w:p>
      <w:pPr>
        <w:spacing w:after="0" w:line="9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As soon as available and in any event within 5 days after the same is required to be filed with the Securities and Exchange Commission (but in no event later than 50 days after the end of each of the first, second and third fiscal quarters of the Borrower), the unaudited consolidated balance sheet of the Borrower and its Subsidiaries as at the end of such period and the related unaudited consolidated statements of operations, common shareholders’ equity and cash flows of the Borrower and its Subsidiaries for such period, setting forth in each case in comparative form the figures as of the end of and for the corresponding periods of the previous fiscal year, all of which shall be in a form acceptable to the Securities and Exchange Commission and certified by 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Year-End Statements.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soon as available and in any event within 5 days after the same is required to be filed with the Securities and Exchange Commission (but in no event later than 95 days after the end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380"/>
          </w:cols>
          <w:pgMar w:left="240" w:top="280" w:right="279" w:bottom="1440" w:gutter="0" w:footer="0" w:header="0"/>
        </w:sectPr>
      </w:pPr>
    </w:p>
    <w:bookmarkStart w:id="101" w:name="page102"/>
    <w:bookmarkEnd w:id="101"/>
    <w:p>
      <w:pPr>
        <w:ind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fiscal year of the Borrower), the audited consolidated balance sheet of the Borrower and its Subsidiaries as at the end of such fiscal year and the related audited consolidated statements of operations, common shareholders’ equity and cash flows of the Borrower and its Subsidiaries for such fiscal year, setting forth in comparative form the figures as at the end of and for the previous fiscal year, all of which shall be in a form acceptable to the Securities and Exchange Commission and certified by (a) the chief financial officer or chief accounting officer of the Borrower, in his or her opinion, to present fairly, in accordance with GAAP, the consolidated financial position of the Borrower and its Subsidiaries as at the date thereof and the results of operations for such period and</w:t>
      </w:r>
    </w:p>
    <w:p>
      <w:pPr>
        <w:spacing w:after="0" w:line="2" w:lineRule="exact"/>
        <w:rPr>
          <w:sz w:val="20"/>
          <w:szCs w:val="20"/>
          <w:color w:val="auto"/>
        </w:rPr>
      </w:pPr>
    </w:p>
    <w:p>
      <w:pPr>
        <w:ind w:right="260" w:firstLine="8"/>
        <w:spacing w:after="0" w:line="323" w:lineRule="auto"/>
        <w:tabs>
          <w:tab w:leader="none" w:pos="249"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independent certified public accountants of recognized national standing acceptable to the Agent, whose certificate shall be unqualified and who shall have authorized the Borrower to deliver such financial statements and certification thereof to the Agent and the Lenders pursuant to this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Compliance Certificate.</w:t>
      </w:r>
    </w:p>
    <w:p>
      <w:pPr>
        <w:spacing w:after="0" w:line="96"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 xml:space="preserve">At the time financial statements are furnished pursuant to Sections 8.1. and 8.2., and, if the Requisite Lenders reasonably believe that an Event of Default specified in Section 10.1.(a), Section 10.l.(b), Section 10.1.(f) or Section l0.1.(g) or a Default under Section 10.l.(g) may occur, within 5 Business Days of the Agent’s request with respect to any other fiscal period, a certificate substantially in the form of Exhibit N (a </w:t>
      </w:r>
      <w:r>
        <w:rPr>
          <w:rFonts w:ascii="Arial" w:cs="Arial" w:eastAsia="Arial" w:hAnsi="Arial"/>
          <w:sz w:val="16"/>
          <w:szCs w:val="16"/>
          <w:b w:val="1"/>
          <w:bCs w:val="1"/>
          <w:color w:val="auto"/>
        </w:rPr>
        <w:t>“Compliance Certificate”</w:t>
      </w:r>
      <w:r>
        <w:rPr>
          <w:rFonts w:ascii="Arial" w:cs="Arial" w:eastAsia="Arial" w:hAnsi="Arial"/>
          <w:sz w:val="16"/>
          <w:szCs w:val="16"/>
          <w:color w:val="auto"/>
        </w:rPr>
        <w:t>) executed by the chief financial officer or chief accounting officer of the Borrower: (a) setting forth in reasonable detail as at the end of such quarterly accounting period, fiscal year, or other fiscal period, as the case may be, the calculations required to establish whether or not the Borrower was in compliance with the covenants contained in Sections 9.1. and 9.4. and (b) stating that, to the best of his or her knowledge, information and belief after due inquiry, no Default or Event of Default exists, or, if such is not the case, specifying such Default or Event of Default and its nature, when it occurred, whether it is continuing and the steps being taken by the Borrower with respect to such event, condition or failure; provided, however, for the fiscal quarter ending June 30, 2006, the Compliance Certificate to be delivered by the Borrower shall show on a pro forma basis whether the Borrower would have been in compliance with such covenants had they applied to the Borrower at such time. Together with each Compliance Certificate delivered in connection with quarterly or annual financial statements, the Borrower shall deliver a report, in form and detail reasonably satisfactory to the Agent, setting forth (x) a statement of Funds From Operations for the fiscal period then ending;</w:t>
      </w:r>
    </w:p>
    <w:p>
      <w:pPr>
        <w:spacing w:after="0" w:line="5" w:lineRule="exact"/>
        <w:rPr>
          <w:sz w:val="20"/>
          <w:szCs w:val="20"/>
          <w:color w:val="auto"/>
        </w:rPr>
      </w:pPr>
    </w:p>
    <w:p>
      <w:pPr>
        <w:ind w:right="160" w:firstLine="8"/>
        <w:spacing w:after="0" w:line="281" w:lineRule="auto"/>
        <w:tabs>
          <w:tab w:leader="none" w:pos="249"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Agent; and</w:t>
      </w:r>
    </w:p>
    <w:p>
      <w:pPr>
        <w:spacing w:after="0" w:line="1" w:lineRule="exact"/>
        <w:rPr>
          <w:rFonts w:ascii="Arial" w:cs="Arial" w:eastAsia="Arial" w:hAnsi="Arial"/>
          <w:sz w:val="16"/>
          <w:szCs w:val="16"/>
          <w:color w:val="auto"/>
        </w:rPr>
      </w:pPr>
    </w:p>
    <w:p>
      <w:pPr>
        <w:ind w:firstLine="8"/>
        <w:spacing w:after="0" w:line="261" w:lineRule="auto"/>
        <w:tabs>
          <w:tab w:leader="none" w:pos="23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listing of all Properties acquired by the Borrower or any Subsidiary since the delivery of the previous such list, including their net operating income, cost and related mortgage debt, if 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8.4. Other Information.</w:t>
      </w:r>
    </w:p>
    <w:p>
      <w:pPr>
        <w:spacing w:after="0" w:line="96" w:lineRule="exact"/>
        <w:rPr>
          <w:sz w:val="20"/>
          <w:szCs w:val="20"/>
          <w:color w:val="auto"/>
        </w:rPr>
      </w:pPr>
    </w:p>
    <w:p>
      <w:pPr>
        <w:ind w:right="60" w:firstLine="464"/>
        <w:spacing w:after="0" w:line="268"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Management Reports</w:t>
      </w:r>
      <w:r>
        <w:rPr>
          <w:rFonts w:ascii="Arial" w:cs="Arial" w:eastAsia="Arial" w:hAnsi="Arial"/>
          <w:sz w:val="18"/>
          <w:szCs w:val="18"/>
          <w:color w:val="auto"/>
        </w:rPr>
        <w:t>. Promptly upon receipt thereof, copies of all management reports, if any, submitted to the Borrower or its Board of Trustees by its independent public accountants;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68 -</w:t>
      </w:r>
    </w:p>
    <w:p>
      <w:pPr>
        <w:sectPr>
          <w:pgSz w:w="11900" w:h="16838" w:orient="portrait"/>
          <w:cols w:equalWidth="0" w:num="1">
            <w:col w:w="11420"/>
          </w:cols>
          <w:pgMar w:left="240" w:top="280" w:right="239" w:bottom="1440" w:gutter="0" w:footer="0" w:header="0"/>
        </w:sectPr>
      </w:pPr>
    </w:p>
    <w:bookmarkStart w:id="102" w:name="page103"/>
    <w:bookmarkEnd w:id="102"/>
    <w:p>
      <w:pPr>
        <w:ind w:left="-8" w:right="20" w:firstLine="464"/>
        <w:spacing w:after="0" w:line="256" w:lineRule="auto"/>
        <w:tabs>
          <w:tab w:leader="none" w:pos="697"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Filings</w:t>
      </w:r>
      <w:r>
        <w:rPr>
          <w:rFonts w:ascii="Arial" w:cs="Arial" w:eastAsia="Arial" w:hAnsi="Arial"/>
          <w:sz w:val="18"/>
          <w:szCs w:val="18"/>
          <w:color w:val="auto"/>
        </w:rPr>
        <w:t>. Within 5 Business Days of the filing thereof, copies of all registration statements (excluding the exhibits thereto (unless requested by the Agent) and any registration statements on Form S-8 or its equivalent), reports on Forms 10-K, 10-Q and 8-K (or their equivalents) and all other periodic reports which the Borrower, any Subsidiary or any other Loan Party shall file with the Securities and Exchange Commission (or any Governmental Authority substituted therefor) or any national securities exchange;</w:t>
      </w:r>
    </w:p>
    <w:p>
      <w:pPr>
        <w:spacing w:after="0" w:line="143" w:lineRule="exact"/>
        <w:rPr>
          <w:rFonts w:ascii="Arial" w:cs="Arial" w:eastAsia="Arial" w:hAnsi="Arial"/>
          <w:sz w:val="18"/>
          <w:szCs w:val="18"/>
          <w:color w:val="auto"/>
        </w:rPr>
      </w:pPr>
    </w:p>
    <w:p>
      <w:pPr>
        <w:ind w:left="-8" w:right="240" w:firstLine="464"/>
        <w:spacing w:after="0" w:line="259" w:lineRule="auto"/>
        <w:tabs>
          <w:tab w:leader="none" w:pos="687"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Shareholder Information</w:t>
      </w:r>
      <w:r>
        <w:rPr>
          <w:rFonts w:ascii="Arial" w:cs="Arial" w:eastAsia="Arial" w:hAnsi="Arial"/>
          <w:sz w:val="18"/>
          <w:szCs w:val="18"/>
          <w:color w:val="auto"/>
        </w:rPr>
        <w:t>. 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140" w:lineRule="exact"/>
        <w:rPr>
          <w:rFonts w:ascii="Arial" w:cs="Arial" w:eastAsia="Arial" w:hAnsi="Arial"/>
          <w:sz w:val="18"/>
          <w:szCs w:val="18"/>
          <w:color w:val="auto"/>
        </w:rPr>
      </w:pPr>
    </w:p>
    <w:p>
      <w:pPr>
        <w:ind w:left="-8" w:right="20" w:firstLine="464"/>
        <w:spacing w:after="0" w:line="283" w:lineRule="auto"/>
        <w:tabs>
          <w:tab w:leader="none" w:pos="697"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w:t>
      </w:r>
    </w:p>
    <w:p>
      <w:pPr>
        <w:spacing w:after="0" w:line="1" w:lineRule="exact"/>
        <w:rPr>
          <w:rFonts w:ascii="Arial" w:cs="Arial" w:eastAsia="Arial" w:hAnsi="Arial"/>
          <w:sz w:val="16"/>
          <w:szCs w:val="16"/>
          <w:color w:val="auto"/>
        </w:rPr>
      </w:pPr>
    </w:p>
    <w:p>
      <w:pPr>
        <w:ind w:left="-8" w:right="100" w:firstLine="8"/>
        <w:spacing w:after="0" w:line="290" w:lineRule="auto"/>
        <w:tabs>
          <w:tab w:leader="none" w:pos="289" w:val="left"/>
        </w:tabs>
        <w:numPr>
          <w:ilvl w:val="0"/>
          <w:numId w:val="89"/>
        </w:numPr>
        <w:rPr>
          <w:rFonts w:ascii="Arial" w:cs="Arial" w:eastAsia="Arial" w:hAnsi="Arial"/>
          <w:sz w:val="16"/>
          <w:szCs w:val="16"/>
          <w:color w:val="auto"/>
        </w:rPr>
      </w:pPr>
      <w:r>
        <w:rPr>
          <w:rFonts w:ascii="Arial" w:cs="Arial" w:eastAsia="Arial" w:hAnsi="Arial"/>
          <w:sz w:val="16"/>
          <w:szCs w:val="16"/>
          <w:color w:val="auto"/>
        </w:rPr>
        <w:t>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the chief financial officer or chief accounting officer of the Borrower setting forth details as to such occurrence and the action, if any, which the Borrower or applicable member of the ERISA Group is required or proposes to take;</w:t>
      </w:r>
    </w:p>
    <w:p>
      <w:pPr>
        <w:spacing w:after="0" w:line="118" w:lineRule="exact"/>
        <w:rPr>
          <w:rFonts w:ascii="Arial" w:cs="Arial" w:eastAsia="Arial" w:hAnsi="Arial"/>
          <w:sz w:val="16"/>
          <w:szCs w:val="16"/>
          <w:color w:val="auto"/>
        </w:rPr>
      </w:pPr>
    </w:p>
    <w:p>
      <w:pPr>
        <w:ind w:left="-8" w:firstLine="464"/>
        <w:spacing w:after="0" w:line="255" w:lineRule="auto"/>
        <w:tabs>
          <w:tab w:leader="none" w:pos="687"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To the extent the Borrower or any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Borrower or any Subsidiary or any of their respective properties, assets or businesses which could reasonably be expected to have a Material Adverse Effect, and prompt notice of the receipt of notice that any United States income tax returns of the Borrower or any of its Subsidiaries are being audited;</w:t>
      </w:r>
    </w:p>
    <w:p>
      <w:pPr>
        <w:spacing w:after="0" w:line="142" w:lineRule="exact"/>
        <w:rPr>
          <w:rFonts w:ascii="Arial" w:cs="Arial" w:eastAsia="Arial" w:hAnsi="Arial"/>
          <w:sz w:val="18"/>
          <w:szCs w:val="18"/>
          <w:color w:val="auto"/>
        </w:rPr>
      </w:pPr>
    </w:p>
    <w:p>
      <w:pPr>
        <w:ind w:left="-8" w:right="420" w:firstLine="464"/>
        <w:spacing w:after="0" w:line="268" w:lineRule="auto"/>
        <w:tabs>
          <w:tab w:leader="none" w:pos="668"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Modification of Organizational Documents</w:t>
      </w:r>
      <w:r>
        <w:rPr>
          <w:rFonts w:ascii="Arial" w:cs="Arial" w:eastAsia="Arial" w:hAnsi="Arial"/>
          <w:sz w:val="18"/>
          <w:szCs w:val="18"/>
          <w:color w:val="auto"/>
        </w:rPr>
        <w:t>. A copy of any amendment to the declaration of trust, bylaws or other organizational documents of the Borrower within 15 Business Days after the effectiveness thereof;</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2"/>
          <w:numId w:val="89"/>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372"/>
          </w:cols>
          <w:pgMar w:left="248" w:top="280" w:right="279" w:bottom="1440" w:gutter="0" w:footer="0" w:header="0"/>
        </w:sectPr>
      </w:pPr>
    </w:p>
    <w:bookmarkStart w:id="103" w:name="page104"/>
    <w:bookmarkEnd w:id="103"/>
    <w:p>
      <w:pPr>
        <w:ind w:firstLine="464"/>
        <w:spacing w:after="0" w:line="306"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Management or Financial Condition</w:t>
      </w:r>
      <w:r>
        <w:rPr>
          <w:rFonts w:ascii="Arial" w:cs="Arial" w:eastAsia="Arial" w:hAnsi="Arial"/>
          <w:sz w:val="16"/>
          <w:szCs w:val="16"/>
          <w:color w:val="auto"/>
        </w:rPr>
        <w:t>. Prompt notice of any change in the chief executive officer, chief financial officer, chief investment officer or general counsel of the Borrower, any Subsidiary or any other Loan Party and any change in the business, assets, liabilities, financial condition or results of operations of the Borrower, any Subsidiary or any other Loan Party which has had or could reasonably be expected to have a Material Adverse Effect;</w:t>
      </w:r>
    </w:p>
    <w:p>
      <w:pPr>
        <w:spacing w:after="0" w:line="106" w:lineRule="exact"/>
        <w:rPr>
          <w:rFonts w:ascii="Arial" w:cs="Arial" w:eastAsia="Arial" w:hAnsi="Arial"/>
          <w:sz w:val="16"/>
          <w:szCs w:val="16"/>
          <w:color w:val="auto"/>
        </w:rPr>
      </w:pPr>
    </w:p>
    <w:p>
      <w:pPr>
        <w:ind w:right="60" w:firstLine="464"/>
        <w:spacing w:after="0" w:line="256"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Notice of the occurrence of any of the following promptly upon a Responsible Officer of the Borrower obtaining knowledge thereof: (i) any Default or Event of Default or (ii) any event which constitutes or which with the passage of time, the giving of notice, or otherwise, would constitute a default or event of default by the Borrower, any Subsidiary or any other Loan Party under any Material Contract to which any such Person is a party or by which any such Person or any of its respective properties may be bound;</w:t>
      </w:r>
    </w:p>
    <w:p>
      <w:pPr>
        <w:spacing w:after="0" w:line="143" w:lineRule="exact"/>
        <w:rPr>
          <w:rFonts w:ascii="Arial" w:cs="Arial" w:eastAsia="Arial" w:hAnsi="Arial"/>
          <w:sz w:val="18"/>
          <w:szCs w:val="18"/>
          <w:color w:val="auto"/>
        </w:rPr>
      </w:pPr>
    </w:p>
    <w:p>
      <w:pPr>
        <w:ind w:right="220" w:firstLine="464"/>
        <w:spacing w:after="0" w:line="268" w:lineRule="auto"/>
        <w:tabs>
          <w:tab w:leader="none" w:pos="66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Prompt notice of any order, judgment or decree in excess of $5,000,000 having been entered against the Borrower, any Subsidiary or any other Loan Party of any of their respective properties or assets;</w:t>
      </w:r>
    </w:p>
    <w:p>
      <w:pPr>
        <w:spacing w:after="0" w:line="131" w:lineRule="exact"/>
        <w:rPr>
          <w:rFonts w:ascii="Arial" w:cs="Arial" w:eastAsia="Arial" w:hAnsi="Arial"/>
          <w:sz w:val="18"/>
          <w:szCs w:val="18"/>
          <w:color w:val="auto"/>
        </w:rPr>
      </w:pPr>
    </w:p>
    <w:p>
      <w:pPr>
        <w:ind w:right="560" w:firstLine="464"/>
        <w:spacing w:after="0" w:line="259" w:lineRule="auto"/>
        <w:tabs>
          <w:tab w:leader="none" w:pos="66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Notice of Violations of Law</w:t>
      </w:r>
      <w:r>
        <w:rPr>
          <w:rFonts w:ascii="Arial" w:cs="Arial" w:eastAsia="Arial" w:hAnsi="Arial"/>
          <w:sz w:val="18"/>
          <w:szCs w:val="18"/>
          <w:color w:val="auto"/>
        </w:rPr>
        <w:t>. 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Material Subsidiary</w:t>
      </w:r>
      <w:r>
        <w:rPr>
          <w:rFonts w:ascii="Arial" w:cs="Arial" w:eastAsia="Arial" w:hAnsi="Arial"/>
          <w:sz w:val="18"/>
          <w:szCs w:val="18"/>
          <w:color w:val="auto"/>
        </w:rPr>
        <w:t>. Prompt notice of any Person becoming a Material Subsidiary;</w:t>
      </w:r>
    </w:p>
    <w:p>
      <w:pPr>
        <w:spacing w:after="0" w:line="171" w:lineRule="exact"/>
        <w:rPr>
          <w:sz w:val="20"/>
          <w:szCs w:val="20"/>
          <w:color w:val="auto"/>
        </w:rPr>
      </w:pPr>
    </w:p>
    <w:p>
      <w:pPr>
        <w:ind w:right="180" w:firstLine="464"/>
        <w:spacing w:after="0" w:line="268"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Material Asset Sales</w:t>
      </w:r>
      <w:r>
        <w:rPr>
          <w:rFonts w:ascii="Arial" w:cs="Arial" w:eastAsia="Arial" w:hAnsi="Arial"/>
          <w:sz w:val="18"/>
          <w:szCs w:val="18"/>
          <w:color w:val="auto"/>
        </w:rPr>
        <w:t>. Prompt notice of the sale, transfer or other disposition of any material assets of the Borrower, any Subsidiary or any other Loan Party to any Person other than the Borrower, any Subsidiary or any other Loan Party;</w:t>
      </w:r>
    </w:p>
    <w:p>
      <w:pPr>
        <w:spacing w:after="0" w:line="132" w:lineRule="exact"/>
        <w:rPr>
          <w:sz w:val="20"/>
          <w:szCs w:val="20"/>
          <w:color w:val="auto"/>
        </w:rPr>
      </w:pPr>
    </w:p>
    <w:p>
      <w:pPr>
        <w:ind w:right="60" w:firstLine="464"/>
        <w:spacing w:after="0" w:line="268" w:lineRule="auto"/>
        <w:tabs>
          <w:tab w:leader="none" w:pos="75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Patriot Act Information</w:t>
      </w:r>
      <w:r>
        <w:rPr>
          <w:rFonts w:ascii="Arial" w:cs="Arial" w:eastAsia="Arial" w:hAnsi="Arial"/>
          <w:sz w:val="18"/>
          <w:szCs w:val="18"/>
          <w:color w:val="auto"/>
        </w:rPr>
        <w:t>. From time to time and promptly upon each request, information identifying the Borrower as a Lender may request in order to comply with the USA Patriot Act (Title III of Pub. L. 107-56 (signed into law October 26, 2001));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From time to time and promptly upon each request, such data, certificates, reports, statements, opinions of counsel, documents or further information regarding the business, assets, liabilities, financial condition or results of operations of the Borrower or any of its Subsidiaries as the Agent or any Lender may reasonably request.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Electronic Delivery of Certain Information.</w:t>
      </w:r>
    </w:p>
    <w:p>
      <w:pPr>
        <w:spacing w:after="0" w:line="90" w:lineRule="exact"/>
        <w:rPr>
          <w:sz w:val="20"/>
          <w:szCs w:val="20"/>
          <w:color w:val="auto"/>
        </w:rPr>
      </w:pPr>
    </w:p>
    <w:p>
      <w:pPr>
        <w:jc w:val="both"/>
        <w:ind w:right="60" w:firstLine="464"/>
        <w:spacing w:after="0" w:line="301"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Borrower may deliver documents, materials and other information required to be delivered pursuant to Article VIII. (collectively, </w:t>
      </w:r>
      <w:r>
        <w:rPr>
          <w:rFonts w:ascii="Arial" w:cs="Arial" w:eastAsia="Arial" w:hAnsi="Arial"/>
          <w:sz w:val="16"/>
          <w:szCs w:val="16"/>
          <w:b w:val="1"/>
          <w:bCs w:val="1"/>
          <w:color w:val="auto"/>
        </w:rPr>
        <w:t>“Information”</w:t>
      </w:r>
      <w:r>
        <w:rPr>
          <w:rFonts w:ascii="Arial" w:cs="Arial" w:eastAsia="Arial" w:hAnsi="Arial"/>
          <w:sz w:val="16"/>
          <w:szCs w:val="16"/>
          <w:color w:val="auto"/>
        </w:rPr>
        <w:t>) in an electronic format acceptable to the Agent by e-mailing any such Information to an e-mail address of the Agent as specified by the Agent from time to time. The Agent shall promptly post such Information on the Borrower’s behalf on an internet or intranet website to which each Lender and the Agent has access, whether a commercial, third-party website (such as Intralinks or SyndTrak) or a website</w:t>
      </w:r>
    </w:p>
    <w:p>
      <w:pPr>
        <w:spacing w:after="0" w:line="95" w:lineRule="exact"/>
        <w:rPr>
          <w:rFonts w:ascii="Arial" w:cs="Arial" w:eastAsia="Arial" w:hAnsi="Arial"/>
          <w:sz w:val="16"/>
          <w:szCs w:val="16"/>
          <w:color w:val="auto"/>
        </w:rPr>
      </w:pPr>
    </w:p>
    <w:p>
      <w:pPr>
        <w:ind w:left="5620" w:hanging="96"/>
        <w:spacing w:after="0"/>
        <w:tabs>
          <w:tab w:leader="none" w:pos="5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360"/>
          </w:cols>
          <w:pgMar w:left="240" w:top="280" w:right="299" w:bottom="1440" w:gutter="0" w:footer="0" w:header="0"/>
        </w:sectPr>
      </w:pPr>
    </w:p>
    <w:bookmarkStart w:id="104" w:name="page105"/>
    <w:bookmarkEnd w:id="104"/>
    <w:p>
      <w:pPr>
        <w:ind w:right="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sponsored by the Agent (the </w:t>
      </w:r>
      <w:r>
        <w:rPr>
          <w:rFonts w:ascii="Arial" w:cs="Arial" w:eastAsia="Arial" w:hAnsi="Arial"/>
          <w:sz w:val="18"/>
          <w:szCs w:val="18"/>
          <w:b w:val="1"/>
          <w:bCs w:val="1"/>
          <w:color w:val="auto"/>
        </w:rPr>
        <w:t>“Platform”</w:t>
      </w:r>
      <w:r>
        <w:rPr>
          <w:rFonts w:ascii="Arial" w:cs="Arial" w:eastAsia="Arial" w:hAnsi="Arial"/>
          <w:sz w:val="18"/>
          <w:szCs w:val="18"/>
          <w:color w:val="auto"/>
        </w:rPr>
        <w:t>). Such information shall only be deemed to have been delivered to the Lenders on the date on which such information is so posted. The Agent shall promptly notify each Lender by e-mail or otherwise when Information is posted to the Platform.</w:t>
      </w:r>
    </w:p>
    <w:p>
      <w:pPr>
        <w:spacing w:after="0" w:line="126" w:lineRule="exact"/>
        <w:rPr>
          <w:sz w:val="20"/>
          <w:szCs w:val="20"/>
          <w:color w:val="auto"/>
        </w:rPr>
      </w:pPr>
    </w:p>
    <w:p>
      <w:pPr>
        <w:ind w:right="20" w:firstLine="464"/>
        <w:spacing w:after="0" w:line="289"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addition, the Borrower may deliver Information required to be delivered pursuant to Sections 8.1., 8.2., and 8.4.(b) and (c) by posting any such information to the Borrower’s internet website (as of the Agreement Date, www.federalrealty.com). Any such information provided in such manner shall only be deemed to have been delivered to the Agent or a Lender (i) on the date on which the Agent or such Lender, as applicable, receives notice from the Borrower that such Information has been posted to the Borrower’s internet website and (ii) only if such Information is publicly available without charge on such website. If for any reason, the Agent or a Lender either did not receive such notice or after reasonable efforts was unable to access such website, then the Agent or such Lender, as applicable, shall not be deemed to have received such Information, in addition to any manner permitted by Section 12.1., the Borrower may notify the Agent or a Lender that Information has been posted to such a website by causing an e-mail notification to be sent to an e-mail address specified from time to time by the Agent or such Lender, as applicable.</w:t>
      </w:r>
    </w:p>
    <w:p>
      <w:pPr>
        <w:spacing w:after="0" w:line="118" w:lineRule="exact"/>
        <w:rPr>
          <w:rFonts w:ascii="Arial" w:cs="Arial" w:eastAsia="Arial" w:hAnsi="Arial"/>
          <w:sz w:val="16"/>
          <w:szCs w:val="16"/>
          <w:color w:val="auto"/>
        </w:rPr>
      </w:pPr>
    </w:p>
    <w:p>
      <w:pPr>
        <w:ind w:right="200" w:firstLine="464"/>
        <w:spacing w:after="0" w:line="306"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Borrower shall deliver paper copies of Information to the Agent or any Lender that requests the Borrower to deliver such paper copies until a written request to cease delivering paper copies is given to the Borrower by the Agent or such Lender and (ii) in every instance the Borrower shall be required to provide to the Agent a paper original of the Compliance Certificate required by Section 8.3.</w:t>
      </w:r>
    </w:p>
    <w:p>
      <w:pPr>
        <w:spacing w:after="0" w:line="106" w:lineRule="exact"/>
        <w:rPr>
          <w:rFonts w:ascii="Arial" w:cs="Arial" w:eastAsia="Arial" w:hAnsi="Arial"/>
          <w:sz w:val="16"/>
          <w:szCs w:val="16"/>
          <w:color w:val="auto"/>
        </w:rPr>
      </w:pPr>
    </w:p>
    <w:p>
      <w:pPr>
        <w:ind w:right="140" w:firstLine="464"/>
        <w:spacing w:after="0" w:line="288"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The Borrower acknowledges and agrees that the Agent may make Information, as well as any other written information, reports, data, certificates, documents, instruments, agreements and other materials relating to the Borrower, any Subsidiary or any other Loan Party or any other materials or matters relating to this Agreement, any of the other Loan Documents or any of the transactions contemplated by the Loan Documents, in each case to the extent that the Agent’s communication thereof to the Lenders is otherwise permitted hereunder (collectively, the </w:t>
      </w:r>
      <w:r>
        <w:rPr>
          <w:rFonts w:ascii="Arial" w:cs="Arial" w:eastAsia="Arial" w:hAnsi="Arial"/>
          <w:sz w:val="16"/>
          <w:szCs w:val="16"/>
          <w:b w:val="1"/>
          <w:bCs w:val="1"/>
          <w:color w:val="auto"/>
        </w:rPr>
        <w:t>“Communications”</w:t>
      </w:r>
      <w:r>
        <w:rPr>
          <w:rFonts w:ascii="Arial" w:cs="Arial" w:eastAsia="Arial" w:hAnsi="Arial"/>
          <w:sz w:val="16"/>
          <w:szCs w:val="16"/>
          <w:color w:val="auto"/>
        </w:rPr>
        <w:t>) available to the Lenders by posting the same on the Platform. The Borrower acknowledges that (i) the distribution of material through an electronic medium, such as the Platform,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The provisions of the immediately preceding clause (i) are not intended to limit the Lenders’ obligations under Section 12.8.</w:t>
      </w:r>
    </w:p>
    <w:p>
      <w:pPr>
        <w:spacing w:after="0" w:line="119" w:lineRule="exact"/>
        <w:rPr>
          <w:rFonts w:ascii="Arial" w:cs="Arial" w:eastAsia="Arial" w:hAnsi="Arial"/>
          <w:sz w:val="16"/>
          <w:szCs w:val="16"/>
          <w:color w:val="auto"/>
        </w:rPr>
      </w:pPr>
    </w:p>
    <w:p>
      <w:pPr>
        <w:jc w:val="both"/>
        <w:ind w:firstLine="464"/>
        <w:spacing w:after="0" w:line="259"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Agent shall have no obligation to request the delivery or to maintain copies of any of the information or other materials referred to above, and in no event shall have any responsibility to monitor compliance by the Borrower with any such requests. Each Lender shall be solely responsible for requesting delivery to it or maintaining its copies of such Information or other materials.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420"/>
          </w:cols>
          <w:pgMar w:left="240" w:top="274" w:right="2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 N</w:t>
      </w:r>
      <w:r>
        <w:rPr>
          <w:rFonts w:ascii="Arial" w:cs="Arial" w:eastAsia="Arial" w:hAnsi="Arial"/>
          <w:sz w:val="14"/>
          <w:szCs w:val="14"/>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set forth in Section 12.6.,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Financial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permit:</w:t>
      </w:r>
    </w:p>
    <w:p>
      <w:pPr>
        <w:spacing w:after="0" w:line="90" w:lineRule="exact"/>
        <w:rPr>
          <w:sz w:val="20"/>
          <w:szCs w:val="20"/>
          <w:color w:val="auto"/>
        </w:rPr>
      </w:pPr>
    </w:p>
    <w:p>
      <w:pPr>
        <w:ind w:firstLine="464"/>
        <w:spacing w:after="0" w:line="283" w:lineRule="auto"/>
        <w:tabs>
          <w:tab w:leader="none" w:pos="695"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Maximum Leverage Ratio</w:t>
      </w:r>
      <w:r>
        <w:rPr>
          <w:rFonts w:ascii="Arial" w:cs="Arial" w:eastAsia="Arial" w:hAnsi="Arial"/>
          <w:sz w:val="16"/>
          <w:szCs w:val="16"/>
          <w:color w:val="auto"/>
        </w:rPr>
        <w:t xml:space="preserve">. The ratio of (i) Total Indebtedness to (ii) Total Asset Value, to exceed 0.60 to 1.0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ratio is greater than 0.60 to 1.0 but is not greater than 0.65 to 1.0, then such failure to comply with the foregoing covenant shall not constitute a Default or an Event of Default and the Borrower shall be deemed to be in compliance with this subsection (a) so long as (1) the Borrower’s failure to comply with the foregoing covenant resulted from the Borrower’s (or any Subsidiary’s) acquisition of a portfolio of Properties, (2) such acquisition is otherwise permitted hereunder,</w:t>
      </w:r>
    </w:p>
    <w:p>
      <w:pPr>
        <w:spacing w:after="0" w:line="2" w:lineRule="exact"/>
        <w:rPr>
          <w:rFonts w:ascii="Arial" w:cs="Arial" w:eastAsia="Arial" w:hAnsi="Arial"/>
          <w:sz w:val="16"/>
          <w:szCs w:val="16"/>
          <w:color w:val="auto"/>
        </w:rPr>
      </w:pPr>
    </w:p>
    <w:p>
      <w:pPr>
        <w:ind w:right="120" w:firstLine="8"/>
        <w:spacing w:after="0" w:line="261" w:lineRule="auto"/>
        <w:tabs>
          <w:tab w:leader="none" w:pos="249"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ratio does not exceed 0.60 to 1.0 for a period of more than two complete consecutive fiscal quarters and (4) the Borrower shall not have previously used the exception provided in clauses (1) through (3) on more than one occasion during the term of this Agreement.</w:t>
      </w:r>
    </w:p>
    <w:p>
      <w:pPr>
        <w:spacing w:after="0" w:line="137" w:lineRule="exact"/>
        <w:rPr>
          <w:rFonts w:ascii="Arial" w:cs="Arial" w:eastAsia="Arial" w:hAnsi="Arial"/>
          <w:sz w:val="18"/>
          <w:szCs w:val="18"/>
          <w:color w:val="auto"/>
        </w:rPr>
      </w:pPr>
    </w:p>
    <w:p>
      <w:pPr>
        <w:ind w:right="60" w:firstLine="464"/>
        <w:spacing w:after="0" w:line="332" w:lineRule="auto"/>
        <w:tabs>
          <w:tab w:leader="none" w:pos="705"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Minimum Fixed Charge Coverage Ratio</w:t>
      </w:r>
      <w:r>
        <w:rPr>
          <w:rFonts w:ascii="Arial" w:cs="Arial" w:eastAsia="Arial" w:hAnsi="Arial"/>
          <w:sz w:val="16"/>
          <w:szCs w:val="16"/>
          <w:color w:val="auto"/>
        </w:rPr>
        <w:t>. The ratio of (i) Adjusted EBITDA of the Borrower and its Subsidiaries determined on a consolidated basis for the fiscal quarter of the Borrower most recently ending to (ii) Fixed Charges for such period, to be less than 1.50 to 1.00 at the end of any fiscal quarter.</w:t>
      </w:r>
    </w:p>
    <w:p>
      <w:pPr>
        <w:spacing w:after="0" w:line="85" w:lineRule="exact"/>
        <w:rPr>
          <w:rFonts w:ascii="Arial" w:cs="Arial" w:eastAsia="Arial" w:hAnsi="Arial"/>
          <w:sz w:val="16"/>
          <w:szCs w:val="16"/>
          <w:color w:val="auto"/>
        </w:rPr>
      </w:pPr>
    </w:p>
    <w:p>
      <w:pPr>
        <w:ind w:right="40" w:firstLine="464"/>
        <w:spacing w:after="0" w:line="268" w:lineRule="auto"/>
        <w:tabs>
          <w:tab w:leader="none" w:pos="695"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Maximum Secured Indebtedness Ratio</w:t>
      </w:r>
      <w:r>
        <w:rPr>
          <w:rFonts w:ascii="Arial" w:cs="Arial" w:eastAsia="Arial" w:hAnsi="Arial"/>
          <w:sz w:val="18"/>
          <w:szCs w:val="18"/>
          <w:color w:val="auto"/>
        </w:rPr>
        <w:t>. The ratio of (i) Secured Indebtedness of the Borrower and its Subsidiaries determined on a consolidated basis to (ii) Total Asset Value, to be greater than 0.3 50 to 1.00 at any time.</w:t>
      </w:r>
    </w:p>
    <w:p>
      <w:pPr>
        <w:spacing w:after="0" w:line="131" w:lineRule="exact"/>
        <w:rPr>
          <w:rFonts w:ascii="Arial" w:cs="Arial" w:eastAsia="Arial" w:hAnsi="Arial"/>
          <w:sz w:val="18"/>
          <w:szCs w:val="18"/>
          <w:color w:val="auto"/>
        </w:rPr>
      </w:pPr>
    </w:p>
    <w:p>
      <w:pPr>
        <w:ind w:right="780" w:firstLine="464"/>
        <w:spacing w:after="0" w:line="268" w:lineRule="auto"/>
        <w:tabs>
          <w:tab w:leader="none" w:pos="705"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Minimum Unencumbered Leverage Ratio</w:t>
      </w:r>
      <w:r>
        <w:rPr>
          <w:rFonts w:ascii="Arial" w:cs="Arial" w:eastAsia="Arial" w:hAnsi="Arial"/>
          <w:sz w:val="18"/>
          <w:szCs w:val="18"/>
          <w:color w:val="auto"/>
        </w:rPr>
        <w:t>. The ratio of (i) Unencumbered Asset Value to (ii) Unsecured Indebtedness of the Borrower and its Subsidiaries determined on a consolidated basis, to be less than 1.60 to 1.00 at the any time.</w:t>
      </w:r>
    </w:p>
    <w:p>
      <w:pPr>
        <w:spacing w:after="0" w:line="131" w:lineRule="exact"/>
        <w:rPr>
          <w:rFonts w:ascii="Arial" w:cs="Arial" w:eastAsia="Arial" w:hAnsi="Arial"/>
          <w:sz w:val="18"/>
          <w:szCs w:val="18"/>
          <w:color w:val="auto"/>
        </w:rPr>
      </w:pPr>
    </w:p>
    <w:p>
      <w:pPr>
        <w:ind w:right="40" w:firstLine="464"/>
        <w:spacing w:after="0" w:line="268" w:lineRule="auto"/>
        <w:tabs>
          <w:tab w:leader="none" w:pos="695"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Minimum Net Worth</w:t>
      </w:r>
      <w:r>
        <w:rPr>
          <w:rFonts w:ascii="Arial" w:cs="Arial" w:eastAsia="Arial" w:hAnsi="Arial"/>
          <w:sz w:val="18"/>
          <w:szCs w:val="18"/>
          <w:color w:val="auto"/>
        </w:rPr>
        <w:t xml:space="preserve">. Tangible Net Worth at any time to be less than (i) $870,000,000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75% of the Net Proceeds of all Equity Issuances effected by the Borrower or any Subsidiary after June 30, 2003 (other than Equity Issuances to the Borrower or any Subsidiary).</w:t>
      </w:r>
    </w:p>
    <w:p>
      <w:pPr>
        <w:spacing w:after="0" w:line="131" w:lineRule="exact"/>
        <w:rPr>
          <w:rFonts w:ascii="Arial" w:cs="Arial" w:eastAsia="Arial" w:hAnsi="Arial"/>
          <w:sz w:val="18"/>
          <w:szCs w:val="18"/>
          <w:color w:val="auto"/>
        </w:rPr>
      </w:pPr>
    </w:p>
    <w:p>
      <w:pPr>
        <w:ind w:right="280" w:firstLine="464"/>
        <w:spacing w:after="0" w:line="268" w:lineRule="auto"/>
        <w:tabs>
          <w:tab w:leader="none" w:pos="676"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Assets Owned by Borrower and Guarantors</w:t>
      </w:r>
      <w:r>
        <w:rPr>
          <w:rFonts w:ascii="Arial" w:cs="Arial" w:eastAsia="Arial" w:hAnsi="Arial"/>
          <w:sz w:val="18"/>
          <w:szCs w:val="18"/>
          <w:color w:val="auto"/>
        </w:rPr>
        <w:t>. The amount of Adjusted Total Asset Value attributable to assets directly owned by the Borrower and the Guarantors to be less than 95.0% of Adjusted Total Asset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Restricted Payments.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Borrower shall not, and shall not permit any of its Subsidiaries to, declare or make any Restricted Payment if an Event of Default or a Major Default exists or a Default or Event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20"/>
          </w:cols>
          <w:pgMar w:left="240" w:top="274" w:right="239" w:bottom="1440" w:gutter="0" w:footer="0" w:header="0"/>
        </w:sectPr>
      </w:pPr>
    </w:p>
    <w:bookmarkStart w:id="106" w:name="page107"/>
    <w:bookmarkEnd w:id="106"/>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would result from the making of such Restricted Payment, except that the Borrower may, subject to the immediately following sentence, declare and make cash distributions to its shareholders during any fiscal year in an aggregate amount not to exceed the minimum amount necessary for the Borrower to remain in compliance with Section 7.13. If an Event of Default specified in Section l0.l.(a), Section l0.1.(b), Section l0.l.(f) or Section 10.1.(g) shall exist, or if as a result of the occurrence of any other Event of Default any of the Obligations have been accelerated pursuant to Section 10.2.(a), the Borrower shall not, and shall not permit any Subsidiary to, make any Restricted Payments to any Person other than to the Borrower or any Subsidiary.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Indebtedness.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Borrower shall not, and shall not permit any Subsidiary or any other Loan Party to, incur, assume, or otherwise become obligated in respect of any Indebtedness after the Agreement Date if as a result of the assumption, incurring or becoming obligated in respect thereof, and after giving effect thereto, a Default or Event of Default is or would be caused thereby, or any Major Default or Event of Default is then in existence, including, without limitation, a Default or Event of Default resulting from a violation of any of the covenants contained in Section 9.1.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Certain Permitted Investments.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Borrower shall not, and shall not permit any Subsidiary to, make any Investment in or otherwise own the following items which would cause the aggregate value of such holdings of the Borrower and such other Subsidiaries to exceed 35.0% of Total Asset Value at any time:</w:t>
      </w:r>
    </w:p>
    <w:p>
      <w:pPr>
        <w:spacing w:after="0" w:line="4" w:lineRule="exact"/>
        <w:rPr>
          <w:sz w:val="20"/>
          <w:szCs w:val="20"/>
          <w:color w:val="auto"/>
        </w:rPr>
      </w:pPr>
    </w:p>
    <w:p>
      <w:pPr>
        <w:ind w:right="40" w:firstLine="464"/>
        <w:spacing w:after="0" w:line="259"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in Unconsolidated Affiliates and other Persons that are not Subsidiaries and Investments in Subsidiaries that own Non-Controlled Properties, with the aggregate value of such Investments determined in a manner consistent with the definition of Total Asset Value or, if not contemplated under the definition of Total Asset Value, as determined in accordance with GAAP;</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aggregate book value of all Mortgage Receivables;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aggregate Construction Budget for all real property under construction.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Investments Generally.</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Borrower shall not, and shall not permit any Subsidiary or other Loan Party to, directly or indirectly, acquire, make or purchase any Investment, or permit any Investment of such Person to be outstanding on and after the Agreement Date, other than the following:</w:t>
      </w:r>
    </w:p>
    <w:p>
      <w:pPr>
        <w:spacing w:after="0" w:line="51" w:lineRule="exact"/>
        <w:rPr>
          <w:sz w:val="20"/>
          <w:szCs w:val="20"/>
          <w:color w:val="auto"/>
        </w:rPr>
      </w:pPr>
    </w:p>
    <w:p>
      <w:pPr>
        <w:ind w:left="700" w:hanging="236"/>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Investments in Subsidiaries in existence on the Agreement Date and disclosed on Part I of Schedule 6.l.(b);</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Investments to acquire Equity Interests of a Subsidiary or any other Person who after giving effect to such acquisition would be a Subsidiary, so long as in each case (i) as a result of such Investment, and after giving effect thereto, no Default or Event of Default is or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360"/>
          </w:cols>
          <w:pgMar w:left="240" w:top="280" w:right="299" w:bottom="1440" w:gutter="0" w:footer="0" w:header="0"/>
        </w:sectPr>
      </w:pPr>
    </w:p>
    <w:bookmarkStart w:id="107" w:name="page108"/>
    <w:bookmarkEnd w:id="107"/>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be caused thereby, and no other Major Default or Event of Default is then in existence and (ii) if such Subsidiary is (or after giving effect to such investment would become) a Material Subsidiary, and is not an Excluded Subsidiary and does not own a Non-Controlled Property, the terms and conditions set forth in Section 7.12. are satisfied;</w:t>
      </w:r>
    </w:p>
    <w:p>
      <w:pPr>
        <w:spacing w:after="0" w:line="140" w:lineRule="exact"/>
        <w:rPr>
          <w:sz w:val="20"/>
          <w:szCs w:val="20"/>
          <w:color w:val="auto"/>
        </w:rPr>
      </w:pPr>
    </w:p>
    <w:p>
      <w:pPr>
        <w:ind w:left="700" w:hanging="236"/>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Investments permitted under Section 9.4.;</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71" w:lineRule="exact"/>
        <w:rPr>
          <w:rFonts w:ascii="Arial" w:cs="Arial" w:eastAsia="Arial" w:hAnsi="Arial"/>
          <w:sz w:val="18"/>
          <w:szCs w:val="18"/>
          <w:color w:val="auto"/>
        </w:rPr>
      </w:pPr>
    </w:p>
    <w:p>
      <w:pPr>
        <w:ind w:right="440" w:firstLine="464"/>
        <w:spacing w:after="0" w:line="268"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intercompany Indebtedness among the Borrower and its Wholly Owned Subsidiaries provided that such Indebtedness is permitted by the terms of Section 9.3.;</w:t>
      </w:r>
    </w:p>
    <w:p>
      <w:pPr>
        <w:spacing w:after="0" w:line="131" w:lineRule="exact"/>
        <w:rPr>
          <w:rFonts w:ascii="Arial" w:cs="Arial" w:eastAsia="Arial" w:hAnsi="Arial"/>
          <w:sz w:val="18"/>
          <w:szCs w:val="18"/>
          <w:color w:val="auto"/>
        </w:rPr>
      </w:pPr>
    </w:p>
    <w:p>
      <w:pPr>
        <w:ind w:right="80" w:firstLine="464"/>
        <w:spacing w:after="0" w:line="259" w:lineRule="auto"/>
        <w:tabs>
          <w:tab w:leader="none" w:pos="676"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loans and advances to officers and employees (i) to finance their exercise of options to acquire stock in the Borrower to the extent made pursuant to arrangements in existence on the Agreement Date and only as permitted by Applicable Law and (ii) for moving, entertainment, travel and other similar expenses in the ordinary course of business consistent with past practices; and</w:t>
      </w:r>
    </w:p>
    <w:p>
      <w:pPr>
        <w:spacing w:after="0" w:line="140"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Investment so long as a result of making such Investment, and immediately thereafter and after giving effect thereto, no Default or Event of Default is or would be caused thereby, and no other Major Default or Event of Default is then in existence.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Liens; Negative Pledges; Other Matters.</w:t>
      </w:r>
    </w:p>
    <w:p>
      <w:pPr>
        <w:spacing w:after="0" w:line="96" w:lineRule="exact"/>
        <w:rPr>
          <w:sz w:val="20"/>
          <w:szCs w:val="20"/>
          <w:color w:val="auto"/>
        </w:rPr>
      </w:pPr>
    </w:p>
    <w:p>
      <w:pPr>
        <w:ind w:right="40" w:firstLine="464"/>
        <w:spacing w:after="0" w:line="298"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is then in existence, including without limitation, a Default or Event of Default resulting from a violation of any of the covenants contained in Section 9.1.</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enter into, assume or otherwise be bound by any Negative Pledge except for a Negative Pledge contained in any agreement (i) evidencing Indebtedness which the Borrower or such Subsidiary may create, incur, assume, or permit or suffer to exist under Section 9.3.; (ii) which indebtedness is secured by a Lien permitted to exist hereunder and (iii) which prohibits the creation of any other Lien on only the property securing such Indebtedness as of the date such agreement was entered into.</w:t>
      </w:r>
    </w:p>
    <w:p>
      <w:pPr>
        <w:spacing w:after="0" w:line="112" w:lineRule="exact"/>
        <w:rPr>
          <w:rFonts w:ascii="Arial" w:cs="Arial" w:eastAsia="Arial" w:hAnsi="Arial"/>
          <w:sz w:val="16"/>
          <w:szCs w:val="16"/>
          <w:color w:val="auto"/>
        </w:rPr>
      </w:pPr>
    </w:p>
    <w:p>
      <w:pPr>
        <w:ind w:right="80" w:firstLine="464"/>
        <w:spacing w:after="0" w:line="255"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Borrower shall not, and shall not permit any Subsidiary or other Loan Party to, create or otherwise cause or suffer to exist or become effective any consensual encumbrance or restriction of any kind on the ability of any Subsidiary (other than an Excluded Subsidiary) to: (i) pay dividends or make any other distribution on any of such Subsidiary’s capital stock or other equity interests owned by the Borrower or any Subsidiary; (ii) pay any Indebtedness owed to the Borrower or any Subsidiary; (iii) make loans or advances to the Borrower or any Subsidiary; or (iv) transfer any of its property or assets to the Borrower or any Subsidiary other</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1380"/>
          </w:cols>
          <w:pgMar w:left="240" w:top="280" w:right="279" w:bottom="1440" w:gutter="0" w:footer="0" w:header="0"/>
        </w:sectPr>
      </w:pPr>
    </w:p>
    <w:bookmarkStart w:id="108" w:name="page109"/>
    <w:bookmarkEnd w:id="108"/>
    <w:p>
      <w:pPr>
        <w:ind w:right="8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in the case of any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Merger, Consolidation, Sales of Assets and Other Arrangements.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The Borrower shall not, and shall not permit any Subsidiary or other Loan Party to: (i) enter into any transaction of merger or consolidation; (ii) liquidate, wind up or dissolve itself (or suffer any liquidation or dissolution); or (iii) convey, sell, lease, sublease, transfer or otherwise dispose of, in one transaction or a series of transactions, all or any substantial part of its business or assets, whether now owned or hereafter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6" w:lineRule="exact"/>
        <w:rPr>
          <w:sz w:val="20"/>
          <w:szCs w:val="20"/>
          <w:color w:val="auto"/>
        </w:rPr>
      </w:pPr>
    </w:p>
    <w:p>
      <w:pPr>
        <w:ind w:firstLine="464"/>
        <w:spacing w:after="0" w:line="285" w:lineRule="auto"/>
        <w:tabs>
          <w:tab w:leader="none" w:pos="69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of the actions described in the immediately preceding clauses (i) through (iii) may be taken with respect to any Subsidiary or any other Loan Party (other than the Borrower) so long as, as a result of the taking of such action, and after giving effect thereto, no Default or Event of Default is or would be caused thereby or any other Major Default or Event of Default is then in existence; notwithstanding the foregoing, any such Loan Party may enter into a transaction of merger pursuant to which such Loan Party is not the survivor of such merger only if (i) the Borrower shall have given the Agent and the Lenders at least 10 Business Days’ prior written notice of such merger; (ii) if the survivor entity is a Material Subsidiary (and not an Excluded Subsidiary) within 5 Business Days of consummation of such merger, the survivor entity (if not already a Guarantor) shall have executed and delivered an assumption agreement in form and substance satisfactory to the Agent pursuant to which such survivor entity shall assume all of the such Loan Party’s Obligations under this Agreement and the other Loan Documents to which it is a party; (iii) within 30 days of consummation of such merger, the survivor entity delivers to the Agent the following: (A) items of the type referred to in Sections 5.1.(a)(ix) through (xii) with respect to the survivor entity as in effect after consummation of such merger (if not previously delivered to the Agent and still in effect), (B) copies of all documents entered into by such Loan Party or the survivor entity to effectuate the consummation of such merger, including, but not limited to, articles of merger and the plan of merger, (C) copies, certified by the Secretary or Assistant Secretary (or other individual performing similar functions) of such Loan Party or the survivor entity, of all corporate and shareholder action authorizing such merger and (D) copies of any filings with the Securities and Exchange Commission in connection with such merger; and (iv) such Loan Party and the survivor entity each takes such other action and delivers such other documents, instruments, opinions and agreements as the Agent may reasonably request;</w:t>
      </w:r>
    </w:p>
    <w:p>
      <w:pPr>
        <w:spacing w:after="0" w:line="128" w:lineRule="exact"/>
        <w:rPr>
          <w:rFonts w:ascii="Arial" w:cs="Arial" w:eastAsia="Arial" w:hAnsi="Arial"/>
          <w:sz w:val="16"/>
          <w:szCs w:val="16"/>
          <w:color w:val="auto"/>
        </w:rPr>
      </w:pPr>
    </w:p>
    <w:p>
      <w:pPr>
        <w:ind w:right="220" w:firstLine="464"/>
        <w:spacing w:after="0" w:line="268"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 its Subsidiaries and the other Loan Parties may lease and sublease their respective assets, as lessor or sublessor (as the case may be), in the ordinary course of their business;</w:t>
      </w:r>
    </w:p>
    <w:p>
      <w:pPr>
        <w:spacing w:after="0" w:line="131" w:lineRule="exact"/>
        <w:rPr>
          <w:rFonts w:ascii="Arial" w:cs="Arial" w:eastAsia="Arial" w:hAnsi="Arial"/>
          <w:sz w:val="18"/>
          <w:szCs w:val="18"/>
          <w:color w:val="auto"/>
        </w:rPr>
      </w:pPr>
    </w:p>
    <w:p>
      <w:pPr>
        <w:ind w:right="100" w:firstLine="464"/>
        <w:spacing w:after="0" w:line="256"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Person may merge with and into the Borrower so long as (i) the Borrower is the survivor of such merger, (ii) immediately prior to such merger, and immediately thereafter and after giving effect thereto, no Default or Event of Default is or would be in existence, and (iii) the Borrower shall have given the Agent and the Lenders at least 10 Business Days’ prior written notice of such merger (except that such prior notice shall not be required in the case of the merger of a Subsidiary with and into the Borrower);</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420"/>
          </w:cols>
          <w:pgMar w:left="240" w:top="280" w:right="239" w:bottom="1440" w:gutter="0" w:footer="0" w:header="0"/>
        </w:sectPr>
      </w:pPr>
    </w:p>
    <w:bookmarkStart w:id="109" w:name="page110"/>
    <w:bookmarkEnd w:id="109"/>
    <w:p>
      <w:pPr>
        <w:ind w:left="720" w:hanging="256"/>
        <w:spacing w:after="0"/>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and each Subsidiary may sell, transfer or dispose of assets (including by merger or liquidation of Subsidiaries) among themselves; and</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Borrower and each Subsidiary may transfer property as security for Indebtedness permitted by Section 9.3.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Fiscal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change its fiscal year from that in effect as of the Agreement 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9.9. Modifications of Organizational Documents.</w:t>
      </w:r>
    </w:p>
    <w:p>
      <w:pPr>
        <w:spacing w:after="0" w:line="96" w:lineRule="exact"/>
        <w:rPr>
          <w:sz w:val="20"/>
          <w:szCs w:val="20"/>
          <w:color w:val="auto"/>
        </w:rPr>
      </w:pPr>
    </w:p>
    <w:p>
      <w:pPr>
        <w:jc w:val="both"/>
        <w:ind w:right="680" w:firstLine="456"/>
        <w:spacing w:after="0" w:line="306" w:lineRule="auto"/>
        <w:rPr>
          <w:sz w:val="20"/>
          <w:szCs w:val="20"/>
          <w:color w:val="auto"/>
        </w:rPr>
      </w:pPr>
      <w:r>
        <w:rPr>
          <w:rFonts w:ascii="Arial" w:cs="Arial" w:eastAsia="Arial" w:hAnsi="Arial"/>
          <w:sz w:val="16"/>
          <w:szCs w:val="16"/>
          <w:color w:val="auto"/>
        </w:rPr>
        <w:t>The Borrower shall not, and shall not permit any Loan Party or other Subsidiary to, amend, supplement, restate or otherwise modify its articles or certificate of incorporation,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9.10. Transactions with Affiliates.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not, and shall not permit any of its Subsidiaries or any other Loan Party to, permit to exist or enter into, any transaction (including the purchase, sale, lease or exchange of any property or the rendering of any service) with any Affiliate, except (a) compensation, bonus and benefit arrangements with employees and trustees as permitted by Applicable Law; (b) transactions not prohibited by Section 9.7. to the extent among the Borrower, the other Loan Parties and other Subsidiaries; and (c) other transactions in the ordinary course of and pursuant to the reasonable requirements of the business of the Borrower or any of its Subsidiaries and upon fair and reasonable terms which are no less favorable to the Borrower or such Subsidiary than would be obtained in a comparable arm’s length transaction with a Person that is not an Affiliate.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9.11. ERISA Exemptions.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Borrower shall not, and shall not permit any Subsidiary to, permit any of its respective assets to become or be deemed to be “plan assets” within the meaning of ER1SA, the Internal Revenue Code and the respective regulations promulgated thereunder other than as a result of contributions by the Borrower or a Subsidiary to Benefit Arrangements, Plans or Multiemployer Plans not prohibited by this Agreement or any other Loan Document.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9.12. Non-Controlled Properties.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00"/>
          </w:cols>
          <w:pgMar w:left="240" w:top="280" w:right="25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 D</w:t>
      </w:r>
      <w:r>
        <w:rPr>
          <w:rFonts w:ascii="Arial" w:cs="Arial" w:eastAsia="Arial" w:hAnsi="Arial"/>
          <w:sz w:val="14"/>
          <w:szCs w:val="14"/>
          <w:b w:val="1"/>
          <w:bCs w:val="1"/>
          <w:color w:val="auto"/>
        </w:rPr>
        <w:t>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Events of Default.</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51" w:lineRule="exact"/>
        <w:rPr>
          <w:sz w:val="20"/>
          <w:szCs w:val="20"/>
          <w:color w:val="auto"/>
        </w:rPr>
      </w:pPr>
    </w:p>
    <w:p>
      <w:pPr>
        <w:ind w:right="180" w:firstLine="464"/>
        <w:spacing w:after="0" w:line="268" w:lineRule="auto"/>
        <w:tabs>
          <w:tab w:leader="none" w:pos="695"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w:t>
      </w:r>
      <w:r>
        <w:rPr>
          <w:rFonts w:ascii="Arial" w:cs="Arial" w:eastAsia="Arial" w:hAnsi="Arial"/>
          <w:sz w:val="18"/>
          <w:szCs w:val="18"/>
          <w:color w:val="auto"/>
        </w:rPr>
        <w:t>. The Borrower shall fail to pay when due (whether upon demand, at maturity, by reason of acceleration or otherwise) the principal of any of the Loans, or any Reimbursement Obligation.</w:t>
      </w:r>
    </w:p>
    <w:p>
      <w:pPr>
        <w:spacing w:after="0" w:line="131" w:lineRule="exact"/>
        <w:rPr>
          <w:rFonts w:ascii="Arial" w:cs="Arial" w:eastAsia="Arial" w:hAnsi="Arial"/>
          <w:sz w:val="18"/>
          <w:szCs w:val="18"/>
          <w:color w:val="auto"/>
        </w:rPr>
      </w:pPr>
    </w:p>
    <w:p>
      <w:pPr>
        <w:ind w:right="140" w:firstLine="464"/>
        <w:spacing w:after="0" w:line="256" w:lineRule="auto"/>
        <w:tabs>
          <w:tab w:leader="none" w:pos="705"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Default in Payment of Interest and Other Obligations</w:t>
      </w:r>
      <w:r>
        <w:rPr>
          <w:rFonts w:ascii="Arial" w:cs="Arial" w:eastAsia="Arial" w:hAnsi="Arial"/>
          <w:sz w:val="18"/>
          <w:szCs w:val="18"/>
          <w:color w:val="auto"/>
        </w:rPr>
        <w:t>. The Borrower shall fail to pay when due any interest on any of the Loans or any of the other payment Obligations (other than the principal of any Loan) owing by the Borrower under this Agreement or any other Loan Document, or any other Loan Party shall fail to pay when due any payment Obligation owing by such other Loan Party under any Loan Document to which it is a party, and such failure shall continue for a period of 5 Business Days.</w:t>
      </w:r>
    </w:p>
    <w:p>
      <w:pPr>
        <w:spacing w:after="0" w:line="143" w:lineRule="exact"/>
        <w:rPr>
          <w:rFonts w:ascii="Arial" w:cs="Arial" w:eastAsia="Arial" w:hAnsi="Arial"/>
          <w:sz w:val="18"/>
          <w:szCs w:val="18"/>
          <w:color w:val="auto"/>
        </w:rPr>
      </w:pPr>
    </w:p>
    <w:p>
      <w:pPr>
        <w:ind w:firstLine="464"/>
        <w:spacing w:after="0" w:line="283" w:lineRule="auto"/>
        <w:tabs>
          <w:tab w:leader="none" w:pos="695"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Default in Performance</w:t>
      </w:r>
      <w:r>
        <w:rPr>
          <w:rFonts w:ascii="Arial" w:cs="Arial" w:eastAsia="Arial" w:hAnsi="Arial"/>
          <w:sz w:val="16"/>
          <w:szCs w:val="16"/>
          <w:color w:val="auto"/>
        </w:rPr>
        <w:t>. (i) The Borrower shall fail to perform or observe any term, covenant, condition or agreement contained in Section 8.4.(h) or in Article IX. or (ii) the Borrower or any other Loan Party shall fail to perform or observe any term, covenant, condition or agreement contained in this Agreement or any other Loan Document to which it is a party and not otherwise mentioned in this Section and in the case of this clause (ii) such failure shall continue for a period of 30 days after the earlier of (x) the date upon which a Responsible Officer of the Borrower or such other Loan Party obtains knowledge of such failure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date upon which the Borrower has received written notice of such failure from the Agent.</w:t>
      </w:r>
    </w:p>
    <w:p>
      <w:pPr>
        <w:spacing w:after="0" w:line="164" w:lineRule="exact"/>
        <w:rPr>
          <w:rFonts w:ascii="Arial" w:cs="Arial" w:eastAsia="Arial" w:hAnsi="Arial"/>
          <w:sz w:val="18"/>
          <w:szCs w:val="18"/>
          <w:color w:val="auto"/>
        </w:rPr>
      </w:pPr>
    </w:p>
    <w:p>
      <w:pPr>
        <w:ind w:right="20" w:firstLine="464"/>
        <w:spacing w:after="0" w:line="298" w:lineRule="auto"/>
        <w:tabs>
          <w:tab w:leader="none" w:pos="705"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Misrepresentations</w:t>
      </w:r>
      <w:r>
        <w:rPr>
          <w:rFonts w:ascii="Arial" w:cs="Arial" w:eastAsia="Arial" w:hAnsi="Arial"/>
          <w:sz w:val="16"/>
          <w:szCs w:val="16"/>
          <w:color w:val="auto"/>
        </w:rPr>
        <w:t>. Any written statement, representation or warranty made or deemed made by or on behalf of the Borrower or any other Loan Party under this Agreement or under any other Loan Document, or any amendment hereto or thereto, or in any other writing or statement at any time furnished or made or deemed made by or on behalf of the Borrower or any other Loan Party to the Agent or any Lender, shall at any time prove to have been incorrect or misleading, in light of the circumstances in which made or deemed made, in any material respect when furnished or made or deemed made.</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43"/>
        <w:spacing w:after="0" w:line="298" w:lineRule="auto"/>
        <w:tabs>
          <w:tab w:leader="none" w:pos="1108" w:val="left"/>
        </w:tabs>
        <w:numPr>
          <w:ilvl w:val="2"/>
          <w:numId w:val="104"/>
        </w:numPr>
        <w:rPr>
          <w:rFonts w:ascii="Arial" w:cs="Arial" w:eastAsia="Arial" w:hAnsi="Arial"/>
          <w:sz w:val="16"/>
          <w:szCs w:val="16"/>
          <w:color w:val="auto"/>
        </w:rPr>
      </w:pPr>
      <w:r>
        <w:rPr>
          <w:rFonts w:ascii="Arial" w:cs="Arial" w:eastAsia="Arial" w:hAnsi="Arial"/>
          <w:sz w:val="16"/>
          <w:szCs w:val="16"/>
          <w:color w:val="auto"/>
        </w:rPr>
        <w:t>The Borrower, any Subsidiary or any other Loan Party shall fail to pay when due and payable the principal of, or interest on (after giving effect to the expiration of any grace period for such payment), any Indebtedness (other than the Loans but including Secured Indebtedness accelerated, or required to be prepaid or repurchased prior to the stated maturity thereof, as a result of a casualty with respect to, or condemnation of, the property securing such Secured Indebtedness) having an aggregate outstanding principal amount of $25,000,000 or more (</w:t>
      </w:r>
      <w:r>
        <w:rPr>
          <w:rFonts w:ascii="Arial" w:cs="Arial" w:eastAsia="Arial" w:hAnsi="Arial"/>
          <w:sz w:val="16"/>
          <w:szCs w:val="16"/>
          <w:b w:val="1"/>
          <w:bCs w:val="1"/>
          <w:color w:val="auto"/>
        </w:rPr>
        <w:t>“Material Indebtedness”</w:t>
      </w:r>
      <w:r>
        <w:rPr>
          <w:rFonts w:ascii="Arial" w:cs="Arial" w:eastAsia="Arial" w:hAnsi="Arial"/>
          <w:sz w:val="16"/>
          <w:szCs w:val="16"/>
          <w:color w:val="auto"/>
        </w:rPr>
        <w:t>); or</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3"/>
          <w:numId w:val="104"/>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380"/>
          </w:cols>
          <w:pgMar w:left="240" w:top="274" w:right="279" w:bottom="1440" w:gutter="0" w:footer="0" w:header="0"/>
        </w:sectPr>
      </w:pPr>
    </w:p>
    <w:bookmarkStart w:id="111" w:name="page112"/>
    <w:bookmarkEnd w:id="111"/>
    <w:p>
      <w:pPr>
        <w:ind w:right="100" w:firstLine="443"/>
        <w:spacing w:after="0" w:line="259" w:lineRule="auto"/>
        <w:tabs>
          <w:tab w:leader="none" w:pos="697"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w:t>
      </w:r>
    </w:p>
    <w:p>
      <w:pPr>
        <w:spacing w:after="0" w:line="59" w:lineRule="exact"/>
        <w:rPr>
          <w:rFonts w:ascii="Arial" w:cs="Arial" w:eastAsia="Arial" w:hAnsi="Arial"/>
          <w:sz w:val="18"/>
          <w:szCs w:val="18"/>
          <w:color w:val="auto"/>
        </w:rPr>
      </w:pPr>
    </w:p>
    <w:p>
      <w:pPr>
        <w:ind w:right="40" w:firstLine="443"/>
        <w:spacing w:after="0" w:line="306" w:lineRule="auto"/>
        <w:tabs>
          <w:tab w:leader="none" w:pos="74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other event shall have occurred and be continuing (and any related grace period shall have expired) which would permit any holder or holders of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25" w:lineRule="exact"/>
        <w:rPr>
          <w:rFonts w:ascii="Arial" w:cs="Arial" w:eastAsia="Arial" w:hAnsi="Arial"/>
          <w:sz w:val="16"/>
          <w:szCs w:val="16"/>
          <w:color w:val="auto"/>
        </w:rPr>
      </w:pPr>
    </w:p>
    <w:p>
      <w:pPr>
        <w:ind w:left="740" w:hanging="297"/>
        <w:spacing w:after="0"/>
        <w:tabs>
          <w:tab w:leader="none" w:pos="7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Loan Party shall fail to pay when due and payable amounts in excess of $25,000,000 in the aggregate owing in respect of any Derivatives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Contracts.</w:t>
      </w:r>
    </w:p>
    <w:p>
      <w:pPr>
        <w:spacing w:after="0" w:line="8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140" w:lineRule="exact"/>
        <w:rPr>
          <w:sz w:val="20"/>
          <w:szCs w:val="20"/>
          <w:color w:val="auto"/>
        </w:rPr>
      </w:pPr>
    </w:p>
    <w:p>
      <w:pPr>
        <w:ind w:left="-460" w:right="40" w:firstLine="464"/>
        <w:spacing w:after="0" w:line="289" w:lineRule="auto"/>
        <w:tabs>
          <w:tab w:leader="none" w:pos="21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The Borrower, any other Loan Party or any Significant Subsidiary shall: (i) commence a voluntary case under the Bankruptcy Code of 1978, as amended,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18" w:lineRule="exact"/>
        <w:rPr>
          <w:rFonts w:ascii="Arial" w:cs="Arial" w:eastAsia="Arial" w:hAnsi="Arial"/>
          <w:sz w:val="16"/>
          <w:szCs w:val="16"/>
          <w:color w:val="auto"/>
        </w:rPr>
      </w:pPr>
    </w:p>
    <w:p>
      <w:pPr>
        <w:ind w:left="-460" w:firstLine="464"/>
        <w:spacing w:after="0" w:line="290" w:lineRule="auto"/>
        <w:tabs>
          <w:tab w:leader="none" w:pos="24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the Borrower, any other Loan Party or any Significant Subsidiary in any court of competent jurisdiction seeking: (i) relief under the Bankruptcy Code of 1978, as amended,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such case or proceeding shall continue undismissed or unstayed for a period of 60 consecutive calendar days, or an order granting the remedy or other relief requested in such case or proceeding against the Borrower, such Subsidiary or such other Loan Party (including, but not limited to, an order for relief under such Bankruptcy Code or such other federal bankruptcy laws) shall be entered.</w:t>
      </w:r>
    </w:p>
    <w:p>
      <w:pPr>
        <w:spacing w:after="0" w:line="104" w:lineRule="exact"/>
        <w:rPr>
          <w:rFonts w:ascii="Arial" w:cs="Arial" w:eastAsia="Arial" w:hAnsi="Arial"/>
          <w:sz w:val="16"/>
          <w:szCs w:val="16"/>
          <w:color w:val="auto"/>
        </w:rPr>
      </w:pPr>
    </w:p>
    <w:p>
      <w:pPr>
        <w:ind w:left="5160" w:hanging="96"/>
        <w:spacing w:after="0"/>
        <w:tabs>
          <w:tab w:leader="none" w:pos="51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78 -</w:t>
      </w:r>
    </w:p>
    <w:p>
      <w:pPr>
        <w:sectPr>
          <w:pgSz w:w="11900" w:h="16838" w:orient="portrait"/>
          <w:cols w:equalWidth="0" w:num="1">
            <w:col w:w="10920"/>
          </w:cols>
          <w:pgMar w:left="700" w:top="280" w:right="279" w:bottom="1440" w:gutter="0" w:footer="0" w:header="0"/>
        </w:sectPr>
      </w:pPr>
    </w:p>
    <w:bookmarkStart w:id="112" w:name="page113"/>
    <w:bookmarkEnd w:id="112"/>
    <w:p>
      <w:pPr>
        <w:ind w:left="-464" w:right="20" w:firstLine="464"/>
        <w:spacing w:after="0" w:line="256" w:lineRule="auto"/>
        <w:tabs>
          <w:tab w:leader="none" w:pos="24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Litigation; Enforceability</w:t>
      </w:r>
      <w:r>
        <w:rPr>
          <w:rFonts w:ascii="Arial" w:cs="Arial" w:eastAsia="Arial" w:hAnsi="Arial"/>
          <w:sz w:val="18"/>
          <w:szCs w:val="18"/>
          <w:color w:val="auto"/>
        </w:rPr>
        <w:t>. The Borrower or any other Loan Party shall disavow, revoke or terminate (or attempt to terminate) any Loan Document to which it is a party or shall otherwise challenge or contest in any action, suit or proceeding in any court or before any Governmental Authority the validity or enforceability of this Agreement, any Note or any other Loan Document or this Agreement, any Note, the Guaranty or any other Loan Document shall cease to be in full force and effect (except as a result of the express terms thereof).</w:t>
      </w:r>
    </w:p>
    <w:p>
      <w:pPr>
        <w:spacing w:after="0" w:line="143" w:lineRule="exact"/>
        <w:rPr>
          <w:rFonts w:ascii="Arial" w:cs="Arial" w:eastAsia="Arial" w:hAnsi="Arial"/>
          <w:sz w:val="18"/>
          <w:szCs w:val="18"/>
          <w:color w:val="auto"/>
        </w:rPr>
      </w:pPr>
    </w:p>
    <w:p>
      <w:pPr>
        <w:ind w:left="-464" w:right="160" w:firstLine="464"/>
        <w:spacing w:after="0" w:line="291" w:lineRule="auto"/>
        <w:tabs>
          <w:tab w:leader="none" w:pos="20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Judgment</w:t>
      </w:r>
      <w:r>
        <w:rPr>
          <w:rFonts w:ascii="Arial" w:cs="Arial" w:eastAsia="Arial" w:hAnsi="Arial"/>
          <w:sz w:val="16"/>
          <w:szCs w:val="16"/>
          <w:color w:val="auto"/>
        </w:rPr>
        <w:t>. A judgment or order for the payment of money or for an injunction shall be entered against the Borrower, any Subsidiary or any other Loan Party, by any court or other tribunal and (i) such judgment or order shall continue for a period of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Borrower, such Subsidiaries and such other Loan Parties, $25,000,000 or (B) in the case of an injunction or other non-monetary judgment, such judgment could reasonably be expected to have a Material Adverse Effect.</w:t>
      </w:r>
    </w:p>
    <w:p>
      <w:pPr>
        <w:spacing w:after="0" w:line="120" w:lineRule="exact"/>
        <w:rPr>
          <w:rFonts w:ascii="Arial" w:cs="Arial" w:eastAsia="Arial" w:hAnsi="Arial"/>
          <w:sz w:val="16"/>
          <w:szCs w:val="16"/>
          <w:color w:val="auto"/>
        </w:rPr>
      </w:pPr>
    </w:p>
    <w:p>
      <w:pPr>
        <w:ind w:left="-464" w:right="20" w:firstLine="464"/>
        <w:spacing w:after="0" w:line="291" w:lineRule="auto"/>
        <w:tabs>
          <w:tab w:leader="none" w:pos="20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A warrant, writ of attachment, execution or similar process shall be issued against any property of the Borrower, any Subsidiary or any other Loan Party which exceeds, individually or together with all other such warrants, writs, executions and processes, $25,000,000 in amount and such warrant, writ, execution or process shall not be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Agent pursuant to which the issuer of such bond subordinates its right of reimbursement, contribution or subrogation to the Obligations and waives or subordinates any Lien it may have on the assets of any Loan Party.</w:t>
      </w:r>
    </w:p>
    <w:p>
      <w:pPr>
        <w:spacing w:after="0" w:line="120" w:lineRule="exact"/>
        <w:rPr>
          <w:rFonts w:ascii="Arial" w:cs="Arial" w:eastAsia="Arial" w:hAnsi="Arial"/>
          <w:sz w:val="16"/>
          <w:szCs w:val="16"/>
          <w:color w:val="auto"/>
        </w:rPr>
      </w:pPr>
    </w:p>
    <w:p>
      <w:pPr>
        <w:ind w:left="-464" w:firstLine="464"/>
        <w:spacing w:after="0" w:line="288" w:lineRule="auto"/>
        <w:tabs>
          <w:tab w:leader="none" w:pos="24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Any member of the ERISA Group shall fail to pay when due an amount or amounts aggregating in excess of $25,000,000 which it shall have become liable to pay under Title IV of ERISA; or notice of intent to terminate a Plan or Plans having Unfunded Liabilities in excess of $25,000,000 in the aggregate shall be flied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Plan or Plans having Unfunded Liabilities in excess of $25,000,000 in the aggregate; or a condition shall exist by reason of which the PBGC would be entitled to obtain a decree adjudicating that any Plan or Plans having Unfunded Liabilities in excess of $25,000,000 in the aggregate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$25,000,000.</w:t>
      </w:r>
    </w:p>
    <w:p>
      <w:pPr>
        <w:spacing w:after="0" w:line="106" w:lineRule="exact"/>
        <w:rPr>
          <w:rFonts w:ascii="Arial" w:cs="Arial" w:eastAsia="Arial" w:hAnsi="Arial"/>
          <w:sz w:val="16"/>
          <w:szCs w:val="16"/>
          <w:color w:val="auto"/>
        </w:rPr>
      </w:pPr>
    </w:p>
    <w:p>
      <w:pPr>
        <w:ind w:left="5156" w:hanging="96"/>
        <w:spacing w:after="0"/>
        <w:tabs>
          <w:tab w:leader="none" w:pos="515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0936"/>
          </w:cols>
          <w:pgMar w:left="704" w:top="280" w:right="259" w:bottom="1440" w:gutter="0" w:footer="0" w:header="0"/>
        </w:sectPr>
      </w:pPr>
    </w:p>
    <w:bookmarkStart w:id="113" w:name="page114"/>
    <w:bookmarkEnd w:id="113"/>
    <w:p>
      <w:pPr>
        <w:ind w:left="680" w:hanging="216"/>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Documents</w:t>
      </w:r>
      <w:r>
        <w:rPr>
          <w:rFonts w:ascii="Arial" w:cs="Arial" w:eastAsia="Arial" w:hAnsi="Arial"/>
          <w:sz w:val="18"/>
          <w:szCs w:val="18"/>
          <w:color w:val="auto"/>
        </w:rPr>
        <w:t>. An Event of Default (as defined therein) shall occur under any of the other Loan Documents.</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Change of Control/Change in Management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60" w:firstLine="443"/>
        <w:spacing w:after="0" w:line="301" w:lineRule="auto"/>
        <w:tabs>
          <w:tab w:leader="none" w:pos="110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Any “person” or “group” (as such terms are used in Sections 13(d) and 14(d) of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is or becomes the “beneficial owner” (as defined in Rules 13d-3 and 13d-5 under the Exchange Act, except that a Person will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ownership” of all securities that such Person has the right to acquire, whether such right is exercisable immediately or only after the passage of time), directly or indirectly, of more than 20.0% of the total voting power of the then outstanding voting stock of the Borrower; or</w:t>
      </w:r>
    </w:p>
    <w:p>
      <w:pPr>
        <w:spacing w:after="0" w:line="28" w:lineRule="exact"/>
        <w:rPr>
          <w:rFonts w:ascii="Arial" w:cs="Arial" w:eastAsia="Arial" w:hAnsi="Arial"/>
          <w:sz w:val="16"/>
          <w:szCs w:val="16"/>
          <w:color w:val="auto"/>
        </w:rPr>
      </w:pPr>
    </w:p>
    <w:p>
      <w:pPr>
        <w:ind w:left="460" w:right="220" w:firstLine="443"/>
        <w:spacing w:after="0" w:line="255" w:lineRule="auto"/>
        <w:tabs>
          <w:tab w:leader="none" w:pos="115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at least two-thirds of the Board of Trustees of the Borrower then in office.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Remedies Upon Event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 Event of Default the following provisions shall apply:</w:t>
      </w:r>
    </w:p>
    <w:p>
      <w:pPr>
        <w:spacing w:after="0" w:line="90" w:lineRule="exact"/>
        <w:rPr>
          <w:sz w:val="20"/>
          <w:szCs w:val="20"/>
          <w:color w:val="auto"/>
        </w:rPr>
      </w:pPr>
    </w:p>
    <w:p>
      <w:pPr>
        <w:ind w:left="700" w:hanging="236"/>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43"/>
        <w:spacing w:after="0" w:line="289" w:lineRule="auto"/>
        <w:tabs>
          <w:tab w:leader="none" w:pos="1108"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Automatic</w:t>
      </w:r>
      <w:r>
        <w:rPr>
          <w:rFonts w:ascii="Arial" w:cs="Arial" w:eastAsia="Arial" w:hAnsi="Arial"/>
          <w:sz w:val="16"/>
          <w:szCs w:val="16"/>
          <w:color w:val="auto"/>
        </w:rPr>
        <w:t>. Upon the occurrence of an Event of Default specified in Sections 10.1.(f) or 10.1.(g), (A)(i) the principal of, and all accrued interest on, the Loans and the Notes at the time outstanding, (ii) an amount equal to the Stated Amount of all Letters of Credit outstanding as of the date of the occurrence of such Event of Default for deposit into the Collateral Account pursuant to Section 10.4. and (iii) all of the other Obligations of the Borrower, including, but not limited to, the other amounts owed to the Lenders, the Swingline Lender and the Agent under this Agreement, the Notes or any of the other Loan Documents shall become immediately and automatically due and payable by the Borrower without presentment, demand, protest, or other notice of any kind, all of which are expressly waived by the Borrower and (B) the obligation of the Lenders to make Revolving Loans, the obligation of the Swingline Lender to make Swingline Loans, the obligation of the Agent to issue Letters of Credit hereunder, and all of the Commitments and the Swingline Commitment shall all immediately and automatically terminate.</w:t>
      </w:r>
    </w:p>
    <w:p>
      <w:pPr>
        <w:spacing w:after="0" w:line="37" w:lineRule="exact"/>
        <w:rPr>
          <w:rFonts w:ascii="Arial" w:cs="Arial" w:eastAsia="Arial" w:hAnsi="Arial"/>
          <w:sz w:val="16"/>
          <w:szCs w:val="16"/>
          <w:color w:val="auto"/>
        </w:rPr>
      </w:pPr>
    </w:p>
    <w:p>
      <w:pPr>
        <w:ind w:left="460" w:right="120" w:firstLine="443"/>
        <w:spacing w:after="0" w:line="268" w:lineRule="auto"/>
        <w:tabs>
          <w:tab w:leader="none" w:pos="1156"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If any other Event of Default shall exist, the Agent shall, at the direction of the Requisite Lenders: (A) declare (1) the principal of, and accrued interest on, the Loans and the Notes at the time outstanding, (2) an amount equal to the Stated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1420"/>
          </w:cols>
          <w:pgMar w:left="240" w:top="280" w:right="239" w:bottom="1440" w:gutter="0" w:footer="0" w:header="0"/>
        </w:sectPr>
      </w:pPr>
    </w:p>
    <w:bookmarkStart w:id="114" w:name="page115"/>
    <w:bookmarkEnd w:id="114"/>
    <w:p>
      <w:pPr>
        <w:ind w:left="460"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all Letters of Credit outstanding as of the date of the occurrence of such other Event of Default for deposit into the Collateral Account pursuant to Section 10.4. and (3) all of the other Obligations, including, but not limited to, the other amounts owed to the Lenders and the Agent under this Agreement, the Notes or any of the other Loan Documents to be forthwith due and payable, whereupon the same shall immediately become due and payable without presentment, demand, protest or other notice of any kind, all of which are expressly waived by the Borrower and (B) terminate the Commitments, the Swingline Commitment and the obligation of the Lenders to make Loans hereunder and the obligation of the Agent to issue Letters of Credit hereunder.</w:t>
      </w:r>
    </w:p>
    <w:p>
      <w:pPr>
        <w:spacing w:after="0" w:line="144" w:lineRule="exact"/>
        <w:rPr>
          <w:sz w:val="20"/>
          <w:szCs w:val="20"/>
          <w:color w:val="auto"/>
        </w:rPr>
      </w:pPr>
    </w:p>
    <w:p>
      <w:pPr>
        <w:ind w:right="140" w:firstLine="464"/>
        <w:spacing w:after="0" w:line="268"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Requisite Lenders may direct the Agent to, and the Agent if so directed shall, exercise any and all of its rights under any and all of the other Loan Documents.</w:t>
      </w:r>
    </w:p>
    <w:p>
      <w:pPr>
        <w:spacing w:after="0" w:line="131"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Requisite Lenders may direct the Agent to, and the Agent if so directed shall, exercise all other rights and remedies it may have under any Applicable Law.</w:t>
      </w:r>
    </w:p>
    <w:p>
      <w:pPr>
        <w:spacing w:after="0" w:line="131" w:lineRule="exact"/>
        <w:rPr>
          <w:rFonts w:ascii="Arial" w:cs="Arial" w:eastAsia="Arial" w:hAnsi="Arial"/>
          <w:sz w:val="18"/>
          <w:szCs w:val="18"/>
          <w:color w:val="auto"/>
        </w:rPr>
      </w:pPr>
    </w:p>
    <w:p>
      <w:pPr>
        <w:jc w:val="both"/>
        <w:ind w:right="360" w:firstLine="464"/>
        <w:spacing w:after="0" w:line="298" w:lineRule="auto"/>
        <w:tabs>
          <w:tab w:leader="none" w:pos="705"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Appointment of Receiver</w:t>
      </w:r>
      <w:r>
        <w:rPr>
          <w:rFonts w:ascii="Arial" w:cs="Arial" w:eastAsia="Arial" w:hAnsi="Arial"/>
          <w:sz w:val="16"/>
          <w:szCs w:val="16"/>
          <w:color w:val="auto"/>
        </w:rPr>
        <w:t>. To the extent permitted by Applicable Law and as directed by the Requisite Lenders, the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business operations of the Borrower and its Subsidiaries and to exercise such power as the court shall confer upon such receiver.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Allocation of Proceeds.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shall exist and maturity of any of the Obligations has been accelerated, all payments received by the Agent under any of the Loan Documents, in respect of any principal of or interest on the Obligations or any other amounts payable by the Borrower hereunder or thereunder, shall be applied in the following order and priority:</w:t>
      </w:r>
    </w:p>
    <w:p>
      <w:pPr>
        <w:spacing w:after="0" w:line="59" w:lineRule="exact"/>
        <w:rPr>
          <w:sz w:val="20"/>
          <w:szCs w:val="20"/>
          <w:color w:val="auto"/>
        </w:rPr>
      </w:pPr>
    </w:p>
    <w:p>
      <w:pPr>
        <w:ind w:left="1140" w:hanging="237"/>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amounts due to the Agent in respect of fees and expenses due under Section 12.2.;</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amounts due to the Lenders in respect of fees and expenses due under Section 12.2., pro rata in the amount then due each Lender;</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payments of interest on Swingline Loans;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payments of interest on all other Loans and Reimbursement Obligations, to be applied for the ratable benefit of the Lenders;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payments of principal of Swingline Loans;</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1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payments of principal of all other Loans, Reimbursement Obligations and other Letter of Credit Liabilities, to be applied for the ratable benefit of the Lenders;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81 -</w:t>
      </w:r>
    </w:p>
    <w:p>
      <w:pPr>
        <w:sectPr>
          <w:pgSz w:w="11900" w:h="16838" w:orient="portrait"/>
          <w:cols w:equalWidth="0" w:num="1">
            <w:col w:w="11420"/>
          </w:cols>
          <w:pgMar w:left="240" w:top="280" w:right="239" w:bottom="1440" w:gutter="0" w:footer="0" w:header="0"/>
        </w:sectPr>
      </w:pPr>
    </w:p>
    <w:bookmarkStart w:id="115" w:name="page116"/>
    <w:bookmarkEnd w:id="115"/>
    <w:p>
      <w:pPr>
        <w:ind w:left="460" w:right="4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the extent that any amounts available for distribution pursuant to this subsection are attributable to the issued but undrawn amount of an outstanding Letters of Credit, such amounts shall be paid to the Agent for deposit into the Collateral Account;</w:t>
      </w:r>
    </w:p>
    <w:p>
      <w:pPr>
        <w:spacing w:after="0" w:line="51" w:lineRule="exact"/>
        <w:rPr>
          <w:sz w:val="20"/>
          <w:szCs w:val="20"/>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amounts due the Agent and the Lenders from the Borrower or the other Loan Parties pursuant to Sections 11.7. and 12.9.;</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payments of all other Obligations and other amounts due and owing by the Borrower and the other Loan Parties under any of the Loan Documents, if any, to be applied for the ratable benefit of the Lenders; and</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any amount remaining after application as provided above, shall be paid to the Borrower or whomever else may be legally entitled thereto.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Collateral Account.</w:t>
      </w:r>
    </w:p>
    <w:p>
      <w:pPr>
        <w:spacing w:after="0" w:line="96" w:lineRule="exact"/>
        <w:rPr>
          <w:sz w:val="20"/>
          <w:szCs w:val="20"/>
          <w:color w:val="auto"/>
        </w:rPr>
      </w:pPr>
    </w:p>
    <w:p>
      <w:pPr>
        <w:ind w:right="60" w:firstLine="464"/>
        <w:spacing w:after="0" w:line="294" w:lineRule="auto"/>
        <w:tabs>
          <w:tab w:leader="none" w:pos="6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As collateral security for the prompt payment in full when due of all Letter of Credit Liabilities and the other Obligations, the Borrower hereby pledges and grants to the Agent, for the ratable benefit of the Agent and the Lenders as provided herein, a security interest in all of its right, title and interest in and to the Collateral Account and the balances from time to time in the Collateral Account (including the investments and reinvestments therein provided for below). The balances from time to time in the Collateral Account shall not constitute payment of any Letter of Credit Liabilities until applied by the Agent as provided herein. Anything in this Agreement to the contrary notwithstanding, funds held in the Collateral Account shall be subject to withdrawal only as provided in this Section.</w:t>
      </w:r>
    </w:p>
    <w:p>
      <w:pPr>
        <w:spacing w:after="0" w:line="115" w:lineRule="exact"/>
        <w:rPr>
          <w:rFonts w:ascii="Arial" w:cs="Arial" w:eastAsia="Arial" w:hAnsi="Arial"/>
          <w:sz w:val="16"/>
          <w:szCs w:val="16"/>
          <w:color w:val="auto"/>
        </w:rPr>
      </w:pPr>
    </w:p>
    <w:p>
      <w:pPr>
        <w:ind w:firstLine="464"/>
        <w:spacing w:after="0" w:line="254"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Amounts on deposit in the Collateral Account shall be invested and reinvested by the Agent in such Cash Equivalents as the Agent shall determine in its sole discretion. All such investments and reinvestments shall be held in the name of and be under the sole dominion and control of the Agent for the ratable benefit of the Lenders. The Agent shall exercise reasonable care in the custody and preservation of any funds held in the Collateral Account and shall be deemed to have exercised such care if such funds are accorded treatment substantially equivalent to that which the Agent accords other funds deposited with the Agent, it being understood that the Agent shall not have any responsibility for taking any necessary steps to preserve rights against any parties with respect to any funds held in the Collateral Account.</w:t>
      </w:r>
    </w:p>
    <w:p>
      <w:pPr>
        <w:spacing w:after="0" w:line="144" w:lineRule="exact"/>
        <w:rPr>
          <w:rFonts w:ascii="Arial" w:cs="Arial" w:eastAsia="Arial" w:hAnsi="Arial"/>
          <w:sz w:val="18"/>
          <w:szCs w:val="18"/>
          <w:color w:val="auto"/>
        </w:rPr>
      </w:pPr>
    </w:p>
    <w:p>
      <w:pPr>
        <w:ind w:right="200" w:firstLine="464"/>
        <w:spacing w:after="0" w:line="259"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 drawing pursuant to any Letter of Credit occurs on or prior to the expiration date of such Letter of Credit, the Borrower and the Lenders authorize the Agent to use the monies deposited in the Collateral Account and proceeds thereof to make payment to the beneficiary with respect to such drawing or the payee with respect to such presentment.</w:t>
      </w:r>
    </w:p>
    <w:p>
      <w:pPr>
        <w:spacing w:after="0" w:line="140"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 Event of Default exists, the Requisite Lenders may, in their discretion, at any time and from time to time, instruct the Agent to liquidate any such investments and reinvestments and apply proceeds thereof to the Obligations in accordance with Section 10.3.</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1420"/>
          </w:cols>
          <w:pgMar w:left="240" w:top="280" w:right="239" w:bottom="1440" w:gutter="0" w:footer="0" w:header="0"/>
        </w:sectPr>
      </w:pPr>
    </w:p>
    <w:bookmarkStart w:id="116" w:name="page117"/>
    <w:bookmarkEnd w:id="116"/>
    <w:p>
      <w:pPr>
        <w:ind w:right="220" w:firstLine="464"/>
        <w:spacing w:after="0" w:line="294"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long as no Default or Event of Default exists, and to the extent amounts on deposit in or credited to the Collateral Account exceed the aggregate amount of the Letter of Credit Liabilities then due and owing, the Agent shall, from time to time, at the request of the Borrower, deliver to the Borrower within ten (10) Business Days after the Agent’s receipt of such request from the Borrower, against receipt but without any recourse, warranty or representation whatsoever (other than a warranty that the Agent did not create any consensual Lien in any such amounts), such of the balances in the Collateral Account as exceed the aggregate amount of Letter of Credit Liabilities at such time.</w:t>
      </w:r>
    </w:p>
    <w:p>
      <w:pPr>
        <w:spacing w:after="0" w:line="115" w:lineRule="exact"/>
        <w:rPr>
          <w:rFonts w:ascii="Arial" w:cs="Arial" w:eastAsia="Arial" w:hAnsi="Arial"/>
          <w:sz w:val="16"/>
          <w:szCs w:val="16"/>
          <w:color w:val="auto"/>
        </w:rPr>
      </w:pPr>
    </w:p>
    <w:p>
      <w:pPr>
        <w:ind w:right="400" w:firstLine="464"/>
        <w:spacing w:after="0" w:line="268" w:lineRule="auto"/>
        <w:tabs>
          <w:tab w:leader="none" w:pos="67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Borrower shall pay to the Agent from time to time such fees as the Agent normally charges for similar services in connection with the Agent’s administration of the Collateral Account and investments and reinvestments of funds therein.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Performance by Agent.</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the Borrower shall fail to perform any covenant, duty or agreement contained in any of the Loan Documents, the Agent may, after notice to the Borrower, perform or attempt to perform such covenant, duty or agreement on behalf of the Borrower after the expiration of any cure or grace periods set forth herein. In such event, the Borrower shall, at the request of the Agent, promptly pay any amount reasonably expended by the Agent in such performance or attempted performance to the Agent, together with interest thereon at the applicable Post-Default Rate from the date of such expenditure until paid. Notwithstanding the foregoing, neither the Agent nor any Lender shall have any liability or responsibility whatsoever for the performance of any obligation of the Borrower under this Agreement or any other Loan Document except to the extent resulting from its gross negligence or willful misconduct as determined by a court of competent jurisdiction in a final, non-appealable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Rights Cumulative.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rights and remedies of the Agent and the Lenders under this Agreement and each of the other Loan Documents shall be cumulative and not exclusive of any rights or remedies which any of them may otherwise have under Applicable Law. In exercising their respective rights and remedies the Agent and the Lenders may be selective and no failure or delay by the Agent or any of the Lenders in exercising any right shall operate as a waiver of it, nor shall any single or partial exercise of any power or right preclude its other or further exercise or the exercise of any other power or right.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Authorization and Action.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Lender hereby appoints and authorizes the Agent to take such action as contractual representative on such Lender’s behalf and to exercise such powers under this Agreement and the other Loan Documents as are specifically delegated to the Agent by the terms hereof and thereof, together with such powers as are reasonably incidental thereto. Not in limitation of the foregoing, each Lender authorizes and directs the Agent to enter into the Loan Documents for the benefit of the Lenders. Each Lender hereby agrees that, except as otherwise set forth herein, 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00"/>
          </w:cols>
          <w:pgMar w:left="240" w:top="280" w:right="259" w:bottom="1440" w:gutter="0" w:footer="0" w:header="0"/>
        </w:sectPr>
      </w:pPr>
    </w:p>
    <w:bookmarkStart w:id="117" w:name="page118"/>
    <w:bookmarkEnd w:id="11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Agent a trustee or fiduciary for any Lender or to impose on the Agent duties or obligations other than those expressly provided for herein. At the request of a Lender, the Agent will forward to such Lender copies or, where appropriate, originals of the documents delivered to the Agent pursuant to this Agreement or the other Loan Documents. The Agent will also furnish to any Lender, upon request of such Lender, a copy of any certificate or notice furnished to the Agent by the Borrower, any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Agent shall not be required to take any action which exposes the Agent to personal liability or which is contrary to this Agreement or any other Loan Document or Applicable Law. Not in limitation of the foregoing, the Agent shall not exercise any right or remedy it or the Lenders may have under any Loan Document upon the occurrence of a Default or an Event of Default unless the Requisite Lenders (or all of the Lenders if explicitly required under any provision of this Agreement) have so directed the Agent to exercise such right or remedy.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Agent’s Reliance, Etc.</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Notwithstanding any other provisions of this Agreement or any other Loan Documents, neither the Agent nor any of its directors, officers, agents, employees or counsel shall be liable for any action taken or omitted to be taken by it or them under or in connection with this Agreement or any other Loan Document, except for its or their own gross negligence or willful misconduct as determined by a court of competent jurisdiction in a final, non-appealable judgment. Without limiting the generality of the foregoing, the Agent: (a) may treat the payee of any Note as the holder thereof until the Agent receives written notice of the assignment or transfer thereof signed by such payee and in form satisfactory to the Agent; (b)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or any other Person and shall not be responsible to any Lender or any other Person for any statements, warranties or representations made by any Person in or in connection with this Agreement or any other Loan Document; (d) shall not have any duty to ascertain or to inquire as to the performance or observance of any of the terms, covenants or conditions of any of this Agreement or any other Loan Document or the satisfaction of any conditions precedent under this Agreement or any Loan Document on the part of the Borrower or other Persons or inspect the property, books or records of the Borrower or any other Person; (e) shall not be responsible to any Lender for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20"/>
          </w:cols>
          <w:pgMar w:left="240" w:top="280" w:right="239" w:bottom="1440" w:gutter="0" w:footer="0" w:header="0"/>
        </w:sectPr>
      </w:pPr>
    </w:p>
    <w:bookmarkStart w:id="118" w:name="page119"/>
    <w:bookmarkEnd w:id="118"/>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execution, legality, validity, enforceability, genuineness, sufficiency or value of this Agreement or any other Loan Document, any other instrument or document furnished pursuant thereto or any collateral covered thereby or the perfection or priority of any Lien in favor of the Agent on behalf of the Lenders in any such collateral; and (f) shall incur no liability under or in respect of this Agreement or any other Loan Document by acting upon any notice, consent, certificate or other instrument or writing (which may be by telephone or telecopy) believed by it to be genuine and signed, sent or given by the proper party or parties.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Notice of Defaults.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Agent shall not be deemed to have knowledge or notice of the occurrence of a Default or Event of Default unless the Agent has received notice from a Lender or the Borrower referring to this Agreement, describing with reasonable specificity such Default or Event of Default and stating that such notice is a “notice of default.” If any Lender (excluding the Lender which is also serving as the Agent) becomes aware of any Default or Event of Default, it shall promptly send to the Agent such a “notice of default.” Further, if the Agent receives such a “notice of default”, the Agent shall give prompt notice thereof to the Lenders.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Wachovia as Lender.</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Wachovia, as a Lender, shall have the same rights and powers under this Agreement and any other Loan Document as any other Lender and may exercise the same as though it were not the Agent; and the term “Lender” or “Lenders” shall, unless otherwise expressly indicated, include Wachovia in each case in its individual capacity. Wachovia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Further, the Agent and any affiliate may accept fees and other consideration from the Borrower for services in connection with this Agreement and otherwise without having to account for the same to the other Lenders. The Lenders acknowledge that, pursuant to such activities, Wachovia or its affiliates may receive information regarding the Borrower, other Loan Parties, other Subsidiaries and other Affiliates (including information that may be subject to confidentiality obligations in favor of such Person) and acknowledge that the Agent shall be under no obligation to provide such information to them.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Approvals of Lenders.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communications from the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 summary of all oral information provided to the Agent by the Borrower in respect of the matter or issue to be resolved, and (d) shall include the Agent’s recommended course of action or determination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20"/>
          </w:cols>
          <w:pgMar w:left="240" w:top="280" w:right="239" w:bottom="1440" w:gutter="0" w:footer="0" w:header="0"/>
        </w:sectPr>
      </w:pPr>
    </w:p>
    <w:bookmarkStart w:id="119" w:name="page120"/>
    <w:bookmarkEnd w:id="119"/>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thereof. Each Lender shall reply promptly, but in any event within 10 Business Days (or such lesser or greater period as may be specifically required under the Loan Documents) of receipt of such communication. Except as otherwise provided in this Agreement, unless a Lender shall give written notice to the Agent that it specifically objects to the recommendation or determination of the Agent (together with a written explanation of the reasons behind such objection) within the applicable time period for reply, such Lender shall be deemed to have conclusively approved of or consented to such recommendation or determination.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Lender Credit Decision, Etc.</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Lender expressly acknowledges and agrees that neither the Agent nor any of its officers, directors, employees, agents, counsel, attorneys-in-fact or other affiliates has made any representations or warranties as to the financial condition, operations, creditworthiness, solvency or other information concerning the business or affairs of the Borrower, any other Loan Party, any Subsidiary or any other Person to such Lender and that no act by the Agent hereafter taken, including any review of the affairs of the Borrower, any other Loan Party or any other Subsidiary, shall be deemed to constitute any such representation or warranty by the Agent to any Lender. Each Lender acknowledges that it has made its own credit and legal analysis and decision to enter into this Agreement and the transactions contemplated hereby independently and without reliance upon the Agent, any other Lender or counsel to the Agent, or any of their respective officers, directors, employees and agents, and based on the financial statements of the Borrower, the Subsidiaries or any other Affiliate thereof, and inquiries of such Persons, its independent due diligence of the business and affairs of the Borrower, the other Loan Parties, the Subsidiaries and other Persons, its review of the Loan Documents, the legal opinions required to be delivered to it hereunder, the advice of its own counsel and such other documents and information as it has deemed appropriate. Each Lender also acknowledges that it will, independently and without reliance upon the Agent, any other Lender or counsel to the Agent or any of their respective officers, directors, employees and agents, and based on such review, advice, documents and information as it shall deem appropriate at the time, continue to make its own decisions in taking or not taking action under the Loan Documents. Except for notices, reports and other documents and information expressly required to be furnished to the Lenders by the Agent under this Agreement or any of the other Loan Documents, the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Agent, or any of its officers, directors, employees, agents, attorneys-in-fact or other affiliates. Each Lender acknowledges that the Agent’s legal counsel in connection with the transactions contemplated by this Agreement is only acting as counsel to the Agent and is not acting as counsel to such Lender.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Indemnification of Agent.</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Each Lender agrees to indemnify the Agent (to the extent not reimbursed by the Borrower and without limiting the obligation of the Borrower to do so) pro rata in accordance with such Lender’s respective Commitment Percentage, from and against any and all liabilities, obligations, losses, damages, penalties, actions, judgments, suits, reasonable out-of-pocket costs and expenses, or disbursements of any kind or nature whatsoever which may at any time be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20"/>
          </w:cols>
          <w:pgMar w:left="240" w:top="280" w:right="239" w:bottom="1440" w:gutter="0" w:footer="0" w:header="0"/>
        </w:sectPr>
      </w:pPr>
    </w:p>
    <w:bookmarkStart w:id="120" w:name="page121"/>
    <w:bookmarkEnd w:id="12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imposed on, incurred by, or asserted against the Agent (in its capacity as Agent but not as a Lender) in any way relating to or arising out of the Loan Documents, any transaction contemplated hereby or thereby or any action taken or omitted by the Agent under the Loan Documents (collectively, </w:t>
      </w:r>
      <w:r>
        <w:rPr>
          <w:rFonts w:ascii="Arial" w:cs="Arial" w:eastAsia="Arial" w:hAnsi="Arial"/>
          <w:sz w:val="16"/>
          <w:szCs w:val="16"/>
          <w:b w:val="1"/>
          <w:bCs w:val="1"/>
          <w:color w:val="auto"/>
        </w:rPr>
        <w:t>“indemnifiable</w:t>
      </w:r>
      <w:r>
        <w:rPr>
          <w:rFonts w:ascii="Arial" w:cs="Arial" w:eastAsia="Arial" w:hAnsi="Arial"/>
          <w:sz w:val="16"/>
          <w:szCs w:val="16"/>
          <w:color w:val="auto"/>
        </w:rPr>
        <w:t xml:space="preserve"> </w:t>
      </w:r>
      <w:r>
        <w:rPr>
          <w:rFonts w:ascii="Arial" w:cs="Arial" w:eastAsia="Arial" w:hAnsi="Arial"/>
          <w:sz w:val="16"/>
          <w:szCs w:val="16"/>
          <w:b w:val="1"/>
          <w:bCs w:val="1"/>
          <w:color w:val="auto"/>
        </w:rPr>
        <w:t>Amounts”</w:t>
      </w:r>
      <w:r>
        <w:rPr>
          <w:rFonts w:ascii="Arial" w:cs="Arial" w:eastAsia="Arial" w:hAnsi="Arial"/>
          <w:sz w:val="16"/>
          <w:szCs w:val="16"/>
          <w:color w:val="auto"/>
        </w:rPr>
        <w:t>); provided, however, that no Lender shall be liable for any portion of such Indemnifiable Amounts to the extent resulting from the Agent’s gross</w:t>
      </w:r>
      <w:r>
        <w:rPr>
          <w:rFonts w:ascii="Arial" w:cs="Arial" w:eastAsia="Arial" w:hAnsi="Arial"/>
          <w:sz w:val="16"/>
          <w:szCs w:val="16"/>
          <w:b w:val="1"/>
          <w:bCs w:val="1"/>
          <w:color w:val="auto"/>
        </w:rPr>
        <w:t xml:space="preserve"> </w:t>
      </w:r>
      <w:r>
        <w:rPr>
          <w:rFonts w:ascii="Arial" w:cs="Arial" w:eastAsia="Arial" w:hAnsi="Arial"/>
          <w:sz w:val="16"/>
          <w:szCs w:val="16"/>
          <w:color w:val="auto"/>
        </w:rPr>
        <w:t>negligence or willful misconduct as determined by a court of competent jurisdiction in a final, non-appealable judgment or if the Agent fails to follow the written direction of the Requisite Lenders (or all of the Lenders if expressly required hereunder) unless such failure results from the Agent following the advice of counsel to the Agent of which advice the Lenders have received notice. Without limiting the generality of the foregoing but subject to the preceding proviso, each Lender agrees to reimburse the Agent (to the extent not reimbursed by the Borrower and without limiting the obligation of the Borrower to do so), promptly upon demand for its ratable share of any out-of-pocket expenses (including counsel fees of the counsel(s) of the Agent’s own choosing) incurred by the Agent in connection with the preparation, negotiation, execution, or enforcement of, or legal advice with respect to the rights or responsibilities of the parties under, the Loan Documents, any suit or action brought by the Agent to enforce the terms of the Loan Documents and/or collect any Obligations, any “lender liability” suit or claim brought against the Agent and/or the Lenders, and any claim or suit brought against the Agent, and/or the Lenders arising under any Environmental Laws. Such out-of-pocket expenses (including counsel fees) shall be advanced by the Lenders on the request of the Agent notwithstanding any claim or assertion that the Agent is not entitled to indemnification hereunder upon receipt of an undertaking by the Agent that the Agent will reimburse the Lenders if it is actually and finally determined by a court of competent jurisdiction that the Agent is not so entitled to indemnification. The agreements in this Section shall survive the payment of the Loans and all other amounts payable hereunder or under the other Loan Documents and the termination of this Agreement. If the Borrower shall reimburse the Agent for any Indemnifiable Amount following payment by any Lender to the Agent in respect of such Indemnifiable Amount pursuant to this Section, the Agent shall share such reimbursement on a ratable basis with each Lender making any such payment.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11.8. Successor Agent.</w:t>
      </w:r>
    </w:p>
    <w:p>
      <w:pPr>
        <w:spacing w:after="0" w:line="96"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The Agent may resign at any time as Agent under the Loan Documents by giving written notice thereof to the Lenders and the Borrower. The Agent may be removed as Agent under the Loan Documents for good cause by all of the Lenders (other than the Lender then acting as Agent) upon 30 days’ prior written notice to the Agent. Upon any such resignation or removal, the Requisite Lenders (other than the Lender then acting as Agent, in the case of the removal of the Agent under the immediately preceding sentence) shall have the right to appoint a successor Agent which appointment shall, provided no Event of Default exists, be subject to the Borrower’s approval, which approval shall not be unreasonably withheld or delayed (except that the Borrower shall, in all events, be deemed to have approved each Lender and its affiliates as a successor Agent). If no successor Agent shall have been so appointed in accordance with the immediately preceding sentence, and shall have accepted such appointment, within 30 days after the resigning Agent’s giving of notice of resignation or the Lenders’ removal of the resigning Agent, then the resigning or removed Agent may, on behalf of the Lenders, appoint a successor Agent, which shall be a Lender, if any Lender shall be willing to serve, and otherwise shall be a commercial bank having total combined assets of at least $50,000,000,000. Upon the acceptance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20"/>
          </w:cols>
          <w:pgMar w:left="240" w:top="280" w:right="239" w:bottom="1440" w:gutter="0" w:footer="0" w:header="0"/>
        </w:sectPr>
      </w:pPr>
    </w:p>
    <w:bookmarkStart w:id="121" w:name="page122"/>
    <w:bookmarkEnd w:id="12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appointment as Agent hereunder by a successor Agent, such successor Agent shall thereupon succeed to and become vested with all the rights, powers, privileges and duties of the retiring or removed Agent, and the retiring or removed Agent shall be discharged from its duties and obligations under the Loan Documents. Such successor Agent shall issue letters of credit in substitution for the Letters of Credit, if any, outstanding at the time of such succession or shall make other arrangements satisfactory to the current Agent, in either case, to assume effectively the obligations of the current Agent with respect to such Letters of Credit. After any Agent’s resignation or removal hereunder as Agent, the provisions of this Article Xl. shall continue to inure to its benefit as to any actions taken or omitted to be taken by it while it was Agent under the Loan Documents.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11.9. Titled Agents.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Each of the Titled Agents in each such respective capacity, assumes no responsibility or obligation hereunder, including, without limitation, for servicing, enforcement or collection of any of the Loans, nor any duties as an agent hereunder for the Lenders. The titles of “Sole Lead Arranger,” “Sole Book Manager”, “Syndication Agent” and “Documentation Agent” are solely honorific and imply no fiduciary responsibility on the part of the Titled Agents to the Agent, the Borrower or any Lender and the use of such titles does not impose on the Titled Agents any duties or obligations greater than those of any other Lender or entitle the Titled Agents to any rights other than those to which any other Lender is entitled.</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 M</w:t>
      </w:r>
      <w:r>
        <w:rPr>
          <w:rFonts w:ascii="Arial" w:cs="Arial" w:eastAsia="Arial" w:hAnsi="Arial"/>
          <w:sz w:val="14"/>
          <w:szCs w:val="14"/>
          <w:b w:val="1"/>
          <w:bCs w:val="1"/>
          <w:color w:val="auto"/>
        </w:rPr>
        <w:t>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provided herein, communications provided for hereunder shall be in writing and shall be mailed, telecopied or delivered as follows: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Borrower:</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Stuart Brown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(301) 998-8143</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Telecopy: (301) 998-3701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for all notices (other than notices solely under Article II), with copies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General Counsel</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(301) 998-8100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Telecopy: (301) 998-3715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380"/>
          </w:cols>
          <w:pgMar w:left="240" w:top="280" w:right="279" w:bottom="1440" w:gutter="0" w:footer="0" w:header="0"/>
        </w:sectPr>
      </w:pPr>
    </w:p>
    <w:bookmarkStart w:id="122" w:name="page123"/>
    <w:bookmarkEnd w:id="122"/>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Wendelin A. White, P.C.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Pillsbury Winthrop Shaw Pittman LLP</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(202) 663-8360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Telecopy: (202) 663-8007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Agent: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301 S. College Street, NC0l72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Ann: Rex E. Rudy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(704) 383-6506</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Telecopy: (704) 383-6205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 Lender:</w:t>
      </w:r>
    </w:p>
    <w:p>
      <w:pPr>
        <w:spacing w:after="0" w:line="90"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To such Lender’s address or telecopy number, as applicable, set forth on its signature page hereto or in the applicable Assignment and Acceptance Agreement;</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or, as to each party at such other address as shall be designated by such party in a written notice to the other parties delivered in compliance with this Section. All such notices and other communications shall be effective (i) if mailed, when received; (ii) if telecopied on a Business Day, when transmitted; or (iii) if hand delivered or sent by overnight courier, when delivered. Notwithstanding the immediately preceding sentence, all notices or communications to the Agent or any Lender under Article II. shall be effective only when actually received. Neither the Agent nor any Lender shall incur any liability to any Loan Party (nor shall the Agent incur any liability to the Lenders) for acting upon any telephonic notice referred to in this Agreement which the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any other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Expenses.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Borrower agrees (a) to pay or reimburse the Agent for all of its reasonable out-of- pocket costs and expenses incurred in connection with the preparation,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Agent and costs and expenses in connection with the use of IntraLinks, Inc., SyndTrak or other similar information transmission systems in connection with the Loan Documents, (b) to pay or reimburse the Agent and the Lenders for all their costs and expenses incurred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00"/>
          </w:cols>
          <w:pgMar w:left="240" w:top="280" w:right="259" w:bottom="1440" w:gutter="0" w:footer="0" w:header="0"/>
        </w:sectPr>
      </w:pPr>
    </w:p>
    <w:bookmarkStart w:id="123" w:name="page124"/>
    <w:bookmarkEnd w:id="12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the enforcement or preservation of any rights under the Loan Documents, including the reasonable fees and disbursements of counsel to the Agent and one separate counsel for the Lenders and any payments in indemnification or otherwise payable by the Lenders to the Agent pursuant to the Loan Documents, (c) to pay, and indemnify and hold harmless the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Agent and the Lenders for all their costs and expenses incurred in connection with any bankruptcy or other proceeding of the type described in Sections 10.1.(f) or 10.1.(g), including the reasonable fees and disbursements of counsel to the Agent and one separate counsel for the Lenders (but also including special insolvency counsel and any required local counsel), whether such fees and expenses are incurred prior to, during or after the commencement of such proceeding or the confirmation or conclusion of any such proceeding. If the Borrower shall fail to pay any amounts required to be paid by it pursuant to this Section, the Agent and/or the Lenders may pay such amounts on behalf of the Borrower and either deem the same to be Loans outstanding hereunder or otherwise Obligations owing 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Setoff.</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Subject to Section 3.3. and in addition to any rights now or hereafter granted under Applicable Law and not by way of limitation of any such rights, the Borrower hereby authorizes the Agent, each Lender and each affiliate of the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such affiliate of the Agent or such Lender, to or for the credit or the account of the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12.4. Litigation; Jurisdiction; Other Matters; Waivers.</w:t>
      </w:r>
    </w:p>
    <w:p>
      <w:pPr>
        <w:spacing w:after="0" w:line="96" w:lineRule="exact"/>
        <w:rPr>
          <w:sz w:val="20"/>
          <w:szCs w:val="20"/>
          <w:color w:val="auto"/>
        </w:rPr>
      </w:pPr>
    </w:p>
    <w:p>
      <w:pPr>
        <w:ind w:right="100" w:firstLine="464"/>
        <w:spacing w:after="0" w:line="255"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PARTY HERETO ACKNOWLEDGES THAT ANY DISPUTE OR CONTROVERSY BETWEEN OR AMONG THE BORROWER, THE AGENT OR ANY OF THE LENDERS WOULD BE BASED ON DIFFICULT AND COMPLEX ISSUES OF LAW AND FACT AND WOULD RESULT IN DELAY AND EXPENSE TO THE PARTIES. ACCORDINGLY, TO THE EXTENT PERMITTED BY APPLICABLE LAW, EACH OF THE LENDERS, THE AGENT AND THE BORROWER HEREBY WAIVES ITS RIGHT TO A TRIAL BY JURY IN ANY ACTION OR PROCEEDING OF ANY KIND OR NATURE IN</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90 -</w:t>
      </w:r>
    </w:p>
    <w:p>
      <w:pPr>
        <w:sectPr>
          <w:pgSz w:w="11900" w:h="16838" w:orient="portrait"/>
          <w:cols w:equalWidth="0" w:num="1">
            <w:col w:w="11400"/>
          </w:cols>
          <w:pgMar w:left="240" w:top="280" w:right="259" w:bottom="1440" w:gutter="0" w:footer="0" w:header="0"/>
        </w:sectPr>
      </w:pPr>
    </w:p>
    <w:bookmarkStart w:id="124" w:name="page125"/>
    <w:bookmarkEnd w:id="124"/>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COURT OR TRIBUNAL IN WHICH AN ACTION MAY BE COMMENCED BY OR AGAINST ANY PARTY HERETO ARISING OUT OF THIS AGREEMENT, THE NOTES, OR ANY OTHER LOAN DOCUMENT OR BY REASON OF ANY OTHER SUIT, CAUSE OF ACTION OR DISPUTE WHATSOEVER BETWEEN OR AMONG THE BORROWER, THE AGENT OR ANY OF THE LENDERS OF ANY KIND OR NATURE RELATING TO ANY OF THE LOAN DOCUMENTS.</w:t>
      </w:r>
    </w:p>
    <w:p>
      <w:pPr>
        <w:spacing w:after="0" w:line="143" w:lineRule="exact"/>
        <w:rPr>
          <w:sz w:val="20"/>
          <w:szCs w:val="20"/>
          <w:color w:val="auto"/>
        </w:rPr>
      </w:pPr>
    </w:p>
    <w:p>
      <w:pPr>
        <w:ind w:right="40" w:firstLine="464"/>
        <w:spacing w:after="0" w:line="286"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EACH OF THE BORROWER, THE AGENT AND EACH LENDER HEREBY AGREES THAT THE FEDERAL DISTRICT COURT FOR THE SOUTHERN DISTRICT OF NEW YORK, AND ANY STATE COURT LOCATED IN THE BOROUGH OF MANHATTAN OF NEW YORK, NEW YORK, SHALL HAVE JURISDICTION TO HEAR AND DETERMINE ANY CLAIMS OR DISPUTES BETWEEN OR AMONG THE BORROWER, THE AGENT OR ANY OF THE LENDERS PERTAINING DIRECTLY OR INDIRECTLY TO THIS AGREEMENT, THE LOANS AND LETTERS OF CREDIT, THE NOTES OR ANY OTHER LOAN DOCUMENT OR TO ANY MATTER ARISING HEREFROM OR THEREFROM. THE BORROWER AND EACH OF THE LENDERS EXPRESSLY SUBMIT AND CONSENT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343" w:lineRule="exact"/>
        <w:rPr>
          <w:rFonts w:ascii="Arial" w:cs="Arial" w:eastAsia="Arial" w:hAnsi="Arial"/>
          <w:sz w:val="16"/>
          <w:szCs w:val="16"/>
          <w:color w:val="auto"/>
        </w:rPr>
      </w:pPr>
    </w:p>
    <w:p>
      <w:pPr>
        <w:ind w:right="80" w:firstLine="464"/>
        <w:spacing w:after="0" w:line="256"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Successors and Assigns.</w:t>
      </w:r>
    </w:p>
    <w:p>
      <w:pPr>
        <w:spacing w:after="0" w:line="96" w:lineRule="exact"/>
        <w:rPr>
          <w:sz w:val="20"/>
          <w:szCs w:val="20"/>
          <w:color w:val="auto"/>
        </w:rPr>
      </w:pPr>
    </w:p>
    <w:p>
      <w:pPr>
        <w:ind w:firstLine="464"/>
        <w:spacing w:after="0" w:line="306"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provisions of this Agreement shall be binding upon and inure to the benefit of the parties hereto and their respective successors and permitted assigns, except that the Borrower may not assign or otherwise transfer any of its rights or obligations under this Agreement without the prior written consent of all Lenders and any such assignment or other transfer to which all of the Lenders have not so consented shall be null and void.</w:t>
      </w:r>
    </w:p>
    <w:p>
      <w:pPr>
        <w:spacing w:after="0" w:line="106"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Lender may make, carry or transfer Loans at, to or for the account of any of its branch offices or the office of an affiliate of such Lender except to the extent such transfer would result in increased costs to the Borrower.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91 -</w:t>
      </w:r>
    </w:p>
    <w:p>
      <w:pPr>
        <w:sectPr>
          <w:pgSz w:w="11900" w:h="16838" w:orient="portrait"/>
          <w:cols w:equalWidth="0" w:num="1">
            <w:col w:w="11420"/>
          </w:cols>
          <w:pgMar w:left="240" w:top="280" w:right="239" w:bottom="1440" w:gutter="0" w:footer="0" w:header="0"/>
        </w:sectPr>
      </w:pPr>
    </w:p>
    <w:bookmarkStart w:id="125" w:name="page126"/>
    <w:bookmarkEnd w:id="125"/>
    <w:p>
      <w:pPr>
        <w:ind w:left="-464" w:firstLine="464"/>
        <w:spacing w:after="0" w:line="285" w:lineRule="auto"/>
        <w:tabs>
          <w:tab w:leader="none" w:pos="231"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Lender may at any time grant to one or more banks or other financial institutions (each a </w:t>
      </w:r>
      <w:r>
        <w:rPr>
          <w:rFonts w:ascii="Arial" w:cs="Arial" w:eastAsia="Arial" w:hAnsi="Arial"/>
          <w:sz w:val="16"/>
          <w:szCs w:val="16"/>
          <w:b w:val="1"/>
          <w:bCs w:val="1"/>
          <w:color w:val="auto"/>
        </w:rPr>
        <w:t>“Participant”</w:t>
      </w:r>
      <w:r>
        <w:rPr>
          <w:rFonts w:ascii="Arial" w:cs="Arial" w:eastAsia="Arial" w:hAnsi="Arial"/>
          <w:sz w:val="16"/>
          <w:szCs w:val="16"/>
          <w:color w:val="auto"/>
        </w:rPr>
        <w:t>) participating interests in its Commitment or the Loans or other Obligations owing to such Lender; provided, however, (i) any such participating interest must be for a constant and not a varying percentage interest and (ii) unless the Borrower and the Agent otherwise agree, after giving effect to the grant of a participating interest in a Lender’s Commitment, the amount of its Commitment in which it has not granted any participating interests must be equal to at least $10,000,000. No Participant shall have any rights or benefits under this Agreement or any other Loan Document. In the event of any such grant by a Lender of a participating interest to a Participant, such Lender shall remain responsible for the performance of its obligations hereunder, and the Borrower and the Agent shall continue to deal solely and directly with such Lender in connection with such Lender’s rights and obligations under this Agreement. Any agreement pursuant to which any Lender may grant such a participating interest shall provide that such Lender shall retain the sole right and responsibility to enforce the obligations of the Borrower hereunder, including, without limitation, the right to approve any amendment, modification or waiver of any provision of this Agreement; provided, however, such Lender may agree with the Participant that it will not, without the consent of the Participant, agree to (i) increase, or extend the term or extend the time or waive any requirement for the reduction or termination of, such Lender’s Commitment, (ii) extend the date fixed for the payment of principal of or interest on the Loans or portions thereof owing to such Lender, (iii) reduce the amount of any such payment of principal, (iv) reduce the rate at which interest is payable thereon or (v) release any Guarantor (except as otherwise permitted under Section 7.12.(c)). An assignment or other transfer which is not permitted by subsection (d) or (e) below shall be given effect for purposes of this Agreement only to the extent of a participating interest granted in accordance with this subsection (c). Upon request from the Agent, a Lender shall notify the Agent of the sale of any participation hereunder and, if requested by the Agent, certify to the Agent that such participation is permitted hereunder and that the requirements of Section 3.l2.(c) have been satisfied.</w:t>
      </w:r>
    </w:p>
    <w:p>
      <w:pPr>
        <w:spacing w:after="0" w:line="129" w:lineRule="exact"/>
        <w:rPr>
          <w:rFonts w:ascii="Arial" w:cs="Arial" w:eastAsia="Arial" w:hAnsi="Arial"/>
          <w:sz w:val="16"/>
          <w:szCs w:val="16"/>
          <w:color w:val="auto"/>
        </w:rPr>
      </w:pPr>
    </w:p>
    <w:p>
      <w:pPr>
        <w:ind w:left="-464" w:firstLine="464"/>
        <w:spacing w:after="0" w:line="286" w:lineRule="auto"/>
        <w:tabs>
          <w:tab w:leader="none" w:pos="24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Any Lender may with the prior written consent of the Agent and, so long as no Event of Default exists, the Borrower (which consent, in each case, shall not be unreasonably withheld (it being agreed that the Borrower’s withholding of consent to an assignment which would result in the Borrower having to pay amounts under Section 3.12. shall be deemed to be reasonable)), assign to one or more Eligible Assignees (each an “Assignee”) all or a portion of its rights and obligations under this Agreement and the Notes (including all or a portion of its Commitments and the Loans owing to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 no such consent by the Borrower shall be required in the case of any assignment to another Lender or any affiliate of such Lender or another Lender and no such consent by the Agent shall be required in the case of any assignment by a Lender to any affiliate of such Lender; (ii) unless the Borrower and the Agent otherwise agree, after giving effect to any partial assignment by a Lender, the Assignee shall hold, and the assigning Lender shall retain, a Commitment, or if the Commitments have been terminated, Revolving Loans having an outstanding principal balance, of at least $5,000,000 and integral multiples of $1,000,000 in excess thereof, and (iii) each such assignment shall be effected by means of an Assignment and Acceptance Agreement. Upon execution and delivery of such instrument and payment by such Assignee to such transferor Lender of an amount equal to the purchase price agreed between such transferor Lender and such Assignee,</w:t>
      </w:r>
    </w:p>
    <w:p>
      <w:pPr>
        <w:spacing w:after="0" w:line="113" w:lineRule="exact"/>
        <w:rPr>
          <w:rFonts w:ascii="Arial" w:cs="Arial" w:eastAsia="Arial" w:hAnsi="Arial"/>
          <w:sz w:val="16"/>
          <w:szCs w:val="16"/>
          <w:color w:val="auto"/>
        </w:rPr>
      </w:pPr>
    </w:p>
    <w:p>
      <w:pPr>
        <w:ind w:left="5156" w:hanging="96"/>
        <w:spacing w:after="0"/>
        <w:tabs>
          <w:tab w:leader="none" w:pos="515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92 -</w:t>
      </w:r>
    </w:p>
    <w:p>
      <w:pPr>
        <w:sectPr>
          <w:pgSz w:w="11900" w:h="16838" w:orient="portrait"/>
          <w:cols w:equalWidth="0" w:num="1">
            <w:col w:w="10936"/>
          </w:cols>
          <w:pgMar w:left="704" w:top="274" w:right="259" w:bottom="1440" w:gutter="0" w:footer="0" w:header="0"/>
        </w:sectPr>
      </w:pPr>
    </w:p>
    <w:bookmarkStart w:id="126" w:name="page127"/>
    <w:bookmarkEnd w:id="12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Assignee shall be a Lender party to this Agreement with respect to the assigned interest as of the effective date of the Assignment and Acceptance Agreement and shall have all the rights and obligations of a Lender with respect to the assigned interest as set forth in such Assignment and Acceptance Agreement, and the transferor Lender shall be released from its obligations hereunder with respect to the assigned interest to a corresponding extent, and no further consent or action by any party shall be required. Upon the consummation of any assignment pursuant to this subsection, the transferor Lender, the Agent and the Borrower shall make appropriate arrangements so that new Notes are issued to the Assignee and such transferor Lender, as appropriate. In connection with any such assignment, the transferor Lender shall pay to the Agent an administrative fee for processing such assignment in the amount of $3,500. Anything in this Section to the contrary notwithstanding, no Lender may assign, or grant a participating interest in, its Commitment or any Loan held by it to the Borrower, any Subsidiary or any Affiliate of the Borrower.</w:t>
      </w:r>
    </w:p>
    <w:p>
      <w:pPr>
        <w:spacing w:after="0" w:line="112" w:lineRule="exact"/>
        <w:rPr>
          <w:sz w:val="20"/>
          <w:szCs w:val="20"/>
          <w:color w:val="auto"/>
        </w:rPr>
      </w:pPr>
    </w:p>
    <w:p>
      <w:pPr>
        <w:ind w:firstLine="464"/>
        <w:spacing w:after="0" w:line="305" w:lineRule="auto"/>
        <w:tabs>
          <w:tab w:leader="none" w:pos="695" w:val="left"/>
        </w:tabs>
        <w:numPr>
          <w:ilvl w:val="0"/>
          <w:numId w:val="119"/>
        </w:numPr>
        <w:rPr>
          <w:rFonts w:ascii="Arial" w:cs="Arial" w:eastAsia="Arial" w:hAnsi="Arial"/>
          <w:sz w:val="15"/>
          <w:szCs w:val="15"/>
          <w:color w:val="auto"/>
        </w:rPr>
      </w:pPr>
      <w:r>
        <w:rPr>
          <w:rFonts w:ascii="Arial" w:cs="Arial" w:eastAsia="Arial" w:hAnsi="Arial"/>
          <w:sz w:val="15"/>
          <w:szCs w:val="15"/>
          <w:color w:val="auto"/>
        </w:rPr>
        <w:t xml:space="preserve">Any Lender (each, a </w:t>
      </w:r>
      <w:r>
        <w:rPr>
          <w:rFonts w:ascii="Arial" w:cs="Arial" w:eastAsia="Arial" w:hAnsi="Arial"/>
          <w:sz w:val="15"/>
          <w:szCs w:val="15"/>
          <w:b w:val="1"/>
          <w:bCs w:val="1"/>
          <w:color w:val="auto"/>
        </w:rPr>
        <w:t>“Designating Lender”</w:t>
      </w:r>
      <w:r>
        <w:rPr>
          <w:rFonts w:ascii="Arial" w:cs="Arial" w:eastAsia="Arial" w:hAnsi="Arial"/>
          <w:sz w:val="15"/>
          <w:szCs w:val="15"/>
          <w:color w:val="auto"/>
        </w:rPr>
        <w:t>) may, at any time while the Borrower has been assigned an Investment Grade Rating from either S&amp;P or Moody’s, designate one Designated Lender to fund Bid Rate Loans on behalf of such Designating Lender subject to the terms of this subsection (e), and the provisions in the immediately preceding subsections (c) and (d) shall not apply to such designation. No Lender may designate more than one Designated Lender. The parties to each such designation shall execute and deliver to the Agent for its acceptance a Designation Agreement. Upon such receipt of an appropriately completed Designation Agreement executed by a Designating Lender and a designee representing that it is a Designated Lender, the Agent will accept such Designation Agreement and give prompt notice thereof to the Borrower, whereupon (i) the Borrower shall execute and deliver to the Designating Lender a Designated Lender Note payable to the order of the Designated Lender, (ii) from and after the effective date specified in the Designation Agreement, the Designated Lender shall become a party to this Agreement with a right to make Bid Rate Loans on behalf of its Designating Lender pursuant to Section 2.2. after the Borrower has accepted a Bid Rate Loan (or portion thereof) of the Designating Lender, and (iii) the Designated Lender shall not be required to make payments with respect to any obligations in this Agreement except to the extent of excess cash flow of such Designated Lender which is not otherwise required to repay obligations of such Designated Lender which are then due and payable; provided, however, that regardless of such designation and assumption by the Designated Lender, the Designating Lender shall be and remain obligated to the Borrower, the Agent and the Lenders for each and every of the obligations of the Designating Lender and its related Designated Lender with respect to this Agreement, including, without limitation, any indemnification obligations under Section 11.7. and any sums otherwise payable to the Borrower by the Designated Lender. Each Designating Lender shall serve as the administrative agent of the Designated Lender and shall on behalf of, and to the exclusion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 Any such notice, communication, vote, approval, waiver, consent or amendment shall be signed by the Designating Lender as administrative agent for the Designated Lender and shall not be signed by the Designated Lender on its own behalf and shall be binding on the Designated Lender to the same extent as if signed by the Designated Lender on its own behalf. The Borrower, the Agent</w:t>
      </w:r>
    </w:p>
    <w:p>
      <w:pPr>
        <w:spacing w:after="0" w:line="314" w:lineRule="exact"/>
        <w:rPr>
          <w:rFonts w:ascii="Arial" w:cs="Arial" w:eastAsia="Arial" w:hAnsi="Arial"/>
          <w:sz w:val="15"/>
          <w:szCs w:val="15"/>
          <w:color w:val="auto"/>
        </w:rPr>
      </w:pPr>
    </w:p>
    <w:p>
      <w:pPr>
        <w:ind w:left="5620" w:hanging="96"/>
        <w:spacing w:after="0"/>
        <w:tabs>
          <w:tab w:leader="none" w:pos="5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93 -</w:t>
      </w:r>
    </w:p>
    <w:p>
      <w:pPr>
        <w:sectPr>
          <w:pgSz w:w="11900" w:h="16838" w:orient="portrait"/>
          <w:cols w:equalWidth="0" w:num="1">
            <w:col w:w="11380"/>
          </w:cols>
          <w:pgMar w:left="240" w:top="280" w:right="279" w:bottom="1440" w:gutter="0" w:footer="0" w:header="0"/>
        </w:sectPr>
      </w:pPr>
    </w:p>
    <w:bookmarkStart w:id="127" w:name="page128"/>
    <w:bookmarkEnd w:id="12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Lenders may rely thereon without any requirement that the Designated Lender sign or acknowledge the same. No Designated Lender may assign or transfer all or any portion of its interest hereunder or under any other Loan Document, other than assignments to the Designating Lender which originally designated such Designated Lender. The Borrower, the Lenders and the Agent each hereby agrees that it will not institute against any Designated Lender or join any other Person in instituting against any Designated Lender any bankruptcy, reorganization, arrangement, insolvency or liquidation proceeding under any federal or state bankruptcy or similar law until the later to occur of (x) one year and one day after the payment in full of the latest maturing commercial paper note issued by such Designated Lender and (y) the Termination Date.</w:t>
      </w:r>
    </w:p>
    <w:p>
      <w:pPr>
        <w:spacing w:after="0" w:line="120" w:lineRule="exact"/>
        <w:rPr>
          <w:sz w:val="20"/>
          <w:szCs w:val="20"/>
          <w:color w:val="auto"/>
        </w:rPr>
      </w:pPr>
    </w:p>
    <w:p>
      <w:pPr>
        <w:ind w:firstLine="464"/>
        <w:spacing w:after="0" w:line="301" w:lineRule="auto"/>
        <w:tabs>
          <w:tab w:leader="none" w:pos="676" w:val="left"/>
        </w:tabs>
        <w:numPr>
          <w:ilvl w:val="1"/>
          <w:numId w:val="120"/>
        </w:numPr>
        <w:rPr>
          <w:rFonts w:ascii="Arial" w:cs="Arial" w:eastAsia="Arial" w:hAnsi="Arial"/>
          <w:sz w:val="15"/>
          <w:szCs w:val="15"/>
          <w:color w:val="auto"/>
        </w:rPr>
      </w:pPr>
      <w:r>
        <w:rPr>
          <w:rFonts w:ascii="Arial" w:cs="Arial" w:eastAsia="Arial" w:hAnsi="Arial"/>
          <w:sz w:val="15"/>
          <w:szCs w:val="15"/>
          <w:color w:val="auto"/>
        </w:rPr>
        <w:t xml:space="preserve">The Agent shall maintain at the Principal Office a copy of each Assignment and Acceptance Agreement delivered to and accepted by it and a register for the recordation of the names and addresses of the Lenders and the Commitment of each Lender from time to time (the </w:t>
      </w:r>
      <w:r>
        <w:rPr>
          <w:rFonts w:ascii="Arial" w:cs="Arial" w:eastAsia="Arial" w:hAnsi="Arial"/>
          <w:sz w:val="15"/>
          <w:szCs w:val="15"/>
          <w:b w:val="1"/>
          <w:bCs w:val="1"/>
          <w:color w:val="auto"/>
        </w:rPr>
        <w:t>“Register”</w:t>
      </w:r>
      <w:r>
        <w:rPr>
          <w:rFonts w:ascii="Arial" w:cs="Arial" w:eastAsia="Arial" w:hAnsi="Arial"/>
          <w:sz w:val="15"/>
          <w:szCs w:val="15"/>
          <w:color w:val="auto"/>
        </w:rPr>
        <w:t>). The Agent shall give each Lender and the Borrower notice of the assignment by any Lender of its rights as contemplated by this Section. The Borrower, the Agent and the Lenders may treat each Person whose name is recorded in the Register as a Lender hereunder for all purposes of this Agreement. The Register and copies of each Assignment and Acceptance Agreement shall be available for inspection by the Borrower or any Lender at any reasonable time and from time to time upon reasonable prior notice to the Agent. Upon its receipt of an Assignment and Acceptance Agreement executed by an assigning Lender, together with each Note subject to such assignment, the Agent shall, if such Assignment and Acceptance Agreement has been completed and if the Agent receives the processing and recording fee described in subsection (d) above, (i) accept such Assignment and Acceptance Agreement, (ii) record the information contained therein in the Register and</w:t>
      </w:r>
    </w:p>
    <w:p>
      <w:pPr>
        <w:spacing w:after="0" w:line="4" w:lineRule="exact"/>
        <w:rPr>
          <w:rFonts w:ascii="Arial" w:cs="Arial" w:eastAsia="Arial" w:hAnsi="Arial"/>
          <w:sz w:val="15"/>
          <w:szCs w:val="15"/>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give prompt notice thereof to the Borrower.</w:t>
      </w:r>
    </w:p>
    <w:p>
      <w:pPr>
        <w:spacing w:after="0" w:line="164" w:lineRule="exact"/>
        <w:rPr>
          <w:rFonts w:ascii="Arial" w:cs="Arial" w:eastAsia="Arial" w:hAnsi="Arial"/>
          <w:sz w:val="18"/>
          <w:szCs w:val="18"/>
          <w:color w:val="auto"/>
        </w:rPr>
      </w:pPr>
    </w:p>
    <w:p>
      <w:pPr>
        <w:jc w:val="both"/>
        <w:ind w:right="100" w:firstLine="464"/>
        <w:spacing w:after="0" w:line="256" w:lineRule="auto"/>
        <w:tabs>
          <w:tab w:leader="none" w:pos="70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 addition to the assignments and participations permitted under the foregoing provisions of this Section, any Lender may assign and pledge all or any portion of its Loans and its Notes to any Federal Reserve Bank as collateral security pursuant to Regulation A and any Operating Circular issued by such Federal Reserve Bank, and such Loans and Notes shall be fully transferable as provided therein. No such assignment shall release the assigning Lender from its obligations hereunder.</w:t>
      </w:r>
    </w:p>
    <w:p>
      <w:pPr>
        <w:spacing w:after="0" w:line="143" w:lineRule="exact"/>
        <w:rPr>
          <w:rFonts w:ascii="Arial" w:cs="Arial" w:eastAsia="Arial" w:hAnsi="Arial"/>
          <w:sz w:val="18"/>
          <w:szCs w:val="18"/>
          <w:color w:val="auto"/>
        </w:rPr>
      </w:pPr>
    </w:p>
    <w:p>
      <w:pPr>
        <w:ind w:right="140" w:firstLine="464"/>
        <w:spacing w:after="0" w:line="332" w:lineRule="auto"/>
        <w:tabs>
          <w:tab w:leader="none" w:pos="705"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 Lender may furnish any information concerning the Borrower, any other Loan Party or any of their respective Subsidiaries in the possession of such Lender from time to time to Assignees and Participants (including prospective Assignees and Participants) subject to compliance with Section 12.8.</w:t>
      </w:r>
    </w:p>
    <w:p>
      <w:pPr>
        <w:spacing w:after="0" w:line="85" w:lineRule="exact"/>
        <w:rPr>
          <w:rFonts w:ascii="Arial" w:cs="Arial" w:eastAsia="Arial" w:hAnsi="Arial"/>
          <w:sz w:val="16"/>
          <w:szCs w:val="16"/>
          <w:color w:val="auto"/>
        </w:rPr>
      </w:pPr>
    </w:p>
    <w:p>
      <w:pPr>
        <w:ind w:right="540" w:firstLine="464"/>
        <w:spacing w:after="0" w:line="268" w:lineRule="auto"/>
        <w:tabs>
          <w:tab w:leader="none" w:pos="66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Anything in this Section to the contrary notwithstanding, no Lender may assign or participate any interest in any Loan held by it hereunder to the Borrower, any other Loan Party or any of their respective Affiliates or Subsidiaries.</w:t>
      </w:r>
    </w:p>
    <w:p>
      <w:pPr>
        <w:spacing w:after="0" w:line="131" w:lineRule="exact"/>
        <w:rPr>
          <w:rFonts w:ascii="Arial" w:cs="Arial" w:eastAsia="Arial" w:hAnsi="Arial"/>
          <w:sz w:val="18"/>
          <w:szCs w:val="18"/>
          <w:color w:val="auto"/>
        </w:rPr>
      </w:pPr>
    </w:p>
    <w:p>
      <w:pPr>
        <w:ind w:right="160" w:firstLine="464"/>
        <w:spacing w:after="0" w:line="259" w:lineRule="auto"/>
        <w:tabs>
          <w:tab w:leader="none" w:pos="66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Each Lender agrees that, without the prior written consent of the Borrower and the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94 -</w:t>
      </w:r>
    </w:p>
    <w:p>
      <w:pPr>
        <w:sectPr>
          <w:pgSz w:w="11900" w:h="16838" w:orient="portrait"/>
          <w:cols w:equalWidth="0" w:num="1">
            <w:col w:w="11420"/>
          </w:cols>
          <w:pgMar w:left="240" w:top="280"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12.6. Amendments.</w:t>
      </w:r>
    </w:p>
    <w:p>
      <w:pPr>
        <w:spacing w:after="0" w:line="96" w:lineRule="exact"/>
        <w:rPr>
          <w:sz w:val="20"/>
          <w:szCs w:val="20"/>
          <w:color w:val="auto"/>
        </w:rPr>
      </w:pPr>
    </w:p>
    <w:p>
      <w:pPr>
        <w:ind w:right="220" w:firstLine="464"/>
        <w:spacing w:after="0" w:line="294" w:lineRule="auto"/>
        <w:tabs>
          <w:tab w:leader="none" w:pos="69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any consent or approval required or permitted by this Agreement or any other Loan Document to be given by the Lenders may be given, and any term of this Agreement or of any other Loan Document may be amended, and the performance or observance by the Borrower or any other Loan Party or any Subsidiary of any terms of this Agreement or such other Loan Document or the continuance of any Default or Event of Default may be waived (either generally or in a particular instance and either retroactively or prospectively) with, but only with, the written consent of the Requisite Lenders (and, in the case of an amendment to any Loan Document, the written consent of each Loan Party a party thereto).</w:t>
      </w:r>
    </w:p>
    <w:p>
      <w:pPr>
        <w:spacing w:after="0" w:line="115"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Notwithstanding the foregoing, without the prior written consent of each Lender adversely affected thereby, no amendment, waiver or consent shall do any of the following:</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0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increase the Commitments of the Lenders (except for any increase in the Commitments effectuated pursuant to Section 2.16.) or subject the Lenders to any additional obligations;</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5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reduce the principal of, or interest that has accrued or the rates of interest that will be charged on the outstanding principal amount of, any Loans or other Obligations;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reduce the amount of any Fees payable hereunder or postpone any date fixed for payment thereof;</w:t>
      </w:r>
    </w:p>
    <w:p>
      <w:pPr>
        <w:spacing w:after="0" w:line="90" w:lineRule="exact"/>
        <w:rPr>
          <w:rFonts w:ascii="Arial" w:cs="Arial" w:eastAsia="Arial" w:hAnsi="Arial"/>
          <w:sz w:val="18"/>
          <w:szCs w:val="18"/>
          <w:color w:val="auto"/>
        </w:rPr>
      </w:pPr>
    </w:p>
    <w:p>
      <w:pPr>
        <w:ind w:left="460" w:right="100" w:firstLine="443"/>
        <w:spacing w:after="0" w:line="306" w:lineRule="auto"/>
        <w:tabs>
          <w:tab w:leader="none" w:pos="119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modify the definition of the term “Termination Date” (except as contemplated under Section 2.13.) or otherwise postpone any date fixed for any payment of any principal of, or interest on, any Loans or any other Obligations (including the waiver of any Default or Event of Default as a result of the nonpayment of any such Obligations as and when due), or extend the expiration date of any Letter of Credit beyond the Termination Date;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amend or otherwise modify the provisions of Section 3.2.;</w:t>
      </w:r>
    </w:p>
    <w:p>
      <w:pPr>
        <w:spacing w:after="0" w:line="90" w:lineRule="exact"/>
        <w:rPr>
          <w:rFonts w:ascii="Arial" w:cs="Arial" w:eastAsia="Arial" w:hAnsi="Arial"/>
          <w:sz w:val="18"/>
          <w:szCs w:val="18"/>
          <w:color w:val="auto"/>
        </w:rPr>
      </w:pPr>
    </w:p>
    <w:p>
      <w:pPr>
        <w:ind w:left="460" w:firstLine="443"/>
        <w:spacing w:after="0" w:line="259" w:lineRule="auto"/>
        <w:tabs>
          <w:tab w:leader="none" w:pos="119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modify the definition of the term “Requisite Lenders” or otherwise modify in any other manner the number or percentage of the Lenders required to make any determinations or waive any rights hereunder or to modify any provision hereof, including without limitation, any modification of this Section 12.6. if such modification would have such effect;</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release any Guarantor from its obligations under the Guaranty (except as otherwise permitted under Section 7.12.(c));</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95 -</w:t>
      </w:r>
    </w:p>
    <w:p>
      <w:pPr>
        <w:sectPr>
          <w:pgSz w:w="11900" w:h="16838" w:orient="portrait"/>
          <w:cols w:equalWidth="0" w:num="1">
            <w:col w:w="11420"/>
          </w:cols>
          <w:pgMar w:left="240" w:top="274" w:right="239" w:bottom="1440" w:gutter="0" w:footer="0" w:header="0"/>
        </w:sectPr>
      </w:pPr>
    </w:p>
    <w:bookmarkStart w:id="129" w:name="page130"/>
    <w:bookmarkEnd w:id="129"/>
    <w:p>
      <w:pPr>
        <w:ind w:left="1300" w:hanging="397"/>
        <w:spacing w:after="0"/>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 or otherwise modify the provisions of Section 2.15.(a);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increase the number of Interest Periods permitted with respect to Loans under Section 2.6.</w:t>
      </w:r>
    </w:p>
    <w:p>
      <w:pPr>
        <w:spacing w:after="0" w:line="171" w:lineRule="exact"/>
        <w:rPr>
          <w:rFonts w:ascii="Arial" w:cs="Arial" w:eastAsia="Arial" w:hAnsi="Arial"/>
          <w:sz w:val="18"/>
          <w:szCs w:val="18"/>
          <w:color w:val="auto"/>
        </w:rPr>
      </w:pPr>
    </w:p>
    <w:p>
      <w:pPr>
        <w:jc w:val="both"/>
        <w:ind w:right="120" w:firstLine="464"/>
        <w:spacing w:after="0" w:line="256"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amendment, waiver or consent, unless in writing and signed by the Agent, in such capacity, in addition to the Lenders required hereinabove to take such action, shall affect the rights or duties of the Agent under this Agreement or any of the other Loan Documents. Any amendment, waiver or consent relating to Section 2.3. or the obligations of the Swingline Lender under this Agreement or any other Loan Document shall, in addition to the Lenders required hereinabove to take such action, require the written consent of the Swingline Lender.</w:t>
      </w:r>
    </w:p>
    <w:p>
      <w:pPr>
        <w:spacing w:after="0" w:line="143"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a Default or Event of Default may not be waived for purposes of Section 5.2. without the prior written consent of the Requisite Lenders.</w:t>
      </w:r>
    </w:p>
    <w:p>
      <w:pPr>
        <w:spacing w:after="0" w:line="131" w:lineRule="exact"/>
        <w:rPr>
          <w:rFonts w:ascii="Arial" w:cs="Arial" w:eastAsia="Arial" w:hAnsi="Arial"/>
          <w:sz w:val="18"/>
          <w:szCs w:val="18"/>
          <w:color w:val="auto"/>
        </w:rPr>
      </w:pPr>
    </w:p>
    <w:p>
      <w:pPr>
        <w:ind w:right="40" w:firstLine="464"/>
        <w:spacing w:after="0" w:line="255"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waiver shall extend to or affect any obligation not expressly waived or impair any right consequent thereon, and any amendment, waiver or consent shall be effective only in the specific instance and for the specific purpose set forth therein. Except as otherwise provided in Section 11.5., no course of dealing or delay or omission on the part of the Agent or any Lender in exercising any right shall operate as a waiver thereof or otherwise be prejudicial thereto. Except as otherwise explicitly provided for herein or in any other Loan Document, no notice to or demand upon the Borrower shall entitle the Borrower to any other or further notice or demand in similar or other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12.7. Nonliability of Agent and Lenders.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relationship between the Borrower and the Lenders and the Agent shall be solely that of borrower and lender. Neither the Agent nor any Lender shall have any fiduciary responsibilities to the Borrower or any other Loan Party, and no provision in this Agreement or in any of the other Loan Documents, and no course of dealing between or among any of the parties hereto, shall be deemed to create any fiduciary duty owing by the Agent or any Lender to any Lender, the Borrower, any Subsidiary or any other Loan Party. Neither the Agent nor any Lender undertakes any responsibility to the Borrower to review or inform the Borrower of any matter in connection with any phase of the Borrower’s business or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Confidentiality.</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Agent and each Lender shall use reasonable efforts to assure that information about Borrower, the other Loan Parties and other Subsidiaries, and the Properties thereof and their operations, affairs and financial condition, not generally disclosed to the public, which is furnished to the Agent or any Lender pursuant to the provisions of this Agreement or any other Loan Document, is used only for the purposes of this Agreement and the other Loan Documents and shall not be divulged to any Person other than the Agent, the Lenders, and their respective officers, directors, employees and agents who are actively and directly participating in the evaluation, administration or enforcement of the Loan Documents and other transactions between the Agent or such Lender, as applicable, and the Borrower, but in any event the Agent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400"/>
          </w:cols>
          <w:pgMar w:left="240" w:top="280" w:right="259" w:bottom="1440" w:gutter="0" w:footer="0" w:header="0"/>
        </w:sectPr>
      </w:pPr>
    </w:p>
    <w:bookmarkStart w:id="130" w:name="page131"/>
    <w:bookmarkEnd w:id="130"/>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Lenders may make disclosure: (a) to any of their respective affiliates (provided they shall agree to keep such information confidential in accordance with the terms of this Section 12.8.); (b) as reasonably requested by any bona fide prospective Assignee, Participant or other transferee in connection with the contemplated transfer of any Commitment or participations therein as permitted hereunder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Agent’s or such Lender’s independent auditors and other professional advisors (provided they shall be notified of the confidential nature of the information); (e) after the happening and during the continuance of an Event of Default, to any other Person, as necessary for the exercise by the Agent or the Lenders of rights hereunder or under any of the other Loan Documents;</w:t>
      </w:r>
    </w:p>
    <w:p>
      <w:pPr>
        <w:ind w:right="20" w:firstLine="8"/>
        <w:spacing w:after="0" w:line="288" w:lineRule="auto"/>
        <w:tabs>
          <w:tab w:leader="none" w:pos="21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upon Borrower’s prior consent (which consent shall not be unreasonably withheld), to any contractual counter-parties to any swap or similar hedging agreement or to any rating agency; and (g) to the extent such information (x) becomes publicly available other than as a result of a breach by such party of this Section or (y) becomes available to the Agent or any Lender on a nonconfidential basis from a source other than the Borrower or any Affiliate unless the Agent or such Lender has actual knowledge that such information became nonconfidential as a result of a breach of a confidential arrangement with the Borrower or such Loan Party. Notwithstanding the foregoing, the Agent and each Lender may disclose any such confidential information, without notice to the Borrower or any other Loan Party, to Governmental Authorities in connection with any regulatory examination of the Agent or such Lender or in accordance with the regulatory compliance policy of the Agent or such Lender.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12.9. Indemnification.</w:t>
      </w:r>
    </w:p>
    <w:p>
      <w:pPr>
        <w:spacing w:after="0" w:line="96" w:lineRule="exact"/>
        <w:rPr>
          <w:sz w:val="20"/>
          <w:szCs w:val="20"/>
          <w:color w:val="auto"/>
        </w:rPr>
      </w:pPr>
    </w:p>
    <w:p>
      <w:pPr>
        <w:ind w:firstLine="464"/>
        <w:spacing w:after="0" w:line="282" w:lineRule="auto"/>
        <w:tabs>
          <w:tab w:leader="none" w:pos="695"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The Borrower shall and hereby agrees to indemnify, defend and hold harmless the Agent, each of the Lenders, any affiliate of the Agent or any Lender, and their respective directors, officers, shareholders, agents, employees and counsel (each referred to herein as an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from and against any and all of the following (collectively, the </w:t>
      </w:r>
      <w:r>
        <w:rPr>
          <w:rFonts w:ascii="Arial" w:cs="Arial" w:eastAsia="Arial" w:hAnsi="Arial"/>
          <w:sz w:val="16"/>
          <w:szCs w:val="16"/>
          <w:b w:val="1"/>
          <w:bCs w:val="1"/>
          <w:color w:val="auto"/>
        </w:rPr>
        <w:t>“Indemnified Costs”</w:t>
      </w:r>
      <w:r>
        <w:rPr>
          <w:rFonts w:ascii="Arial" w:cs="Arial" w:eastAsia="Arial" w:hAnsi="Arial"/>
          <w:sz w:val="16"/>
          <w:szCs w:val="16"/>
          <w:color w:val="auto"/>
        </w:rPr>
        <w:t xml:space="preserve">): losses, costs, claims,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lost profits, losses, costs, claims, damages, liabilities, deficiencies, judgments or expenses indemnification in respect of which is specifically covered by Section 3.12. or 4.1. or expressly excluded from the coverage of such Sections 3.12. or 4.1.) incurred by an Indemnified Party in connection with, arising out of, or by reason of, any suit, cause of action, claim, arbitration, investigation or settlement, consent decree or other proceeding (the foregoing referred to herein as an </w:t>
      </w:r>
      <w:r>
        <w:rPr>
          <w:rFonts w:ascii="Arial" w:cs="Arial" w:eastAsia="Arial" w:hAnsi="Arial"/>
          <w:sz w:val="16"/>
          <w:szCs w:val="16"/>
          <w:b w:val="1"/>
          <w:bCs w:val="1"/>
          <w:color w:val="auto"/>
        </w:rPr>
        <w:t>“Indemnity Proceeding”</w:t>
      </w:r>
      <w:r>
        <w:rPr>
          <w:rFonts w:ascii="Arial" w:cs="Arial" w:eastAsia="Arial" w:hAnsi="Arial"/>
          <w:sz w:val="16"/>
          <w:szCs w:val="16"/>
          <w:color w:val="auto"/>
        </w:rPr>
        <w:t>) which is in any way related directly or indirectly to: (i) this Agreement or any other Loan Document or the transactions contemplated thereby; (ii) the making of any Loans or issuance of Letters of Credit hereunder; (iii) any actual or proposed use by the Borrower of the proceeds of the Loans or Letters of Credit; (iv) the Agent’s or any Lender’s entering into this Agreement; (v) the fact that the Agent and the Lenders have established the credit facility evidenced hereby in favor of the Borrower;</w:t>
      </w:r>
    </w:p>
    <w:p>
      <w:pPr>
        <w:spacing w:after="0" w:line="5" w:lineRule="exact"/>
        <w:rPr>
          <w:rFonts w:ascii="Arial" w:cs="Arial" w:eastAsia="Arial" w:hAnsi="Arial"/>
          <w:sz w:val="16"/>
          <w:szCs w:val="16"/>
          <w:color w:val="auto"/>
        </w:rPr>
      </w:pPr>
    </w:p>
    <w:p>
      <w:pPr>
        <w:ind w:right="180" w:firstLine="8"/>
        <w:spacing w:after="0" w:line="261" w:lineRule="auto"/>
        <w:tabs>
          <w:tab w:leader="none" w:pos="29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fact that the Agent and the Lenders are creditors of the Borrower and have or are alleged to have information regarding the financial condition, strategic plans or business operations of</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97 -</w:t>
      </w:r>
    </w:p>
    <w:p>
      <w:pPr>
        <w:sectPr>
          <w:pgSz w:w="11900" w:h="16838" w:orient="portrait"/>
          <w:cols w:equalWidth="0" w:num="1">
            <w:col w:w="11420"/>
          </w:cols>
          <w:pgMar w:left="240" w:top="280" w:right="239" w:bottom="1440" w:gutter="0" w:footer="0" w:header="0"/>
        </w:sectPr>
      </w:pPr>
    </w:p>
    <w:bookmarkStart w:id="131" w:name="page132"/>
    <w:bookmarkEnd w:id="13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and the Subsidiaries; (vii) the fact that the Agent and the Lenders are material creditors of the Borrower and are alleged to influence directly or indirectly the business decisions or affairs of the Borrower and the Subsidiaries or their financial condition; (viii) the exercise of any right or remedy the Agent or the Lenders may have under this Agreement or the other Loan Documents; (ix) any civil penalty or fine assessed by the OFAC against, and all reasonable costs and expenses (including counsel fees and disbursements) incurred in connection with defense thereof by, the Agent or any Lender as a result of conduct of the Borrower, any other Loan Party or any Subsidiary that violates or threatens to violate a sanction enforced by the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subsection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w:t>
      </w:r>
    </w:p>
    <w:p>
      <w:pPr>
        <w:spacing w:after="0" w:line="121" w:lineRule="exact"/>
        <w:rPr>
          <w:sz w:val="20"/>
          <w:szCs w:val="20"/>
          <w:color w:val="auto"/>
        </w:rPr>
      </w:pPr>
    </w:p>
    <w:p>
      <w:pPr>
        <w:ind w:right="80" w:firstLine="464"/>
        <w:spacing w:after="0" w:line="288" w:lineRule="auto"/>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Borrower’s indemnification obligations under this Section 12.9.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notify the Borrower of the commencement of any Indemnity Proceeding; provided, however, that the failure to so notify the Borrower shall not relieve the Borrower from any liability that it may have to such Indemnified Party pursuant to this Section 12.9.</w:t>
      </w:r>
    </w:p>
    <w:p>
      <w:pPr>
        <w:spacing w:after="0" w:line="119" w:lineRule="exact"/>
        <w:rPr>
          <w:rFonts w:ascii="Arial" w:cs="Arial" w:eastAsia="Arial" w:hAnsi="Arial"/>
          <w:sz w:val="16"/>
          <w:szCs w:val="16"/>
          <w:color w:val="auto"/>
        </w:rPr>
      </w:pPr>
    </w:p>
    <w:p>
      <w:pPr>
        <w:ind w:right="640" w:firstLine="464"/>
        <w:spacing w:after="0" w:line="268"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indemnification shall apply to any Indemnity Proceeding arising during the pendency of any bankruptcy proceeding filed by or against the Borrower and/or any Subsidiary.</w:t>
      </w:r>
    </w:p>
    <w:p>
      <w:pPr>
        <w:spacing w:after="0" w:line="131" w:lineRule="exact"/>
        <w:rPr>
          <w:rFonts w:ascii="Arial" w:cs="Arial" w:eastAsia="Arial" w:hAnsi="Arial"/>
          <w:sz w:val="18"/>
          <w:szCs w:val="18"/>
          <w:color w:val="auto"/>
        </w:rPr>
      </w:pPr>
    </w:p>
    <w:p>
      <w:pPr>
        <w:jc w:val="both"/>
        <w:ind w:right="60" w:firstLine="464"/>
        <w:spacing w:after="0" w:line="298" w:lineRule="auto"/>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98 -</w:t>
      </w:r>
    </w:p>
    <w:p>
      <w:pPr>
        <w:sectPr>
          <w:pgSz w:w="11900" w:h="16838" w:orient="portrait"/>
          <w:cols w:equalWidth="0" w:num="1">
            <w:col w:w="11420"/>
          </w:cols>
          <w:pgMar w:left="240" w:top="280" w:right="239" w:bottom="1440" w:gutter="0" w:footer="0" w:header="0"/>
        </w:sectPr>
      </w:pPr>
    </w:p>
    <w:bookmarkStart w:id="132" w:name="page133"/>
    <w:bookmarkEnd w:id="132"/>
    <w:p>
      <w:pPr>
        <w:ind w:right="20" w:firstLine="464"/>
        <w:spacing w:after="0" w:line="286" w:lineRule="auto"/>
        <w:tabs>
          <w:tab w:leader="none" w:pos="695"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27" w:lineRule="exact"/>
        <w:rPr>
          <w:rFonts w:ascii="Arial" w:cs="Arial" w:eastAsia="Arial" w:hAnsi="Arial"/>
          <w:sz w:val="16"/>
          <w:szCs w:val="16"/>
          <w:color w:val="auto"/>
        </w:rPr>
      </w:pPr>
    </w:p>
    <w:p>
      <w:pPr>
        <w:ind w:right="240" w:firstLine="464"/>
        <w:spacing w:after="0" w:line="268" w:lineRule="auto"/>
        <w:tabs>
          <w:tab w:leader="none" w:pos="67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Borrower’s obligations under this Section shall survive any termination of this Agreement and the other Loan Documents and the payment in full in cash of the Obligations, and are in addition to, and not in substitution of, any other of their obligations set forth in this Agreement or any other Loan Document to which it is a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Termination; Survival.</w:t>
      </w:r>
    </w:p>
    <w:p>
      <w:pPr>
        <w:spacing w:after="0" w:line="96"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At such time as (a) all of the Commitments have been terminated, (b) all Letters of Credit have terminated or expired, (c) none of the Lenders nor the Swingline Lender is obligated any longer under this Agreement to make any Loans and (d) all Obligations (other than obligations which survive as provided in the following sentence) have been paid and satisfied in full, this Agreement shall terminate. The indemnities to which the Agent, the Lenders and the Swingline Lender are entitled under the provisions of Sections 3.12., 4.1., 4.4., 11.7., 12.2. and 12.9. and any other provision of this Agreement and the other Loan Documents, and the provisions of Section 12.4., shall continue in full force and effect and shall protect the Agent, the Lenders and the Swingline Lender</w:t>
      </w:r>
    </w:p>
    <w:p>
      <w:pPr>
        <w:spacing w:after="0" w:line="2" w:lineRule="exact"/>
        <w:rPr>
          <w:sz w:val="20"/>
          <w:szCs w:val="20"/>
          <w:color w:val="auto"/>
        </w:rPr>
      </w:pPr>
    </w:p>
    <w:p>
      <w:pPr>
        <w:ind w:firstLine="8"/>
        <w:spacing w:after="0" w:line="255" w:lineRule="auto"/>
        <w:tabs>
          <w:tab w:leader="none" w:pos="21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99 -</w:t>
      </w:r>
    </w:p>
    <w:p>
      <w:pPr>
        <w:sectPr>
          <w:pgSz w:w="11900" w:h="16838" w:orient="portrait"/>
          <w:cols w:equalWidth="0" w:num="1">
            <w:col w:w="11360"/>
          </w:cols>
          <w:pgMar w:left="240" w:top="280" w:right="2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12.11. Severability of Provisions.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12.12. GOVERNING LAW.</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AGREEMENT SHALL BE GOVERNED BY, AND CONSTRUED TN ACCORDANCE WITH, THE LAWS OF THE STATE OF NEW YORK APPLICABLE TO CONTRACTS EXECUTED, AND TO BE FULLY PERFORMED, IN SUCH STATE.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12.13. Patriot Act.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Lenders and the Agent each hereby notifies the Borrower that pursuant to the requirements of the USA Patriot Act (Title III of Pub. L. 107-56 (signed into law October 26, 2001)), it is required to obtain, verify and record information that identifies the Borrower and the other Loan Parties, which information includes the name and address of the Borrower and the other Loan Parties and other information that will allow such Lender or the Agent, as applicable, to identify the Borrower and the other Loan Parties in accordance with such 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12.14. Counterparts.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This Agreement and any amendments, waivers, consents or supplements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12.15. Obligations with Respect to Loan Parties.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12.16. Limitation of Liability.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Neither the Agent nor any Lender, nor any affiliate, officer, director, employee, attorney, or agent of the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or any of the other Loan Documents, or any of the transactions contemplated by this Agreement or any of the other Loan Documents. The Borrower hereby waives, releases, and agrees not to sue the Agent or any Lender or any of the Agent’s or any Lender’s affiliates, officers, directors, employees, attorneys, or agents for punitive damages in respect of any claim in connection with, arising out of, or in any way related to, this Agreement or any of the other Loan Documents, or any of the transactions contemplated by this Agreement or financed hereby.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- 100 -</w:t>
      </w:r>
    </w:p>
    <w:p>
      <w:pPr>
        <w:sectPr>
          <w:pgSz w:w="11900" w:h="16838" w:orient="portrait"/>
          <w:cols w:equalWidth="0" w:num="1">
            <w:col w:w="11360"/>
          </w:cols>
          <w:pgMar w:left="240" w:top="274" w:right="2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12.17. Entire Agreement.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Agreement, the Notes, and the other Loan Documents referred to herein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12.18. Construction.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Agent, the Borrower and each Lender.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12.19. Limitation of Liability of Trustees, Etc.</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ANY OTHER PROVISION OF THIS AGREEMENT AND THE OTHER LOAN DOCUMENTS, THE AGENT AND THE LENDERS SHALL LOOK SOLELY TO THE PROPERTY OF THE BORROWER AND THE OTHER LOAN PARTIES FOR THE ENFORCEMENT OF ANY CLAIM AGAINST THE BORROWER AND SUCH LOAN PARTY UNDER OR TN RESPECT OF ANY OF THE LOAN DOCUMENTS AND ACCORDINGLY NEITHER THE TRUSTEES, OFFICERS, EMPLOYEES, AGENTS NOR SHAREHOLDERS OF THE BORROWER SHALL HAVE ANY PERSONAL LIABILITY FOR OBLIGATIONS ENTERED INTO BY OR ON BEHALF OF THE BORROWER OR ANY OTHER LOAN PARTY.</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- 101 -</w:t>
      </w:r>
    </w:p>
    <w:p>
      <w:pPr>
        <w:sectPr>
          <w:pgSz w:w="11900" w:h="16838" w:orient="portrait"/>
          <w:cols w:equalWidth="0" w:num="1">
            <w:col w:w="11240"/>
          </w:cols>
          <w:pgMar w:left="240" w:top="274" w:right="419" w:bottom="1440" w:gutter="0" w:footer="0" w:header="0"/>
        </w:sectPr>
      </w:pPr>
    </w:p>
    <w:bookmarkStart w:id="135" w:name="page136"/>
    <w:bookmarkEnd w:id="13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Credit Agreement to be executed by their authorized officers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General Counsel and Secretary</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1260"/>
          </w:cols>
          <w:pgMar w:left="240" w:top="280" w:right="399" w:bottom="1440" w:gutter="0" w:footer="0" w:header="0"/>
        </w:sectPr>
      </w:pPr>
    </w:p>
    <w:bookmarkStart w:id="136" w:name="page137"/>
    <w:bookmarkEnd w:id="136"/>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WACHOVIA BANK, NATIONAL</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ASSOCIATION, as Agent, as a Lender and as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Swingline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Amit Khimji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Amit Khimji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$30,000,000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Wachovia Bank, National Association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301 S. College Street, NC0172</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Attn: Rex E. Rudy</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(704) 383-6506</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(704) 383-6205</w:t>
      </w:r>
    </w:p>
    <w:p>
      <w:pPr>
        <w:spacing w:after="0" w:line="1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120"/>
          </w:cols>
          <w:pgMar w:left="1440" w:top="274" w:right="1339" w:bottom="1440" w:gutter="0" w:footer="0" w:header="0"/>
        </w:sectPr>
      </w:pPr>
    </w:p>
    <w:bookmarkStart w:id="137" w:name="page138"/>
    <w:bookmarkEnd w:id="137"/>
    <w:p>
      <w:pPr>
        <w:jc w:val="center"/>
        <w:ind w:right="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EUROHYPO AG, NEW YORK BRANCH</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Lippmann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Lippmann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Anthony L. Merolla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Anthony L. Merolla</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$30,000,000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Eurohypo AG, New York Branch</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1114 Avenue of the Americas, 29th Floor New York, NY</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10036</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John Lippmann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(212) 479-5827</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(212) 479-5800</w:t>
      </w:r>
    </w:p>
    <w:p>
      <w:pPr>
        <w:spacing w:after="0" w:line="17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880"/>
          </w:cols>
          <w:pgMar w:left="1440" w:top="274" w:right="57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PNC BANK, NATIONAL ASSOCIATION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Timothy P.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P. Gleeson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$30,000,000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Lending Office (all Types of Loans):</w:t>
      </w:r>
    </w:p>
    <w:p>
      <w:pPr>
        <w:spacing w:after="0" w:line="4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PNC Bank, National Association</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PNC Real Estate Finance</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808 17th Street NW</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Attention: Timothy Gleeson</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Telephone: (412) 835-4349</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Telecopy: (412) 835-5982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39" w:name="page140"/>
    <w:bookmarkEnd w:id="13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SUNTRUST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Gregory T. Horstman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T. Horstman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$30,000,000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8330 Boone Boulevard, 8th Floor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Vienna, VA 22182</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Attention: Gregory T. Horstman</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(703)442-1561</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(703) 442-1570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40" w:name="page141"/>
    <w:bookmarkEnd w:id="140"/>
    <w:p>
      <w:pPr>
        <w:ind w:left="2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July 28, 2006 with Federal Realty Investment Trust]</w:t>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 Jeffrey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 Jeffrey Jacobson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$30,000,000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1650 Tysons Boulevard, Suite 1580</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Attention: A. Jeffrey Jacobson and Joann St. Peter</w:t>
      </w:r>
    </w:p>
    <w:p>
      <w:pPr>
        <w:spacing w:after="0" w:line="44"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Telephone: (703) 442-5482 and (703) 442-5496</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Telecopy: (703) 442-5495</w:t>
      </w:r>
    </w:p>
    <w:p>
      <w:pPr>
        <w:spacing w:after="0" w:line="17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440"/>
          </w:cols>
          <w:pgMar w:left="1440" w:top="274" w:right="10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CHEVY CHASE BANK, F.S.B.</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Sadhvi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Sadhvi Subramanian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$20,000,000</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Lending Office (all Types of Loans):</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Chevy Chase Bank, F.S.B.</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7501 Wisconsin Avenue, 12th Floor</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Bethesda, MD 20814-6519</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Attention: Frederick H. Denecke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(240) 497-7735</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(240) 497-7714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CITICORP NORTH AMERICA,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Jeanne M.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Jeanne M. Craig</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$20,000,000</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Lending Office (all Types of Loans):</w:t>
      </w:r>
    </w:p>
    <w:p>
      <w:pPr>
        <w:spacing w:after="0" w:line="5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Citicorp North America, Inc.</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390 Greenwich Street, 1st Floor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Jeanne Craig</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(212) 723-9229</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(646) 291-1996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43" w:name="page144"/>
    <w:bookmarkEnd w:id="14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Kimberly 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Kimberly L. Turner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$20,000,000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277 Park Avenue, 3rd Floor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New York, NY 10172</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Kimberly L. Turner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(212) 622-8177</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(646) 534-0574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SOVEREIGN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Erin T. Aslakson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Erin T. Aslakson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Assistant Vice President</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$20,000,000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Sovereign Bank</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75 State Street, MA1 SST 04-11</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Attention: Erin Aslakson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Telephone: (617) 757-5564</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Telecopy: (617) 757-5653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W. Edwards</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$15,000,000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Mail Code IL1-231-10-35</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231 S. LaSalle Street</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Chicago, IL 60697</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Attention Cheryl Sneor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Telephone: (312) 828-5215</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Telecopy: (312) 974-4970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46" w:name="page147"/>
    <w:bookmarkEnd w:id="146"/>
    <w:p>
      <w:pPr>
        <w:jc w:val="center"/>
        <w:ind w:righ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ind w:right="960"/>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CHANG HWA COMMERCIAL BANK, LTD., NEW YORK</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Jim C.Y.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Jim C.Y. Chen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VP &amp; General Manager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$ 15,000,000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Chang Hwa Commercial Bank, Ltd., New York Branch</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685 Third Avenue, 29th Floor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Attention: Danielle Tsai</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Telephone: (212) 651-9770 ext.29</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Telecopy: (212) 651-9785</w:t>
      </w:r>
    </w:p>
    <w:p>
      <w:pPr>
        <w:spacing w:after="0" w:line="17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980"/>
          </w:cols>
          <w:pgMar w:left="1440" w:top="274" w:right="47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COMERICA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Adam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Adam Sheets</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Account Officer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$15,000,000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Comerica Bank</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500 Woodward Avenue</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Detroit, MI 48226</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Attention: Adam Sheets</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Telephone: (313) 222-4718</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Telecopy: (313) 222-9295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48" w:name="page149"/>
    <w:bookmarkEnd w:id="14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ROYAL BANK OF CANADA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Gordon C. MacArthur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Gordon C. MacArthur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Commitment Amount: $15,000,000</w:t>
      </w:r>
    </w:p>
    <w:p>
      <w:pPr>
        <w:spacing w:after="0" w:line="242"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Royal Bank of Canada</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One Liberty Plaza, 6th Floor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165 Broadway</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New York, NY 10006-1404</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Attention: Gordon MacArthur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Telephone: (212) 428-2324</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Telecopy: (212) 428-6459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49" w:name="page150"/>
    <w:bookmarkEnd w:id="149"/>
    <w:p>
      <w:pPr>
        <w:jc w:val="center"/>
        <w:ind w:right="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July 28, 2006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FIRST COMMERCIAL BANK, NEW YORK AGENCY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Bruce M. J. 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Bruce M. J. Ju</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VP &amp; General Manager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Commitment Amount: $10,000,000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Lending Office (all Types of Loans):</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First Commercial Bank, New York Agency</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750 3rd Avenue, 34th Floor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Attention: Bruce M. J. Ju</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Telephone: (212) 880-9384</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Telecopy: (212) 599-6133</w:t>
      </w:r>
    </w:p>
    <w:p>
      <w:pPr>
        <w:sectPr>
          <w:pgSz w:w="11900" w:h="16838" w:orient="portrait"/>
          <w:cols w:equalWidth="0" w:num="1">
            <w:col w:w="9720"/>
          </w:cols>
          <w:pgMar w:left="1440" w:top="274" w:right="739" w:bottom="1440" w:gutter="0" w:footer="0" w:header="0"/>
        </w:sectPr>
      </w:pPr>
    </w:p>
    <w:bookmarkStart w:id="150" w:name="page151"/>
    <w:bookmarkEnd w:id="150"/>
    <w:p>
      <w:pPr>
        <w:jc w:val="center"/>
        <w:ind w:right="-119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1.1(A)</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u w:val="single" w:color="auto"/>
          <w:color w:val="auto"/>
        </w:rPr>
        <w:t>LIST OF LOAN PARTIES</w:t>
      </w:r>
    </w:p>
    <w:p>
      <w:pPr>
        <w:spacing w:after="0" w:line="241" w:lineRule="exact"/>
        <w:rPr>
          <w:sz w:val="20"/>
          <w:szCs w:val="20"/>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FR ASSOCIATES LIMITED PARTNERSHIP</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BERMAN ENTERPRISES II LIMITED PARTNERSHIP</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GOVERNOR PLAZA ASSOCIATES</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ANDORRA ASSOCIATES</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SHOPPING CENTER ASSOCIATES</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FR PIKE 7 LIMITED PARTNERSHIP</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STREET RETAIL, INC.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FRIT SAN JOSE TOWN AND COUNTRY VILLAGE, LLC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SAN JOSE RESIDENTIAL, INC.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STREET RETAIL FOREST HILLS I, LLC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STREET RETAIL FOREST HILLS II, LLC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SRI OLD TOWN, LLC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FEDERAL REALTY PARTNERS, INC.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FEDERAL REALTY PARTNERS L.P.</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FRLP, INC.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STREET RETAIL WEST GP, INC.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STREET RETAIL WEST I, L.P.</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STREET RETAIL WEST II, L.P.</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STREET RETAIL WEST 3, L.P.</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STREET RETAIL WEST 6, L.P.</w:t>
      </w:r>
    </w:p>
    <w:p>
      <w:pPr>
        <w:sectPr>
          <w:pgSz w:w="11900" w:h="16838" w:orient="portrait"/>
          <w:cols w:equalWidth="0" w:num="1">
            <w:col w:w="10211"/>
          </w:cols>
          <w:pgMar w:left="248" w:top="274" w:right="1440" w:bottom="1440" w:gutter="0" w:footer="0" w:header="0"/>
        </w:sectPr>
      </w:pPr>
    </w:p>
    <w:bookmarkStart w:id="151" w:name="page152"/>
    <w:bookmarkEnd w:id="151"/>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STREET RETAIL WEST 10, L.P.</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FR ASSEMBLY SQUARE, LLC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FR STURTEVANT STREET, INC.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FR STURTEVANT STREET, LLC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FR WESTGATE MALL, INC.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FR WESTGATE MALL, LLC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FRIT SANTANA ROW TRS, INC.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FRIT LEASING &amp; DEVELOPMENT SERVICES, INC.</w:t>
      </w:r>
    </w:p>
    <w:p>
      <w:pPr>
        <w:spacing w:after="0" w:line="140" w:lineRule="exact"/>
        <w:rPr>
          <w:rFonts w:ascii="Arial" w:cs="Arial" w:eastAsia="Arial" w:hAnsi="Arial"/>
          <w:sz w:val="16"/>
          <w:szCs w:val="16"/>
          <w:color w:val="auto"/>
        </w:rPr>
      </w:pPr>
    </w:p>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STREET RETAIL SAN ANTONIO, LP</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SRI SAN ANTONIO, INC.</w:t>
      </w:r>
    </w:p>
    <w:p>
      <w:pPr>
        <w:spacing w:after="0" w:line="117" w:lineRule="exact"/>
        <w:rPr>
          <w:rFonts w:ascii="Arial" w:cs="Arial" w:eastAsia="Arial" w:hAnsi="Arial"/>
          <w:sz w:val="18"/>
          <w:szCs w:val="18"/>
          <w:color w:val="auto"/>
        </w:rPr>
      </w:pPr>
    </w:p>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SRI TEXAS, INC.</w:t>
      </w:r>
    </w:p>
    <w:p>
      <w:pPr>
        <w:sectPr>
          <w:pgSz w:w="11900" w:h="16838" w:orient="portrait"/>
          <w:cols w:equalWidth="0" w:num="1">
            <w:col w:w="10211"/>
          </w:cols>
          <w:pgMar w:left="248" w:top="279" w:right="1440"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w:t>
      </w:r>
    </w:p>
    <w:p>
      <w:pPr>
        <w:spacing w:after="0" w:line="213"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ENTITY NAME/Jurisdiction of</w:t>
      </w:r>
    </w:p>
    <w:p>
      <w:pPr>
        <w:spacing w:after="0" w:line="1"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6897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ind w:right="600"/>
        <w:spacing w:after="0" w:line="332" w:lineRule="auto"/>
        <w:rPr>
          <w:sz w:val="20"/>
          <w:szCs w:val="20"/>
          <w:color w:val="auto"/>
        </w:rPr>
      </w:pPr>
      <w:r>
        <w:rPr>
          <w:rFonts w:ascii="Arial" w:cs="Arial" w:eastAsia="Arial" w:hAnsi="Arial"/>
          <w:sz w:val="16"/>
          <w:szCs w:val="16"/>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FR ASSOCIATES LIMITED PARTNERSHIP, a Maryland limited partnership</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BERMAN ENTERPRISES II LIMITED PARTNERSHIP, a Maryland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GOVERNOR PLAZA ASSOCIATES, a Pennsylvania general partnership</w:t>
      </w:r>
    </w:p>
    <w:p>
      <w:pPr>
        <w:spacing w:after="0" w:line="36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ANDORRA ASSOCIATES, a Pennsylvania limited partnership</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Arial" w:cs="Arial" w:eastAsia="Arial" w:hAnsi="Arial"/>
          <w:sz w:val="18"/>
          <w:szCs w:val="18"/>
          <w:b w:val="1"/>
          <w:bCs w:val="1"/>
          <w:u w:val="single" w:color="auto"/>
          <w:color w:val="auto"/>
        </w:rPr>
        <w:t>SCHEDULE 6.1(B)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-215900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1" w:lineRule="exact"/>
        <w:rPr>
          <w:sz w:val="20"/>
          <w:szCs w:val="20"/>
          <w:color w:val="auto"/>
        </w:rPr>
      </w:pPr>
    </w:p>
    <w:p>
      <w:pPr>
        <w:jc w:val="center"/>
        <w:ind w:right="2860"/>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Nature of Equity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Material and/or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75"/>
        </w:trPr>
        <w:tc>
          <w:tcPr>
            <w:tcW w:w="15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Equity Holders</w:t>
            </w:r>
          </w:p>
        </w:tc>
        <w:tc>
          <w:tcPr>
            <w:tcW w:w="200" w:type="dxa"/>
            <w:vAlign w:val="bottom"/>
          </w:tcPr>
          <w:p>
            <w:pPr>
              <w:spacing w:after="0"/>
              <w:rPr>
                <w:sz w:val="15"/>
                <w:szCs w:val="15"/>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 Ownership</w:t>
            </w:r>
          </w:p>
        </w:tc>
        <w:tc>
          <w:tcPr>
            <w:tcW w:w="2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Excluded Subsidiary</w:t>
            </w:r>
          </w:p>
        </w:tc>
        <w:tc>
          <w:tcPr>
            <w:tcW w:w="200" w:type="dxa"/>
            <w:vAlign w:val="bottom"/>
          </w:tcPr>
          <w:p>
            <w:pPr>
              <w:spacing w:after="0"/>
              <w:rPr>
                <w:sz w:val="15"/>
                <w:szCs w:val="15"/>
                <w:color w:val="auto"/>
              </w:rPr>
            </w:pPr>
          </w:p>
        </w:tc>
        <w:tc>
          <w:tcPr>
            <w:tcW w:w="2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Liens. Options, Registration Rights, etc.</w:t>
            </w:r>
          </w:p>
        </w:tc>
      </w:tr>
      <w:tr>
        <w:trPr>
          <w:trHeight w:val="201"/>
        </w:trPr>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Borrower</w:t>
            </w:r>
          </w:p>
        </w:tc>
        <w:tc>
          <w:tcPr>
            <w:tcW w:w="200" w:type="dxa"/>
            <w:vAlign w:val="bottom"/>
          </w:tcPr>
          <w:p>
            <w:pPr>
              <w:spacing w:after="0"/>
              <w:rPr>
                <w:sz w:val="17"/>
                <w:szCs w:val="17"/>
                <w:color w:val="auto"/>
              </w:rPr>
            </w:pPr>
          </w:p>
        </w:tc>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w w:val="93"/>
              </w:rPr>
              <w:t>•  Permitted Liens on properties</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w w:val="95"/>
              </w:rPr>
              <w:t>identified in Schedule 6.1(f);</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  Stock options in favor of</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Trustees, employees and</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certain vendors;</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w w:val="97"/>
              </w:rPr>
              <w:t>Dividend reinvestment plan;</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Active shelf registration</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statement;</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w w:val="96"/>
              </w:rPr>
              <w:t>•  See Federal Realty Partners</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w w:val="93"/>
              </w:rPr>
              <w:t>L.P., FR Leesburg Plaza, LP</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and FR Pike 7 Limited</w:t>
            </w: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Partnership for registration</w:t>
            </w:r>
          </w:p>
        </w:tc>
      </w:tr>
      <w:tr>
        <w:trPr>
          <w:trHeight w:val="222"/>
        </w:trPr>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rights agreements</w:t>
            </w:r>
          </w:p>
        </w:tc>
      </w:tr>
      <w:tr>
        <w:trPr>
          <w:trHeight w:val="331"/>
        </w:trPr>
        <w:tc>
          <w:tcPr>
            <w:tcW w:w="1560" w:type="dxa"/>
            <w:vAlign w:val="bottom"/>
          </w:tcPr>
          <w:p>
            <w:pPr>
              <w:spacing w:after="0"/>
              <w:rPr>
                <w:sz w:val="20"/>
                <w:szCs w:val="20"/>
                <w:color w:val="auto"/>
              </w:rPr>
            </w:pPr>
            <w:r>
              <w:rPr>
                <w:rFonts w:ascii="Arial" w:cs="Arial" w:eastAsia="Arial" w:hAnsi="Arial"/>
                <w:sz w:val="18"/>
                <w:szCs w:val="18"/>
                <w:color w:val="auto"/>
              </w:rPr>
              <w:t>Federal Realty</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General partner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92"/>
              </w:rPr>
              <w:t>1%</w:t>
            </w: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Guarantor</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None</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91"/>
        </w:trPr>
        <w:tc>
          <w:tcPr>
            <w:tcW w:w="1560" w:type="dxa"/>
            <w:vAlign w:val="bottom"/>
          </w:tcPr>
          <w:p>
            <w:pPr>
              <w:spacing w:after="0"/>
              <w:rPr>
                <w:sz w:val="20"/>
                <w:szCs w:val="20"/>
                <w:color w:val="auto"/>
              </w:rPr>
            </w:pPr>
            <w:r>
              <w:rPr>
                <w:rFonts w:ascii="Arial" w:cs="Arial" w:eastAsia="Arial" w:hAnsi="Arial"/>
                <w:sz w:val="18"/>
                <w:szCs w:val="18"/>
                <w:color w:val="auto"/>
              </w:rPr>
              <w:t>Federal Realty</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Limited partner</w:t>
            </w:r>
          </w:p>
        </w:tc>
        <w:tc>
          <w:tcPr>
            <w:tcW w:w="10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97.97%</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11"/>
        </w:trPr>
        <w:tc>
          <w:tcPr>
            <w:tcW w:w="1560" w:type="dxa"/>
            <w:vAlign w:val="bottom"/>
          </w:tcPr>
          <w:p>
            <w:pPr>
              <w:spacing w:after="0"/>
              <w:rPr>
                <w:sz w:val="20"/>
                <w:szCs w:val="20"/>
                <w:color w:val="auto"/>
              </w:rPr>
            </w:pPr>
            <w:r>
              <w:rPr>
                <w:rFonts w:ascii="Arial" w:cs="Arial" w:eastAsia="Arial" w:hAnsi="Arial"/>
                <w:sz w:val="18"/>
                <w:szCs w:val="18"/>
                <w:color w:val="auto"/>
              </w:rPr>
              <w:t>Street Retail, Inc.</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Limited partner</w:t>
            </w:r>
          </w:p>
        </w:tc>
        <w:tc>
          <w:tcPr>
            <w:tcW w:w="100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1.03%</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31"/>
        </w:trPr>
        <w:tc>
          <w:tcPr>
            <w:tcW w:w="1560" w:type="dxa"/>
            <w:vAlign w:val="bottom"/>
          </w:tcPr>
          <w:p>
            <w:pPr>
              <w:spacing w:after="0"/>
              <w:rPr>
                <w:sz w:val="20"/>
                <w:szCs w:val="20"/>
                <w:color w:val="auto"/>
              </w:rPr>
            </w:pPr>
            <w:r>
              <w:rPr>
                <w:rFonts w:ascii="Arial" w:cs="Arial" w:eastAsia="Arial" w:hAnsi="Arial"/>
                <w:sz w:val="18"/>
                <w:szCs w:val="18"/>
                <w:color w:val="auto"/>
              </w:rPr>
              <w:t>Federal Realty</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General partner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92"/>
              </w:rPr>
              <w:t>2%</w:t>
            </w: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Guarantor</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None</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Material Subsidiary</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91"/>
        </w:trPr>
        <w:tc>
          <w:tcPr>
            <w:tcW w:w="1560" w:type="dxa"/>
            <w:vAlign w:val="bottom"/>
          </w:tcPr>
          <w:p>
            <w:pPr>
              <w:spacing w:after="0"/>
              <w:rPr>
                <w:sz w:val="20"/>
                <w:szCs w:val="20"/>
                <w:color w:val="auto"/>
              </w:rPr>
            </w:pPr>
            <w:r>
              <w:rPr>
                <w:rFonts w:ascii="Arial" w:cs="Arial" w:eastAsia="Arial" w:hAnsi="Arial"/>
                <w:sz w:val="18"/>
                <w:szCs w:val="18"/>
                <w:color w:val="auto"/>
              </w:rPr>
              <w:t>Federal Realty</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Limited partner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97%</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FR Associates</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Limited partner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w w:val="99"/>
              </w:rPr>
              <w:t>Limited Partnership</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31"/>
        </w:trPr>
        <w:tc>
          <w:tcPr>
            <w:tcW w:w="1560" w:type="dxa"/>
            <w:vAlign w:val="bottom"/>
          </w:tcPr>
          <w:p>
            <w:pPr>
              <w:spacing w:after="0"/>
              <w:rPr>
                <w:sz w:val="20"/>
                <w:szCs w:val="20"/>
                <w:color w:val="auto"/>
              </w:rPr>
            </w:pPr>
            <w:r>
              <w:rPr>
                <w:rFonts w:ascii="Arial" w:cs="Arial" w:eastAsia="Arial" w:hAnsi="Arial"/>
                <w:sz w:val="18"/>
                <w:szCs w:val="18"/>
                <w:color w:val="auto"/>
              </w:rPr>
              <w:t>Federal Realty</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General partner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99%</w:t>
            </w: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Guarantor</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None</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91"/>
        </w:trPr>
        <w:tc>
          <w:tcPr>
            <w:tcW w:w="1560" w:type="dxa"/>
            <w:vAlign w:val="bottom"/>
          </w:tcPr>
          <w:p>
            <w:pPr>
              <w:spacing w:after="0"/>
              <w:rPr>
                <w:sz w:val="20"/>
                <w:szCs w:val="20"/>
                <w:color w:val="auto"/>
              </w:rPr>
            </w:pPr>
            <w:r>
              <w:rPr>
                <w:rFonts w:ascii="Arial" w:cs="Arial" w:eastAsia="Arial" w:hAnsi="Arial"/>
                <w:sz w:val="18"/>
                <w:szCs w:val="18"/>
                <w:color w:val="auto"/>
              </w:rPr>
              <w:t>FR Associates</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General partner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w w:val="99"/>
              </w:rPr>
              <w:t>Limited Partnership</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31"/>
        </w:trPr>
        <w:tc>
          <w:tcPr>
            <w:tcW w:w="1560" w:type="dxa"/>
            <w:vAlign w:val="bottom"/>
          </w:tcPr>
          <w:p>
            <w:pPr>
              <w:spacing w:after="0"/>
              <w:rPr>
                <w:sz w:val="20"/>
                <w:szCs w:val="20"/>
                <w:color w:val="auto"/>
              </w:rPr>
            </w:pPr>
            <w:r>
              <w:rPr>
                <w:rFonts w:ascii="Arial" w:cs="Arial" w:eastAsia="Arial" w:hAnsi="Arial"/>
                <w:sz w:val="18"/>
                <w:szCs w:val="18"/>
                <w:color w:val="auto"/>
              </w:rPr>
              <w:t>Federal Realty</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General partner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92"/>
              </w:rPr>
              <w:t>2%</w:t>
            </w: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Guarantor</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None</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91"/>
        </w:trPr>
        <w:tc>
          <w:tcPr>
            <w:tcW w:w="1560" w:type="dxa"/>
            <w:vAlign w:val="bottom"/>
          </w:tcPr>
          <w:p>
            <w:pPr>
              <w:spacing w:after="0"/>
              <w:rPr>
                <w:sz w:val="20"/>
                <w:szCs w:val="20"/>
                <w:color w:val="auto"/>
              </w:rPr>
            </w:pPr>
            <w:r>
              <w:rPr>
                <w:rFonts w:ascii="Arial" w:cs="Arial" w:eastAsia="Arial" w:hAnsi="Arial"/>
                <w:sz w:val="18"/>
                <w:szCs w:val="18"/>
                <w:color w:val="auto"/>
              </w:rPr>
              <w:t>Federal Realty</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Limited partner</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97%</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pacing w:after="0" w:line="156"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Page 1</w:t>
      </w:r>
    </w:p>
    <w:p>
      <w:pPr>
        <w:sectPr>
          <w:pgSz w:w="11900" w:h="16838" w:orient="portrait"/>
          <w:cols w:equalWidth="0" w:num="2">
            <w:col w:w="2320" w:space="540"/>
            <w:col w:w="8560"/>
          </w:cols>
          <w:pgMar w:left="240" w:top="274"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ENTITY NAME/Jurisdiction of</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Arial" w:cs="Arial" w:eastAsia="Arial" w:hAnsi="Arial"/>
                <w:sz w:val="14"/>
                <w:szCs w:val="14"/>
                <w:b w:val="1"/>
                <w:bCs w:val="1"/>
                <w:color w:val="auto"/>
              </w:rPr>
              <w:t>Nature of Equity</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Material and/or</w:t>
            </w: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Formation</w:t>
            </w:r>
          </w:p>
        </w:tc>
        <w:tc>
          <w:tcPr>
            <w:tcW w:w="200" w:type="dxa"/>
            <w:vAlign w:val="bottom"/>
          </w:tcPr>
          <w:p>
            <w:pPr>
              <w:spacing w:after="0"/>
              <w:rPr>
                <w:sz w:val="15"/>
                <w:szCs w:val="15"/>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Equity Holders</w:t>
            </w:r>
          </w:p>
        </w:tc>
        <w:tc>
          <w:tcPr>
            <w:tcW w:w="220" w:type="dxa"/>
            <w:vAlign w:val="bottom"/>
          </w:tcPr>
          <w:p>
            <w:pPr>
              <w:spacing w:after="0"/>
              <w:rPr>
                <w:sz w:val="15"/>
                <w:szCs w:val="15"/>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5"/>
                <w:szCs w:val="15"/>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Ownership</w:t>
            </w:r>
          </w:p>
        </w:tc>
        <w:tc>
          <w:tcPr>
            <w:tcW w:w="2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Excluded Subsidiary</w:t>
            </w:r>
          </w:p>
        </w:tc>
        <w:tc>
          <w:tcPr>
            <w:tcW w:w="200" w:type="dxa"/>
            <w:vAlign w:val="bottom"/>
          </w:tcPr>
          <w:p>
            <w:pPr>
              <w:spacing w:after="0"/>
              <w:rPr>
                <w:sz w:val="15"/>
                <w:szCs w:val="15"/>
                <w:color w:val="auto"/>
              </w:rPr>
            </w:pPr>
          </w:p>
        </w:tc>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7"/>
              </w:rPr>
              <w:t>Liens, Options, Registration Rights, etc.</w:t>
            </w:r>
          </w:p>
        </w:tc>
        <w:tc>
          <w:tcPr>
            <w:tcW w:w="0" w:type="dxa"/>
            <w:vAlign w:val="bottom"/>
          </w:tcPr>
          <w:p>
            <w:pPr>
              <w:spacing w:after="0"/>
              <w:rPr>
                <w:sz w:val="1"/>
                <w:szCs w:val="1"/>
                <w:color w:val="auto"/>
              </w:rPr>
            </w:pPr>
          </w:p>
        </w:tc>
      </w:tr>
      <w:tr>
        <w:trPr>
          <w:trHeight w:val="201"/>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line="201" w:lineRule="exact"/>
              <w:rPr>
                <w:sz w:val="20"/>
                <w:szCs w:val="20"/>
                <w:color w:val="auto"/>
              </w:rPr>
            </w:pPr>
            <w:r>
              <w:rPr>
                <w:rFonts w:ascii="Arial" w:cs="Arial" w:eastAsia="Arial" w:hAnsi="Arial"/>
                <w:sz w:val="18"/>
                <w:szCs w:val="18"/>
                <w:color w:val="auto"/>
              </w:rPr>
              <w:t>FR Associates</w:t>
            </w:r>
          </w:p>
        </w:tc>
        <w:tc>
          <w:tcPr>
            <w:tcW w:w="2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Limited partner</w:t>
            </w:r>
          </w:p>
        </w:tc>
        <w:tc>
          <w:tcPr>
            <w:tcW w:w="20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4"/>
              </w:rPr>
              <w:t>1%</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Limited Partnership</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0"/>
                <w:szCs w:val="20"/>
                <w:color w:val="auto"/>
              </w:rPr>
            </w:pPr>
            <w:r>
              <w:rPr>
                <w:rFonts w:ascii="Arial" w:cs="Arial" w:eastAsia="Arial" w:hAnsi="Arial"/>
                <w:sz w:val="18"/>
                <w:szCs w:val="18"/>
                <w:color w:val="auto"/>
              </w:rPr>
              <w:t>SHOPPING CENTER</w:t>
            </w:r>
          </w:p>
        </w:tc>
        <w:tc>
          <w:tcPr>
            <w:tcW w:w="20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Federal Realty</w:t>
            </w:r>
          </w:p>
        </w:tc>
        <w:tc>
          <w:tcPr>
            <w:tcW w:w="2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General partner</w:t>
            </w:r>
          </w:p>
        </w:tc>
        <w:tc>
          <w:tcPr>
            <w:tcW w:w="102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1%</w:t>
            </w:r>
          </w:p>
        </w:tc>
        <w:tc>
          <w:tcPr>
            <w:tcW w:w="2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20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ASSOCIATES, a Pennsylvania</w:t>
            </w:r>
          </w:p>
        </w:tc>
        <w:tc>
          <w:tcPr>
            <w:tcW w:w="2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Investment Trust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limited partnership</w:t>
            </w:r>
          </w:p>
        </w:tc>
        <w:tc>
          <w:tcPr>
            <w:tcW w:w="200" w:type="dxa"/>
            <w:vAlign w:val="bottom"/>
          </w:tcPr>
          <w:p>
            <w:pPr>
              <w:spacing w:after="0"/>
              <w:rPr>
                <w:sz w:val="19"/>
                <w:szCs w:val="19"/>
                <w:color w:val="auto"/>
              </w:rPr>
            </w:pPr>
          </w:p>
        </w:tc>
        <w:tc>
          <w:tcPr>
            <w:tcW w:w="1580" w:type="dxa"/>
            <w:vAlign w:val="bottom"/>
            <w:vMerge w:val="restart"/>
          </w:tcPr>
          <w:p>
            <w:pPr>
              <w:spacing w:after="0"/>
              <w:rPr>
                <w:sz w:val="20"/>
                <w:szCs w:val="20"/>
                <w:color w:val="auto"/>
              </w:rPr>
            </w:pPr>
            <w:r>
              <w:rPr>
                <w:rFonts w:ascii="Arial" w:cs="Arial" w:eastAsia="Arial" w:hAnsi="Arial"/>
                <w:sz w:val="18"/>
                <w:szCs w:val="18"/>
                <w:color w:val="auto"/>
              </w:rPr>
              <w:t>Federal Realty</w:t>
            </w:r>
          </w:p>
        </w:tc>
        <w:tc>
          <w:tcPr>
            <w:tcW w:w="220" w:type="dxa"/>
            <w:vAlign w:val="bottom"/>
          </w:tcPr>
          <w:p>
            <w:pPr>
              <w:spacing w:after="0"/>
              <w:rPr>
                <w:sz w:val="19"/>
                <w:szCs w:val="19"/>
                <w:color w:val="auto"/>
              </w:rPr>
            </w:pPr>
          </w:p>
        </w:tc>
        <w:tc>
          <w:tcPr>
            <w:tcW w:w="1360" w:type="dxa"/>
            <w:vAlign w:val="bottom"/>
            <w:vMerge w:val="restart"/>
          </w:tcPr>
          <w:p>
            <w:pPr>
              <w:spacing w:after="0"/>
              <w:rPr>
                <w:sz w:val="20"/>
                <w:szCs w:val="20"/>
                <w:color w:val="auto"/>
              </w:rPr>
            </w:pPr>
            <w:r>
              <w:rPr>
                <w:rFonts w:ascii="Arial" w:cs="Arial" w:eastAsia="Arial" w:hAnsi="Arial"/>
                <w:sz w:val="18"/>
                <w:szCs w:val="18"/>
                <w:color w:val="auto"/>
              </w:rPr>
              <w:t>Limited partner</w:t>
            </w:r>
          </w:p>
        </w:tc>
        <w:tc>
          <w:tcPr>
            <w:tcW w:w="1020" w:type="dxa"/>
            <w:vAlign w:val="bottom"/>
            <w:gridSpan w:val="2"/>
            <w:vMerge w:val="restart"/>
          </w:tcPr>
          <w:p>
            <w:pPr>
              <w:jc w:val="center"/>
              <w:ind w:left="132"/>
              <w:spacing w:after="0"/>
              <w:rPr>
                <w:sz w:val="20"/>
                <w:szCs w:val="20"/>
                <w:color w:val="auto"/>
              </w:rPr>
            </w:pPr>
            <w:r>
              <w:rPr>
                <w:rFonts w:ascii="Arial" w:cs="Arial" w:eastAsia="Arial" w:hAnsi="Arial"/>
                <w:sz w:val="18"/>
                <w:szCs w:val="18"/>
                <w:color w:val="auto"/>
                <w:w w:val="88"/>
              </w:rPr>
              <w:t>98%</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Investment Trust</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FR Associates</w:t>
            </w:r>
          </w:p>
        </w:tc>
        <w:tc>
          <w:tcPr>
            <w:tcW w:w="2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02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1%</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Limited Partnership</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259" w:lineRule="auto"/>
        <w:rPr>
          <w:sz w:val="20"/>
          <w:szCs w:val="20"/>
          <w:color w:val="auto"/>
        </w:rPr>
      </w:pPr>
      <w:r>
        <w:rPr>
          <w:rFonts w:ascii="Arial" w:cs="Arial" w:eastAsia="Arial" w:hAnsi="Arial"/>
          <w:sz w:val="18"/>
          <w:szCs w:val="18"/>
          <w:color w:val="auto"/>
        </w:rPr>
        <w:t>FR PIKE 7 LIMITED PARTNERSHIP, a Delaware limited partnership (DownREIT)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Federal Realty</w:t>
            </w:r>
          </w:p>
        </w:tc>
        <w:tc>
          <w:tcPr>
            <w:tcW w:w="1600" w:type="dxa"/>
            <w:vAlign w:val="bottom"/>
          </w:tcPr>
          <w:p>
            <w:pPr>
              <w:ind w:left="240"/>
              <w:spacing w:after="0"/>
              <w:rPr>
                <w:sz w:val="20"/>
                <w:szCs w:val="20"/>
                <w:color w:val="auto"/>
              </w:rPr>
            </w:pPr>
            <w:r>
              <w:rPr>
                <w:rFonts w:ascii="Arial" w:cs="Arial" w:eastAsia="Arial" w:hAnsi="Arial"/>
                <w:sz w:val="18"/>
                <w:szCs w:val="18"/>
                <w:color w:val="auto"/>
              </w:rPr>
              <w:t>General partner</w:t>
            </w:r>
          </w:p>
        </w:tc>
        <w:tc>
          <w:tcPr>
            <w:tcW w:w="1100" w:type="dxa"/>
            <w:vAlign w:val="bottom"/>
          </w:tcPr>
          <w:p>
            <w:pPr>
              <w:jc w:val="center"/>
              <w:ind w:left="32"/>
              <w:spacing w:after="0"/>
              <w:rPr>
                <w:sz w:val="20"/>
                <w:szCs w:val="20"/>
                <w:color w:val="auto"/>
              </w:rPr>
            </w:pPr>
            <w:r>
              <w:rPr>
                <w:rFonts w:ascii="Arial" w:cs="Arial" w:eastAsia="Arial" w:hAnsi="Arial"/>
                <w:sz w:val="18"/>
                <w:szCs w:val="18"/>
                <w:color w:val="auto"/>
                <w:w w:val="84"/>
              </w:rPr>
              <w:t>1%</w:t>
            </w:r>
          </w:p>
        </w:tc>
        <w:tc>
          <w:tcPr>
            <w:tcW w:w="840" w:type="dxa"/>
            <w:vAlign w:val="bottom"/>
          </w:tcPr>
          <w:p>
            <w:pPr>
              <w:ind w:left="140"/>
              <w:spacing w:after="0"/>
              <w:rPr>
                <w:sz w:val="20"/>
                <w:szCs w:val="20"/>
                <w:color w:val="auto"/>
              </w:rPr>
            </w:pPr>
            <w:r>
              <w:rPr>
                <w:rFonts w:ascii="Arial" w:cs="Arial" w:eastAsia="Arial" w:hAnsi="Arial"/>
                <w:sz w:val="18"/>
                <w:szCs w:val="18"/>
                <w:color w:val="auto"/>
                <w:w w:val="83"/>
              </w:rPr>
              <w:t>Guarantor</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Investment Trust</w:t>
            </w: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91"/>
        </w:trPr>
        <w:tc>
          <w:tcPr>
            <w:tcW w:w="1560" w:type="dxa"/>
            <w:vAlign w:val="bottom"/>
          </w:tcPr>
          <w:p>
            <w:pPr>
              <w:spacing w:after="0"/>
              <w:rPr>
                <w:sz w:val="20"/>
                <w:szCs w:val="20"/>
                <w:color w:val="auto"/>
              </w:rPr>
            </w:pPr>
            <w:r>
              <w:rPr>
                <w:rFonts w:ascii="Arial" w:cs="Arial" w:eastAsia="Arial" w:hAnsi="Arial"/>
                <w:sz w:val="18"/>
                <w:szCs w:val="18"/>
                <w:color w:val="auto"/>
              </w:rPr>
              <w:t>Federal Realty</w:t>
            </w:r>
          </w:p>
        </w:tc>
        <w:tc>
          <w:tcPr>
            <w:tcW w:w="1600" w:type="dxa"/>
            <w:vAlign w:val="bottom"/>
          </w:tcPr>
          <w:p>
            <w:pPr>
              <w:ind w:left="240"/>
              <w:spacing w:after="0"/>
              <w:rPr>
                <w:sz w:val="20"/>
                <w:szCs w:val="20"/>
                <w:color w:val="auto"/>
              </w:rPr>
            </w:pPr>
            <w:r>
              <w:rPr>
                <w:rFonts w:ascii="Arial" w:cs="Arial" w:eastAsia="Arial" w:hAnsi="Arial"/>
                <w:sz w:val="18"/>
                <w:szCs w:val="18"/>
                <w:color w:val="auto"/>
              </w:rPr>
              <w:t>Limited partner</w:t>
            </w: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88"/>
              </w:rPr>
              <w:t>98.3143%</w:t>
            </w:r>
          </w:p>
        </w:tc>
        <w:tc>
          <w:tcPr>
            <w:tcW w:w="840" w:type="dxa"/>
            <w:vAlign w:val="bottom"/>
          </w:tcPr>
          <w:p>
            <w:pPr>
              <w:spacing w:after="0"/>
              <w:rPr>
                <w:sz w:val="24"/>
                <w:szCs w:val="24"/>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Investment Trust</w:t>
            </w: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M&amp;R Associates</w:t>
            </w:r>
          </w:p>
        </w:tc>
        <w:tc>
          <w:tcPr>
            <w:tcW w:w="1600" w:type="dxa"/>
            <w:vAlign w:val="bottom"/>
          </w:tcPr>
          <w:p>
            <w:pPr>
              <w:ind w:left="240"/>
              <w:spacing w:after="0"/>
              <w:rPr>
                <w:sz w:val="20"/>
                <w:szCs w:val="20"/>
                <w:color w:val="auto"/>
              </w:rPr>
            </w:pPr>
            <w:r>
              <w:rPr>
                <w:rFonts w:ascii="Arial" w:cs="Arial" w:eastAsia="Arial" w:hAnsi="Arial"/>
                <w:sz w:val="18"/>
                <w:szCs w:val="18"/>
                <w:color w:val="auto"/>
              </w:rPr>
              <w:t>Limited partner</w:t>
            </w:r>
          </w:p>
        </w:tc>
        <w:tc>
          <w:tcPr>
            <w:tcW w:w="1100" w:type="dxa"/>
            <w:vAlign w:val="bottom"/>
          </w:tcPr>
          <w:p>
            <w:pPr>
              <w:jc w:val="center"/>
              <w:ind w:left="32"/>
              <w:spacing w:after="0"/>
              <w:rPr>
                <w:sz w:val="20"/>
                <w:szCs w:val="20"/>
                <w:color w:val="auto"/>
              </w:rPr>
            </w:pPr>
            <w:r>
              <w:rPr>
                <w:rFonts w:ascii="Arial" w:cs="Arial" w:eastAsia="Arial" w:hAnsi="Arial"/>
                <w:sz w:val="18"/>
                <w:szCs w:val="18"/>
                <w:color w:val="auto"/>
                <w:w w:val="88"/>
              </w:rPr>
              <w:t>.6857%</w:t>
            </w:r>
          </w:p>
        </w:tc>
        <w:tc>
          <w:tcPr>
            <w:tcW w:w="840" w:type="dxa"/>
            <w:vAlign w:val="bottom"/>
          </w:tcPr>
          <w:p>
            <w:pPr>
              <w:spacing w:after="0"/>
              <w:rPr>
                <w:sz w:val="24"/>
                <w:szCs w:val="24"/>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Limited</w:t>
            </w:r>
          </w:p>
        </w:tc>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Partnership, Pike 7</w:t>
            </w:r>
          </w:p>
        </w:tc>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Plaza</w:t>
            </w: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ind w:left="210" w:right="140" w:hanging="210"/>
        <w:spacing w:after="0" w:line="302" w:lineRule="auto"/>
        <w:tabs>
          <w:tab w:leader="none" w:pos="18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Right to exchange 12,393.71 partnership units for Federal Realty stock or cash (at Federal Realty’s option); and</w:t>
      </w:r>
    </w:p>
    <w:p>
      <w:pPr>
        <w:spacing w:after="0" w:line="2" w:lineRule="exact"/>
        <w:rPr>
          <w:rFonts w:ascii="Arial" w:cs="Arial" w:eastAsia="Arial" w:hAnsi="Arial"/>
          <w:sz w:val="15"/>
          <w:szCs w:val="15"/>
          <w:color w:val="auto"/>
        </w:rPr>
      </w:pPr>
    </w:p>
    <w:p>
      <w:pPr>
        <w:ind w:left="210" w:right="240" w:hanging="210"/>
        <w:spacing w:after="0" w:line="302" w:lineRule="auto"/>
        <w:tabs>
          <w:tab w:leader="none" w:pos="18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Registration rights for stock issued on redemption of partnership units.</w:t>
      </w:r>
    </w:p>
    <w:p>
      <w:pPr>
        <w:spacing w:after="0" w:line="460" w:lineRule="exact"/>
        <w:rPr>
          <w:sz w:val="20"/>
          <w:szCs w:val="20"/>
          <w:color w:val="auto"/>
        </w:rPr>
      </w:pPr>
    </w:p>
    <w:p>
      <w:pPr>
        <w:sectPr>
          <w:pgSz w:w="11900" w:h="16838" w:orient="portrait"/>
          <w:cols w:equalWidth="0" w:num="3">
            <w:col w:w="2560" w:space="280"/>
            <w:col w:w="5470" w:space="720"/>
            <w:col w:w="2390"/>
          </w:cols>
          <w:pgMar w:left="240" w:top="274" w:right="239" w:bottom="1440" w:gutter="0" w:footer="0" w:header="0"/>
          <w:type w:val="continuous"/>
        </w:sectPr>
      </w:pPr>
    </w:p>
    <w:p>
      <w:pPr>
        <w:spacing w:after="0" w:line="306" w:lineRule="auto"/>
        <w:rPr>
          <w:sz w:val="20"/>
          <w:szCs w:val="20"/>
          <w:color w:val="auto"/>
        </w:rPr>
      </w:pPr>
      <w:r>
        <w:rPr>
          <w:rFonts w:ascii="Arial" w:cs="Arial" w:eastAsia="Arial" w:hAnsi="Arial"/>
          <w:sz w:val="16"/>
          <w:szCs w:val="16"/>
          <w:color w:val="auto"/>
        </w:rPr>
        <w:t>FRIT ESCONDIDO PROMENADE, LLC, a California limited liability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Federal Realty</w:t>
            </w:r>
          </w:p>
        </w:tc>
        <w:tc>
          <w:tcPr>
            <w:tcW w:w="1420" w:type="dxa"/>
            <w:vAlign w:val="bottom"/>
          </w:tcPr>
          <w:p>
            <w:pPr>
              <w:ind w:left="200"/>
              <w:spacing w:after="0"/>
              <w:rPr>
                <w:sz w:val="20"/>
                <w:szCs w:val="20"/>
                <w:color w:val="auto"/>
              </w:rPr>
            </w:pPr>
            <w:r>
              <w:rPr>
                <w:rFonts w:ascii="Arial" w:cs="Arial" w:eastAsia="Arial" w:hAnsi="Arial"/>
                <w:sz w:val="18"/>
                <w:szCs w:val="18"/>
                <w:color w:val="auto"/>
              </w:rPr>
              <w:t>Manager</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70%</w:t>
            </w:r>
          </w:p>
        </w:tc>
        <w:tc>
          <w:tcPr>
            <w:tcW w:w="1860" w:type="dxa"/>
            <w:vAlign w:val="bottom"/>
          </w:tcPr>
          <w:p>
            <w:pPr>
              <w:ind w:left="240"/>
              <w:spacing w:after="0"/>
              <w:rPr>
                <w:sz w:val="20"/>
                <w:szCs w:val="20"/>
                <w:color w:val="auto"/>
              </w:rPr>
            </w:pPr>
            <w:r>
              <w:rPr>
                <w:rFonts w:ascii="Arial" w:cs="Arial" w:eastAsia="Arial" w:hAnsi="Arial"/>
                <w:sz w:val="18"/>
                <w:szCs w:val="18"/>
                <w:color w:val="auto"/>
              </w:rPr>
              <w:t>Owner of Non-</w:t>
            </w:r>
          </w:p>
        </w:tc>
        <w:tc>
          <w:tcPr>
            <w:tcW w:w="540" w:type="dxa"/>
            <w:vAlign w:val="bottom"/>
          </w:tcPr>
          <w:p>
            <w:pPr>
              <w:ind w:left="160"/>
              <w:spacing w:after="0"/>
              <w:rPr>
                <w:sz w:val="20"/>
                <w:szCs w:val="20"/>
                <w:color w:val="auto"/>
              </w:rPr>
            </w:pPr>
            <w:r>
              <w:rPr>
                <w:rFonts w:ascii="Arial" w:cs="Arial" w:eastAsia="Arial" w:hAnsi="Arial"/>
                <w:sz w:val="18"/>
                <w:szCs w:val="18"/>
                <w:color w:val="auto"/>
                <w:w w:val="83"/>
              </w:rPr>
              <w:t>None</w:t>
            </w:r>
          </w:p>
        </w:tc>
      </w:tr>
      <w:tr>
        <w:trPr>
          <w:trHeight w:val="222"/>
        </w:trPr>
        <w:tc>
          <w:tcPr>
            <w:tcW w:w="1600" w:type="dxa"/>
            <w:vAlign w:val="bottom"/>
          </w:tcPr>
          <w:p>
            <w:pPr>
              <w:spacing w:after="0"/>
              <w:rPr>
                <w:sz w:val="20"/>
                <w:szCs w:val="20"/>
                <w:color w:val="auto"/>
              </w:rPr>
            </w:pPr>
            <w:r>
              <w:rPr>
                <w:rFonts w:ascii="Arial" w:cs="Arial" w:eastAsia="Arial" w:hAnsi="Arial"/>
                <w:sz w:val="18"/>
                <w:szCs w:val="18"/>
                <w:color w:val="auto"/>
              </w:rPr>
              <w:t>Investment Trust</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60" w:type="dxa"/>
            <w:vAlign w:val="bottom"/>
          </w:tcPr>
          <w:p>
            <w:pPr>
              <w:ind w:left="240"/>
              <w:spacing w:after="0"/>
              <w:rPr>
                <w:sz w:val="20"/>
                <w:szCs w:val="20"/>
                <w:color w:val="auto"/>
              </w:rPr>
            </w:pPr>
            <w:r>
              <w:rPr>
                <w:rFonts w:ascii="Arial" w:cs="Arial" w:eastAsia="Arial" w:hAnsi="Arial"/>
                <w:sz w:val="18"/>
                <w:szCs w:val="18"/>
                <w:color w:val="auto"/>
              </w:rPr>
              <w:t>Controlled Property</w:t>
            </w:r>
          </w:p>
        </w:tc>
        <w:tc>
          <w:tcPr>
            <w:tcW w:w="540" w:type="dxa"/>
            <w:vAlign w:val="bottom"/>
          </w:tcPr>
          <w:p>
            <w:pPr>
              <w:spacing w:after="0"/>
              <w:rPr>
                <w:sz w:val="19"/>
                <w:szCs w:val="19"/>
                <w:color w:val="auto"/>
              </w:rPr>
            </w:pPr>
          </w:p>
        </w:tc>
      </w:tr>
      <w:tr>
        <w:trPr>
          <w:trHeight w:val="291"/>
        </w:trPr>
        <w:tc>
          <w:tcPr>
            <w:tcW w:w="1600" w:type="dxa"/>
            <w:vAlign w:val="bottom"/>
          </w:tcPr>
          <w:p>
            <w:pPr>
              <w:spacing w:after="0"/>
              <w:rPr>
                <w:sz w:val="20"/>
                <w:szCs w:val="20"/>
                <w:color w:val="auto"/>
              </w:rPr>
            </w:pPr>
            <w:r>
              <w:rPr>
                <w:rFonts w:ascii="Arial" w:cs="Arial" w:eastAsia="Arial" w:hAnsi="Arial"/>
                <w:sz w:val="18"/>
                <w:szCs w:val="18"/>
                <w:color w:val="auto"/>
                <w:w w:val="99"/>
              </w:rPr>
              <w:t>Spark Development</w:t>
            </w:r>
          </w:p>
        </w:tc>
        <w:tc>
          <w:tcPr>
            <w:tcW w:w="1420" w:type="dxa"/>
            <w:vAlign w:val="bottom"/>
          </w:tcPr>
          <w:p>
            <w:pPr>
              <w:ind w:left="200"/>
              <w:spacing w:after="0"/>
              <w:rPr>
                <w:sz w:val="20"/>
                <w:szCs w:val="20"/>
                <w:color w:val="auto"/>
              </w:rPr>
            </w:pPr>
            <w:r>
              <w:rPr>
                <w:rFonts w:ascii="Arial" w:cs="Arial" w:eastAsia="Arial" w:hAnsi="Arial"/>
                <w:sz w:val="18"/>
                <w:szCs w:val="18"/>
                <w:color w:val="auto"/>
              </w:rPr>
              <w:t>Member</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1860" w:type="dxa"/>
            <w:vAlign w:val="bottom"/>
          </w:tcPr>
          <w:p>
            <w:pPr>
              <w:ind w:left="240"/>
              <w:spacing w:after="0"/>
              <w:rPr>
                <w:sz w:val="20"/>
                <w:szCs w:val="20"/>
                <w:color w:val="auto"/>
              </w:rPr>
            </w:pPr>
            <w:r>
              <w:rPr>
                <w:rFonts w:ascii="Arial" w:cs="Arial" w:eastAsia="Arial" w:hAnsi="Arial"/>
                <w:sz w:val="18"/>
                <w:szCs w:val="18"/>
                <w:color w:val="auto"/>
              </w:rPr>
              <w:t>•  Escondido</w:t>
            </w:r>
          </w:p>
        </w:tc>
        <w:tc>
          <w:tcPr>
            <w:tcW w:w="540" w:type="dxa"/>
            <w:vAlign w:val="bottom"/>
          </w:tcPr>
          <w:p>
            <w:pPr>
              <w:spacing w:after="0"/>
              <w:rPr>
                <w:sz w:val="24"/>
                <w:szCs w:val="24"/>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Partners, LLC</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60" w:type="dxa"/>
            <w:vAlign w:val="bottom"/>
          </w:tcPr>
          <w:p>
            <w:pPr>
              <w:ind w:left="440"/>
              <w:spacing w:after="0"/>
              <w:rPr>
                <w:sz w:val="20"/>
                <w:szCs w:val="20"/>
                <w:color w:val="auto"/>
              </w:rPr>
            </w:pPr>
            <w:r>
              <w:rPr>
                <w:rFonts w:ascii="Arial" w:cs="Arial" w:eastAsia="Arial" w:hAnsi="Arial"/>
                <w:sz w:val="18"/>
                <w:szCs w:val="18"/>
                <w:color w:val="auto"/>
              </w:rPr>
              <w:t>Promenade</w:t>
            </w:r>
          </w:p>
        </w:tc>
        <w:tc>
          <w:tcPr>
            <w:tcW w:w="5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60" w:type="dxa"/>
            <w:vAlign w:val="bottom"/>
          </w:tcPr>
          <w:p>
            <w:pPr>
              <w:ind w:left="440"/>
              <w:spacing w:after="0"/>
              <w:rPr>
                <w:sz w:val="20"/>
                <w:szCs w:val="20"/>
                <w:color w:val="auto"/>
              </w:rPr>
            </w:pPr>
            <w:r>
              <w:rPr>
                <w:rFonts w:ascii="Arial" w:cs="Arial" w:eastAsia="Arial" w:hAnsi="Arial"/>
                <w:sz w:val="18"/>
                <w:szCs w:val="18"/>
                <w:color w:val="auto"/>
                <w:w w:val="99"/>
              </w:rPr>
              <w:t>Shopping Center,</w:t>
            </w:r>
          </w:p>
        </w:tc>
        <w:tc>
          <w:tcPr>
            <w:tcW w:w="540" w:type="dxa"/>
            <w:vAlign w:val="bottom"/>
          </w:tcPr>
          <w:p>
            <w:pPr>
              <w:spacing w:after="0"/>
              <w:rPr>
                <w:sz w:val="18"/>
                <w:szCs w:val="18"/>
                <w:color w:val="auto"/>
              </w:rPr>
            </w:pPr>
          </w:p>
        </w:tc>
      </w:tr>
      <w:tr>
        <w:trPr>
          <w:trHeight w:val="222"/>
        </w:trPr>
        <w:tc>
          <w:tcPr>
            <w:tcW w:w="1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60" w:type="dxa"/>
            <w:vAlign w:val="bottom"/>
          </w:tcPr>
          <w:p>
            <w:pPr>
              <w:ind w:left="440"/>
              <w:spacing w:after="0"/>
              <w:rPr>
                <w:sz w:val="20"/>
                <w:szCs w:val="20"/>
                <w:color w:val="auto"/>
              </w:rPr>
            </w:pPr>
            <w:r>
              <w:rPr>
                <w:rFonts w:ascii="Arial" w:cs="Arial" w:eastAsia="Arial" w:hAnsi="Arial"/>
                <w:sz w:val="18"/>
                <w:szCs w:val="18"/>
                <w:color w:val="auto"/>
              </w:rPr>
              <w:t>Escondido, CA</w:t>
            </w:r>
          </w:p>
        </w:tc>
        <w:tc>
          <w:tcPr>
            <w:tcW w:w="540" w:type="dxa"/>
            <w:vAlign w:val="bottom"/>
          </w:tcPr>
          <w:p>
            <w:pPr>
              <w:spacing w:after="0"/>
              <w:rPr>
                <w:sz w:val="19"/>
                <w:szCs w:val="19"/>
                <w:color w:val="auto"/>
              </w:rPr>
            </w:pPr>
          </w:p>
        </w:tc>
      </w:tr>
    </w:tbl>
    <w:p>
      <w:pPr>
        <w:spacing w:after="0" w:line="115" w:lineRule="exact"/>
        <w:rPr>
          <w:sz w:val="20"/>
          <w:szCs w:val="20"/>
          <w:color w:val="auto"/>
        </w:rPr>
      </w:pPr>
    </w:p>
    <w:p>
      <w:pPr>
        <w:sectPr>
          <w:pgSz w:w="11900" w:h="16838" w:orient="portrait"/>
          <w:cols w:equalWidth="0" w:num="2">
            <w:col w:w="2440" w:space="400"/>
            <w:col w:w="85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FR FEDERAL PLAZA, INC., a</w:t>
            </w:r>
          </w:p>
        </w:tc>
        <w:tc>
          <w:tcPr>
            <w:tcW w:w="1840" w:type="dxa"/>
            <w:vAlign w:val="bottom"/>
          </w:tcPr>
          <w:p>
            <w:pPr>
              <w:ind w:left="160"/>
              <w:spacing w:after="0"/>
              <w:rPr>
                <w:sz w:val="20"/>
                <w:szCs w:val="20"/>
                <w:color w:val="auto"/>
              </w:rPr>
            </w:pPr>
            <w:r>
              <w:rPr>
                <w:rFonts w:ascii="Arial" w:cs="Arial" w:eastAsia="Arial" w:hAnsi="Arial"/>
                <w:sz w:val="18"/>
                <w:szCs w:val="18"/>
                <w:color w:val="auto"/>
              </w:rPr>
              <w:t>Federal Realty</w:t>
            </w:r>
          </w:p>
        </w:tc>
        <w:tc>
          <w:tcPr>
            <w:tcW w:w="1600" w:type="dxa"/>
            <w:vAlign w:val="bottom"/>
          </w:tcPr>
          <w:p>
            <w:pPr>
              <w:ind w:left="120"/>
              <w:spacing w:after="0"/>
              <w:rPr>
                <w:sz w:val="20"/>
                <w:szCs w:val="20"/>
                <w:color w:val="auto"/>
              </w:rPr>
            </w:pPr>
            <w:r>
              <w:rPr>
                <w:rFonts w:ascii="Arial" w:cs="Arial" w:eastAsia="Arial" w:hAnsi="Arial"/>
                <w:sz w:val="18"/>
                <w:szCs w:val="18"/>
                <w:color w:val="auto"/>
              </w:rPr>
              <w:t>Sole stockholder</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820" w:type="dxa"/>
            <w:vAlign w:val="bottom"/>
          </w:tcPr>
          <w:p>
            <w:pPr>
              <w:ind w:left="220"/>
              <w:spacing w:after="0"/>
              <w:rPr>
                <w:sz w:val="20"/>
                <w:szCs w:val="20"/>
                <w:color w:val="auto"/>
              </w:rPr>
            </w:pPr>
            <w:r>
              <w:rPr>
                <w:rFonts w:ascii="Arial" w:cs="Arial" w:eastAsia="Arial" w:hAnsi="Arial"/>
                <w:sz w:val="18"/>
                <w:szCs w:val="18"/>
                <w:color w:val="auto"/>
                <w:w w:val="98"/>
              </w:rPr>
              <w:t>Excluded subsidiary</w:t>
            </w:r>
          </w:p>
        </w:tc>
        <w:tc>
          <w:tcPr>
            <w:tcW w:w="560" w:type="dxa"/>
            <w:vAlign w:val="bottom"/>
          </w:tcPr>
          <w:p>
            <w:pPr>
              <w:ind w:left="180"/>
              <w:spacing w:after="0"/>
              <w:rPr>
                <w:sz w:val="20"/>
                <w:szCs w:val="20"/>
                <w:color w:val="auto"/>
              </w:rPr>
            </w:pPr>
            <w:r>
              <w:rPr>
                <w:rFonts w:ascii="Arial" w:cs="Arial" w:eastAsia="Arial" w:hAnsi="Arial"/>
                <w:sz w:val="18"/>
                <w:szCs w:val="18"/>
                <w:color w:val="auto"/>
                <w:w w:val="83"/>
              </w:rPr>
              <w:t>None</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Delaware corporation</w:t>
            </w:r>
          </w:p>
        </w:tc>
        <w:tc>
          <w:tcPr>
            <w:tcW w:w="1840" w:type="dxa"/>
            <w:vAlign w:val="bottom"/>
          </w:tcPr>
          <w:p>
            <w:pPr>
              <w:ind w:left="160"/>
              <w:spacing w:after="0"/>
              <w:rPr>
                <w:sz w:val="20"/>
                <w:szCs w:val="20"/>
                <w:color w:val="auto"/>
              </w:rPr>
            </w:pPr>
            <w:r>
              <w:rPr>
                <w:rFonts w:ascii="Arial" w:cs="Arial" w:eastAsia="Arial" w:hAnsi="Arial"/>
                <w:sz w:val="18"/>
                <w:szCs w:val="18"/>
                <w:color w:val="auto"/>
              </w:rPr>
              <w:t>Investment Trust</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2680" w:type="dxa"/>
            <w:vAlign w:val="bottom"/>
          </w:tcPr>
          <w:p>
            <w:pPr>
              <w:spacing w:after="0"/>
              <w:rPr>
                <w:sz w:val="20"/>
                <w:szCs w:val="20"/>
                <w:color w:val="auto"/>
              </w:rPr>
            </w:pPr>
            <w:r>
              <w:rPr>
                <w:rFonts w:ascii="Arial" w:cs="Arial" w:eastAsia="Arial" w:hAnsi="Arial"/>
                <w:sz w:val="18"/>
                <w:szCs w:val="18"/>
                <w:color w:val="auto"/>
              </w:rPr>
              <w:t>FR FEDERAL PLAZA, LLC, a</w:t>
            </w:r>
          </w:p>
        </w:tc>
        <w:tc>
          <w:tcPr>
            <w:tcW w:w="1840" w:type="dxa"/>
            <w:vAlign w:val="bottom"/>
          </w:tcPr>
          <w:p>
            <w:pPr>
              <w:ind w:left="160"/>
              <w:spacing w:after="0"/>
              <w:rPr>
                <w:sz w:val="20"/>
                <w:szCs w:val="20"/>
                <w:color w:val="auto"/>
              </w:rPr>
            </w:pPr>
            <w:r>
              <w:rPr>
                <w:rFonts w:ascii="Arial" w:cs="Arial" w:eastAsia="Arial" w:hAnsi="Arial"/>
                <w:sz w:val="18"/>
                <w:szCs w:val="18"/>
                <w:color w:val="auto"/>
                <w:w w:val="92"/>
              </w:rPr>
              <w:t>FR Federal Plaza, Inc.</w:t>
            </w:r>
          </w:p>
        </w:tc>
        <w:tc>
          <w:tcPr>
            <w:tcW w:w="1600" w:type="dxa"/>
            <w:vAlign w:val="bottom"/>
          </w:tcPr>
          <w:p>
            <w:pPr>
              <w:ind w:left="120"/>
              <w:spacing w:after="0"/>
              <w:rPr>
                <w:sz w:val="20"/>
                <w:szCs w:val="20"/>
                <w:color w:val="auto"/>
              </w:rPr>
            </w:pPr>
            <w:r>
              <w:rPr>
                <w:rFonts w:ascii="Arial" w:cs="Arial" w:eastAsia="Arial" w:hAnsi="Arial"/>
                <w:sz w:val="18"/>
                <w:szCs w:val="18"/>
                <w:color w:val="auto"/>
              </w:rPr>
              <w:t>Sole member</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820" w:type="dxa"/>
            <w:vAlign w:val="bottom"/>
          </w:tcPr>
          <w:p>
            <w:pPr>
              <w:ind w:left="220"/>
              <w:spacing w:after="0"/>
              <w:rPr>
                <w:sz w:val="20"/>
                <w:szCs w:val="20"/>
                <w:color w:val="auto"/>
              </w:rPr>
            </w:pPr>
            <w:r>
              <w:rPr>
                <w:rFonts w:ascii="Arial" w:cs="Arial" w:eastAsia="Arial" w:hAnsi="Arial"/>
                <w:sz w:val="18"/>
                <w:szCs w:val="18"/>
                <w:color w:val="auto"/>
                <w:w w:val="98"/>
              </w:rPr>
              <w:t>Excluded subsidiary</w:t>
            </w:r>
          </w:p>
        </w:tc>
        <w:tc>
          <w:tcPr>
            <w:tcW w:w="560" w:type="dxa"/>
            <w:vAlign w:val="bottom"/>
          </w:tcPr>
          <w:p>
            <w:pPr>
              <w:ind w:left="180"/>
              <w:spacing w:after="0"/>
              <w:rPr>
                <w:sz w:val="20"/>
                <w:szCs w:val="20"/>
                <w:color w:val="auto"/>
              </w:rPr>
            </w:pPr>
            <w:r>
              <w:rPr>
                <w:rFonts w:ascii="Arial" w:cs="Arial" w:eastAsia="Arial" w:hAnsi="Arial"/>
                <w:sz w:val="18"/>
                <w:szCs w:val="18"/>
                <w:color w:val="auto"/>
                <w:w w:val="83"/>
              </w:rPr>
              <w:t>None</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w w:val="98"/>
              </w:rPr>
              <w:t>Delaware limited liability company</w:t>
            </w:r>
          </w:p>
        </w:tc>
        <w:tc>
          <w:tcPr>
            <w:tcW w:w="18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2680" w:type="dxa"/>
            <w:vAlign w:val="bottom"/>
          </w:tcPr>
          <w:p>
            <w:pPr>
              <w:spacing w:after="0"/>
              <w:rPr>
                <w:sz w:val="20"/>
                <w:szCs w:val="20"/>
                <w:color w:val="auto"/>
              </w:rPr>
            </w:pPr>
            <w:r>
              <w:rPr>
                <w:rFonts w:ascii="Arial" w:cs="Arial" w:eastAsia="Arial" w:hAnsi="Arial"/>
                <w:sz w:val="18"/>
                <w:szCs w:val="18"/>
                <w:color w:val="auto"/>
              </w:rPr>
              <w:t>FR LEESBURG PLAZA, LLC, a</w:t>
            </w:r>
          </w:p>
        </w:tc>
        <w:tc>
          <w:tcPr>
            <w:tcW w:w="1840" w:type="dxa"/>
            <w:vAlign w:val="bottom"/>
          </w:tcPr>
          <w:p>
            <w:pPr>
              <w:ind w:left="160"/>
              <w:spacing w:after="0"/>
              <w:rPr>
                <w:sz w:val="20"/>
                <w:szCs w:val="20"/>
                <w:color w:val="auto"/>
              </w:rPr>
            </w:pPr>
            <w:r>
              <w:rPr>
                <w:rFonts w:ascii="Arial" w:cs="Arial" w:eastAsia="Arial" w:hAnsi="Arial"/>
                <w:sz w:val="18"/>
                <w:szCs w:val="18"/>
                <w:color w:val="auto"/>
              </w:rPr>
              <w:t>Federal Realty</w:t>
            </w:r>
          </w:p>
        </w:tc>
        <w:tc>
          <w:tcPr>
            <w:tcW w:w="1600" w:type="dxa"/>
            <w:vAlign w:val="bottom"/>
          </w:tcPr>
          <w:p>
            <w:pPr>
              <w:ind w:left="120"/>
              <w:spacing w:after="0"/>
              <w:rPr>
                <w:sz w:val="20"/>
                <w:szCs w:val="20"/>
                <w:color w:val="auto"/>
              </w:rPr>
            </w:pPr>
            <w:r>
              <w:rPr>
                <w:rFonts w:ascii="Arial" w:cs="Arial" w:eastAsia="Arial" w:hAnsi="Arial"/>
                <w:sz w:val="18"/>
                <w:szCs w:val="18"/>
                <w:color w:val="auto"/>
              </w:rPr>
              <w:t>Sole member</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820" w:type="dxa"/>
            <w:vAlign w:val="bottom"/>
          </w:tcPr>
          <w:p>
            <w:pPr>
              <w:ind w:left="220"/>
              <w:spacing w:after="0"/>
              <w:rPr>
                <w:sz w:val="20"/>
                <w:szCs w:val="20"/>
                <w:color w:val="auto"/>
              </w:rPr>
            </w:pPr>
            <w:r>
              <w:rPr>
                <w:rFonts w:ascii="Arial" w:cs="Arial" w:eastAsia="Arial" w:hAnsi="Arial"/>
                <w:sz w:val="18"/>
                <w:szCs w:val="18"/>
                <w:color w:val="auto"/>
                <w:w w:val="98"/>
              </w:rPr>
              <w:t>Excluded subsidiary</w:t>
            </w:r>
          </w:p>
        </w:tc>
        <w:tc>
          <w:tcPr>
            <w:tcW w:w="560" w:type="dxa"/>
            <w:vAlign w:val="bottom"/>
          </w:tcPr>
          <w:p>
            <w:pPr>
              <w:ind w:left="180"/>
              <w:spacing w:after="0"/>
              <w:rPr>
                <w:sz w:val="20"/>
                <w:szCs w:val="20"/>
                <w:color w:val="auto"/>
              </w:rPr>
            </w:pPr>
            <w:r>
              <w:rPr>
                <w:rFonts w:ascii="Arial" w:cs="Arial" w:eastAsia="Arial" w:hAnsi="Arial"/>
                <w:sz w:val="18"/>
                <w:szCs w:val="18"/>
                <w:color w:val="auto"/>
                <w:w w:val="83"/>
              </w:rPr>
              <w:t>None</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Delaware corporation</w:t>
            </w:r>
          </w:p>
        </w:tc>
        <w:tc>
          <w:tcPr>
            <w:tcW w:w="1840" w:type="dxa"/>
            <w:vAlign w:val="bottom"/>
          </w:tcPr>
          <w:p>
            <w:pPr>
              <w:ind w:left="160"/>
              <w:spacing w:after="0"/>
              <w:rPr>
                <w:sz w:val="20"/>
                <w:szCs w:val="20"/>
                <w:color w:val="auto"/>
              </w:rPr>
            </w:pPr>
            <w:r>
              <w:rPr>
                <w:rFonts w:ascii="Arial" w:cs="Arial" w:eastAsia="Arial" w:hAnsi="Arial"/>
                <w:sz w:val="18"/>
                <w:szCs w:val="18"/>
                <w:color w:val="auto"/>
              </w:rPr>
              <w:t>Investment Trust</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8"/>
                <w:szCs w:val="18"/>
                <w:b w:val="1"/>
                <w:bCs w:val="1"/>
                <w:color w:val="auto"/>
              </w:rPr>
              <w:t>SCHEDULE 6.1(B)</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7"/>
          </w:tcPr>
          <w:p>
            <w:pPr>
              <w:ind w:left="180"/>
              <w:spacing w:after="0"/>
              <w:rPr>
                <w:sz w:val="20"/>
                <w:szCs w:val="20"/>
                <w:color w:val="auto"/>
              </w:rPr>
            </w:pPr>
            <w:r>
              <w:rPr>
                <w:rFonts w:ascii="Arial" w:cs="Arial" w:eastAsia="Arial" w:hAnsi="Arial"/>
                <w:sz w:val="18"/>
                <w:szCs w:val="18"/>
                <w:b w:val="1"/>
                <w:bCs w:val="1"/>
                <w:color w:val="auto"/>
              </w:rPr>
              <w:t>OWNERSHIP STRUCTURE</w:t>
            </w:r>
          </w:p>
        </w:tc>
      </w:tr>
      <w:tr>
        <w:trPr>
          <w:trHeight w:val="359"/>
        </w:trPr>
        <w:tc>
          <w:tcPr>
            <w:tcW w:w="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4"/>
              </w:rPr>
              <w:t>ENTITY NAME/Jurisdiction of</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Nature of Equity</w:t>
            </w: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Formation</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Equity Holders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5"/>
                <w:szCs w:val="15"/>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 Ownership</w:t>
            </w:r>
          </w:p>
        </w:tc>
      </w:tr>
      <w:tr>
        <w:trPr>
          <w:trHeight w:val="201"/>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FR LEESBURG PLAZA, LP, a</w:t>
            </w:r>
          </w:p>
        </w:tc>
        <w:tc>
          <w:tcPr>
            <w:tcW w:w="100" w:type="dxa"/>
            <w:vAlign w:val="bottom"/>
          </w:tcPr>
          <w:p>
            <w:pPr>
              <w:spacing w:after="0"/>
              <w:rPr>
                <w:sz w:val="17"/>
                <w:szCs w:val="17"/>
                <w:color w:val="auto"/>
              </w:rPr>
            </w:pPr>
          </w:p>
        </w:tc>
        <w:tc>
          <w:tcPr>
            <w:tcW w:w="1480" w:type="dxa"/>
            <w:vAlign w:val="bottom"/>
          </w:tcPr>
          <w:p>
            <w:pPr>
              <w:spacing w:after="0" w:line="201" w:lineRule="exact"/>
              <w:rPr>
                <w:sz w:val="20"/>
                <w:szCs w:val="20"/>
                <w:color w:val="auto"/>
              </w:rPr>
            </w:pPr>
            <w:r>
              <w:rPr>
                <w:rFonts w:ascii="Arial" w:cs="Arial" w:eastAsia="Arial" w:hAnsi="Arial"/>
                <w:sz w:val="18"/>
                <w:szCs w:val="18"/>
                <w:color w:val="auto"/>
                <w:w w:val="91"/>
              </w:rPr>
              <w:t>FR Leesburg Plaza,</w:t>
            </w:r>
          </w:p>
        </w:tc>
        <w:tc>
          <w:tcPr>
            <w:tcW w:w="100" w:type="dxa"/>
            <w:vAlign w:val="bottom"/>
          </w:tcPr>
          <w:p>
            <w:pPr>
              <w:spacing w:after="0"/>
              <w:rPr>
                <w:sz w:val="17"/>
                <w:szCs w:val="17"/>
                <w:color w:val="auto"/>
              </w:rPr>
            </w:pPr>
          </w:p>
        </w:tc>
        <w:tc>
          <w:tcPr>
            <w:tcW w:w="1600" w:type="dxa"/>
            <w:vAlign w:val="bottom"/>
            <w:gridSpan w:val="3"/>
          </w:tcPr>
          <w:p>
            <w:pPr>
              <w:spacing w:after="0" w:line="201" w:lineRule="exact"/>
              <w:rPr>
                <w:sz w:val="20"/>
                <w:szCs w:val="20"/>
                <w:color w:val="auto"/>
              </w:rPr>
            </w:pPr>
            <w:r>
              <w:rPr>
                <w:rFonts w:ascii="Arial" w:cs="Arial" w:eastAsia="Arial" w:hAnsi="Arial"/>
                <w:sz w:val="18"/>
                <w:szCs w:val="18"/>
                <w:color w:val="auto"/>
              </w:rPr>
              <w:t>General partner</w:t>
            </w:r>
          </w:p>
        </w:tc>
        <w:tc>
          <w:tcPr>
            <w:tcW w:w="100" w:type="dxa"/>
            <w:vAlign w:val="bottom"/>
          </w:tcPr>
          <w:p>
            <w:pPr>
              <w:spacing w:after="0"/>
              <w:rPr>
                <w:sz w:val="17"/>
                <w:szCs w:val="17"/>
                <w:color w:val="auto"/>
              </w:rPr>
            </w:pPr>
          </w:p>
        </w:tc>
        <w:tc>
          <w:tcPr>
            <w:tcW w:w="11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8"/>
              </w:rPr>
              <w:t>315,233 units</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1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LLC</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2"/>
        </w:trPr>
        <w:tc>
          <w:tcPr>
            <w:tcW w:w="2740" w:type="dxa"/>
            <w:vAlign w:val="bottom"/>
            <w:gridSpan w:val="2"/>
          </w:tcPr>
          <w:p>
            <w:pPr>
              <w:spacing w:after="0"/>
              <w:rPr>
                <w:sz w:val="20"/>
                <w:szCs w:val="20"/>
                <w:color w:val="auto"/>
              </w:rPr>
            </w:pPr>
            <w:r>
              <w:rPr>
                <w:rFonts w:ascii="Arial" w:cs="Arial" w:eastAsia="Arial" w:hAnsi="Arial"/>
                <w:sz w:val="18"/>
                <w:szCs w:val="18"/>
                <w:color w:val="auto"/>
              </w:rPr>
              <w:t>(DownREIT)</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1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Paulson Brothers,</w:t>
            </w:r>
          </w:p>
        </w:tc>
        <w:tc>
          <w:tcPr>
            <w:tcW w:w="1700" w:type="dxa"/>
            <w:vAlign w:val="bottom"/>
            <w:gridSpan w:val="4"/>
          </w:tcPr>
          <w:p>
            <w:pPr>
              <w:ind w:left="100"/>
              <w:spacing w:after="0"/>
              <w:rPr>
                <w:sz w:val="20"/>
                <w:szCs w:val="20"/>
                <w:color w:val="auto"/>
              </w:rPr>
            </w:pPr>
            <w:r>
              <w:rPr>
                <w:rFonts w:ascii="Arial" w:cs="Arial" w:eastAsia="Arial" w:hAnsi="Arial"/>
                <w:sz w:val="18"/>
                <w:szCs w:val="18"/>
                <w:color w:val="auto"/>
              </w:rPr>
              <w:t>Limited partner</w:t>
            </w:r>
          </w:p>
        </w:tc>
        <w:tc>
          <w:tcPr>
            <w:tcW w:w="10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87"/>
              </w:rPr>
              <w:t>37,267 units</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L.L.C.</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Material and/or</w:t>
            </w: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Excluded Subsidiary</w:t>
            </w:r>
          </w:p>
        </w:tc>
        <w:tc>
          <w:tcPr>
            <w:tcW w:w="100" w:type="dxa"/>
            <w:vAlign w:val="bottom"/>
          </w:tcPr>
          <w:p>
            <w:pPr>
              <w:spacing w:after="0"/>
              <w:rPr>
                <w:sz w:val="15"/>
                <w:szCs w:val="15"/>
                <w:color w:val="auto"/>
              </w:rPr>
            </w:pPr>
          </w:p>
        </w:tc>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7"/>
              </w:rPr>
              <w:t>Liens, Options, Registration Rights, etc.</w:t>
            </w:r>
          </w:p>
        </w:tc>
      </w:tr>
      <w:tr>
        <w:trPr>
          <w:trHeight w:val="201"/>
        </w:trPr>
        <w:tc>
          <w:tcPr>
            <w:tcW w:w="20" w:type="dxa"/>
            <w:vAlign w:val="bottom"/>
          </w:tcPr>
          <w:p>
            <w:pPr>
              <w:spacing w:after="0"/>
              <w:rPr>
                <w:sz w:val="17"/>
                <w:szCs w:val="17"/>
                <w:color w:val="auto"/>
              </w:rPr>
            </w:pPr>
          </w:p>
        </w:tc>
        <w:tc>
          <w:tcPr>
            <w:tcW w:w="1580" w:type="dxa"/>
            <w:vAlign w:val="bottom"/>
          </w:tcPr>
          <w:p>
            <w:pPr>
              <w:spacing w:after="0" w:line="201" w:lineRule="exact"/>
              <w:rPr>
                <w:sz w:val="20"/>
                <w:szCs w:val="20"/>
                <w:color w:val="auto"/>
              </w:rPr>
            </w:pPr>
            <w:r>
              <w:rPr>
                <w:rFonts w:ascii="Arial" w:cs="Arial" w:eastAsia="Arial" w:hAnsi="Arial"/>
                <w:sz w:val="18"/>
                <w:szCs w:val="18"/>
                <w:color w:val="auto"/>
                <w:w w:val="97"/>
              </w:rPr>
              <w:t>Excluded subsidiary</w:t>
            </w:r>
          </w:p>
        </w:tc>
        <w:tc>
          <w:tcPr>
            <w:tcW w:w="10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w w:val="92"/>
              </w:rPr>
              <w:t>•  Right to exchange partnership</w:t>
            </w: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92"/>
              </w:rPr>
              <w:t>units for Federal Realty stock</w:t>
            </w: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98"/>
              </w:rPr>
              <w:t>or cash (at Federal Realty’s</w:t>
            </w: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option); and</w:t>
            </w: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  Registration rights for stock</w:t>
            </w: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issued on redemption of</w:t>
            </w:r>
          </w:p>
        </w:tc>
      </w:tr>
      <w:tr>
        <w:trPr>
          <w:trHeight w:val="222"/>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partnership units.</w:t>
            </w:r>
          </w:p>
        </w:tc>
      </w:tr>
    </w:tbl>
    <w:p>
      <w:pPr>
        <w:spacing w:after="0" w:line="115" w:lineRule="exact"/>
        <w:rPr>
          <w:sz w:val="20"/>
          <w:szCs w:val="20"/>
          <w:color w:val="auto"/>
        </w:rPr>
      </w:pPr>
    </w:p>
    <w:p>
      <w:pPr>
        <w:sectPr>
          <w:pgSz w:w="11900" w:h="16838" w:orient="portrait"/>
          <w:cols w:equalWidth="0" w:num="2">
            <w:col w:w="7220" w:space="100"/>
            <w:col w:w="4100"/>
          </w:cols>
          <w:pgMar w:left="240" w:top="257"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CONGRESSIONAL PLAZA</w:t>
            </w:r>
          </w:p>
        </w:tc>
        <w:tc>
          <w:tcPr>
            <w:tcW w:w="1540" w:type="dxa"/>
            <w:vAlign w:val="bottom"/>
          </w:tcPr>
          <w:p>
            <w:pPr>
              <w:ind w:left="60"/>
              <w:spacing w:after="0"/>
              <w:rPr>
                <w:sz w:val="20"/>
                <w:szCs w:val="20"/>
                <w:color w:val="auto"/>
              </w:rPr>
            </w:pPr>
            <w:r>
              <w:rPr>
                <w:rFonts w:ascii="Arial" w:cs="Arial" w:eastAsia="Arial" w:hAnsi="Arial"/>
                <w:sz w:val="18"/>
                <w:szCs w:val="18"/>
                <w:color w:val="auto"/>
              </w:rPr>
              <w:t>Federal Realty</w:t>
            </w:r>
          </w:p>
        </w:tc>
        <w:tc>
          <w:tcPr>
            <w:tcW w:w="1760" w:type="dxa"/>
            <w:vAlign w:val="bottom"/>
          </w:tcPr>
          <w:p>
            <w:pPr>
              <w:ind w:left="100"/>
              <w:spacing w:after="0"/>
              <w:rPr>
                <w:sz w:val="20"/>
                <w:szCs w:val="20"/>
                <w:color w:val="auto"/>
              </w:rPr>
            </w:pPr>
            <w:r>
              <w:rPr>
                <w:rFonts w:ascii="Arial" w:cs="Arial" w:eastAsia="Arial" w:hAnsi="Arial"/>
                <w:sz w:val="18"/>
                <w:szCs w:val="18"/>
                <w:color w:val="auto"/>
              </w:rPr>
              <w:t>Managing member</w:t>
            </w:r>
          </w:p>
        </w:tc>
        <w:tc>
          <w:tcPr>
            <w:tcW w:w="1080" w:type="dxa"/>
            <w:vAlign w:val="bottom"/>
          </w:tcPr>
          <w:p>
            <w:pPr>
              <w:jc w:val="center"/>
              <w:ind w:left="32"/>
              <w:spacing w:after="0"/>
              <w:rPr>
                <w:sz w:val="20"/>
                <w:szCs w:val="20"/>
                <w:color w:val="auto"/>
              </w:rPr>
            </w:pPr>
            <w:r>
              <w:rPr>
                <w:rFonts w:ascii="Arial" w:cs="Arial" w:eastAsia="Arial" w:hAnsi="Arial"/>
                <w:sz w:val="18"/>
                <w:szCs w:val="18"/>
                <w:color w:val="auto"/>
                <w:w w:val="88"/>
              </w:rPr>
              <w:t>64.1030%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ASSOCIATES, LLC, a Maryland</w:t>
            </w:r>
          </w:p>
        </w:tc>
        <w:tc>
          <w:tcPr>
            <w:tcW w:w="1540" w:type="dxa"/>
            <w:vAlign w:val="bottom"/>
          </w:tcPr>
          <w:p>
            <w:pPr>
              <w:ind w:left="60"/>
              <w:spacing w:after="0"/>
              <w:rPr>
                <w:sz w:val="20"/>
                <w:szCs w:val="20"/>
                <w:color w:val="auto"/>
              </w:rPr>
            </w:pPr>
            <w:r>
              <w:rPr>
                <w:rFonts w:ascii="Arial" w:cs="Arial" w:eastAsia="Arial" w:hAnsi="Arial"/>
                <w:sz w:val="18"/>
                <w:szCs w:val="18"/>
                <w:color w:val="auto"/>
              </w:rPr>
              <w:t>Investment Trust</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limited liability company</w:t>
            </w: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1540" w:type="dxa"/>
            <w:vAlign w:val="bottom"/>
          </w:tcPr>
          <w:p>
            <w:pPr>
              <w:ind w:left="60"/>
              <w:spacing w:after="0"/>
              <w:rPr>
                <w:sz w:val="20"/>
                <w:szCs w:val="20"/>
                <w:color w:val="auto"/>
              </w:rPr>
            </w:pPr>
            <w:r>
              <w:rPr>
                <w:rFonts w:ascii="Arial" w:cs="Arial" w:eastAsia="Arial" w:hAnsi="Arial"/>
                <w:sz w:val="18"/>
                <w:szCs w:val="18"/>
                <w:color w:val="auto"/>
              </w:rPr>
              <w:t>Rockville Plaza</w:t>
            </w:r>
          </w:p>
        </w:tc>
        <w:tc>
          <w:tcPr>
            <w:tcW w:w="1760" w:type="dxa"/>
            <w:vAlign w:val="bottom"/>
          </w:tcPr>
          <w:p>
            <w:pPr>
              <w:ind w:left="100"/>
              <w:spacing w:after="0"/>
              <w:rPr>
                <w:sz w:val="20"/>
                <w:szCs w:val="20"/>
                <w:color w:val="auto"/>
              </w:rPr>
            </w:pPr>
            <w:r>
              <w:rPr>
                <w:rFonts w:ascii="Arial" w:cs="Arial" w:eastAsia="Arial" w:hAnsi="Arial"/>
                <w:sz w:val="18"/>
                <w:szCs w:val="18"/>
                <w:color w:val="auto"/>
              </w:rPr>
              <w:t>Member</w:t>
            </w:r>
          </w:p>
        </w:tc>
        <w:tc>
          <w:tcPr>
            <w:tcW w:w="1080" w:type="dxa"/>
            <w:vAlign w:val="bottom"/>
          </w:tcPr>
          <w:p>
            <w:pPr>
              <w:jc w:val="center"/>
              <w:ind w:left="32"/>
              <w:spacing w:after="0"/>
              <w:rPr>
                <w:sz w:val="20"/>
                <w:szCs w:val="20"/>
                <w:color w:val="auto"/>
              </w:rPr>
            </w:pPr>
            <w:r>
              <w:rPr>
                <w:rFonts w:ascii="Arial" w:cs="Arial" w:eastAsia="Arial" w:hAnsi="Arial"/>
                <w:sz w:val="18"/>
                <w:szCs w:val="18"/>
                <w:color w:val="auto"/>
                <w:w w:val="88"/>
              </w:rPr>
              <w:t>29.4673%</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540" w:type="dxa"/>
            <w:vAlign w:val="bottom"/>
          </w:tcPr>
          <w:p>
            <w:pPr>
              <w:ind w:left="60"/>
              <w:spacing w:after="0"/>
              <w:rPr>
                <w:sz w:val="20"/>
                <w:szCs w:val="20"/>
                <w:color w:val="auto"/>
              </w:rPr>
            </w:pPr>
            <w:r>
              <w:rPr>
                <w:rFonts w:ascii="Arial" w:cs="Arial" w:eastAsia="Arial" w:hAnsi="Arial"/>
                <w:sz w:val="18"/>
                <w:szCs w:val="18"/>
                <w:color w:val="auto"/>
              </w:rPr>
              <w:t>Company</w:t>
            </w:r>
          </w:p>
        </w:tc>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2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Arial" w:cs="Arial" w:eastAsia="Arial" w:hAnsi="Arial"/>
                <w:sz w:val="18"/>
                <w:szCs w:val="18"/>
                <w:color w:val="auto"/>
              </w:rPr>
              <w:t>Samuel Gorlitz</w:t>
            </w:r>
          </w:p>
        </w:tc>
        <w:tc>
          <w:tcPr>
            <w:tcW w:w="1760" w:type="dxa"/>
            <w:vAlign w:val="bottom"/>
          </w:tcPr>
          <w:p>
            <w:pPr>
              <w:ind w:left="100"/>
              <w:spacing w:after="0"/>
              <w:rPr>
                <w:sz w:val="20"/>
                <w:szCs w:val="20"/>
                <w:color w:val="auto"/>
              </w:rPr>
            </w:pPr>
            <w:r>
              <w:rPr>
                <w:rFonts w:ascii="Arial" w:cs="Arial" w:eastAsia="Arial" w:hAnsi="Arial"/>
                <w:sz w:val="18"/>
                <w:szCs w:val="18"/>
                <w:color w:val="auto"/>
              </w:rPr>
              <w:t>Member</w:t>
            </w:r>
          </w:p>
        </w:tc>
        <w:tc>
          <w:tcPr>
            <w:tcW w:w="1080" w:type="dxa"/>
            <w:vAlign w:val="bottom"/>
          </w:tcPr>
          <w:p>
            <w:pPr>
              <w:jc w:val="center"/>
              <w:ind w:left="12"/>
              <w:spacing w:after="0"/>
              <w:rPr>
                <w:sz w:val="20"/>
                <w:szCs w:val="20"/>
                <w:color w:val="auto"/>
              </w:rPr>
            </w:pPr>
            <w:r>
              <w:rPr>
                <w:rFonts w:ascii="Arial" w:cs="Arial" w:eastAsia="Arial" w:hAnsi="Arial"/>
                <w:sz w:val="18"/>
                <w:szCs w:val="18"/>
                <w:color w:val="auto"/>
                <w:w w:val="87"/>
              </w:rPr>
              <w:t>5.0951%</w:t>
            </w:r>
          </w:p>
        </w:tc>
        <w:tc>
          <w:tcPr>
            <w:tcW w:w="0" w:type="dxa"/>
            <w:vAlign w:val="bottom"/>
          </w:tcPr>
          <w:p>
            <w:pPr>
              <w:spacing w:after="0"/>
              <w:rPr>
                <w:sz w:val="1"/>
                <w:szCs w:val="1"/>
                <w:color w:val="auto"/>
              </w:rPr>
            </w:pPr>
          </w:p>
        </w:tc>
      </w:tr>
      <w:tr>
        <w:trPr>
          <w:trHeight w:val="446"/>
        </w:trPr>
        <w:tc>
          <w:tcPr>
            <w:tcW w:w="2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Arial" w:cs="Arial" w:eastAsia="Arial" w:hAnsi="Arial"/>
                <w:sz w:val="18"/>
                <w:szCs w:val="18"/>
                <w:color w:val="auto"/>
              </w:rPr>
              <w:t>Daniel Lyons</w:t>
            </w:r>
          </w:p>
        </w:tc>
        <w:tc>
          <w:tcPr>
            <w:tcW w:w="1760" w:type="dxa"/>
            <w:vAlign w:val="bottom"/>
          </w:tcPr>
          <w:p>
            <w:pPr>
              <w:ind w:left="100"/>
              <w:spacing w:after="0"/>
              <w:rPr>
                <w:sz w:val="20"/>
                <w:szCs w:val="20"/>
                <w:color w:val="auto"/>
              </w:rPr>
            </w:pPr>
            <w:r>
              <w:rPr>
                <w:rFonts w:ascii="Arial" w:cs="Arial" w:eastAsia="Arial" w:hAnsi="Arial"/>
                <w:sz w:val="18"/>
                <w:szCs w:val="18"/>
                <w:color w:val="auto"/>
              </w:rPr>
              <w:t>Member</w:t>
            </w:r>
          </w:p>
        </w:tc>
        <w:tc>
          <w:tcPr>
            <w:tcW w:w="1080" w:type="dxa"/>
            <w:vAlign w:val="bottom"/>
          </w:tcPr>
          <w:p>
            <w:pPr>
              <w:jc w:val="center"/>
              <w:ind w:left="12"/>
              <w:spacing w:after="0"/>
              <w:rPr>
                <w:sz w:val="20"/>
                <w:szCs w:val="20"/>
                <w:color w:val="auto"/>
              </w:rPr>
            </w:pPr>
            <w:r>
              <w:rPr>
                <w:rFonts w:ascii="Arial" w:cs="Arial" w:eastAsia="Arial" w:hAnsi="Arial"/>
                <w:sz w:val="18"/>
                <w:szCs w:val="18"/>
                <w:color w:val="auto"/>
                <w:w w:val="87"/>
              </w:rPr>
              <w:t>1.3346%</w:t>
            </w:r>
          </w:p>
        </w:tc>
        <w:tc>
          <w:tcPr>
            <w:tcW w:w="0" w:type="dxa"/>
            <w:vAlign w:val="bottom"/>
          </w:tcPr>
          <w:p>
            <w:pPr>
              <w:spacing w:after="0"/>
              <w:rPr>
                <w:sz w:val="1"/>
                <w:szCs w:val="1"/>
                <w:color w:val="auto"/>
              </w:rPr>
            </w:pPr>
          </w:p>
        </w:tc>
      </w:tr>
      <w:tr>
        <w:trPr>
          <w:trHeight w:val="466"/>
        </w:trPr>
        <w:tc>
          <w:tcPr>
            <w:tcW w:w="2780" w:type="dxa"/>
            <w:vAlign w:val="bottom"/>
          </w:tcPr>
          <w:p>
            <w:pPr>
              <w:spacing w:after="0"/>
              <w:rPr>
                <w:sz w:val="20"/>
                <w:szCs w:val="20"/>
                <w:color w:val="auto"/>
              </w:rPr>
            </w:pPr>
            <w:r>
              <w:rPr>
                <w:rFonts w:ascii="Arial" w:cs="Arial" w:eastAsia="Arial" w:hAnsi="Arial"/>
                <w:sz w:val="18"/>
                <w:szCs w:val="18"/>
                <w:color w:val="auto"/>
              </w:rPr>
              <w:t>FEDERAL REALTY</w:t>
            </w:r>
          </w:p>
        </w:tc>
        <w:tc>
          <w:tcPr>
            <w:tcW w:w="1540" w:type="dxa"/>
            <w:vAlign w:val="bottom"/>
          </w:tcPr>
          <w:p>
            <w:pPr>
              <w:ind w:left="60"/>
              <w:spacing w:after="0"/>
              <w:rPr>
                <w:sz w:val="20"/>
                <w:szCs w:val="20"/>
                <w:color w:val="auto"/>
              </w:rPr>
            </w:pPr>
            <w:r>
              <w:rPr>
                <w:rFonts w:ascii="Arial" w:cs="Arial" w:eastAsia="Arial" w:hAnsi="Arial"/>
                <w:sz w:val="18"/>
                <w:szCs w:val="18"/>
                <w:color w:val="auto"/>
              </w:rPr>
              <w:t>Federal Realty</w:t>
            </w:r>
          </w:p>
        </w:tc>
        <w:tc>
          <w:tcPr>
            <w:tcW w:w="1760" w:type="dxa"/>
            <w:vAlign w:val="bottom"/>
          </w:tcPr>
          <w:p>
            <w:pPr>
              <w:ind w:left="100"/>
              <w:spacing w:after="0"/>
              <w:rPr>
                <w:sz w:val="20"/>
                <w:szCs w:val="20"/>
                <w:color w:val="auto"/>
              </w:rPr>
            </w:pPr>
            <w:r>
              <w:rPr>
                <w:rFonts w:ascii="Arial" w:cs="Arial" w:eastAsia="Arial" w:hAnsi="Arial"/>
                <w:sz w:val="18"/>
                <w:szCs w:val="18"/>
                <w:color w:val="auto"/>
              </w:rPr>
              <w:t>Sole stockholder</w:t>
            </w:r>
          </w:p>
        </w:tc>
        <w:tc>
          <w:tcPr>
            <w:tcW w:w="1080" w:type="dxa"/>
            <w:vAlign w:val="bottom"/>
          </w:tcPr>
          <w:p>
            <w:pPr>
              <w:jc w:val="center"/>
              <w:ind w:left="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w w:val="94"/>
              </w:rPr>
              <w:t>MANAGEMENT SERVICES, INC., a</w:t>
            </w:r>
          </w:p>
        </w:tc>
        <w:tc>
          <w:tcPr>
            <w:tcW w:w="1540" w:type="dxa"/>
            <w:vAlign w:val="bottom"/>
          </w:tcPr>
          <w:p>
            <w:pPr>
              <w:ind w:left="60"/>
              <w:spacing w:after="0"/>
              <w:rPr>
                <w:sz w:val="20"/>
                <w:szCs w:val="20"/>
                <w:color w:val="auto"/>
              </w:rPr>
            </w:pPr>
            <w:r>
              <w:rPr>
                <w:rFonts w:ascii="Arial" w:cs="Arial" w:eastAsia="Arial" w:hAnsi="Arial"/>
                <w:sz w:val="18"/>
                <w:szCs w:val="18"/>
                <w:color w:val="auto"/>
              </w:rPr>
              <w:t>Investment Trust</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Delaware corporation</w:t>
            </w: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w w:val="98"/>
              </w:rPr>
              <w:t>FRIT LEASING &amp; DEVELOPMENT</w:t>
            </w:r>
          </w:p>
        </w:tc>
        <w:tc>
          <w:tcPr>
            <w:tcW w:w="1540" w:type="dxa"/>
            <w:vAlign w:val="bottom"/>
          </w:tcPr>
          <w:p>
            <w:pPr>
              <w:ind w:left="60"/>
              <w:spacing w:after="0"/>
              <w:rPr>
                <w:sz w:val="20"/>
                <w:szCs w:val="20"/>
                <w:color w:val="auto"/>
              </w:rPr>
            </w:pPr>
            <w:r>
              <w:rPr>
                <w:rFonts w:ascii="Arial" w:cs="Arial" w:eastAsia="Arial" w:hAnsi="Arial"/>
                <w:sz w:val="18"/>
                <w:szCs w:val="18"/>
                <w:color w:val="auto"/>
              </w:rPr>
              <w:t>Federal Realty</w:t>
            </w:r>
          </w:p>
        </w:tc>
        <w:tc>
          <w:tcPr>
            <w:tcW w:w="1760" w:type="dxa"/>
            <w:vAlign w:val="bottom"/>
          </w:tcPr>
          <w:p>
            <w:pPr>
              <w:ind w:left="100"/>
              <w:spacing w:after="0"/>
              <w:rPr>
                <w:sz w:val="20"/>
                <w:szCs w:val="20"/>
                <w:color w:val="auto"/>
              </w:rPr>
            </w:pPr>
            <w:r>
              <w:rPr>
                <w:rFonts w:ascii="Arial" w:cs="Arial" w:eastAsia="Arial" w:hAnsi="Arial"/>
                <w:sz w:val="18"/>
                <w:szCs w:val="18"/>
                <w:color w:val="auto"/>
              </w:rPr>
              <w:t>Sole stockholder</w:t>
            </w:r>
          </w:p>
        </w:tc>
        <w:tc>
          <w:tcPr>
            <w:tcW w:w="1080" w:type="dxa"/>
            <w:vAlign w:val="bottom"/>
          </w:tcPr>
          <w:p>
            <w:pPr>
              <w:jc w:val="center"/>
              <w:ind w:left="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SERVICES, INC., a Delaware</w:t>
            </w:r>
          </w:p>
        </w:tc>
        <w:tc>
          <w:tcPr>
            <w:tcW w:w="1540" w:type="dxa"/>
            <w:vAlign w:val="bottom"/>
          </w:tcPr>
          <w:p>
            <w:pPr>
              <w:ind w:left="60"/>
              <w:spacing w:after="0"/>
              <w:rPr>
                <w:sz w:val="20"/>
                <w:szCs w:val="20"/>
                <w:color w:val="auto"/>
              </w:rPr>
            </w:pPr>
            <w:r>
              <w:rPr>
                <w:rFonts w:ascii="Arial" w:cs="Arial" w:eastAsia="Arial" w:hAnsi="Arial"/>
                <w:sz w:val="18"/>
                <w:szCs w:val="18"/>
                <w:color w:val="auto"/>
              </w:rPr>
              <w:t>Investment Trust</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corporation</w:t>
            </w:r>
          </w:p>
        </w:tc>
        <w:tc>
          <w:tcPr>
            <w:tcW w:w="1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w w:val="96"/>
              </w:rPr>
              <w:t>FRIT SANTANA ROW TRS, INC., a</w:t>
            </w:r>
          </w:p>
        </w:tc>
        <w:tc>
          <w:tcPr>
            <w:tcW w:w="1540" w:type="dxa"/>
            <w:vAlign w:val="bottom"/>
          </w:tcPr>
          <w:p>
            <w:pPr>
              <w:ind w:left="60"/>
              <w:spacing w:after="0"/>
              <w:rPr>
                <w:sz w:val="20"/>
                <w:szCs w:val="20"/>
                <w:color w:val="auto"/>
              </w:rPr>
            </w:pPr>
            <w:r>
              <w:rPr>
                <w:rFonts w:ascii="Arial" w:cs="Arial" w:eastAsia="Arial" w:hAnsi="Arial"/>
                <w:sz w:val="18"/>
                <w:szCs w:val="18"/>
                <w:color w:val="auto"/>
              </w:rPr>
              <w:t>FRIT Leasing &amp;</w:t>
            </w:r>
          </w:p>
        </w:tc>
        <w:tc>
          <w:tcPr>
            <w:tcW w:w="1760" w:type="dxa"/>
            <w:vAlign w:val="bottom"/>
          </w:tcPr>
          <w:p>
            <w:pPr>
              <w:ind w:left="100"/>
              <w:spacing w:after="0"/>
              <w:rPr>
                <w:sz w:val="20"/>
                <w:szCs w:val="20"/>
                <w:color w:val="auto"/>
              </w:rPr>
            </w:pPr>
            <w:r>
              <w:rPr>
                <w:rFonts w:ascii="Arial" w:cs="Arial" w:eastAsia="Arial" w:hAnsi="Arial"/>
                <w:sz w:val="18"/>
                <w:szCs w:val="18"/>
                <w:color w:val="auto"/>
              </w:rPr>
              <w:t>Sole stockholder</w:t>
            </w:r>
          </w:p>
        </w:tc>
        <w:tc>
          <w:tcPr>
            <w:tcW w:w="1080" w:type="dxa"/>
            <w:vAlign w:val="bottom"/>
          </w:tcPr>
          <w:p>
            <w:pPr>
              <w:jc w:val="center"/>
              <w:ind w:left="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Delaware corporation</w:t>
            </w:r>
          </w:p>
        </w:tc>
        <w:tc>
          <w:tcPr>
            <w:tcW w:w="1540" w:type="dxa"/>
            <w:vAlign w:val="bottom"/>
          </w:tcPr>
          <w:p>
            <w:pPr>
              <w:ind w:left="60"/>
              <w:spacing w:after="0"/>
              <w:rPr>
                <w:sz w:val="20"/>
                <w:szCs w:val="20"/>
                <w:color w:val="auto"/>
              </w:rPr>
            </w:pPr>
            <w:r>
              <w:rPr>
                <w:rFonts w:ascii="Arial" w:cs="Arial" w:eastAsia="Arial" w:hAnsi="Arial"/>
                <w:sz w:val="18"/>
                <w:szCs w:val="18"/>
                <w:color w:val="auto"/>
              </w:rPr>
              <w:t>Development</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540" w:type="dxa"/>
            <w:vAlign w:val="bottom"/>
          </w:tcPr>
          <w:p>
            <w:pPr>
              <w:ind w:left="60"/>
              <w:spacing w:after="0"/>
              <w:rPr>
                <w:sz w:val="20"/>
                <w:szCs w:val="20"/>
                <w:color w:val="auto"/>
              </w:rPr>
            </w:pPr>
            <w:r>
              <w:rPr>
                <w:rFonts w:ascii="Arial" w:cs="Arial" w:eastAsia="Arial" w:hAnsi="Arial"/>
                <w:sz w:val="18"/>
                <w:szCs w:val="18"/>
                <w:color w:val="auto"/>
              </w:rPr>
              <w:t>Services, Inc.</w:t>
            </w:r>
          </w:p>
        </w:tc>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FEDERAL REALTY PARTNERS,</w:t>
            </w:r>
          </w:p>
        </w:tc>
        <w:tc>
          <w:tcPr>
            <w:tcW w:w="1540" w:type="dxa"/>
            <w:vAlign w:val="bottom"/>
          </w:tcPr>
          <w:p>
            <w:pPr>
              <w:ind w:left="60"/>
              <w:spacing w:after="0"/>
              <w:rPr>
                <w:sz w:val="20"/>
                <w:szCs w:val="20"/>
                <w:color w:val="auto"/>
              </w:rPr>
            </w:pPr>
            <w:r>
              <w:rPr>
                <w:rFonts w:ascii="Arial" w:cs="Arial" w:eastAsia="Arial" w:hAnsi="Arial"/>
                <w:sz w:val="18"/>
                <w:szCs w:val="18"/>
                <w:color w:val="auto"/>
              </w:rPr>
              <w:t>Federal Realty</w:t>
            </w:r>
          </w:p>
        </w:tc>
        <w:tc>
          <w:tcPr>
            <w:tcW w:w="1760" w:type="dxa"/>
            <w:vAlign w:val="bottom"/>
          </w:tcPr>
          <w:p>
            <w:pPr>
              <w:ind w:left="100"/>
              <w:spacing w:after="0"/>
              <w:rPr>
                <w:sz w:val="20"/>
                <w:szCs w:val="20"/>
                <w:color w:val="auto"/>
              </w:rPr>
            </w:pPr>
            <w:r>
              <w:rPr>
                <w:rFonts w:ascii="Arial" w:cs="Arial" w:eastAsia="Arial" w:hAnsi="Arial"/>
                <w:sz w:val="18"/>
                <w:szCs w:val="18"/>
                <w:color w:val="auto"/>
              </w:rPr>
              <w:t>Sole stockholder</w:t>
            </w:r>
          </w:p>
        </w:tc>
        <w:tc>
          <w:tcPr>
            <w:tcW w:w="1080" w:type="dxa"/>
            <w:vAlign w:val="bottom"/>
          </w:tcPr>
          <w:p>
            <w:pPr>
              <w:jc w:val="center"/>
              <w:ind w:left="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INC., a Delaware corporation</w:t>
            </w:r>
          </w:p>
        </w:tc>
        <w:tc>
          <w:tcPr>
            <w:tcW w:w="1540" w:type="dxa"/>
            <w:vAlign w:val="bottom"/>
          </w:tcPr>
          <w:p>
            <w:pPr>
              <w:ind w:left="60"/>
              <w:spacing w:after="0"/>
              <w:rPr>
                <w:sz w:val="20"/>
                <w:szCs w:val="20"/>
                <w:color w:val="auto"/>
              </w:rPr>
            </w:pPr>
            <w:r>
              <w:rPr>
                <w:rFonts w:ascii="Arial" w:cs="Arial" w:eastAsia="Arial" w:hAnsi="Arial"/>
                <w:sz w:val="18"/>
                <w:szCs w:val="18"/>
                <w:color w:val="auto"/>
              </w:rPr>
              <w:t>Investment Trust</w:t>
            </w:r>
          </w:p>
        </w:tc>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FEDERAL REALTY PARTNERS</w:t>
            </w:r>
          </w:p>
        </w:tc>
        <w:tc>
          <w:tcPr>
            <w:tcW w:w="1540" w:type="dxa"/>
            <w:vAlign w:val="bottom"/>
          </w:tcPr>
          <w:p>
            <w:pPr>
              <w:ind w:left="60"/>
              <w:spacing w:after="0"/>
              <w:rPr>
                <w:sz w:val="20"/>
                <w:szCs w:val="20"/>
                <w:color w:val="auto"/>
              </w:rPr>
            </w:pPr>
            <w:r>
              <w:rPr>
                <w:rFonts w:ascii="Arial" w:cs="Arial" w:eastAsia="Arial" w:hAnsi="Arial"/>
                <w:sz w:val="18"/>
                <w:szCs w:val="18"/>
                <w:color w:val="auto"/>
              </w:rPr>
              <w:t>Federal Realty</w:t>
            </w:r>
          </w:p>
        </w:tc>
        <w:tc>
          <w:tcPr>
            <w:tcW w:w="176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1080" w:type="dxa"/>
            <w:vAlign w:val="bottom"/>
          </w:tcPr>
          <w:p>
            <w:pPr>
              <w:jc w:val="center"/>
              <w:ind w:left="32"/>
              <w:spacing w:after="0"/>
              <w:rPr>
                <w:sz w:val="20"/>
                <w:szCs w:val="20"/>
                <w:color w:val="auto"/>
              </w:rPr>
            </w:pPr>
            <w:r>
              <w:rPr>
                <w:rFonts w:ascii="Arial" w:cs="Arial" w:eastAsia="Arial" w:hAnsi="Arial"/>
                <w:sz w:val="18"/>
                <w:szCs w:val="18"/>
                <w:color w:val="auto"/>
                <w:w w:val="88"/>
              </w:rPr>
              <w:t>509,039 units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w w:val="96"/>
              </w:rPr>
              <w:t>L.P., a Delaware limited partnership</w:t>
            </w:r>
          </w:p>
        </w:tc>
        <w:tc>
          <w:tcPr>
            <w:tcW w:w="1540" w:type="dxa"/>
            <w:vAlign w:val="bottom"/>
          </w:tcPr>
          <w:p>
            <w:pPr>
              <w:ind w:left="60"/>
              <w:spacing w:after="0"/>
              <w:rPr>
                <w:sz w:val="20"/>
                <w:szCs w:val="20"/>
                <w:color w:val="auto"/>
              </w:rPr>
            </w:pPr>
            <w:r>
              <w:rPr>
                <w:rFonts w:ascii="Arial" w:cs="Arial" w:eastAsia="Arial" w:hAnsi="Arial"/>
                <w:sz w:val="18"/>
                <w:szCs w:val="18"/>
                <w:color w:val="auto"/>
              </w:rPr>
              <w:t>Partners, Inc.</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(Master DownREIT)</w:t>
            </w:r>
          </w:p>
        </w:tc>
        <w:tc>
          <w:tcPr>
            <w:tcW w:w="1540" w:type="dxa"/>
            <w:vAlign w:val="bottom"/>
            <w:vMerge w:val="restart"/>
          </w:tcPr>
          <w:p>
            <w:pPr>
              <w:ind w:left="60"/>
              <w:spacing w:after="0"/>
              <w:rPr>
                <w:sz w:val="20"/>
                <w:szCs w:val="20"/>
                <w:color w:val="auto"/>
              </w:rPr>
            </w:pPr>
            <w:r>
              <w:rPr>
                <w:rFonts w:ascii="Arial" w:cs="Arial" w:eastAsia="Arial" w:hAnsi="Arial"/>
                <w:sz w:val="18"/>
                <w:szCs w:val="18"/>
                <w:color w:val="auto"/>
              </w:rPr>
              <w:t>FRLP, Inc.</w:t>
            </w: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Limited partner</w:t>
            </w:r>
          </w:p>
        </w:tc>
        <w:tc>
          <w:tcPr>
            <w:tcW w:w="108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40 units</w:t>
            </w:r>
          </w:p>
        </w:tc>
        <w:tc>
          <w:tcPr>
            <w:tcW w:w="0" w:type="dxa"/>
            <w:vAlign w:val="bottom"/>
          </w:tcPr>
          <w:p>
            <w:pPr>
              <w:spacing w:after="0"/>
              <w:rPr>
                <w:sz w:val="1"/>
                <w:szCs w:val="1"/>
                <w:color w:val="auto"/>
              </w:rPr>
            </w:pPr>
          </w:p>
        </w:tc>
      </w:tr>
      <w:tr>
        <w:trPr>
          <w:trHeight w:val="81"/>
        </w:trPr>
        <w:tc>
          <w:tcPr>
            <w:tcW w:w="27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Arial" w:cs="Arial" w:eastAsia="Arial" w:hAnsi="Arial"/>
                <w:sz w:val="18"/>
                <w:szCs w:val="18"/>
                <w:color w:val="auto"/>
                <w:w w:val="97"/>
              </w:rPr>
              <w:t>N. Richard Kimmel</w:t>
            </w:r>
          </w:p>
        </w:tc>
        <w:tc>
          <w:tcPr>
            <w:tcW w:w="1760" w:type="dxa"/>
            <w:vAlign w:val="bottom"/>
          </w:tcPr>
          <w:p>
            <w:pPr>
              <w:ind w:left="100"/>
              <w:spacing w:after="0"/>
              <w:rPr>
                <w:sz w:val="20"/>
                <w:szCs w:val="20"/>
                <w:color w:val="auto"/>
              </w:rPr>
            </w:pPr>
            <w:r>
              <w:rPr>
                <w:rFonts w:ascii="Arial" w:cs="Arial" w:eastAsia="Arial" w:hAnsi="Arial"/>
                <w:sz w:val="18"/>
                <w:szCs w:val="18"/>
                <w:color w:val="auto"/>
              </w:rPr>
              <w:t>Limited partner</w:t>
            </w:r>
          </w:p>
        </w:tc>
        <w:tc>
          <w:tcPr>
            <w:tcW w:w="1080" w:type="dxa"/>
            <w:vAlign w:val="bottom"/>
          </w:tcPr>
          <w:p>
            <w:pPr>
              <w:jc w:val="center"/>
              <w:ind w:left="32"/>
              <w:spacing w:after="0"/>
              <w:rPr>
                <w:sz w:val="20"/>
                <w:szCs w:val="20"/>
                <w:color w:val="auto"/>
              </w:rPr>
            </w:pPr>
            <w:r>
              <w:rPr>
                <w:rFonts w:ascii="Arial" w:cs="Arial" w:eastAsia="Arial" w:hAnsi="Arial"/>
                <w:sz w:val="18"/>
                <w:szCs w:val="18"/>
                <w:color w:val="auto"/>
                <w:w w:val="88"/>
              </w:rPr>
              <w:t>146,248 units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tcPr>
          <w:p>
            <w:pPr>
              <w:ind w:left="1160"/>
              <w:spacing w:after="0"/>
              <w:rPr>
                <w:sz w:val="20"/>
                <w:szCs w:val="20"/>
                <w:color w:val="auto"/>
              </w:rPr>
            </w:pPr>
            <w:r>
              <w:rPr>
                <w:rFonts w:ascii="Arial" w:cs="Arial" w:eastAsia="Arial" w:hAnsi="Arial"/>
                <w:sz w:val="18"/>
                <w:szCs w:val="18"/>
                <w:color w:val="auto"/>
              </w:rPr>
              <w:t>Page 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100"/>
        <w:spacing w:after="0" w:line="332" w:lineRule="auto"/>
        <w:rPr>
          <w:sz w:val="20"/>
          <w:szCs w:val="20"/>
          <w:color w:val="auto"/>
        </w:rPr>
      </w:pPr>
      <w:r>
        <w:rPr>
          <w:rFonts w:ascii="Arial" w:cs="Arial" w:eastAsia="Arial" w:hAnsi="Arial"/>
          <w:sz w:val="16"/>
          <w:szCs w:val="16"/>
          <w:color w:val="auto"/>
        </w:rPr>
        <w:t>Owner of Non-Controlled Property</w:t>
      </w:r>
    </w:p>
    <w:p>
      <w:pPr>
        <w:spacing w:after="0" w:line="4" w:lineRule="exact"/>
        <w:rPr>
          <w:sz w:val="20"/>
          <w:szCs w:val="20"/>
          <w:color w:val="auto"/>
        </w:rPr>
      </w:pPr>
    </w:p>
    <w:p>
      <w:pPr>
        <w:ind w:left="220" w:hanging="212"/>
        <w:spacing w:after="0" w:line="284" w:lineRule="auto"/>
        <w:tabs>
          <w:tab w:leader="none" w:pos="19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Congressional Plaza Shopping Center, Rockville,</w:t>
      </w:r>
    </w:p>
    <w:p>
      <w:pPr>
        <w:spacing w:after="0" w:line="1"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MD</w:t>
      </w:r>
    </w:p>
    <w:p>
      <w:pPr>
        <w:spacing w:after="0" w:line="9" w:lineRule="exact"/>
        <w:rPr>
          <w:rFonts w:ascii="Arial" w:cs="Arial" w:eastAsia="Arial" w:hAnsi="Arial"/>
          <w:sz w:val="16"/>
          <w:szCs w:val="16"/>
          <w:color w:val="auto"/>
        </w:rPr>
      </w:pPr>
    </w:p>
    <w:p>
      <w:pPr>
        <w:ind w:left="220" w:right="80" w:hanging="212"/>
        <w:spacing w:after="0" w:line="281" w:lineRule="auto"/>
        <w:tabs>
          <w:tab w:leader="none" w:pos="19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Crest at Congressional Plaza, Rockville,</w:t>
      </w:r>
    </w:p>
    <w:p>
      <w:pPr>
        <w:spacing w:after="0" w:line="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0" w:lineRule="exact"/>
        <w:rPr>
          <w:sz w:val="20"/>
          <w:szCs w:val="20"/>
          <w:color w:val="auto"/>
        </w:rPr>
      </w:pPr>
      <w:r>
        <w:rPr>
          <w:sz w:val="20"/>
          <w:szCs w:val="20"/>
          <w:color w:val="auto"/>
        </w:rPr>
        <w:br w:type="column"/>
      </w:r>
    </w:p>
    <w:p>
      <w:pPr>
        <w:ind w:left="220" w:right="40" w:hanging="210"/>
        <w:spacing w:after="0" w:line="298" w:lineRule="auto"/>
        <w:tabs>
          <w:tab w:leader="none" w:pos="19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Rockville Plaza Company (“RPC”) has right to require other partners to buy 1/2 to all of RPC’s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220" w:right="80" w:hanging="210"/>
        <w:spacing w:after="0" w:line="298" w:lineRule="auto"/>
        <w:tabs>
          <w:tab w:leader="none" w:pos="19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Right to exchange partnership units for Federal Realty stock or cash (at Federal Realty’s option); and</w:t>
      </w:r>
    </w:p>
    <w:p>
      <w:pPr>
        <w:sectPr>
          <w:pgSz w:w="11900" w:h="16838" w:orient="portrait"/>
          <w:cols w:equalWidth="0" w:num="3">
            <w:col w:w="7160" w:space="160"/>
            <w:col w:w="1500" w:space="200"/>
            <w:col w:w="2400"/>
          </w:cols>
          <w:pgMar w:left="240" w:top="257" w:right="239" w:bottom="1440" w:gutter="0" w:footer="0" w:header="0"/>
          <w:type w:val="continuous"/>
        </w:sectPr>
      </w:pPr>
    </w:p>
    <w:bookmarkStart w:id="155" w:name="page156"/>
    <w:bookmarkEnd w:id="155"/>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13" w:lineRule="exact"/>
        <w:rPr>
          <w:sz w:val="20"/>
          <w:szCs w:val="20"/>
          <w:color w:val="auto"/>
        </w:rPr>
      </w:pPr>
    </w:p>
    <w:p>
      <w:pPr>
        <w:ind w:left="460"/>
        <w:spacing w:after="0"/>
        <w:tabs>
          <w:tab w:leader="none" w:pos="4720" w:val="left"/>
          <w:tab w:leader="none" w:pos="7540" w:val="left"/>
        </w:tabs>
        <w:rPr>
          <w:sz w:val="20"/>
          <w:szCs w:val="20"/>
          <w:color w:val="auto"/>
        </w:rPr>
      </w:pPr>
      <w:r>
        <w:rPr>
          <w:rFonts w:ascii="Arial" w:cs="Arial" w:eastAsia="Arial" w:hAnsi="Arial"/>
          <w:sz w:val="14"/>
          <w:szCs w:val="14"/>
          <w:b w:val="1"/>
          <w:bCs w:val="1"/>
          <w:color w:val="auto"/>
        </w:rPr>
        <w:t>ENTITY NAME/Jurisdiction of</w:t>
      </w:r>
      <w:r>
        <w:rPr>
          <w:sz w:val="20"/>
          <w:szCs w:val="20"/>
          <w:color w:val="auto"/>
        </w:rPr>
        <w:tab/>
      </w:r>
      <w:r>
        <w:rPr>
          <w:rFonts w:ascii="Arial" w:cs="Arial" w:eastAsia="Arial" w:hAnsi="Arial"/>
          <w:sz w:val="14"/>
          <w:szCs w:val="14"/>
          <w:b w:val="1"/>
          <w:bCs w:val="1"/>
          <w:color w:val="auto"/>
        </w:rPr>
        <w:t>Nature of Equity</w:t>
      </w:r>
      <w:r>
        <w:rPr>
          <w:sz w:val="20"/>
          <w:szCs w:val="20"/>
          <w:color w:val="auto"/>
        </w:rPr>
        <w:tab/>
      </w:r>
      <w:r>
        <w:rPr>
          <w:rFonts w:ascii="Arial" w:cs="Arial" w:eastAsia="Arial" w:hAnsi="Arial"/>
          <w:sz w:val="12"/>
          <w:szCs w:val="12"/>
          <w:b w:val="1"/>
          <w:bCs w:val="1"/>
          <w:color w:val="auto"/>
        </w:rPr>
        <w:t>Material and/or</w:t>
      </w:r>
    </w:p>
    <w:p>
      <w:pPr>
        <w:spacing w:after="0" w:line="1" w:lineRule="exact"/>
        <w:rPr>
          <w:sz w:val="20"/>
          <w:szCs w:val="20"/>
          <w:color w:val="auto"/>
        </w:rPr>
      </w:pPr>
    </w:p>
    <w:p>
      <w:pPr>
        <w:ind w:left="1060"/>
        <w:spacing w:after="0"/>
        <w:tabs>
          <w:tab w:leader="none" w:pos="3180" w:val="left"/>
          <w:tab w:leader="none" w:pos="4980" w:val="left"/>
          <w:tab w:leader="none" w:pos="6080" w:val="left"/>
          <w:tab w:leader="none" w:pos="7400" w:val="left"/>
          <w:tab w:leader="none" w:pos="9060" w:val="left"/>
        </w:tabs>
        <w:rPr>
          <w:sz w:val="20"/>
          <w:szCs w:val="20"/>
          <w:color w:val="auto"/>
        </w:rPr>
      </w:pPr>
      <w:r>
        <w:rPr>
          <w:rFonts w:ascii="Arial" w:cs="Arial" w:eastAsia="Arial" w:hAnsi="Arial"/>
          <w:sz w:val="14"/>
          <w:szCs w:val="14"/>
          <w:b w:val="1"/>
          <w:bCs w:val="1"/>
          <w:color w:val="auto"/>
        </w:rPr>
        <w:t>Formation</w:t>
      </w:r>
      <w:r>
        <w:rPr>
          <w:sz w:val="20"/>
          <w:szCs w:val="20"/>
          <w:color w:val="auto"/>
        </w:rPr>
        <w:tab/>
      </w:r>
      <w:r>
        <w:rPr>
          <w:rFonts w:ascii="Arial" w:cs="Arial" w:eastAsia="Arial" w:hAnsi="Arial"/>
          <w:sz w:val="14"/>
          <w:szCs w:val="14"/>
          <w:b w:val="1"/>
          <w:bCs w:val="1"/>
          <w:color w:val="auto"/>
        </w:rPr>
        <w:t>Equity Holders</w:t>
      </w:r>
      <w:r>
        <w:rPr>
          <w:sz w:val="20"/>
          <w:szCs w:val="20"/>
          <w:color w:val="auto"/>
        </w:rPr>
        <w:tab/>
      </w:r>
      <w:r>
        <w:rPr>
          <w:rFonts w:ascii="Arial" w:cs="Arial" w:eastAsia="Arial" w:hAnsi="Arial"/>
          <w:sz w:val="14"/>
          <w:szCs w:val="14"/>
          <w:b w:val="1"/>
          <w:bCs w:val="1"/>
          <w:color w:val="auto"/>
        </w:rPr>
        <w:t>Interest</w:t>
      </w:r>
      <w:r>
        <w:rPr>
          <w:sz w:val="20"/>
          <w:szCs w:val="20"/>
          <w:color w:val="auto"/>
        </w:rPr>
        <w:tab/>
      </w:r>
      <w:r>
        <w:rPr>
          <w:rFonts w:ascii="Arial" w:cs="Arial" w:eastAsia="Arial" w:hAnsi="Arial"/>
          <w:sz w:val="14"/>
          <w:szCs w:val="14"/>
          <w:b w:val="1"/>
          <w:bCs w:val="1"/>
          <w:color w:val="auto"/>
        </w:rPr>
        <w:t>% Ownership</w:t>
      </w:r>
      <w:r>
        <w:rPr>
          <w:sz w:val="20"/>
          <w:szCs w:val="20"/>
          <w:color w:val="auto"/>
        </w:rPr>
        <w:tab/>
      </w:r>
      <w:r>
        <w:rPr>
          <w:rFonts w:ascii="Arial" w:cs="Arial" w:eastAsia="Arial" w:hAnsi="Arial"/>
          <w:sz w:val="14"/>
          <w:szCs w:val="14"/>
          <w:b w:val="1"/>
          <w:bCs w:val="1"/>
          <w:color w:val="auto"/>
        </w:rPr>
        <w:t>Excluded Subsidiary</w:t>
      </w:r>
      <w:r>
        <w:rPr>
          <w:sz w:val="20"/>
          <w:szCs w:val="20"/>
          <w:color w:val="auto"/>
        </w:rPr>
        <w:tab/>
      </w:r>
      <w:r>
        <w:rPr>
          <w:rFonts w:ascii="Arial" w:cs="Arial" w:eastAsia="Arial" w:hAnsi="Arial"/>
          <w:sz w:val="12"/>
          <w:szCs w:val="12"/>
          <w:b w:val="1"/>
          <w:bCs w:val="1"/>
          <w:u w:val="single" w:color="auto"/>
          <w:color w:val="auto"/>
        </w:rPr>
        <w:t>Liens, Options, Registration Rights, etc.</w:t>
      </w:r>
    </w:p>
    <w:p>
      <w:pPr>
        <w:sectPr>
          <w:pgSz w:w="11900" w:h="16838" w:orient="portrait"/>
          <w:cols w:equalWidth="0" w:num="1">
            <w:col w:w="11380"/>
          </w:cols>
          <w:pgMar w:left="240" w:top="274" w:right="279" w:bottom="1440" w:gutter="0" w:footer="0" w:header="0"/>
        </w:sectPr>
      </w:pPr>
    </w:p>
    <w:tbl>
      <w:tblPr>
        <w:tblLayout w:type="fixed"/>
        <w:tblInd w:w="0" w:type="dxa"/>
        <w:tblCellMar>
          <w:top w:w="0" w:type="dxa"/>
          <w:left w:w="0" w:type="dxa"/>
          <w:bottom w:w="0" w:type="dxa"/>
          <w:right w:w="0" w:type="dxa"/>
        </w:tblCellMar>
      </w:tblPr>
      <w:tr>
        <w:trPr>
          <w:trHeight w:val="201"/>
        </w:trPr>
        <w:tc>
          <w:tcPr>
            <w:tcW w:w="2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Frank J. Lodato By-</w:t>
            </w: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Limited partner</w:t>
            </w:r>
          </w:p>
        </w:tc>
        <w:tc>
          <w:tcPr>
            <w:tcW w:w="120" w:type="dxa"/>
            <w:vAlign w:val="bottom"/>
          </w:tcPr>
          <w:p>
            <w:pPr>
              <w:spacing w:after="0"/>
              <w:rPr>
                <w:sz w:val="17"/>
                <w:szCs w:val="17"/>
                <w:color w:val="auto"/>
              </w:rPr>
            </w:pPr>
          </w:p>
        </w:tc>
        <w:tc>
          <w:tcPr>
            <w:tcW w:w="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4,528 units</w:t>
            </w: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r>
      <w:tr>
        <w:trPr>
          <w:trHeight w:val="222"/>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Pass Trust*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91"/>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w w:val="91"/>
              </w:rPr>
              <w:t>Frank J. Lodato QTIP</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2,683 units</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Trust No. 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04"/>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w w:val="91"/>
              </w:rPr>
              <w:t>Frank J. Lodato QTIP</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9,558 units</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Trust No. 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04"/>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Jane Bush Miller</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86,721 units</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Trust*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04"/>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Charles H. Gunn</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21,769 units</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Revocable Trust*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1"/>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Elaine Price</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2,026 units</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1"/>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Ernest Carter</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18,000 units</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1"/>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Benjamin Weiner</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30,508 units</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1"/>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Asghar Afsharnia</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30,508 units</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1"/>
        </w:trPr>
        <w:tc>
          <w:tcPr>
            <w:tcW w:w="2740" w:type="dxa"/>
            <w:vAlign w:val="bottom"/>
          </w:tcPr>
          <w:p>
            <w:pPr>
              <w:spacing w:after="0"/>
              <w:rPr>
                <w:sz w:val="20"/>
                <w:szCs w:val="20"/>
                <w:color w:val="auto"/>
              </w:rPr>
            </w:pPr>
            <w:r>
              <w:rPr>
                <w:rFonts w:ascii="Arial" w:cs="Arial" w:eastAsia="Arial" w:hAnsi="Arial"/>
                <w:sz w:val="18"/>
                <w:szCs w:val="18"/>
                <w:color w:val="auto"/>
                <w:w w:val="94"/>
              </w:rPr>
              <w:t>FRLP, INC., a Delaware corporation</w:t>
            </w:r>
          </w:p>
        </w:tc>
        <w:tc>
          <w:tcPr>
            <w:tcW w:w="1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Federal Realty</w:t>
            </w: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 stockholder</w:t>
            </w:r>
          </w:p>
        </w:tc>
        <w:tc>
          <w:tcPr>
            <w:tcW w:w="1100" w:type="dxa"/>
            <w:vAlign w:val="bottom"/>
            <w:gridSpan w:val="2"/>
          </w:tcPr>
          <w:p>
            <w:pPr>
              <w:jc w:val="center"/>
              <w:ind w:left="12"/>
              <w:spacing w:after="0"/>
              <w:rPr>
                <w:sz w:val="20"/>
                <w:szCs w:val="20"/>
                <w:color w:val="auto"/>
              </w:rPr>
            </w:pPr>
            <w:r>
              <w:rPr>
                <w:rFonts w:ascii="Arial" w:cs="Arial" w:eastAsia="Arial" w:hAnsi="Arial"/>
                <w:sz w:val="18"/>
                <w:szCs w:val="18"/>
                <w:color w:val="auto"/>
                <w:w w:val="86"/>
              </w:rPr>
              <w:t>100%</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r>
      <w:tr>
        <w:trPr>
          <w:trHeight w:val="222"/>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Investment Trust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ind w:left="220" w:right="200" w:hanging="210"/>
        <w:spacing w:after="0" w:line="294" w:lineRule="auto"/>
        <w:tabs>
          <w:tab w:leader="none" w:pos="18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partners marked with an asterisk have registration rights for stock issued on redemption of partnership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ectPr>
          <w:pgSz w:w="11900" w:h="16838" w:orient="portrait"/>
          <w:cols w:equalWidth="0" w:num="2">
            <w:col w:w="8920" w:space="100"/>
            <w:col w:w="2360"/>
          </w:cols>
          <w:pgMar w:left="240" w:top="274" w:right="2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FR CROW CANYON, INC. F/K/A</w:t>
            </w:r>
          </w:p>
        </w:tc>
        <w:tc>
          <w:tcPr>
            <w:tcW w:w="1660" w:type="dxa"/>
            <w:vAlign w:val="bottom"/>
          </w:tcPr>
          <w:p>
            <w:pPr>
              <w:ind w:left="60"/>
              <w:spacing w:after="0"/>
              <w:rPr>
                <w:sz w:val="20"/>
                <w:szCs w:val="20"/>
                <w:color w:val="auto"/>
              </w:rPr>
            </w:pPr>
            <w:r>
              <w:rPr>
                <w:rFonts w:ascii="Arial" w:cs="Arial" w:eastAsia="Arial" w:hAnsi="Arial"/>
                <w:sz w:val="18"/>
                <w:szCs w:val="18"/>
                <w:color w:val="auto"/>
              </w:rPr>
              <w:t>Federal Realty</w:t>
            </w:r>
          </w:p>
        </w:tc>
        <w:tc>
          <w:tcPr>
            <w:tcW w:w="1580" w:type="dxa"/>
            <w:vAlign w:val="bottom"/>
          </w:tcPr>
          <w:p>
            <w:pPr>
              <w:ind w:left="100"/>
              <w:spacing w:after="0"/>
              <w:rPr>
                <w:sz w:val="20"/>
                <w:szCs w:val="20"/>
                <w:color w:val="auto"/>
              </w:rPr>
            </w:pPr>
            <w:r>
              <w:rPr>
                <w:rFonts w:ascii="Arial" w:cs="Arial" w:eastAsia="Arial" w:hAnsi="Arial"/>
                <w:sz w:val="18"/>
                <w:szCs w:val="18"/>
                <w:color w:val="auto"/>
              </w:rPr>
              <w:t>Sole stockholder</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880" w:type="dxa"/>
            <w:vAlign w:val="bottom"/>
          </w:tcPr>
          <w:p>
            <w:pPr>
              <w:ind w:left="200"/>
              <w:spacing w:after="0"/>
              <w:rPr>
                <w:sz w:val="20"/>
                <w:szCs w:val="20"/>
                <w:color w:val="auto"/>
              </w:rPr>
            </w:pPr>
            <w:r>
              <w:rPr>
                <w:rFonts w:ascii="Arial" w:cs="Arial" w:eastAsia="Arial" w:hAnsi="Arial"/>
                <w:sz w:val="18"/>
                <w:szCs w:val="18"/>
                <w:color w:val="auto"/>
              </w:rPr>
              <w:t>Excluded subsidiary</w:t>
            </w:r>
          </w:p>
        </w:tc>
        <w:tc>
          <w:tcPr>
            <w:tcW w:w="620" w:type="dxa"/>
            <w:vAlign w:val="bottom"/>
          </w:tcPr>
          <w:p>
            <w:pPr>
              <w:ind w:left="240"/>
              <w:spacing w:after="0"/>
              <w:rPr>
                <w:sz w:val="20"/>
                <w:szCs w:val="20"/>
                <w:color w:val="auto"/>
              </w:rPr>
            </w:pPr>
            <w:r>
              <w:rPr>
                <w:rFonts w:ascii="Arial" w:cs="Arial" w:eastAsia="Arial" w:hAnsi="Arial"/>
                <w:sz w:val="18"/>
                <w:szCs w:val="18"/>
                <w:color w:val="auto"/>
                <w:w w:val="83"/>
              </w:rPr>
              <w:t>None</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w w:val="91"/>
              </w:rPr>
              <w:t>JS&amp;DB, INC., a Delaware corporation</w:t>
            </w:r>
          </w:p>
        </w:tc>
        <w:tc>
          <w:tcPr>
            <w:tcW w:w="1660" w:type="dxa"/>
            <w:vAlign w:val="bottom"/>
          </w:tcPr>
          <w:p>
            <w:pPr>
              <w:ind w:left="60"/>
              <w:spacing w:after="0"/>
              <w:rPr>
                <w:sz w:val="20"/>
                <w:szCs w:val="20"/>
                <w:color w:val="auto"/>
              </w:rPr>
            </w:pPr>
            <w:r>
              <w:rPr>
                <w:rFonts w:ascii="Arial" w:cs="Arial" w:eastAsia="Arial" w:hAnsi="Arial"/>
                <w:sz w:val="18"/>
                <w:szCs w:val="18"/>
                <w:color w:val="auto"/>
              </w:rPr>
              <w:t>Investment Trust</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FR CROW CANYON, LLC, a</w:t>
            </w:r>
          </w:p>
        </w:tc>
        <w:tc>
          <w:tcPr>
            <w:tcW w:w="1660" w:type="dxa"/>
            <w:vAlign w:val="bottom"/>
          </w:tcPr>
          <w:p>
            <w:pPr>
              <w:ind w:left="60"/>
              <w:spacing w:after="0"/>
              <w:rPr>
                <w:sz w:val="20"/>
                <w:szCs w:val="20"/>
                <w:color w:val="auto"/>
              </w:rPr>
            </w:pPr>
            <w:r>
              <w:rPr>
                <w:rFonts w:ascii="Arial" w:cs="Arial" w:eastAsia="Arial" w:hAnsi="Arial"/>
                <w:sz w:val="18"/>
                <w:szCs w:val="18"/>
                <w:color w:val="auto"/>
              </w:rPr>
              <w:t>FR Crow Canyon,</w:t>
            </w:r>
          </w:p>
        </w:tc>
        <w:tc>
          <w:tcPr>
            <w:tcW w:w="1580" w:type="dxa"/>
            <w:vAlign w:val="bottom"/>
          </w:tcPr>
          <w:p>
            <w:pPr>
              <w:ind w:left="100"/>
              <w:spacing w:after="0"/>
              <w:rPr>
                <w:sz w:val="20"/>
                <w:szCs w:val="20"/>
                <w:color w:val="auto"/>
              </w:rPr>
            </w:pPr>
            <w:r>
              <w:rPr>
                <w:rFonts w:ascii="Arial" w:cs="Arial" w:eastAsia="Arial" w:hAnsi="Arial"/>
                <w:sz w:val="18"/>
                <w:szCs w:val="18"/>
                <w:color w:val="auto"/>
              </w:rPr>
              <w:t>Sole member</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880" w:type="dxa"/>
            <w:vAlign w:val="bottom"/>
          </w:tcPr>
          <w:p>
            <w:pPr>
              <w:ind w:left="200"/>
              <w:spacing w:after="0"/>
              <w:rPr>
                <w:sz w:val="20"/>
                <w:szCs w:val="20"/>
                <w:color w:val="auto"/>
              </w:rPr>
            </w:pPr>
            <w:r>
              <w:rPr>
                <w:rFonts w:ascii="Arial" w:cs="Arial" w:eastAsia="Arial" w:hAnsi="Arial"/>
                <w:sz w:val="18"/>
                <w:szCs w:val="18"/>
                <w:color w:val="auto"/>
              </w:rPr>
              <w:t>Excluded subsidiary</w:t>
            </w:r>
          </w:p>
        </w:tc>
        <w:tc>
          <w:tcPr>
            <w:tcW w:w="620" w:type="dxa"/>
            <w:vAlign w:val="bottom"/>
          </w:tcPr>
          <w:p>
            <w:pPr>
              <w:ind w:left="240"/>
              <w:spacing w:after="0"/>
              <w:rPr>
                <w:sz w:val="20"/>
                <w:szCs w:val="20"/>
                <w:color w:val="auto"/>
              </w:rPr>
            </w:pPr>
            <w:r>
              <w:rPr>
                <w:rFonts w:ascii="Arial" w:cs="Arial" w:eastAsia="Arial" w:hAnsi="Arial"/>
                <w:sz w:val="18"/>
                <w:szCs w:val="18"/>
                <w:color w:val="auto"/>
                <w:w w:val="83"/>
              </w:rPr>
              <w:t>None</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660" w:type="dxa"/>
            <w:vAlign w:val="bottom"/>
          </w:tcPr>
          <w:p>
            <w:pPr>
              <w:ind w:left="60"/>
              <w:spacing w:after="0"/>
              <w:rPr>
                <w:sz w:val="20"/>
                <w:szCs w:val="20"/>
                <w:color w:val="auto"/>
              </w:rPr>
            </w:pPr>
            <w:r>
              <w:rPr>
                <w:rFonts w:ascii="Arial" w:cs="Arial" w:eastAsia="Arial" w:hAnsi="Arial"/>
                <w:sz w:val="18"/>
                <w:szCs w:val="18"/>
                <w:color w:val="auto"/>
              </w:rPr>
              <w:t>Inc.</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FR MERCER MALL, INC., a</w:t>
            </w:r>
          </w:p>
        </w:tc>
        <w:tc>
          <w:tcPr>
            <w:tcW w:w="1660" w:type="dxa"/>
            <w:vAlign w:val="bottom"/>
          </w:tcPr>
          <w:p>
            <w:pPr>
              <w:ind w:left="60"/>
              <w:spacing w:after="0"/>
              <w:rPr>
                <w:sz w:val="20"/>
                <w:szCs w:val="20"/>
                <w:color w:val="auto"/>
              </w:rPr>
            </w:pPr>
            <w:r>
              <w:rPr>
                <w:rFonts w:ascii="Arial" w:cs="Arial" w:eastAsia="Arial" w:hAnsi="Arial"/>
                <w:sz w:val="18"/>
                <w:szCs w:val="18"/>
                <w:color w:val="auto"/>
              </w:rPr>
              <w:t>Federal Realty</w:t>
            </w:r>
          </w:p>
        </w:tc>
        <w:tc>
          <w:tcPr>
            <w:tcW w:w="1580" w:type="dxa"/>
            <w:vAlign w:val="bottom"/>
          </w:tcPr>
          <w:p>
            <w:pPr>
              <w:ind w:left="100"/>
              <w:spacing w:after="0"/>
              <w:rPr>
                <w:sz w:val="20"/>
                <w:szCs w:val="20"/>
                <w:color w:val="auto"/>
              </w:rPr>
            </w:pPr>
            <w:r>
              <w:rPr>
                <w:rFonts w:ascii="Arial" w:cs="Arial" w:eastAsia="Arial" w:hAnsi="Arial"/>
                <w:sz w:val="18"/>
                <w:szCs w:val="18"/>
                <w:color w:val="auto"/>
              </w:rPr>
              <w:t>Sole stockholder</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880" w:type="dxa"/>
            <w:vAlign w:val="bottom"/>
          </w:tcPr>
          <w:p>
            <w:pPr>
              <w:ind w:left="200"/>
              <w:spacing w:after="0"/>
              <w:rPr>
                <w:sz w:val="20"/>
                <w:szCs w:val="20"/>
                <w:color w:val="auto"/>
              </w:rPr>
            </w:pPr>
            <w:r>
              <w:rPr>
                <w:rFonts w:ascii="Arial" w:cs="Arial" w:eastAsia="Arial" w:hAnsi="Arial"/>
                <w:sz w:val="18"/>
                <w:szCs w:val="18"/>
                <w:color w:val="auto"/>
              </w:rPr>
              <w:t>Excluded subsidiary</w:t>
            </w:r>
          </w:p>
        </w:tc>
        <w:tc>
          <w:tcPr>
            <w:tcW w:w="620" w:type="dxa"/>
            <w:vAlign w:val="bottom"/>
          </w:tcPr>
          <w:p>
            <w:pPr>
              <w:ind w:left="240"/>
              <w:spacing w:after="0"/>
              <w:rPr>
                <w:sz w:val="20"/>
                <w:szCs w:val="20"/>
                <w:color w:val="auto"/>
              </w:rPr>
            </w:pPr>
            <w:r>
              <w:rPr>
                <w:rFonts w:ascii="Arial" w:cs="Arial" w:eastAsia="Arial" w:hAnsi="Arial"/>
                <w:sz w:val="18"/>
                <w:szCs w:val="18"/>
                <w:color w:val="auto"/>
                <w:w w:val="83"/>
              </w:rPr>
              <w:t>None</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Delaware corporation</w:t>
            </w:r>
          </w:p>
        </w:tc>
        <w:tc>
          <w:tcPr>
            <w:tcW w:w="1660" w:type="dxa"/>
            <w:vAlign w:val="bottom"/>
          </w:tcPr>
          <w:p>
            <w:pPr>
              <w:ind w:left="60"/>
              <w:spacing w:after="0"/>
              <w:rPr>
                <w:sz w:val="20"/>
                <w:szCs w:val="20"/>
                <w:color w:val="auto"/>
              </w:rPr>
            </w:pPr>
            <w:r>
              <w:rPr>
                <w:rFonts w:ascii="Arial" w:cs="Arial" w:eastAsia="Arial" w:hAnsi="Arial"/>
                <w:sz w:val="18"/>
                <w:szCs w:val="18"/>
                <w:color w:val="auto"/>
              </w:rPr>
              <w:t>Investment Trust</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FR MERCER MALL, LLC, a</w:t>
            </w:r>
          </w:p>
        </w:tc>
        <w:tc>
          <w:tcPr>
            <w:tcW w:w="1660" w:type="dxa"/>
            <w:vAlign w:val="bottom"/>
          </w:tcPr>
          <w:p>
            <w:pPr>
              <w:ind w:left="60"/>
              <w:spacing w:after="0"/>
              <w:rPr>
                <w:sz w:val="20"/>
                <w:szCs w:val="20"/>
                <w:color w:val="auto"/>
              </w:rPr>
            </w:pPr>
            <w:r>
              <w:rPr>
                <w:rFonts w:ascii="Arial" w:cs="Arial" w:eastAsia="Arial" w:hAnsi="Arial"/>
                <w:sz w:val="18"/>
                <w:szCs w:val="18"/>
                <w:color w:val="auto"/>
                <w:w w:val="97"/>
              </w:rPr>
              <w:t>FR Mercer Mall, Inc.</w:t>
            </w:r>
          </w:p>
        </w:tc>
        <w:tc>
          <w:tcPr>
            <w:tcW w:w="1580" w:type="dxa"/>
            <w:vAlign w:val="bottom"/>
          </w:tcPr>
          <w:p>
            <w:pPr>
              <w:ind w:left="100"/>
              <w:spacing w:after="0"/>
              <w:rPr>
                <w:sz w:val="20"/>
                <w:szCs w:val="20"/>
                <w:color w:val="auto"/>
              </w:rPr>
            </w:pPr>
            <w:r>
              <w:rPr>
                <w:rFonts w:ascii="Arial" w:cs="Arial" w:eastAsia="Arial" w:hAnsi="Arial"/>
                <w:sz w:val="18"/>
                <w:szCs w:val="18"/>
                <w:color w:val="auto"/>
              </w:rPr>
              <w:t>Sole member</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880" w:type="dxa"/>
            <w:vAlign w:val="bottom"/>
          </w:tcPr>
          <w:p>
            <w:pPr>
              <w:ind w:left="200"/>
              <w:spacing w:after="0"/>
              <w:rPr>
                <w:sz w:val="20"/>
                <w:szCs w:val="20"/>
                <w:color w:val="auto"/>
              </w:rPr>
            </w:pPr>
            <w:r>
              <w:rPr>
                <w:rFonts w:ascii="Arial" w:cs="Arial" w:eastAsia="Arial" w:hAnsi="Arial"/>
                <w:sz w:val="18"/>
                <w:szCs w:val="18"/>
                <w:color w:val="auto"/>
              </w:rPr>
              <w:t>Excluded subsidiary</w:t>
            </w:r>
          </w:p>
        </w:tc>
        <w:tc>
          <w:tcPr>
            <w:tcW w:w="620" w:type="dxa"/>
            <w:vAlign w:val="bottom"/>
          </w:tcPr>
          <w:p>
            <w:pPr>
              <w:ind w:left="240"/>
              <w:spacing w:after="0"/>
              <w:rPr>
                <w:sz w:val="20"/>
                <w:szCs w:val="20"/>
                <w:color w:val="auto"/>
              </w:rPr>
            </w:pPr>
            <w:r>
              <w:rPr>
                <w:rFonts w:ascii="Arial" w:cs="Arial" w:eastAsia="Arial" w:hAnsi="Arial"/>
                <w:sz w:val="18"/>
                <w:szCs w:val="18"/>
                <w:color w:val="auto"/>
                <w:w w:val="83"/>
              </w:rPr>
              <w:t>None</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w w:val="94"/>
              </w:rPr>
              <w:t>FR STURTEVANT STREET, INC., a</w:t>
            </w:r>
          </w:p>
        </w:tc>
        <w:tc>
          <w:tcPr>
            <w:tcW w:w="1660" w:type="dxa"/>
            <w:vAlign w:val="bottom"/>
          </w:tcPr>
          <w:p>
            <w:pPr>
              <w:ind w:left="60"/>
              <w:spacing w:after="0"/>
              <w:rPr>
                <w:sz w:val="20"/>
                <w:szCs w:val="20"/>
                <w:color w:val="auto"/>
              </w:rPr>
            </w:pPr>
            <w:r>
              <w:rPr>
                <w:rFonts w:ascii="Arial" w:cs="Arial" w:eastAsia="Arial" w:hAnsi="Arial"/>
                <w:sz w:val="18"/>
                <w:szCs w:val="18"/>
                <w:color w:val="auto"/>
              </w:rPr>
              <w:t>Federal Realty</w:t>
            </w:r>
          </w:p>
        </w:tc>
        <w:tc>
          <w:tcPr>
            <w:tcW w:w="1580" w:type="dxa"/>
            <w:vAlign w:val="bottom"/>
          </w:tcPr>
          <w:p>
            <w:pPr>
              <w:ind w:left="100"/>
              <w:spacing w:after="0"/>
              <w:rPr>
                <w:sz w:val="20"/>
                <w:szCs w:val="20"/>
                <w:color w:val="auto"/>
              </w:rPr>
            </w:pPr>
            <w:r>
              <w:rPr>
                <w:rFonts w:ascii="Arial" w:cs="Arial" w:eastAsia="Arial" w:hAnsi="Arial"/>
                <w:sz w:val="18"/>
                <w:szCs w:val="18"/>
                <w:color w:val="auto"/>
              </w:rPr>
              <w:t>Sole stockholder</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880" w:type="dxa"/>
            <w:vAlign w:val="bottom"/>
          </w:tcPr>
          <w:p>
            <w:pPr>
              <w:ind w:left="200"/>
              <w:spacing w:after="0"/>
              <w:rPr>
                <w:sz w:val="20"/>
                <w:szCs w:val="20"/>
                <w:color w:val="auto"/>
              </w:rPr>
            </w:pPr>
            <w:r>
              <w:rPr>
                <w:rFonts w:ascii="Arial" w:cs="Arial" w:eastAsia="Arial" w:hAnsi="Arial"/>
                <w:sz w:val="18"/>
                <w:szCs w:val="18"/>
                <w:color w:val="auto"/>
              </w:rPr>
              <w:t>Guarantor</w:t>
            </w:r>
          </w:p>
        </w:tc>
        <w:tc>
          <w:tcPr>
            <w:tcW w:w="620" w:type="dxa"/>
            <w:vAlign w:val="bottom"/>
          </w:tcPr>
          <w:p>
            <w:pPr>
              <w:ind w:left="240"/>
              <w:spacing w:after="0"/>
              <w:rPr>
                <w:sz w:val="20"/>
                <w:szCs w:val="20"/>
                <w:color w:val="auto"/>
              </w:rPr>
            </w:pPr>
            <w:r>
              <w:rPr>
                <w:rFonts w:ascii="Arial" w:cs="Arial" w:eastAsia="Arial" w:hAnsi="Arial"/>
                <w:sz w:val="18"/>
                <w:szCs w:val="18"/>
                <w:color w:val="auto"/>
                <w:w w:val="83"/>
              </w:rPr>
              <w:t>None</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Delaware corporation</w:t>
            </w:r>
          </w:p>
        </w:tc>
        <w:tc>
          <w:tcPr>
            <w:tcW w:w="1660" w:type="dxa"/>
            <w:vAlign w:val="bottom"/>
          </w:tcPr>
          <w:p>
            <w:pPr>
              <w:ind w:left="60"/>
              <w:spacing w:after="0"/>
              <w:rPr>
                <w:sz w:val="20"/>
                <w:szCs w:val="20"/>
                <w:color w:val="auto"/>
              </w:rPr>
            </w:pPr>
            <w:r>
              <w:rPr>
                <w:rFonts w:ascii="Arial" w:cs="Arial" w:eastAsia="Arial" w:hAnsi="Arial"/>
                <w:sz w:val="18"/>
                <w:szCs w:val="18"/>
                <w:color w:val="auto"/>
              </w:rPr>
              <w:t>Investment Trust</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w w:val="95"/>
              </w:rPr>
              <w:t>FR STURTEVANT STREET, LLC, a</w:t>
            </w:r>
          </w:p>
        </w:tc>
        <w:tc>
          <w:tcPr>
            <w:tcW w:w="1660" w:type="dxa"/>
            <w:vAlign w:val="bottom"/>
          </w:tcPr>
          <w:p>
            <w:pPr>
              <w:ind w:left="60"/>
              <w:spacing w:after="0"/>
              <w:rPr>
                <w:sz w:val="20"/>
                <w:szCs w:val="20"/>
                <w:color w:val="auto"/>
              </w:rPr>
            </w:pPr>
            <w:r>
              <w:rPr>
                <w:rFonts w:ascii="Arial" w:cs="Arial" w:eastAsia="Arial" w:hAnsi="Arial"/>
                <w:sz w:val="18"/>
                <w:szCs w:val="18"/>
                <w:color w:val="auto"/>
                <w:w w:val="93"/>
              </w:rPr>
              <w:t>FR Sturtevant Street,</w:t>
            </w:r>
          </w:p>
        </w:tc>
        <w:tc>
          <w:tcPr>
            <w:tcW w:w="1580" w:type="dxa"/>
            <w:vAlign w:val="bottom"/>
          </w:tcPr>
          <w:p>
            <w:pPr>
              <w:ind w:left="100"/>
              <w:spacing w:after="0"/>
              <w:rPr>
                <w:sz w:val="20"/>
                <w:szCs w:val="20"/>
                <w:color w:val="auto"/>
              </w:rPr>
            </w:pPr>
            <w:r>
              <w:rPr>
                <w:rFonts w:ascii="Arial" w:cs="Arial" w:eastAsia="Arial" w:hAnsi="Arial"/>
                <w:sz w:val="18"/>
                <w:szCs w:val="18"/>
                <w:color w:val="auto"/>
              </w:rPr>
              <w:t>Sole member</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880" w:type="dxa"/>
            <w:vAlign w:val="bottom"/>
          </w:tcPr>
          <w:p>
            <w:pPr>
              <w:ind w:left="200"/>
              <w:spacing w:after="0"/>
              <w:rPr>
                <w:sz w:val="20"/>
                <w:szCs w:val="20"/>
                <w:color w:val="auto"/>
              </w:rPr>
            </w:pPr>
            <w:r>
              <w:rPr>
                <w:rFonts w:ascii="Arial" w:cs="Arial" w:eastAsia="Arial" w:hAnsi="Arial"/>
                <w:sz w:val="18"/>
                <w:szCs w:val="18"/>
                <w:color w:val="auto"/>
              </w:rPr>
              <w:t>Guarantor</w:t>
            </w:r>
          </w:p>
        </w:tc>
        <w:tc>
          <w:tcPr>
            <w:tcW w:w="620" w:type="dxa"/>
            <w:vAlign w:val="bottom"/>
          </w:tcPr>
          <w:p>
            <w:pPr>
              <w:ind w:left="240"/>
              <w:spacing w:after="0"/>
              <w:rPr>
                <w:sz w:val="20"/>
                <w:szCs w:val="20"/>
                <w:color w:val="auto"/>
              </w:rPr>
            </w:pPr>
            <w:r>
              <w:rPr>
                <w:rFonts w:ascii="Arial" w:cs="Arial" w:eastAsia="Arial" w:hAnsi="Arial"/>
                <w:sz w:val="18"/>
                <w:szCs w:val="18"/>
                <w:color w:val="auto"/>
                <w:w w:val="83"/>
              </w:rPr>
              <w:t>None</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660" w:type="dxa"/>
            <w:vAlign w:val="bottom"/>
          </w:tcPr>
          <w:p>
            <w:pPr>
              <w:ind w:left="60"/>
              <w:spacing w:after="0"/>
              <w:rPr>
                <w:sz w:val="20"/>
                <w:szCs w:val="20"/>
                <w:color w:val="auto"/>
              </w:rPr>
            </w:pPr>
            <w:r>
              <w:rPr>
                <w:rFonts w:ascii="Arial" w:cs="Arial" w:eastAsia="Arial" w:hAnsi="Arial"/>
                <w:sz w:val="18"/>
                <w:szCs w:val="18"/>
                <w:color w:val="auto"/>
              </w:rPr>
              <w:t>Inc.</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80"/>
          </w:cols>
          <w:pgMar w:left="240" w:top="274" w:right="279" w:bottom="1440"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ENTITY NAME/Jurisdiction of</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Nature of Equity</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ind w:left="300"/>
              <w:spacing w:after="0"/>
              <w:rPr>
                <w:sz w:val="20"/>
                <w:szCs w:val="20"/>
                <w:color w:val="auto"/>
              </w:rPr>
            </w:pPr>
            <w:r>
              <w:rPr>
                <w:rFonts w:ascii="Arial" w:cs="Arial" w:eastAsia="Arial" w:hAnsi="Arial"/>
                <w:sz w:val="14"/>
                <w:szCs w:val="14"/>
                <w:b w:val="1"/>
                <w:bCs w:val="1"/>
                <w:color w:val="auto"/>
              </w:rPr>
              <w:t>Material and/or</w:t>
            </w:r>
          </w:p>
        </w:tc>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Formation</w:t>
            </w:r>
          </w:p>
        </w:tc>
        <w:tc>
          <w:tcPr>
            <w:tcW w:w="200" w:type="dxa"/>
            <w:vAlign w:val="bottom"/>
          </w:tcPr>
          <w:p>
            <w:pPr>
              <w:spacing w:after="0"/>
              <w:rPr>
                <w:sz w:val="15"/>
                <w:szCs w:val="15"/>
                <w:color w:val="auto"/>
              </w:rPr>
            </w:pPr>
          </w:p>
        </w:tc>
        <w:tc>
          <w:tcPr>
            <w:tcW w:w="16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Equity Holders</w:t>
            </w:r>
          </w:p>
        </w:tc>
        <w:tc>
          <w:tcPr>
            <w:tcW w:w="2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80" w:type="dxa"/>
            <w:vAlign w:val="bottom"/>
          </w:tcPr>
          <w:p>
            <w:pPr>
              <w:spacing w:after="0"/>
              <w:rPr>
                <w:sz w:val="15"/>
                <w:szCs w:val="15"/>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Ownership</w:t>
            </w:r>
          </w:p>
        </w:tc>
        <w:tc>
          <w:tcPr>
            <w:tcW w:w="180" w:type="dxa"/>
            <w:vAlign w:val="bottom"/>
          </w:tcPr>
          <w:p>
            <w:pPr>
              <w:spacing w:after="0"/>
              <w:rPr>
                <w:sz w:val="15"/>
                <w:szCs w:val="15"/>
                <w:color w:val="auto"/>
              </w:rPr>
            </w:pPr>
          </w:p>
        </w:tc>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7"/>
              </w:rPr>
              <w:t>Excluded Subsidiary</w:t>
            </w:r>
          </w:p>
        </w:tc>
        <w:tc>
          <w:tcPr>
            <w:tcW w:w="180" w:type="dxa"/>
            <w:vAlign w:val="bottom"/>
          </w:tcPr>
          <w:p>
            <w:pPr>
              <w:spacing w:after="0"/>
              <w:rPr>
                <w:sz w:val="15"/>
                <w:szCs w:val="15"/>
                <w:color w:val="auto"/>
              </w:rPr>
            </w:pPr>
          </w:p>
        </w:tc>
        <w:tc>
          <w:tcPr>
            <w:tcW w:w="2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88"/>
              </w:rPr>
              <w:t>Liens, Options, Registration Rights, etc.</w:t>
            </w:r>
          </w:p>
        </w:tc>
      </w:tr>
      <w:tr>
        <w:trPr>
          <w:trHeight w:val="201"/>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8"/>
              </w:rPr>
              <w:t>FR ASSEMBLY SQUARE, LLC, a</w:t>
            </w:r>
          </w:p>
        </w:tc>
        <w:tc>
          <w:tcPr>
            <w:tcW w:w="200" w:type="dxa"/>
            <w:vAlign w:val="bottom"/>
          </w:tcPr>
          <w:p>
            <w:pPr>
              <w:spacing w:after="0"/>
              <w:rPr>
                <w:sz w:val="17"/>
                <w:szCs w:val="17"/>
                <w:color w:val="auto"/>
              </w:rPr>
            </w:pP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Federal Realty</w:t>
            </w:r>
          </w:p>
        </w:tc>
        <w:tc>
          <w:tcPr>
            <w:tcW w:w="200" w:type="dxa"/>
            <w:vAlign w:val="bottom"/>
          </w:tcPr>
          <w:p>
            <w:pPr>
              <w:spacing w:after="0"/>
              <w:rPr>
                <w:sz w:val="17"/>
                <w:szCs w:val="17"/>
                <w:color w:val="auto"/>
              </w:rPr>
            </w:pP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Sole member</w:t>
            </w:r>
          </w:p>
        </w:tc>
        <w:tc>
          <w:tcPr>
            <w:tcW w:w="18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Guarantor</w:t>
            </w:r>
          </w:p>
        </w:tc>
        <w:tc>
          <w:tcPr>
            <w:tcW w:w="180" w:type="dxa"/>
            <w:vAlign w:val="bottom"/>
          </w:tcPr>
          <w:p>
            <w:pPr>
              <w:spacing w:after="0"/>
              <w:rPr>
                <w:sz w:val="17"/>
                <w:szCs w:val="17"/>
                <w:color w:val="auto"/>
              </w:rPr>
            </w:pPr>
          </w:p>
        </w:tc>
        <w:tc>
          <w:tcPr>
            <w:tcW w:w="2460" w:type="dxa"/>
            <w:vAlign w:val="bottom"/>
          </w:tcPr>
          <w:p>
            <w:pPr>
              <w:spacing w:after="0" w:line="201" w:lineRule="exact"/>
              <w:rPr>
                <w:sz w:val="20"/>
                <w:szCs w:val="20"/>
                <w:color w:val="auto"/>
              </w:rPr>
            </w:pPr>
            <w:r>
              <w:rPr>
                <w:rFonts w:ascii="Arial" w:cs="Arial" w:eastAsia="Arial" w:hAnsi="Arial"/>
                <w:sz w:val="18"/>
                <w:szCs w:val="18"/>
                <w:color w:val="auto"/>
              </w:rPr>
              <w:t>None</w:t>
            </w: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w w:val="99"/>
              </w:rPr>
              <w:t>Delaware limited liability company</w:t>
            </w:r>
          </w:p>
        </w:tc>
        <w:tc>
          <w:tcPr>
            <w:tcW w:w="2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8"/>
        </w:trPr>
        <w:tc>
          <w:tcPr>
            <w:tcW w:w="2700" w:type="dxa"/>
            <w:vAlign w:val="bottom"/>
            <w:gridSpan w:val="2"/>
          </w:tcPr>
          <w:p>
            <w:pPr>
              <w:spacing w:after="0"/>
              <w:rPr>
                <w:sz w:val="20"/>
                <w:szCs w:val="20"/>
                <w:color w:val="auto"/>
              </w:rPr>
            </w:pPr>
            <w:r>
              <w:rPr>
                <w:rFonts w:ascii="Arial" w:cs="Arial" w:eastAsia="Arial" w:hAnsi="Arial"/>
                <w:sz w:val="18"/>
                <w:szCs w:val="18"/>
                <w:color w:val="auto"/>
              </w:rPr>
              <w:t>FR WESTGATE MALL, INC., a</w:t>
            </w:r>
          </w:p>
        </w:tc>
        <w:tc>
          <w:tcPr>
            <w:tcW w:w="20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Federal Realty</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9"/>
              </w:rPr>
              <w:t>Sole stockholder</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Guarantor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2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8"/>
        </w:trPr>
        <w:tc>
          <w:tcPr>
            <w:tcW w:w="2700" w:type="dxa"/>
            <w:vAlign w:val="bottom"/>
            <w:gridSpan w:val="2"/>
          </w:tcPr>
          <w:p>
            <w:pPr>
              <w:spacing w:after="0"/>
              <w:rPr>
                <w:sz w:val="20"/>
                <w:szCs w:val="20"/>
                <w:color w:val="auto"/>
              </w:rPr>
            </w:pPr>
            <w:r>
              <w:rPr>
                <w:rFonts w:ascii="Arial" w:cs="Arial" w:eastAsia="Arial" w:hAnsi="Arial"/>
                <w:sz w:val="18"/>
                <w:szCs w:val="18"/>
                <w:color w:val="auto"/>
              </w:rPr>
              <w:t>FR WESTGATE MALL, LLC, a</w:t>
            </w:r>
          </w:p>
        </w:tc>
        <w:tc>
          <w:tcPr>
            <w:tcW w:w="20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88"/>
              </w:rPr>
              <w:t>FR Westgate Mall, Inc.</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Sole member</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9"/>
              </w:rPr>
              <w:t>Guarantor Material</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w w:val="99"/>
              </w:rPr>
              <w:t>Delaware limited liability company</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Subsidiary</w:t>
            </w: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8"/>
        </w:trPr>
        <w:tc>
          <w:tcPr>
            <w:tcW w:w="2700" w:type="dxa"/>
            <w:vAlign w:val="bottom"/>
            <w:gridSpan w:val="2"/>
          </w:tcPr>
          <w:p>
            <w:pPr>
              <w:spacing w:after="0"/>
              <w:rPr>
                <w:sz w:val="20"/>
                <w:szCs w:val="20"/>
                <w:color w:val="auto"/>
              </w:rPr>
            </w:pPr>
            <w:r>
              <w:rPr>
                <w:rFonts w:ascii="Arial" w:cs="Arial" w:eastAsia="Arial" w:hAnsi="Arial"/>
                <w:sz w:val="18"/>
                <w:szCs w:val="18"/>
                <w:color w:val="auto"/>
              </w:rPr>
              <w:t>FEDERAL/LPF GP, INC., a</w:t>
            </w:r>
          </w:p>
        </w:tc>
        <w:tc>
          <w:tcPr>
            <w:tcW w:w="20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Federal Realty</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9"/>
              </w:rPr>
              <w:t>Sole stockholder</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1"/>
              </w:rPr>
              <w:t>Excluded Subsidiary</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2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8"/>
        </w:trPr>
        <w:tc>
          <w:tcPr>
            <w:tcW w:w="2700" w:type="dxa"/>
            <w:vAlign w:val="bottom"/>
            <w:gridSpan w:val="2"/>
          </w:tcPr>
          <w:p>
            <w:pPr>
              <w:spacing w:after="0"/>
              <w:rPr>
                <w:sz w:val="20"/>
                <w:szCs w:val="20"/>
                <w:color w:val="auto"/>
              </w:rPr>
            </w:pPr>
            <w:r>
              <w:rPr>
                <w:rFonts w:ascii="Arial" w:cs="Arial" w:eastAsia="Arial" w:hAnsi="Arial"/>
                <w:sz w:val="18"/>
                <w:szCs w:val="18"/>
                <w:color w:val="auto"/>
                <w:w w:val="94"/>
              </w:rPr>
              <w:t>STREET RETAIL, INC., a Maryland</w:t>
            </w:r>
          </w:p>
        </w:tc>
        <w:tc>
          <w:tcPr>
            <w:tcW w:w="20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Federal Realty</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9"/>
              </w:rPr>
              <w:t>Sole stockholder</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9"/>
              </w:rPr>
              <w:t>Guarantor Material</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2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Investment Trust</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Subsidiary</w:t>
            </w: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8"/>
        </w:trPr>
        <w:tc>
          <w:tcPr>
            <w:tcW w:w="2700" w:type="dxa"/>
            <w:vAlign w:val="bottom"/>
            <w:gridSpan w:val="2"/>
          </w:tcPr>
          <w:p>
            <w:pPr>
              <w:spacing w:after="0"/>
              <w:rPr>
                <w:sz w:val="20"/>
                <w:szCs w:val="20"/>
                <w:color w:val="auto"/>
              </w:rPr>
            </w:pPr>
            <w:r>
              <w:rPr>
                <w:rFonts w:ascii="Arial" w:cs="Arial" w:eastAsia="Arial" w:hAnsi="Arial"/>
                <w:sz w:val="18"/>
                <w:szCs w:val="18"/>
                <w:color w:val="auto"/>
              </w:rPr>
              <w:t>FRIT SAN JOSE TOWN AND</w:t>
            </w:r>
          </w:p>
        </w:tc>
        <w:tc>
          <w:tcPr>
            <w:tcW w:w="20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Street Retail, Inc.</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Sole member</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9"/>
              </w:rPr>
              <w:t>Guarantor Material</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COUNTRY VILLAGE, LLC, a</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Subsidiary</w:t>
            </w: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w w:val="99"/>
              </w:rPr>
              <w:t>California limited liability company</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8"/>
        </w:trPr>
        <w:tc>
          <w:tcPr>
            <w:tcW w:w="2700" w:type="dxa"/>
            <w:vAlign w:val="bottom"/>
            <w:gridSpan w:val="2"/>
          </w:tcPr>
          <w:p>
            <w:pPr>
              <w:spacing w:after="0"/>
              <w:rPr>
                <w:sz w:val="20"/>
                <w:szCs w:val="20"/>
                <w:color w:val="auto"/>
              </w:rPr>
            </w:pPr>
            <w:r>
              <w:rPr>
                <w:rFonts w:ascii="Arial" w:cs="Arial" w:eastAsia="Arial" w:hAnsi="Arial"/>
                <w:sz w:val="18"/>
                <w:szCs w:val="18"/>
                <w:color w:val="auto"/>
                <w:w w:val="96"/>
              </w:rPr>
              <w:t>SAN JOSE RESIDENTIAL, INC., a</w:t>
            </w:r>
          </w:p>
        </w:tc>
        <w:tc>
          <w:tcPr>
            <w:tcW w:w="20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6"/>
              </w:rPr>
              <w:t>Thomas L. Patterson</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Class A Voting</w:t>
            </w:r>
          </w:p>
        </w:tc>
        <w:tc>
          <w:tcPr>
            <w:tcW w:w="10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50%</w:t>
            </w:r>
          </w:p>
        </w:tc>
        <w:tc>
          <w:tcPr>
            <w:tcW w:w="1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Guarantor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Maryland corporation</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Common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Stockholder</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04"/>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Jeanne T. Connor</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Class A Voting</w:t>
            </w:r>
          </w:p>
        </w:tc>
        <w:tc>
          <w:tcPr>
            <w:tcW w:w="10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50%</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Common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Stockholder</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04"/>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5"/>
              </w:rPr>
              <w:t>FRIT San Jose Town</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Class B Non-</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&amp; Country Village,</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Voting Common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LLC</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Stockholder</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31"/>
        </w:trPr>
        <w:tc>
          <w:tcPr>
            <w:tcW w:w="2700" w:type="dxa"/>
            <w:vAlign w:val="bottom"/>
            <w:gridSpan w:val="2"/>
          </w:tcPr>
          <w:p>
            <w:pPr>
              <w:spacing w:after="0"/>
              <w:rPr>
                <w:sz w:val="20"/>
                <w:szCs w:val="20"/>
                <w:color w:val="auto"/>
              </w:rPr>
            </w:pPr>
            <w:r>
              <w:rPr>
                <w:rFonts w:ascii="Arial" w:cs="Arial" w:eastAsia="Arial" w:hAnsi="Arial"/>
                <w:sz w:val="18"/>
                <w:szCs w:val="18"/>
                <w:color w:val="auto"/>
                <w:w w:val="93"/>
              </w:rPr>
              <w:t>STREET RETAIL FOREST HILLS I,</w:t>
            </w:r>
          </w:p>
        </w:tc>
        <w:tc>
          <w:tcPr>
            <w:tcW w:w="20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Street Retail, Inc.</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Sole member</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Guarantor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LLC, a Delaware limited liability</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4"/>
              </w:rPr>
              <w:t>SCHEDULE 6.1(B)</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7"/>
              </w:rPr>
              <w:t>OWNERSHIP STRUCTURE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4"/>
              </w:rPr>
              <w:t>ENTITY NAME/Jurisdiction of</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Nature of Equity</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200"/>
              <w:spacing w:after="0"/>
              <w:rPr>
                <w:sz w:val="20"/>
                <w:szCs w:val="20"/>
                <w:color w:val="auto"/>
              </w:rPr>
            </w:pPr>
            <w:r>
              <w:rPr>
                <w:rFonts w:ascii="Arial" w:cs="Arial" w:eastAsia="Arial" w:hAnsi="Arial"/>
                <w:sz w:val="14"/>
                <w:szCs w:val="14"/>
                <w:b w:val="1"/>
                <w:bCs w:val="1"/>
                <w:color w:val="auto"/>
              </w:rPr>
              <w:t>Material and/or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Formation</w:t>
            </w:r>
          </w:p>
        </w:tc>
        <w:tc>
          <w:tcPr>
            <w:tcW w:w="200" w:type="dxa"/>
            <w:vAlign w:val="bottom"/>
          </w:tcPr>
          <w:p>
            <w:pPr>
              <w:spacing w:after="0"/>
              <w:rPr>
                <w:sz w:val="15"/>
                <w:szCs w:val="15"/>
                <w:color w:val="auto"/>
              </w:rPr>
            </w:pP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Equity Holders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5"/>
                <w:szCs w:val="15"/>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 Ownership</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Excluded Subsidiary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w w:val="94"/>
              </w:rPr>
              <w:t>STREET RETAIL FOREST HILLS</w:t>
            </w:r>
          </w:p>
        </w:tc>
        <w:tc>
          <w:tcPr>
            <w:tcW w:w="20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Street Retail, Inc.</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spacing w:after="0" w:line="201" w:lineRule="exact"/>
              <w:rPr>
                <w:sz w:val="20"/>
                <w:szCs w:val="20"/>
                <w:color w:val="auto"/>
              </w:rPr>
            </w:pPr>
            <w:r>
              <w:rPr>
                <w:rFonts w:ascii="Arial" w:cs="Arial" w:eastAsia="Arial" w:hAnsi="Arial"/>
                <w:sz w:val="18"/>
                <w:szCs w:val="18"/>
                <w:color w:val="auto"/>
              </w:rPr>
              <w:t>Sole member</w:t>
            </w:r>
          </w:p>
        </w:tc>
        <w:tc>
          <w:tcPr>
            <w:tcW w:w="180" w:type="dxa"/>
            <w:vAlign w:val="bottom"/>
          </w:tcPr>
          <w:p>
            <w:pPr>
              <w:spacing w:after="0"/>
              <w:rPr>
                <w:sz w:val="17"/>
                <w:szCs w:val="17"/>
                <w:color w:val="auto"/>
              </w:rPr>
            </w:pPr>
          </w:p>
        </w:tc>
        <w:tc>
          <w:tcPr>
            <w:tcW w:w="8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17"/>
                <w:szCs w:val="17"/>
                <w:color w:val="auto"/>
              </w:rPr>
            </w:pPr>
          </w:p>
        </w:tc>
        <w:tc>
          <w:tcPr>
            <w:tcW w:w="1520" w:type="dxa"/>
            <w:vAlign w:val="bottom"/>
            <w:gridSpan w:val="2"/>
          </w:tcPr>
          <w:p>
            <w:pPr>
              <w:spacing w:after="0" w:line="201" w:lineRule="exact"/>
              <w:rPr>
                <w:sz w:val="20"/>
                <w:szCs w:val="20"/>
                <w:color w:val="auto"/>
              </w:rPr>
            </w:pPr>
            <w:r>
              <w:rPr>
                <w:rFonts w:ascii="Arial" w:cs="Arial" w:eastAsia="Arial" w:hAnsi="Arial"/>
                <w:sz w:val="18"/>
                <w:szCs w:val="18"/>
                <w:color w:val="auto"/>
              </w:rPr>
              <w:t>Guarantor</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w w:val="95"/>
              </w:rPr>
              <w:t>II, LLC, a Delaware limited liability</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600" w:type="dxa"/>
            <w:vAlign w:val="bottom"/>
            <w:gridSpan w:val="2"/>
          </w:tcPr>
          <w:p>
            <w:pPr>
              <w:spacing w:after="0"/>
              <w:rPr>
                <w:sz w:val="20"/>
                <w:szCs w:val="20"/>
                <w:color w:val="auto"/>
              </w:rPr>
            </w:pPr>
            <w:r>
              <w:rPr>
                <w:rFonts w:ascii="Arial" w:cs="Arial" w:eastAsia="Arial" w:hAnsi="Arial"/>
                <w:sz w:val="18"/>
                <w:szCs w:val="18"/>
                <w:color w:val="auto"/>
                <w:w w:val="93"/>
              </w:rPr>
              <w:t>SRI OLD TOWN, LLC, a California</w:t>
            </w: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Street Retail,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Sole member</w:t>
            </w:r>
          </w:p>
        </w:tc>
        <w:tc>
          <w:tcPr>
            <w:tcW w:w="1000" w:type="dxa"/>
            <w:vAlign w:val="bottom"/>
            <w:gridSpan w:val="4"/>
          </w:tcPr>
          <w:p>
            <w:pPr>
              <w:jc w:val="center"/>
              <w:ind w:left="92"/>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limited liability company</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600" w:type="dxa"/>
            <w:vAlign w:val="bottom"/>
            <w:gridSpan w:val="2"/>
          </w:tcPr>
          <w:p>
            <w:pPr>
              <w:spacing w:after="0"/>
              <w:rPr>
                <w:sz w:val="20"/>
                <w:szCs w:val="20"/>
                <w:color w:val="auto"/>
              </w:rPr>
            </w:pPr>
            <w:r>
              <w:rPr>
                <w:rFonts w:ascii="Arial" w:cs="Arial" w:eastAsia="Arial" w:hAnsi="Arial"/>
                <w:sz w:val="18"/>
                <w:szCs w:val="18"/>
                <w:color w:val="auto"/>
                <w:w w:val="92"/>
              </w:rPr>
              <w:t>STREET RETAIL WEST GP, INC.,</w:t>
            </w: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Street Retail,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w w:val="99"/>
              </w:rPr>
              <w:t>Sole stockholder</w:t>
            </w:r>
          </w:p>
        </w:tc>
        <w:tc>
          <w:tcPr>
            <w:tcW w:w="1000" w:type="dxa"/>
            <w:vAlign w:val="bottom"/>
            <w:gridSpan w:val="4"/>
          </w:tcPr>
          <w:p>
            <w:pPr>
              <w:jc w:val="center"/>
              <w:ind w:left="92"/>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a Maryland corporation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600" w:type="dxa"/>
            <w:vAlign w:val="bottom"/>
            <w:gridSpan w:val="2"/>
          </w:tcPr>
          <w:p>
            <w:pPr>
              <w:spacing w:after="0"/>
              <w:rPr>
                <w:sz w:val="20"/>
                <w:szCs w:val="20"/>
                <w:color w:val="auto"/>
              </w:rPr>
            </w:pPr>
            <w:r>
              <w:rPr>
                <w:rFonts w:ascii="Arial" w:cs="Arial" w:eastAsia="Arial" w:hAnsi="Arial"/>
                <w:sz w:val="18"/>
                <w:szCs w:val="18"/>
                <w:color w:val="auto"/>
                <w:w w:val="96"/>
              </w:rPr>
              <w:t>STREET RETAIL WEST I, L.P., a</w:t>
            </w: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96"/>
              </w:rPr>
              <w:t>Street Retail West GP,</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000" w:type="dxa"/>
            <w:vAlign w:val="bottom"/>
            <w:gridSpan w:val="4"/>
          </w:tcPr>
          <w:p>
            <w:pPr>
              <w:jc w:val="center"/>
              <w:ind w:left="72"/>
              <w:spacing w:after="0"/>
              <w:rPr>
                <w:sz w:val="20"/>
                <w:szCs w:val="20"/>
                <w:color w:val="auto"/>
              </w:rPr>
            </w:pPr>
            <w:r>
              <w:rPr>
                <w:rFonts w:ascii="Arial" w:cs="Arial" w:eastAsia="Arial" w:hAnsi="Arial"/>
                <w:sz w:val="18"/>
                <w:szCs w:val="18"/>
                <w:color w:val="auto"/>
                <w:w w:val="88"/>
              </w:rPr>
              <w:t>90%</w:t>
            </w:r>
          </w:p>
        </w:tc>
        <w:tc>
          <w:tcPr>
            <w:tcW w:w="18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9"/>
              </w:rPr>
              <w:t>Guarantor Material</w:t>
            </w: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20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Street Retail,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7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Street Retail,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Limited partner</w:t>
            </w:r>
          </w:p>
        </w:tc>
        <w:tc>
          <w:tcPr>
            <w:tcW w:w="7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600" w:type="dxa"/>
            <w:vAlign w:val="bottom"/>
            <w:gridSpan w:val="2"/>
          </w:tcPr>
          <w:p>
            <w:pPr>
              <w:spacing w:after="0"/>
              <w:rPr>
                <w:sz w:val="20"/>
                <w:szCs w:val="20"/>
                <w:color w:val="auto"/>
              </w:rPr>
            </w:pPr>
            <w:r>
              <w:rPr>
                <w:rFonts w:ascii="Arial" w:cs="Arial" w:eastAsia="Arial" w:hAnsi="Arial"/>
                <w:sz w:val="18"/>
                <w:szCs w:val="18"/>
                <w:color w:val="auto"/>
                <w:w w:val="94"/>
              </w:rPr>
              <w:t>STREET RETAIL WEST II, L.P., a</w:t>
            </w: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96"/>
              </w:rPr>
              <w:t>Street Retail West GP,</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000" w:type="dxa"/>
            <w:vAlign w:val="bottom"/>
            <w:gridSpan w:val="4"/>
          </w:tcPr>
          <w:p>
            <w:pPr>
              <w:jc w:val="center"/>
              <w:ind w:left="72"/>
              <w:spacing w:after="0"/>
              <w:rPr>
                <w:sz w:val="20"/>
                <w:szCs w:val="20"/>
                <w:color w:val="auto"/>
              </w:rPr>
            </w:pPr>
            <w:r>
              <w:rPr>
                <w:rFonts w:ascii="Arial" w:cs="Arial" w:eastAsia="Arial" w:hAnsi="Arial"/>
                <w:sz w:val="18"/>
                <w:szCs w:val="18"/>
                <w:color w:val="auto"/>
                <w:w w:val="88"/>
              </w:rPr>
              <w:t>90%</w:t>
            </w:r>
          </w:p>
        </w:tc>
        <w:tc>
          <w:tcPr>
            <w:tcW w:w="18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20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Street Retail,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7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Street Retail,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Limited partner</w:t>
            </w:r>
          </w:p>
        </w:tc>
        <w:tc>
          <w:tcPr>
            <w:tcW w:w="7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600" w:type="dxa"/>
            <w:vAlign w:val="bottom"/>
            <w:gridSpan w:val="2"/>
          </w:tcPr>
          <w:p>
            <w:pPr>
              <w:spacing w:after="0"/>
              <w:rPr>
                <w:sz w:val="20"/>
                <w:szCs w:val="20"/>
                <w:color w:val="auto"/>
              </w:rPr>
            </w:pPr>
            <w:r>
              <w:rPr>
                <w:rFonts w:ascii="Arial" w:cs="Arial" w:eastAsia="Arial" w:hAnsi="Arial"/>
                <w:sz w:val="18"/>
                <w:szCs w:val="18"/>
                <w:color w:val="auto"/>
                <w:w w:val="94"/>
              </w:rPr>
              <w:t>STREET RETAIL WEST 3, L.P., a</w:t>
            </w: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96"/>
              </w:rPr>
              <w:t>Street Retail West GP,</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000" w:type="dxa"/>
            <w:vAlign w:val="bottom"/>
            <w:gridSpan w:val="4"/>
          </w:tcPr>
          <w:p>
            <w:pPr>
              <w:jc w:val="center"/>
              <w:ind w:left="72"/>
              <w:spacing w:after="0"/>
              <w:rPr>
                <w:sz w:val="20"/>
                <w:szCs w:val="20"/>
                <w:color w:val="auto"/>
              </w:rPr>
            </w:pPr>
            <w:r>
              <w:rPr>
                <w:rFonts w:ascii="Arial" w:cs="Arial" w:eastAsia="Arial" w:hAnsi="Arial"/>
                <w:sz w:val="18"/>
                <w:szCs w:val="18"/>
                <w:color w:val="auto"/>
                <w:w w:val="88"/>
              </w:rPr>
              <w:t>90%</w:t>
            </w:r>
          </w:p>
        </w:tc>
        <w:tc>
          <w:tcPr>
            <w:tcW w:w="18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20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Street Retail,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7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Street Retail,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Limited partner</w:t>
            </w:r>
          </w:p>
        </w:tc>
        <w:tc>
          <w:tcPr>
            <w:tcW w:w="7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600" w:type="dxa"/>
            <w:vAlign w:val="bottom"/>
            <w:gridSpan w:val="2"/>
          </w:tcPr>
          <w:p>
            <w:pPr>
              <w:spacing w:after="0"/>
              <w:rPr>
                <w:sz w:val="20"/>
                <w:szCs w:val="20"/>
                <w:color w:val="auto"/>
              </w:rPr>
            </w:pPr>
            <w:r>
              <w:rPr>
                <w:rFonts w:ascii="Arial" w:cs="Arial" w:eastAsia="Arial" w:hAnsi="Arial"/>
                <w:sz w:val="18"/>
                <w:szCs w:val="18"/>
                <w:color w:val="auto"/>
                <w:w w:val="94"/>
              </w:rPr>
              <w:t>STREET RETAIL WEST 4, L.P., a</w:t>
            </w: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96"/>
              </w:rPr>
              <w:t>Street Retail West GP,</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Class C general</w:t>
            </w:r>
          </w:p>
        </w:tc>
        <w:tc>
          <w:tcPr>
            <w:tcW w:w="1000" w:type="dxa"/>
            <w:vAlign w:val="bottom"/>
            <w:gridSpan w:val="4"/>
          </w:tcPr>
          <w:p>
            <w:pPr>
              <w:jc w:val="center"/>
              <w:ind w:left="72"/>
              <w:spacing w:after="0"/>
              <w:rPr>
                <w:sz w:val="20"/>
                <w:szCs w:val="20"/>
                <w:color w:val="auto"/>
              </w:rPr>
            </w:pPr>
            <w:r>
              <w:rPr>
                <w:rFonts w:ascii="Arial" w:cs="Arial" w:eastAsia="Arial" w:hAnsi="Arial"/>
                <w:sz w:val="18"/>
                <w:szCs w:val="18"/>
                <w:color w:val="auto"/>
                <w:w w:val="88"/>
              </w:rPr>
              <w:t>90%</w:t>
            </w:r>
          </w:p>
        </w:tc>
        <w:tc>
          <w:tcPr>
            <w:tcW w:w="18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Owner of Non-</w:t>
            </w: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20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partner</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6"/>
              </w:rPr>
              <w:t>Controlled Property</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GPO 4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Class A general</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ind w:left="100"/>
              <w:spacing w:after="0"/>
              <w:rPr>
                <w:sz w:val="20"/>
                <w:szCs w:val="20"/>
                <w:color w:val="auto"/>
              </w:rPr>
            </w:pPr>
            <w:r>
              <w:rPr>
                <w:rFonts w:ascii="Arial" w:cs="Arial" w:eastAsia="Arial" w:hAnsi="Arial"/>
                <w:sz w:val="18"/>
                <w:szCs w:val="18"/>
                <w:color w:val="auto"/>
              </w:rPr>
              <w:t>953-955 5th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partner interest</w:t>
            </w:r>
          </w:p>
        </w:tc>
        <w:tc>
          <w:tcPr>
            <w:tcW w:w="740" w:type="dxa"/>
            <w:vAlign w:val="bottom"/>
            <w:gridSpan w:val="3"/>
          </w:tcPr>
          <w:p>
            <w:pPr>
              <w:jc w:val="center"/>
              <w:ind w:left="332"/>
              <w:spacing w:after="0"/>
              <w:rPr>
                <w:sz w:val="20"/>
                <w:szCs w:val="20"/>
                <w:color w:val="auto"/>
              </w:rPr>
            </w:pPr>
            <w:r>
              <w:rPr>
                <w:rFonts w:ascii="Arial" w:cs="Arial" w:eastAsia="Arial" w:hAnsi="Arial"/>
                <w:sz w:val="18"/>
                <w:szCs w:val="18"/>
                <w:color w:val="auto"/>
                <w:w w:val="92"/>
              </w:rPr>
              <w:t>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Avenue, San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vMerge w:val="restart"/>
          </w:tcPr>
          <w:p>
            <w:pPr>
              <w:spacing w:after="0"/>
              <w:rPr>
                <w:sz w:val="20"/>
                <w:szCs w:val="20"/>
                <w:color w:val="auto"/>
              </w:rPr>
            </w:pPr>
            <w:r>
              <w:rPr>
                <w:rFonts w:ascii="Arial" w:cs="Arial" w:eastAsia="Arial" w:hAnsi="Arial"/>
                <w:sz w:val="18"/>
                <w:szCs w:val="18"/>
                <w:color w:val="auto"/>
              </w:rPr>
              <w:t>GPO 4 Inc.</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Class B general</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Diego, CA</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ind w:left="100"/>
              <w:spacing w:after="0"/>
              <w:rPr>
                <w:sz w:val="20"/>
                <w:szCs w:val="20"/>
                <w:color w:val="auto"/>
              </w:rPr>
            </w:pPr>
            <w:r>
              <w:rPr>
                <w:rFonts w:ascii="Arial" w:cs="Arial" w:eastAsia="Arial" w:hAnsi="Arial"/>
                <w:sz w:val="18"/>
                <w:szCs w:val="18"/>
                <w:color w:val="auto"/>
              </w:rPr>
              <w:t>1221-1227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spacing w:after="0" w:line="202" w:lineRule="exact"/>
              <w:rPr>
                <w:sz w:val="20"/>
                <w:szCs w:val="20"/>
                <w:color w:val="auto"/>
              </w:rPr>
            </w:pPr>
            <w:r>
              <w:rPr>
                <w:rFonts w:ascii="Arial" w:cs="Arial" w:eastAsia="Arial" w:hAnsi="Arial"/>
                <w:sz w:val="18"/>
                <w:szCs w:val="18"/>
                <w:color w:val="auto"/>
              </w:rPr>
              <w:t>partner</w:t>
            </w:r>
          </w:p>
        </w:tc>
        <w:tc>
          <w:tcPr>
            <w:tcW w:w="740" w:type="dxa"/>
            <w:vAlign w:val="bottom"/>
            <w:gridSpan w:val="3"/>
          </w:tcPr>
          <w:p>
            <w:pPr>
              <w:jc w:val="center"/>
              <w:ind w:left="332"/>
              <w:spacing w:after="0" w:line="202" w:lineRule="exact"/>
              <w:rPr>
                <w:sz w:val="20"/>
                <w:szCs w:val="20"/>
                <w:color w:val="auto"/>
              </w:rPr>
            </w:pPr>
            <w:r>
              <w:rPr>
                <w:rFonts w:ascii="Arial" w:cs="Arial" w:eastAsia="Arial" w:hAnsi="Arial"/>
                <w:sz w:val="18"/>
                <w:szCs w:val="18"/>
                <w:color w:val="auto"/>
                <w:w w:val="90"/>
              </w:rPr>
              <w:t>.9%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restart"/>
          </w:tcPr>
          <w:p>
            <w:pPr>
              <w:spacing w:after="0"/>
              <w:rPr>
                <w:sz w:val="20"/>
                <w:szCs w:val="20"/>
                <w:color w:val="auto"/>
              </w:rPr>
            </w:pPr>
            <w:r>
              <w:rPr>
                <w:rFonts w:ascii="Arial" w:cs="Arial" w:eastAsia="Arial" w:hAnsi="Arial"/>
                <w:sz w:val="18"/>
                <w:szCs w:val="18"/>
                <w:color w:val="auto"/>
              </w:rPr>
              <w:t>Delaware GPM 4 Inc.</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Class B general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Hermosa Ave.,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partner</w:t>
            </w:r>
          </w:p>
        </w:tc>
        <w:tc>
          <w:tcPr>
            <w:tcW w:w="1000" w:type="dxa"/>
            <w:vAlign w:val="bottom"/>
            <w:gridSpan w:val="4"/>
            <w:vMerge w:val="restart"/>
          </w:tcPr>
          <w:p>
            <w:pPr>
              <w:jc w:val="center"/>
              <w:ind w:left="72"/>
              <w:spacing w:after="0"/>
              <w:rPr>
                <w:sz w:val="20"/>
                <w:szCs w:val="20"/>
                <w:color w:val="auto"/>
              </w:rPr>
            </w:pPr>
            <w:r>
              <w:rPr>
                <w:rFonts w:ascii="Arial" w:cs="Arial" w:eastAsia="Arial" w:hAnsi="Arial"/>
                <w:sz w:val="18"/>
                <w:szCs w:val="18"/>
                <w:color w:val="auto"/>
                <w:w w:val="87"/>
              </w:rPr>
              <w:t>8.1%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8"/>
                <w:szCs w:val="18"/>
                <w:color w:val="auto"/>
                <w:w w:val="92"/>
              </w:rPr>
              <w:t>Hermosa, Beach,</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vMerge w:val="restart"/>
          </w:tcPr>
          <w:p>
            <w:pPr>
              <w:spacing w:after="0"/>
              <w:rPr>
                <w:sz w:val="20"/>
                <w:szCs w:val="20"/>
                <w:color w:val="auto"/>
              </w:rPr>
            </w:pPr>
            <w:r>
              <w:rPr>
                <w:rFonts w:ascii="Arial" w:cs="Arial" w:eastAsia="Arial" w:hAnsi="Arial"/>
                <w:sz w:val="18"/>
                <w:szCs w:val="18"/>
                <w:color w:val="auto"/>
              </w:rPr>
              <w:t>GPO 4 Inc.</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Class B limited</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partner</w:t>
            </w:r>
          </w:p>
        </w:tc>
        <w:tc>
          <w:tcPr>
            <w:tcW w:w="740" w:type="dxa"/>
            <w:vAlign w:val="bottom"/>
            <w:gridSpan w:val="3"/>
          </w:tcPr>
          <w:p>
            <w:pPr>
              <w:jc w:val="center"/>
              <w:ind w:left="332"/>
              <w:spacing w:after="0"/>
              <w:rPr>
                <w:sz w:val="20"/>
                <w:szCs w:val="20"/>
                <w:color w:val="auto"/>
              </w:rPr>
            </w:pPr>
            <w:r>
              <w:rPr>
                <w:rFonts w:ascii="Arial" w:cs="Arial" w:eastAsia="Arial" w:hAnsi="Arial"/>
                <w:sz w:val="18"/>
                <w:szCs w:val="18"/>
                <w:color w:val="auto"/>
                <w:w w:val="90"/>
              </w:rPr>
              <w:t>.1%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Liens, Options, Registration Rights,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15608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hanging="218"/>
        <w:spacing w:after="0" w:line="291" w:lineRule="auto"/>
        <w:tabs>
          <w:tab w:leader="none" w:pos="19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Subject to satisfaction of certain conditions, Federal Realty has the option to acquire, and may be required by the other partners to acquire, the other partners’ interests for cash</w:t>
      </w:r>
    </w:p>
    <w:p>
      <w:pPr>
        <w:sectPr>
          <w:pgSz w:w="11900" w:h="16838" w:orient="portrait"/>
          <w:cols w:equalWidth="0" w:num="2">
            <w:col w:w="8780" w:space="180"/>
            <w:col w:w="2460"/>
          </w:cols>
          <w:pgMar w:left="240" w:top="257" w:right="2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ENTITY NAME/Jurisdiction of</w:t>
      </w:r>
    </w:p>
    <w:p>
      <w:pPr>
        <w:spacing w:after="0" w:line="1"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008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STREET RETAIL WEST 6, L.P., a Delaware limited partnership</w:t>
      </w:r>
    </w:p>
    <w:p>
      <w:pPr>
        <w:spacing w:after="0" w:line="200" w:lineRule="exact"/>
        <w:rPr>
          <w:sz w:val="20"/>
          <w:szCs w:val="20"/>
          <w:color w:val="auto"/>
        </w:rPr>
      </w:pPr>
    </w:p>
    <w:p>
      <w:pPr>
        <w:spacing w:after="0" w:line="23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STREET RETAIL WEST 7, L.P., a Delaware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STREET RETAIL WEST 10, L.P., a Delaware limited partnership</w:t>
      </w:r>
    </w:p>
    <w:p>
      <w:pPr>
        <w:spacing w:after="0" w:line="200" w:lineRule="exact"/>
        <w:rPr>
          <w:sz w:val="20"/>
          <w:szCs w:val="20"/>
          <w:color w:val="auto"/>
        </w:rPr>
      </w:pP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SRI SAN ANTONIO, INC. (F/K/A DIM SUM, INC.), a Maryland corporation</w:t>
      </w:r>
    </w:p>
    <w:p>
      <w:pPr>
        <w:spacing w:after="0" w:line="8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STREET RETAIL SAN ANTONIO, LP, a Delaware limited partnership</w:t>
      </w:r>
    </w:p>
    <w:p>
      <w:pPr>
        <w:spacing w:after="0" w:line="16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SRI TEXAS, INC., a Delaware corporation</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Arial" w:cs="Arial" w:eastAsia="Arial" w:hAnsi="Arial"/>
          <w:sz w:val="18"/>
          <w:szCs w:val="18"/>
          <w:b w:val="1"/>
          <w:bCs w:val="1"/>
          <w:u w:val="single" w:color="auto"/>
          <w:color w:val="auto"/>
        </w:rPr>
        <w:t>SCHEDULE 6.1(B)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-215900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Nature of Equity</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Arial" w:cs="Arial" w:eastAsia="Arial" w:hAnsi="Arial"/>
                <w:sz w:val="14"/>
                <w:szCs w:val="14"/>
                <w:b w:val="1"/>
                <w:bCs w:val="1"/>
                <w:color w:val="auto"/>
              </w:rPr>
              <w:t>Material and/or</w:t>
            </w:r>
          </w:p>
        </w:tc>
      </w:tr>
      <w:tr>
        <w:trPr>
          <w:trHeight w:val="175"/>
        </w:trPr>
        <w:tc>
          <w:tcPr>
            <w:tcW w:w="20" w:type="dxa"/>
            <w:vAlign w:val="bottom"/>
          </w:tcPr>
          <w:p>
            <w:pPr>
              <w:spacing w:after="0"/>
              <w:rPr>
                <w:sz w:val="15"/>
                <w:szCs w:val="15"/>
                <w:color w:val="auto"/>
              </w:rPr>
            </w:pPr>
          </w:p>
        </w:tc>
        <w:tc>
          <w:tcPr>
            <w:tcW w:w="18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Equity Holders</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5"/>
                <w:szCs w:val="15"/>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 Ownership</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Excluded Subsidiary</w:t>
            </w:r>
          </w:p>
        </w:tc>
      </w:tr>
      <w:tr>
        <w:trPr>
          <w:trHeight w:val="201"/>
        </w:trPr>
        <w:tc>
          <w:tcPr>
            <w:tcW w:w="20" w:type="dxa"/>
            <w:vAlign w:val="bottom"/>
          </w:tcPr>
          <w:p>
            <w:pPr>
              <w:spacing w:after="0"/>
              <w:rPr>
                <w:sz w:val="17"/>
                <w:szCs w:val="17"/>
                <w:color w:val="auto"/>
              </w:rPr>
            </w:pP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Delaware GPM 4</w:t>
            </w:r>
          </w:p>
        </w:tc>
        <w:tc>
          <w:tcPr>
            <w:tcW w:w="16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w w:val="99"/>
              </w:rPr>
              <w:t>Class B limited</w:t>
            </w:r>
          </w:p>
        </w:tc>
        <w:tc>
          <w:tcPr>
            <w:tcW w:w="16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0"/>
              </w:rPr>
              <w:t>.9%</w:t>
            </w:r>
          </w:p>
        </w:tc>
        <w:tc>
          <w:tcPr>
            <w:tcW w:w="160" w:type="dxa"/>
            <w:vAlign w:val="bottom"/>
          </w:tcPr>
          <w:p>
            <w:pPr>
              <w:spacing w:after="0"/>
              <w:rPr>
                <w:sz w:val="17"/>
                <w:szCs w:val="17"/>
                <w:color w:val="auto"/>
              </w:rPr>
            </w:pPr>
          </w:p>
        </w:tc>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rPr>
              <w:t>• 1232-1240 3rd</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Inc.</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partner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Street, Santa</w:t>
            </w: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Monica, CA</w:t>
            </w:r>
          </w:p>
        </w:tc>
      </w:tr>
      <w:tr>
        <w:trPr>
          <w:trHeight w:val="324"/>
        </w:trPr>
        <w:tc>
          <w:tcPr>
            <w:tcW w:w="1880" w:type="dxa"/>
            <w:vAlign w:val="bottom"/>
            <w:gridSpan w:val="2"/>
          </w:tcPr>
          <w:p>
            <w:pPr>
              <w:spacing w:after="0"/>
              <w:rPr>
                <w:sz w:val="20"/>
                <w:szCs w:val="20"/>
                <w:color w:val="auto"/>
              </w:rPr>
            </w:pPr>
            <w:r>
              <w:rPr>
                <w:rFonts w:ascii="Arial" w:cs="Arial" w:eastAsia="Arial" w:hAnsi="Arial"/>
                <w:sz w:val="18"/>
                <w:szCs w:val="18"/>
                <w:color w:val="auto"/>
                <w:w w:val="86"/>
              </w:rPr>
              <w:t>Street Retail West GP, Inc.</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w w:val="93"/>
              </w:rPr>
              <w:t>General partner</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90%</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Guarantor</w:t>
            </w:r>
          </w:p>
        </w:tc>
      </w:tr>
      <w:tr>
        <w:trPr>
          <w:trHeight w:val="297"/>
        </w:trPr>
        <w:tc>
          <w:tcPr>
            <w:tcW w:w="1880" w:type="dxa"/>
            <w:vAlign w:val="bottom"/>
            <w:gridSpan w:val="2"/>
          </w:tcPr>
          <w:p>
            <w:pPr>
              <w:spacing w:after="0"/>
              <w:rPr>
                <w:sz w:val="20"/>
                <w:szCs w:val="20"/>
                <w:color w:val="auto"/>
              </w:rPr>
            </w:pPr>
            <w:r>
              <w:rPr>
                <w:rFonts w:ascii="Arial" w:cs="Arial" w:eastAsia="Arial" w:hAnsi="Arial"/>
                <w:sz w:val="18"/>
                <w:szCs w:val="18"/>
                <w:color w:val="auto"/>
              </w:rPr>
              <w:t>Street Retail, Inc.</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w w:val="93"/>
              </w:rPr>
              <w:t>General partner</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1"/>
        </w:trPr>
        <w:tc>
          <w:tcPr>
            <w:tcW w:w="1880" w:type="dxa"/>
            <w:vAlign w:val="bottom"/>
            <w:gridSpan w:val="2"/>
          </w:tcPr>
          <w:p>
            <w:pPr>
              <w:spacing w:after="0"/>
              <w:rPr>
                <w:sz w:val="20"/>
                <w:szCs w:val="20"/>
                <w:color w:val="auto"/>
              </w:rPr>
            </w:pPr>
            <w:r>
              <w:rPr>
                <w:rFonts w:ascii="Arial" w:cs="Arial" w:eastAsia="Arial" w:hAnsi="Arial"/>
                <w:sz w:val="18"/>
                <w:szCs w:val="18"/>
                <w:color w:val="auto"/>
              </w:rPr>
              <w:t>Street Retail, Inc.</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w w:val="98"/>
              </w:rPr>
              <w:t>Limited partner</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1"/>
        </w:trPr>
        <w:tc>
          <w:tcPr>
            <w:tcW w:w="1880" w:type="dxa"/>
            <w:vAlign w:val="bottom"/>
            <w:gridSpan w:val="2"/>
          </w:tcPr>
          <w:p>
            <w:pPr>
              <w:spacing w:after="0"/>
              <w:rPr>
                <w:sz w:val="20"/>
                <w:szCs w:val="20"/>
                <w:color w:val="auto"/>
              </w:rPr>
            </w:pPr>
            <w:r>
              <w:rPr>
                <w:rFonts w:ascii="Arial" w:cs="Arial" w:eastAsia="Arial" w:hAnsi="Arial"/>
                <w:sz w:val="18"/>
                <w:szCs w:val="18"/>
                <w:color w:val="auto"/>
                <w:w w:val="86"/>
              </w:rPr>
              <w:t>Street Retail West GP, Inc.</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w w:val="92"/>
              </w:rPr>
              <w:t>Class C general</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90%</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Owner of Non-</w:t>
            </w: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partner</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Controlled Property</w:t>
            </w:r>
          </w:p>
        </w:tc>
      </w:tr>
      <w:tr>
        <w:trPr>
          <w:trHeight w:val="291"/>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80" w:type="dxa"/>
            <w:vAlign w:val="bottom"/>
          </w:tcPr>
          <w:p>
            <w:pPr>
              <w:ind w:left="80"/>
              <w:spacing w:after="0"/>
              <w:rPr>
                <w:sz w:val="20"/>
                <w:szCs w:val="20"/>
                <w:color w:val="auto"/>
              </w:rPr>
            </w:pPr>
            <w:r>
              <w:rPr>
                <w:rFonts w:ascii="Arial" w:cs="Arial" w:eastAsia="Arial" w:hAnsi="Arial"/>
                <w:sz w:val="18"/>
                <w:szCs w:val="18"/>
                <w:color w:val="auto"/>
              </w:rPr>
              <w:t>7001 Hollywood</w:t>
            </w: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100"/>
              <w:spacing w:after="0"/>
              <w:rPr>
                <w:sz w:val="20"/>
                <w:szCs w:val="20"/>
                <w:color w:val="auto"/>
              </w:rPr>
            </w:pPr>
            <w:r>
              <w:rPr>
                <w:rFonts w:ascii="Arial" w:cs="Arial" w:eastAsia="Arial" w:hAnsi="Arial"/>
                <w:sz w:val="18"/>
                <w:szCs w:val="18"/>
                <w:color w:val="auto"/>
              </w:rPr>
              <w:t>Boulevard,</w:t>
            </w: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100"/>
              <w:spacing w:after="0"/>
              <w:rPr>
                <w:sz w:val="20"/>
                <w:szCs w:val="20"/>
                <w:color w:val="auto"/>
              </w:rPr>
            </w:pPr>
            <w:r>
              <w:rPr>
                <w:rFonts w:ascii="Arial" w:cs="Arial" w:eastAsia="Arial" w:hAnsi="Arial"/>
                <w:sz w:val="18"/>
                <w:szCs w:val="18"/>
                <w:color w:val="auto"/>
              </w:rPr>
              <w:t>Hollywood, CA</w:t>
            </w: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80" w:type="dxa"/>
            <w:vAlign w:val="bottom"/>
          </w:tcPr>
          <w:p>
            <w:pPr>
              <w:ind w:left="80"/>
              <w:spacing w:after="0"/>
              <w:rPr>
                <w:sz w:val="20"/>
                <w:szCs w:val="20"/>
                <w:color w:val="auto"/>
              </w:rPr>
            </w:pPr>
            <w:r>
              <w:rPr>
                <w:rFonts w:ascii="Arial" w:cs="Arial" w:eastAsia="Arial" w:hAnsi="Arial"/>
                <w:sz w:val="18"/>
                <w:szCs w:val="18"/>
                <w:color w:val="auto"/>
              </w:rPr>
              <w:t>7021 Hollywood</w:t>
            </w: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ind w:left="100"/>
              <w:spacing w:after="0"/>
              <w:rPr>
                <w:sz w:val="20"/>
                <w:szCs w:val="20"/>
                <w:color w:val="auto"/>
              </w:rPr>
            </w:pPr>
            <w:r>
              <w:rPr>
                <w:rFonts w:ascii="Arial" w:cs="Arial" w:eastAsia="Arial" w:hAnsi="Arial"/>
                <w:sz w:val="18"/>
                <w:szCs w:val="18"/>
                <w:color w:val="auto"/>
              </w:rPr>
              <w:t>Boulevard,</w:t>
            </w: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ind w:left="100"/>
              <w:spacing w:after="0"/>
              <w:rPr>
                <w:sz w:val="20"/>
                <w:szCs w:val="20"/>
                <w:color w:val="auto"/>
              </w:rPr>
            </w:pPr>
            <w:r>
              <w:rPr>
                <w:rFonts w:ascii="Arial" w:cs="Arial" w:eastAsia="Arial" w:hAnsi="Arial"/>
                <w:sz w:val="18"/>
                <w:szCs w:val="18"/>
                <w:color w:val="auto"/>
              </w:rPr>
              <w:t>Hollywood, CA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Delaware GPO 7</w:t>
            </w:r>
          </w:p>
        </w:tc>
        <w:tc>
          <w:tcPr>
            <w:tcW w:w="1440" w:type="dxa"/>
            <w:vAlign w:val="bottom"/>
          </w:tcPr>
          <w:p>
            <w:pPr>
              <w:ind w:left="80"/>
              <w:spacing w:after="0"/>
              <w:rPr>
                <w:sz w:val="20"/>
                <w:szCs w:val="20"/>
                <w:color w:val="auto"/>
              </w:rPr>
            </w:pPr>
            <w:r>
              <w:rPr>
                <w:rFonts w:ascii="Arial" w:cs="Arial" w:eastAsia="Arial" w:hAnsi="Arial"/>
                <w:sz w:val="18"/>
                <w:szCs w:val="18"/>
                <w:color w:val="auto"/>
              </w:rPr>
              <w:t>Class A general</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880" w:type="dxa"/>
            <w:vAlign w:val="bottom"/>
          </w:tcPr>
          <w:p>
            <w:pPr>
              <w:spacing w:after="0"/>
              <w:rPr>
                <w:sz w:val="18"/>
                <w:szCs w:val="18"/>
                <w:color w:val="auto"/>
              </w:rPr>
            </w:pP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Inc.</w:t>
            </w:r>
          </w:p>
        </w:tc>
        <w:tc>
          <w:tcPr>
            <w:tcW w:w="1440" w:type="dxa"/>
            <w:vAlign w:val="bottom"/>
          </w:tcPr>
          <w:p>
            <w:pPr>
              <w:ind w:left="80"/>
              <w:spacing w:after="0"/>
              <w:rPr>
                <w:sz w:val="20"/>
                <w:szCs w:val="20"/>
                <w:color w:val="auto"/>
              </w:rPr>
            </w:pPr>
            <w:r>
              <w:rPr>
                <w:rFonts w:ascii="Arial" w:cs="Arial" w:eastAsia="Arial" w:hAnsi="Arial"/>
                <w:sz w:val="18"/>
                <w:szCs w:val="18"/>
                <w:color w:val="auto"/>
              </w:rPr>
              <w:t>partner</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04"/>
        </w:trPr>
        <w:tc>
          <w:tcPr>
            <w:tcW w:w="1960" w:type="dxa"/>
            <w:vAlign w:val="bottom"/>
          </w:tcPr>
          <w:p>
            <w:pPr>
              <w:spacing w:after="0"/>
              <w:rPr>
                <w:sz w:val="20"/>
                <w:szCs w:val="20"/>
                <w:color w:val="auto"/>
              </w:rPr>
            </w:pPr>
            <w:r>
              <w:rPr>
                <w:rFonts w:ascii="Arial" w:cs="Arial" w:eastAsia="Arial" w:hAnsi="Arial"/>
                <w:sz w:val="18"/>
                <w:szCs w:val="18"/>
                <w:color w:val="auto"/>
              </w:rPr>
              <w:t>Delaware GPO 7</w:t>
            </w:r>
          </w:p>
        </w:tc>
        <w:tc>
          <w:tcPr>
            <w:tcW w:w="1440" w:type="dxa"/>
            <w:vAlign w:val="bottom"/>
          </w:tcPr>
          <w:p>
            <w:pPr>
              <w:ind w:left="80"/>
              <w:spacing w:after="0"/>
              <w:rPr>
                <w:sz w:val="20"/>
                <w:szCs w:val="20"/>
                <w:color w:val="auto"/>
              </w:rPr>
            </w:pPr>
            <w:r>
              <w:rPr>
                <w:rFonts w:ascii="Arial" w:cs="Arial" w:eastAsia="Arial" w:hAnsi="Arial"/>
                <w:sz w:val="18"/>
                <w:szCs w:val="18"/>
                <w:color w:val="auto"/>
              </w:rPr>
              <w:t>Class B general</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.9%</w:t>
            </w:r>
          </w:p>
        </w:tc>
        <w:tc>
          <w:tcPr>
            <w:tcW w:w="880" w:type="dxa"/>
            <w:vAlign w:val="bottom"/>
          </w:tcPr>
          <w:p>
            <w:pPr>
              <w:spacing w:after="0"/>
              <w:rPr>
                <w:sz w:val="24"/>
                <w:szCs w:val="24"/>
                <w:color w:val="auto"/>
              </w:rPr>
            </w:pP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Inc.</w:t>
            </w:r>
          </w:p>
        </w:tc>
        <w:tc>
          <w:tcPr>
            <w:tcW w:w="1440" w:type="dxa"/>
            <w:vAlign w:val="bottom"/>
          </w:tcPr>
          <w:p>
            <w:pPr>
              <w:ind w:left="80"/>
              <w:spacing w:after="0"/>
              <w:rPr>
                <w:sz w:val="20"/>
                <w:szCs w:val="20"/>
                <w:color w:val="auto"/>
              </w:rPr>
            </w:pPr>
            <w:r>
              <w:rPr>
                <w:rFonts w:ascii="Arial" w:cs="Arial" w:eastAsia="Arial" w:hAnsi="Arial"/>
                <w:sz w:val="18"/>
                <w:szCs w:val="18"/>
                <w:color w:val="auto"/>
              </w:rPr>
              <w:t>partner</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2"/>
        </w:trPr>
        <w:tc>
          <w:tcPr>
            <w:tcW w:w="1960" w:type="dxa"/>
            <w:vAlign w:val="bottom"/>
          </w:tcPr>
          <w:p>
            <w:pPr>
              <w:spacing w:after="0"/>
              <w:rPr>
                <w:sz w:val="20"/>
                <w:szCs w:val="20"/>
                <w:color w:val="auto"/>
              </w:rPr>
            </w:pPr>
            <w:r>
              <w:rPr>
                <w:rFonts w:ascii="Arial" w:cs="Arial" w:eastAsia="Arial" w:hAnsi="Arial"/>
                <w:sz w:val="18"/>
                <w:szCs w:val="18"/>
                <w:color w:val="auto"/>
              </w:rPr>
              <w:t>Delaware GPM 7</w:t>
            </w:r>
          </w:p>
        </w:tc>
        <w:tc>
          <w:tcPr>
            <w:tcW w:w="1440" w:type="dxa"/>
            <w:vAlign w:val="bottom"/>
          </w:tcPr>
          <w:p>
            <w:pPr>
              <w:ind w:left="80"/>
              <w:spacing w:after="0"/>
              <w:rPr>
                <w:sz w:val="20"/>
                <w:szCs w:val="20"/>
                <w:color w:val="auto"/>
              </w:rPr>
            </w:pPr>
            <w:r>
              <w:rPr>
                <w:rFonts w:ascii="Arial" w:cs="Arial" w:eastAsia="Arial" w:hAnsi="Arial"/>
                <w:sz w:val="18"/>
                <w:szCs w:val="18"/>
                <w:color w:val="auto"/>
              </w:rPr>
              <w:t>Class B general</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8.1%</w:t>
            </w:r>
          </w:p>
        </w:tc>
        <w:tc>
          <w:tcPr>
            <w:tcW w:w="880" w:type="dxa"/>
            <w:vAlign w:val="bottom"/>
          </w:tcPr>
          <w:p>
            <w:pPr>
              <w:spacing w:after="0"/>
              <w:rPr>
                <w:sz w:val="24"/>
                <w:szCs w:val="24"/>
                <w:color w:val="auto"/>
              </w:rPr>
            </w:pP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Inc.</w:t>
            </w:r>
          </w:p>
        </w:tc>
        <w:tc>
          <w:tcPr>
            <w:tcW w:w="1440" w:type="dxa"/>
            <w:vAlign w:val="bottom"/>
          </w:tcPr>
          <w:p>
            <w:pPr>
              <w:ind w:left="80"/>
              <w:spacing w:after="0"/>
              <w:rPr>
                <w:sz w:val="20"/>
                <w:szCs w:val="20"/>
                <w:color w:val="auto"/>
              </w:rPr>
            </w:pPr>
            <w:r>
              <w:rPr>
                <w:rFonts w:ascii="Arial" w:cs="Arial" w:eastAsia="Arial" w:hAnsi="Arial"/>
                <w:sz w:val="18"/>
                <w:szCs w:val="18"/>
                <w:color w:val="auto"/>
              </w:rPr>
              <w:t>partner</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2"/>
        </w:trPr>
        <w:tc>
          <w:tcPr>
            <w:tcW w:w="1960" w:type="dxa"/>
            <w:vAlign w:val="bottom"/>
          </w:tcPr>
          <w:p>
            <w:pPr>
              <w:spacing w:after="0"/>
              <w:rPr>
                <w:sz w:val="20"/>
                <w:szCs w:val="20"/>
                <w:color w:val="auto"/>
              </w:rPr>
            </w:pPr>
            <w:r>
              <w:rPr>
                <w:rFonts w:ascii="Arial" w:cs="Arial" w:eastAsia="Arial" w:hAnsi="Arial"/>
                <w:sz w:val="18"/>
                <w:szCs w:val="18"/>
                <w:color w:val="auto"/>
              </w:rPr>
              <w:t>Delaware GPO 7</w:t>
            </w:r>
          </w:p>
        </w:tc>
        <w:tc>
          <w:tcPr>
            <w:tcW w:w="1440" w:type="dxa"/>
            <w:vAlign w:val="bottom"/>
          </w:tcPr>
          <w:p>
            <w:pPr>
              <w:ind w:left="80"/>
              <w:spacing w:after="0"/>
              <w:rPr>
                <w:sz w:val="20"/>
                <w:szCs w:val="20"/>
                <w:color w:val="auto"/>
              </w:rPr>
            </w:pPr>
            <w:r>
              <w:rPr>
                <w:rFonts w:ascii="Arial" w:cs="Arial" w:eastAsia="Arial" w:hAnsi="Arial"/>
                <w:sz w:val="18"/>
                <w:szCs w:val="18"/>
                <w:color w:val="auto"/>
              </w:rPr>
              <w:t>Class B limited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880" w:type="dxa"/>
            <w:vAlign w:val="bottom"/>
          </w:tcPr>
          <w:p>
            <w:pPr>
              <w:spacing w:after="0"/>
              <w:rPr>
                <w:sz w:val="24"/>
                <w:szCs w:val="24"/>
                <w:color w:val="auto"/>
              </w:rPr>
            </w:pP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Inc.</w:t>
            </w:r>
          </w:p>
        </w:tc>
        <w:tc>
          <w:tcPr>
            <w:tcW w:w="1440" w:type="dxa"/>
            <w:vAlign w:val="bottom"/>
          </w:tcPr>
          <w:p>
            <w:pPr>
              <w:ind w:left="80"/>
              <w:spacing w:after="0"/>
              <w:rPr>
                <w:sz w:val="20"/>
                <w:szCs w:val="20"/>
                <w:color w:val="auto"/>
              </w:rPr>
            </w:pPr>
            <w:r>
              <w:rPr>
                <w:rFonts w:ascii="Arial" w:cs="Arial" w:eastAsia="Arial" w:hAnsi="Arial"/>
                <w:sz w:val="18"/>
                <w:szCs w:val="18"/>
                <w:color w:val="auto"/>
              </w:rPr>
              <w:t>partner</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2"/>
        </w:trPr>
        <w:tc>
          <w:tcPr>
            <w:tcW w:w="1960" w:type="dxa"/>
            <w:vAlign w:val="bottom"/>
          </w:tcPr>
          <w:p>
            <w:pPr>
              <w:spacing w:after="0"/>
              <w:rPr>
                <w:sz w:val="20"/>
                <w:szCs w:val="20"/>
                <w:color w:val="auto"/>
              </w:rPr>
            </w:pPr>
            <w:r>
              <w:rPr>
                <w:rFonts w:ascii="Arial" w:cs="Arial" w:eastAsia="Arial" w:hAnsi="Arial"/>
                <w:sz w:val="18"/>
                <w:szCs w:val="18"/>
                <w:color w:val="auto"/>
              </w:rPr>
              <w:t>Delaware GPM 7</w:t>
            </w:r>
          </w:p>
        </w:tc>
        <w:tc>
          <w:tcPr>
            <w:tcW w:w="1440" w:type="dxa"/>
            <w:vAlign w:val="bottom"/>
          </w:tcPr>
          <w:p>
            <w:pPr>
              <w:ind w:left="80"/>
              <w:spacing w:after="0"/>
              <w:rPr>
                <w:sz w:val="20"/>
                <w:szCs w:val="20"/>
                <w:color w:val="auto"/>
              </w:rPr>
            </w:pPr>
            <w:r>
              <w:rPr>
                <w:rFonts w:ascii="Arial" w:cs="Arial" w:eastAsia="Arial" w:hAnsi="Arial"/>
                <w:sz w:val="18"/>
                <w:szCs w:val="18"/>
                <w:color w:val="auto"/>
              </w:rPr>
              <w:t>Class B limited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.9%</w:t>
            </w:r>
          </w:p>
        </w:tc>
        <w:tc>
          <w:tcPr>
            <w:tcW w:w="880" w:type="dxa"/>
            <w:vAlign w:val="bottom"/>
          </w:tcPr>
          <w:p>
            <w:pPr>
              <w:spacing w:after="0"/>
              <w:rPr>
                <w:sz w:val="24"/>
                <w:szCs w:val="24"/>
                <w:color w:val="auto"/>
              </w:rPr>
            </w:pP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Inc.</w:t>
            </w:r>
          </w:p>
        </w:tc>
        <w:tc>
          <w:tcPr>
            <w:tcW w:w="1440" w:type="dxa"/>
            <w:vAlign w:val="bottom"/>
          </w:tcPr>
          <w:p>
            <w:pPr>
              <w:ind w:left="80"/>
              <w:spacing w:after="0"/>
              <w:rPr>
                <w:sz w:val="20"/>
                <w:szCs w:val="20"/>
                <w:color w:val="auto"/>
              </w:rPr>
            </w:pPr>
            <w:r>
              <w:rPr>
                <w:rFonts w:ascii="Arial" w:cs="Arial" w:eastAsia="Arial" w:hAnsi="Arial"/>
                <w:sz w:val="18"/>
                <w:szCs w:val="18"/>
                <w:color w:val="auto"/>
              </w:rPr>
              <w:t>partner</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38"/>
        </w:trPr>
        <w:tc>
          <w:tcPr>
            <w:tcW w:w="1960" w:type="dxa"/>
            <w:vAlign w:val="bottom"/>
          </w:tcPr>
          <w:p>
            <w:pPr>
              <w:spacing w:after="0"/>
              <w:rPr>
                <w:sz w:val="20"/>
                <w:szCs w:val="20"/>
                <w:color w:val="auto"/>
              </w:rPr>
            </w:pPr>
            <w:r>
              <w:rPr>
                <w:rFonts w:ascii="Arial" w:cs="Arial" w:eastAsia="Arial" w:hAnsi="Arial"/>
                <w:sz w:val="18"/>
                <w:szCs w:val="18"/>
                <w:color w:val="auto"/>
                <w:w w:val="90"/>
              </w:rPr>
              <w:t>Street Retail West GP, Inc.</w:t>
            </w:r>
          </w:p>
        </w:tc>
        <w:tc>
          <w:tcPr>
            <w:tcW w:w="144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880" w:type="dxa"/>
            <w:vAlign w:val="bottom"/>
          </w:tcPr>
          <w:p>
            <w:pPr>
              <w:ind w:left="160"/>
              <w:spacing w:after="0"/>
              <w:rPr>
                <w:sz w:val="20"/>
                <w:szCs w:val="20"/>
                <w:color w:val="auto"/>
              </w:rPr>
            </w:pPr>
            <w:r>
              <w:rPr>
                <w:rFonts w:ascii="Arial" w:cs="Arial" w:eastAsia="Arial" w:hAnsi="Arial"/>
                <w:sz w:val="18"/>
                <w:szCs w:val="18"/>
                <w:color w:val="auto"/>
                <w:w w:val="86"/>
              </w:rPr>
              <w:t>Guarantor</w:t>
            </w:r>
          </w:p>
        </w:tc>
      </w:tr>
      <w:tr>
        <w:trPr>
          <w:trHeight w:val="297"/>
        </w:trPr>
        <w:tc>
          <w:tcPr>
            <w:tcW w:w="1960" w:type="dxa"/>
            <w:vAlign w:val="bottom"/>
          </w:tcPr>
          <w:p>
            <w:pPr>
              <w:spacing w:after="0"/>
              <w:rPr>
                <w:sz w:val="20"/>
                <w:szCs w:val="20"/>
                <w:color w:val="auto"/>
              </w:rPr>
            </w:pPr>
            <w:r>
              <w:rPr>
                <w:rFonts w:ascii="Arial" w:cs="Arial" w:eastAsia="Arial" w:hAnsi="Arial"/>
                <w:sz w:val="18"/>
                <w:szCs w:val="18"/>
                <w:color w:val="auto"/>
              </w:rPr>
              <w:t>Street Retail, Inc.</w:t>
            </w:r>
          </w:p>
        </w:tc>
        <w:tc>
          <w:tcPr>
            <w:tcW w:w="144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880" w:type="dxa"/>
            <w:vAlign w:val="bottom"/>
          </w:tcPr>
          <w:p>
            <w:pPr>
              <w:spacing w:after="0"/>
              <w:rPr>
                <w:sz w:val="24"/>
                <w:szCs w:val="24"/>
                <w:color w:val="auto"/>
              </w:rPr>
            </w:pPr>
          </w:p>
        </w:tc>
      </w:tr>
      <w:tr>
        <w:trPr>
          <w:trHeight w:val="311"/>
        </w:trPr>
        <w:tc>
          <w:tcPr>
            <w:tcW w:w="1960" w:type="dxa"/>
            <w:vAlign w:val="bottom"/>
          </w:tcPr>
          <w:p>
            <w:pPr>
              <w:spacing w:after="0"/>
              <w:rPr>
                <w:sz w:val="20"/>
                <w:szCs w:val="20"/>
                <w:color w:val="auto"/>
              </w:rPr>
            </w:pPr>
            <w:r>
              <w:rPr>
                <w:rFonts w:ascii="Arial" w:cs="Arial" w:eastAsia="Arial" w:hAnsi="Arial"/>
                <w:sz w:val="18"/>
                <w:szCs w:val="18"/>
                <w:color w:val="auto"/>
              </w:rPr>
              <w:t>Street Retail, Inc.</w:t>
            </w:r>
          </w:p>
        </w:tc>
        <w:tc>
          <w:tcPr>
            <w:tcW w:w="1440" w:type="dxa"/>
            <w:vAlign w:val="bottom"/>
          </w:tcPr>
          <w:p>
            <w:pPr>
              <w:ind w:left="80"/>
              <w:spacing w:after="0"/>
              <w:rPr>
                <w:sz w:val="20"/>
                <w:szCs w:val="20"/>
                <w:color w:val="auto"/>
              </w:rPr>
            </w:pPr>
            <w:r>
              <w:rPr>
                <w:rFonts w:ascii="Arial" w:cs="Arial" w:eastAsia="Arial" w:hAnsi="Arial"/>
                <w:sz w:val="18"/>
                <w:szCs w:val="18"/>
                <w:color w:val="auto"/>
              </w:rPr>
              <w:t>Limited partner</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880" w:type="dxa"/>
            <w:vAlign w:val="bottom"/>
          </w:tcPr>
          <w:p>
            <w:pPr>
              <w:spacing w:after="0"/>
              <w:rPr>
                <w:sz w:val="24"/>
                <w:szCs w:val="24"/>
                <w:color w:val="auto"/>
              </w:rPr>
            </w:pPr>
          </w:p>
        </w:tc>
      </w:tr>
      <w:tr>
        <w:trPr>
          <w:trHeight w:val="331"/>
        </w:trPr>
        <w:tc>
          <w:tcPr>
            <w:tcW w:w="1960" w:type="dxa"/>
            <w:vAlign w:val="bottom"/>
          </w:tcPr>
          <w:p>
            <w:pPr>
              <w:spacing w:after="0"/>
              <w:rPr>
                <w:sz w:val="20"/>
                <w:szCs w:val="20"/>
                <w:color w:val="auto"/>
              </w:rPr>
            </w:pPr>
            <w:r>
              <w:rPr>
                <w:rFonts w:ascii="Arial" w:cs="Arial" w:eastAsia="Arial" w:hAnsi="Arial"/>
                <w:sz w:val="18"/>
                <w:szCs w:val="18"/>
                <w:color w:val="auto"/>
              </w:rPr>
              <w:t>Street Retail, Inc.</w:t>
            </w:r>
          </w:p>
        </w:tc>
        <w:tc>
          <w:tcPr>
            <w:tcW w:w="1440" w:type="dxa"/>
            <w:vAlign w:val="bottom"/>
          </w:tcPr>
          <w:p>
            <w:pPr>
              <w:ind w:left="80"/>
              <w:spacing w:after="0"/>
              <w:rPr>
                <w:sz w:val="20"/>
                <w:szCs w:val="20"/>
                <w:color w:val="auto"/>
              </w:rPr>
            </w:pPr>
            <w:r>
              <w:rPr>
                <w:rFonts w:ascii="Arial" w:cs="Arial" w:eastAsia="Arial" w:hAnsi="Arial"/>
                <w:sz w:val="18"/>
                <w:szCs w:val="18"/>
                <w:color w:val="auto"/>
              </w:rPr>
              <w:t>Sole</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880" w:type="dxa"/>
            <w:vAlign w:val="bottom"/>
          </w:tcPr>
          <w:p>
            <w:pPr>
              <w:ind w:left="160"/>
              <w:spacing w:after="0"/>
              <w:rPr>
                <w:sz w:val="20"/>
                <w:szCs w:val="20"/>
                <w:color w:val="auto"/>
              </w:rPr>
            </w:pPr>
            <w:r>
              <w:rPr>
                <w:rFonts w:ascii="Arial" w:cs="Arial" w:eastAsia="Arial" w:hAnsi="Arial"/>
                <w:sz w:val="18"/>
                <w:szCs w:val="18"/>
                <w:color w:val="auto"/>
                <w:w w:val="86"/>
              </w:rPr>
              <w:t>Guarantor</w:t>
            </w:r>
          </w:p>
        </w:tc>
      </w:tr>
      <w:tr>
        <w:trPr>
          <w:trHeight w:val="222"/>
        </w:trPr>
        <w:tc>
          <w:tcPr>
            <w:tcW w:w="1960" w:type="dxa"/>
            <w:vAlign w:val="bottom"/>
          </w:tcPr>
          <w:p>
            <w:pPr>
              <w:spacing w:after="0"/>
              <w:rPr>
                <w:sz w:val="19"/>
                <w:szCs w:val="19"/>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stockholder</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534"/>
        </w:trPr>
        <w:tc>
          <w:tcPr>
            <w:tcW w:w="1960" w:type="dxa"/>
            <w:vAlign w:val="bottom"/>
          </w:tcPr>
          <w:p>
            <w:pPr>
              <w:spacing w:after="0"/>
              <w:rPr>
                <w:sz w:val="20"/>
                <w:szCs w:val="20"/>
                <w:color w:val="auto"/>
              </w:rPr>
            </w:pPr>
            <w:r>
              <w:rPr>
                <w:rFonts w:ascii="Arial" w:cs="Arial" w:eastAsia="Arial" w:hAnsi="Arial"/>
                <w:sz w:val="18"/>
                <w:szCs w:val="18"/>
                <w:color w:val="auto"/>
              </w:rPr>
              <w:t>SRI San Antonio,</w:t>
            </w:r>
          </w:p>
        </w:tc>
        <w:tc>
          <w:tcPr>
            <w:tcW w:w="144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880" w:type="dxa"/>
            <w:vAlign w:val="bottom"/>
          </w:tcPr>
          <w:p>
            <w:pPr>
              <w:ind w:left="160"/>
              <w:spacing w:after="0"/>
              <w:rPr>
                <w:sz w:val="20"/>
                <w:szCs w:val="20"/>
                <w:color w:val="auto"/>
              </w:rPr>
            </w:pPr>
            <w:r>
              <w:rPr>
                <w:rFonts w:ascii="Arial" w:cs="Arial" w:eastAsia="Arial" w:hAnsi="Arial"/>
                <w:sz w:val="18"/>
                <w:szCs w:val="18"/>
                <w:color w:val="auto"/>
                <w:w w:val="86"/>
              </w:rPr>
              <w:t>Guarantor</w:t>
            </w: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Inc.</w:t>
            </w:r>
          </w:p>
        </w:tc>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11"/>
        </w:trPr>
        <w:tc>
          <w:tcPr>
            <w:tcW w:w="1960" w:type="dxa"/>
            <w:vAlign w:val="bottom"/>
          </w:tcPr>
          <w:p>
            <w:pPr>
              <w:spacing w:after="0"/>
              <w:rPr>
                <w:sz w:val="20"/>
                <w:szCs w:val="20"/>
                <w:color w:val="auto"/>
              </w:rPr>
            </w:pPr>
            <w:r>
              <w:rPr>
                <w:rFonts w:ascii="Arial" w:cs="Arial" w:eastAsia="Arial" w:hAnsi="Arial"/>
                <w:sz w:val="18"/>
                <w:szCs w:val="18"/>
                <w:color w:val="auto"/>
              </w:rPr>
              <w:t>SRI Texas, Inc.</w:t>
            </w:r>
          </w:p>
        </w:tc>
        <w:tc>
          <w:tcPr>
            <w:tcW w:w="1440" w:type="dxa"/>
            <w:vAlign w:val="bottom"/>
          </w:tcPr>
          <w:p>
            <w:pPr>
              <w:ind w:left="80"/>
              <w:spacing w:after="0"/>
              <w:rPr>
                <w:sz w:val="20"/>
                <w:szCs w:val="20"/>
                <w:color w:val="auto"/>
              </w:rPr>
            </w:pPr>
            <w:r>
              <w:rPr>
                <w:rFonts w:ascii="Arial" w:cs="Arial" w:eastAsia="Arial" w:hAnsi="Arial"/>
                <w:sz w:val="18"/>
                <w:szCs w:val="18"/>
                <w:color w:val="auto"/>
              </w:rPr>
              <w:t>Limited partner</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99.9%</w:t>
            </w:r>
          </w:p>
        </w:tc>
        <w:tc>
          <w:tcPr>
            <w:tcW w:w="880" w:type="dxa"/>
            <w:vAlign w:val="bottom"/>
          </w:tcPr>
          <w:p>
            <w:pPr>
              <w:spacing w:after="0"/>
              <w:rPr>
                <w:sz w:val="24"/>
                <w:szCs w:val="24"/>
                <w:color w:val="auto"/>
              </w:rPr>
            </w:pPr>
          </w:p>
        </w:tc>
      </w:tr>
      <w:tr>
        <w:trPr>
          <w:trHeight w:val="338"/>
        </w:trPr>
        <w:tc>
          <w:tcPr>
            <w:tcW w:w="1960" w:type="dxa"/>
            <w:vAlign w:val="bottom"/>
          </w:tcPr>
          <w:p>
            <w:pPr>
              <w:spacing w:after="0"/>
              <w:rPr>
                <w:sz w:val="20"/>
                <w:szCs w:val="20"/>
                <w:color w:val="auto"/>
              </w:rPr>
            </w:pPr>
            <w:r>
              <w:rPr>
                <w:rFonts w:ascii="Arial" w:cs="Arial" w:eastAsia="Arial" w:hAnsi="Arial"/>
                <w:sz w:val="18"/>
                <w:szCs w:val="18"/>
                <w:color w:val="auto"/>
              </w:rPr>
              <w:t>Street Retail, Inc.,</w:t>
            </w:r>
          </w:p>
        </w:tc>
        <w:tc>
          <w:tcPr>
            <w:tcW w:w="1440" w:type="dxa"/>
            <w:vAlign w:val="bottom"/>
          </w:tcPr>
          <w:p>
            <w:pPr>
              <w:ind w:left="80"/>
              <w:spacing w:after="0"/>
              <w:rPr>
                <w:sz w:val="20"/>
                <w:szCs w:val="20"/>
                <w:color w:val="auto"/>
              </w:rPr>
            </w:pPr>
            <w:r>
              <w:rPr>
                <w:rFonts w:ascii="Arial" w:cs="Arial" w:eastAsia="Arial" w:hAnsi="Arial"/>
                <w:sz w:val="18"/>
                <w:szCs w:val="18"/>
                <w:color w:val="auto"/>
              </w:rPr>
              <w:t>Sole stockholder</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880" w:type="dxa"/>
            <w:vAlign w:val="bottom"/>
          </w:tcPr>
          <w:p>
            <w:pPr>
              <w:ind w:left="160"/>
              <w:spacing w:after="0"/>
              <w:rPr>
                <w:sz w:val="20"/>
                <w:szCs w:val="20"/>
                <w:color w:val="auto"/>
              </w:rPr>
            </w:pPr>
            <w:r>
              <w:rPr>
                <w:rFonts w:ascii="Arial" w:cs="Arial" w:eastAsia="Arial" w:hAnsi="Arial"/>
                <w:sz w:val="18"/>
                <w:szCs w:val="18"/>
                <w:color w:val="auto"/>
                <w:w w:val="86"/>
              </w:rPr>
              <w:t>Guarantor</w:t>
            </w:r>
          </w:p>
        </w:tc>
      </w:tr>
    </w:tbl>
    <w:p>
      <w:pPr>
        <w:spacing w:after="0" w:line="35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8"/>
        <w:spacing w:after="0"/>
        <w:rPr>
          <w:sz w:val="20"/>
          <w:szCs w:val="20"/>
          <w:color w:val="auto"/>
        </w:rPr>
      </w:pPr>
      <w:r>
        <w:rPr>
          <w:rFonts w:ascii="Arial" w:cs="Arial" w:eastAsia="Arial" w:hAnsi="Arial"/>
          <w:sz w:val="14"/>
          <w:szCs w:val="14"/>
          <w:b w:val="1"/>
          <w:bCs w:val="1"/>
          <w:color w:val="auto"/>
        </w:rPr>
        <w:t>Liens, Options, Registration</w:t>
      </w:r>
    </w:p>
    <w:p>
      <w:pPr>
        <w:spacing w:after="0" w:line="1" w:lineRule="exact"/>
        <w:rPr>
          <w:sz w:val="20"/>
          <w:szCs w:val="20"/>
          <w:color w:val="auto"/>
        </w:rPr>
      </w:pPr>
    </w:p>
    <w:p>
      <w:pPr>
        <w:jc w:val="center"/>
        <w:ind w:right="-28"/>
        <w:spacing w:after="0"/>
        <w:rPr>
          <w:sz w:val="20"/>
          <w:szCs w:val="20"/>
          <w:color w:val="auto"/>
        </w:rPr>
      </w:pPr>
      <w:r>
        <w:rPr>
          <w:rFonts w:ascii="Arial" w:cs="Arial" w:eastAsia="Arial" w:hAnsi="Arial"/>
          <w:sz w:val="14"/>
          <w:szCs w:val="14"/>
          <w:b w:val="1"/>
          <w:bCs w:val="1"/>
          <w:color w:val="auto"/>
        </w:rPr>
        <w:t>Rights,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4408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9" w:hanging="209"/>
        <w:spacing w:after="0" w:line="283" w:lineRule="auto"/>
        <w:tabs>
          <w:tab w:leader="none" w:pos="18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Right to merge entities into a Federal Realty entity in exchange for Federal Realty stock or cash (at option of non-Federal Realty partners, subject to certain conditions); and</w:t>
      </w:r>
    </w:p>
    <w:p>
      <w:pPr>
        <w:ind w:left="209" w:right="80" w:hanging="209"/>
        <w:spacing w:after="0" w:line="292" w:lineRule="auto"/>
        <w:tabs>
          <w:tab w:leader="none" w:pos="18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Registration rights for Federal Realty stock issued in connection with transfer of partnership interests through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ind w:left="9"/>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
        <w:spacing w:after="0"/>
        <w:rPr>
          <w:sz w:val="20"/>
          <w:szCs w:val="20"/>
          <w:color w:val="auto"/>
        </w:rPr>
      </w:pPr>
      <w:r>
        <w:rPr>
          <w:rFonts w:ascii="Arial" w:cs="Arial" w:eastAsia="Arial" w:hAnsi="Arial"/>
          <w:sz w:val="18"/>
          <w:szCs w:val="18"/>
          <w:color w:val="auto"/>
        </w:rPr>
        <w:t>None</w:t>
      </w:r>
    </w:p>
    <w:p>
      <w:pPr>
        <w:sectPr>
          <w:pgSz w:w="11900" w:h="16838" w:orient="portrait"/>
          <w:cols w:equalWidth="0" w:num="3">
            <w:col w:w="2500" w:space="500"/>
            <w:col w:w="5980" w:space="171"/>
            <w:col w:w="2229"/>
          </w:cols>
          <w:pgMar w:left="240" w:top="274" w:right="27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ind w:left="540"/>
              <w:spacing w:after="0"/>
              <w:rPr>
                <w:sz w:val="20"/>
                <w:szCs w:val="20"/>
                <w:color w:val="auto"/>
              </w:rPr>
            </w:pPr>
            <w:r>
              <w:rPr>
                <w:rFonts w:ascii="Arial" w:cs="Arial" w:eastAsia="Arial" w:hAnsi="Arial"/>
                <w:sz w:val="14"/>
                <w:szCs w:val="14"/>
                <w:b w:val="1"/>
                <w:bCs w:val="1"/>
                <w:color w:val="auto"/>
              </w:rPr>
              <w:t>ENTITY NAME/Jurisdiction of</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Nature of Equity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Material and/or</w:t>
            </w: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75"/>
        </w:trPr>
        <w:tc>
          <w:tcPr>
            <w:tcW w:w="292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Formation</w:t>
            </w:r>
          </w:p>
        </w:tc>
        <w:tc>
          <w:tcPr>
            <w:tcW w:w="200" w:type="dxa"/>
            <w:vAlign w:val="bottom"/>
          </w:tcPr>
          <w:p>
            <w:pPr>
              <w:spacing w:after="0"/>
              <w:rPr>
                <w:sz w:val="15"/>
                <w:szCs w:val="15"/>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Equity Holders</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Ownership</w:t>
            </w:r>
          </w:p>
        </w:tc>
        <w:tc>
          <w:tcPr>
            <w:tcW w:w="1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Excluded Subsidiary</w:t>
            </w:r>
          </w:p>
        </w:tc>
        <w:tc>
          <w:tcPr>
            <w:tcW w:w="180" w:type="dxa"/>
            <w:vAlign w:val="bottom"/>
          </w:tcPr>
          <w:p>
            <w:pPr>
              <w:spacing w:after="0"/>
              <w:rPr>
                <w:sz w:val="15"/>
                <w:szCs w:val="15"/>
                <w:color w:val="auto"/>
              </w:rPr>
            </w:pPr>
          </w:p>
        </w:tc>
        <w:tc>
          <w:tcPr>
            <w:tcW w:w="2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3"/>
              </w:rPr>
              <w:t>Liens, Options, Registration Rights, etc.</w:t>
            </w:r>
          </w:p>
        </w:tc>
      </w:tr>
      <w:tr>
        <w:trPr>
          <w:trHeight w:val="309"/>
        </w:trPr>
        <w:tc>
          <w:tcPr>
            <w:tcW w:w="2920" w:type="dxa"/>
            <w:vAlign w:val="bottom"/>
          </w:tcPr>
          <w:p>
            <w:pPr>
              <w:spacing w:after="0"/>
              <w:rPr>
                <w:sz w:val="20"/>
                <w:szCs w:val="20"/>
                <w:color w:val="auto"/>
              </w:rPr>
            </w:pPr>
            <w:r>
              <w:rPr>
                <w:rFonts w:ascii="Arial" w:cs="Arial" w:eastAsia="Arial" w:hAnsi="Arial"/>
                <w:sz w:val="18"/>
                <w:szCs w:val="18"/>
                <w:color w:val="auto"/>
              </w:rPr>
              <w:t>SANTANA ROW SERVICES,</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5"/>
              </w:rPr>
              <w:t>Street Retail, Inc.</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Sole</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100%</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None</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INC., a Delaware corporation</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stockholder</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331"/>
        </w:trPr>
        <w:tc>
          <w:tcPr>
            <w:tcW w:w="2920" w:type="dxa"/>
            <w:vAlign w:val="bottom"/>
          </w:tcPr>
          <w:p>
            <w:pPr>
              <w:spacing w:after="0"/>
              <w:rPr>
                <w:sz w:val="20"/>
                <w:szCs w:val="20"/>
                <w:color w:val="auto"/>
              </w:rPr>
            </w:pPr>
            <w:r>
              <w:rPr>
                <w:rFonts w:ascii="Arial" w:cs="Arial" w:eastAsia="Arial" w:hAnsi="Arial"/>
                <w:sz w:val="18"/>
                <w:szCs w:val="18"/>
                <w:color w:val="auto"/>
              </w:rPr>
              <w:t>SANTANA ROW ROF, INC., a</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5"/>
              </w:rPr>
              <w:t>Street Retail, Inc.</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Sole</w:t>
            </w:r>
          </w:p>
        </w:tc>
        <w:tc>
          <w:tcPr>
            <w:tcW w:w="100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100%</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None</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Delaware corporation</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stockholder</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tcPr>
          <w:p>
            <w:pPr>
              <w:spacing w:after="0"/>
              <w:rPr>
                <w:sz w:val="19"/>
                <w:szCs w:val="19"/>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160" w:name="page161"/>
    <w:bookmarkEnd w:id="160"/>
    <w:p>
      <w:pPr>
        <w:jc w:val="center"/>
        <w:ind w:right="-2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6.1(B)</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u w:val="single" w:color="auto"/>
          <w:color w:val="auto"/>
        </w:rPr>
        <w:t>OWNERSHIP STRUCTURE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II—Unconsolidated Affiliates</w:t>
      </w:r>
    </w:p>
    <w:p>
      <w:pPr>
        <w:sectPr>
          <w:pgSz w:w="11900" w:h="16838" w:orient="portrait"/>
          <w:cols w:equalWidth="0" w:num="1">
            <w:col w:w="11160"/>
          </w:cols>
          <w:pgMar w:left="240" w:top="274" w:right="499" w:bottom="1440" w:gutter="0" w:footer="0" w:header="0"/>
        </w:sectPr>
      </w:pPr>
    </w:p>
    <w:p>
      <w:pPr>
        <w:spacing w:after="0" w:line="362"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color w:val="auto"/>
        </w:rPr>
        <w:t>ENTITY NAME/Jurisdiction of</w:t>
      </w:r>
    </w:p>
    <w:p>
      <w:pPr>
        <w:spacing w:after="0" w:line="1"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color w:val="auto"/>
        </w:rPr>
        <w:t>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7012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right="20"/>
        <w:spacing w:after="0" w:line="268" w:lineRule="auto"/>
        <w:rPr>
          <w:sz w:val="20"/>
          <w:szCs w:val="20"/>
          <w:color w:val="auto"/>
        </w:rPr>
      </w:pPr>
      <w:r>
        <w:rPr>
          <w:rFonts w:ascii="Arial" w:cs="Arial" w:eastAsia="Arial" w:hAnsi="Arial"/>
          <w:sz w:val="18"/>
          <w:szCs w:val="18"/>
          <w:color w:val="auto"/>
        </w:rPr>
        <w:t>LA RIVE GAUCHE SAN JOSE, LLC, a California limited liability company</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STRAITS SANTANA ROW, LLC, a California limited liability company</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VILLAGE CAFE SANTANA ROW, LLC, a California limited liability company</w:t>
      </w:r>
    </w:p>
    <w:p>
      <w:pPr>
        <w:spacing w:after="0" w:line="38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BLOWFISH SR, LLC, a California limited liability company</w:t>
      </w:r>
    </w:p>
    <w:p>
      <w:pPr>
        <w:spacing w:after="0" w:line="38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YANKEE PIER SANTANA ROW, LLC, a California limited liability company</w:t>
      </w:r>
    </w:p>
    <w:p>
      <w:pPr>
        <w:spacing w:after="0" w:line="17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PIZZA ANTICA, LLC, a California limited liability company</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SINO, LLC F/K/A RED LANTERN RESTAURANT, LLC, a California limited liability company</w:t>
      </w:r>
    </w:p>
    <w:p>
      <w:pPr>
        <w:spacing w:after="0" w:line="38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SANTANA GRILL PARTNERS, LP, a California limited partnership</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FEDERAL/LION VENTURE LP, a Delaware limited partnership</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ind w:left="240"/>
              <w:spacing w:after="0"/>
              <w:rPr>
                <w:sz w:val="20"/>
                <w:szCs w:val="20"/>
                <w:color w:val="auto"/>
              </w:rPr>
            </w:pPr>
            <w:r>
              <w:rPr>
                <w:rFonts w:ascii="Arial" w:cs="Arial" w:eastAsia="Arial" w:hAnsi="Arial"/>
                <w:sz w:val="14"/>
                <w:szCs w:val="14"/>
                <w:b w:val="1"/>
                <w:bCs w:val="1"/>
                <w:color w:val="auto"/>
              </w:rPr>
              <w:t>Nature of Equity</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5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Equity Holders</w:t>
            </w:r>
          </w:p>
        </w:tc>
        <w:tc>
          <w:tcPr>
            <w:tcW w:w="220" w:type="dxa"/>
            <w:vAlign w:val="bottom"/>
          </w:tcPr>
          <w:p>
            <w:pPr>
              <w:spacing w:after="0"/>
              <w:rPr>
                <w:sz w:val="15"/>
                <w:szCs w:val="15"/>
                <w:color w:val="auto"/>
              </w:rPr>
            </w:pP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 Ownership</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Santana Row ROF, Inc.</w:t>
            </w: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Member</w:t>
            </w: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37.5%</w:t>
            </w:r>
          </w:p>
        </w:tc>
      </w:tr>
      <w:tr>
        <w:trPr>
          <w:trHeight w:val="289"/>
        </w:trPr>
        <w:tc>
          <w:tcPr>
            <w:tcW w:w="2560" w:type="dxa"/>
            <w:vAlign w:val="bottom"/>
            <w:gridSpan w:val="2"/>
          </w:tcPr>
          <w:p>
            <w:pPr>
              <w:spacing w:after="0"/>
              <w:rPr>
                <w:sz w:val="20"/>
                <w:szCs w:val="20"/>
                <w:color w:val="auto"/>
              </w:rPr>
            </w:pPr>
            <w:r>
              <w:rPr>
                <w:rFonts w:ascii="Arial" w:cs="Arial" w:eastAsia="Arial" w:hAnsi="Arial"/>
                <w:sz w:val="18"/>
                <w:szCs w:val="18"/>
                <w:color w:val="auto"/>
              </w:rPr>
              <w:t>Vine Dining Enterprises,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Manager/member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62.5%</w:t>
            </w:r>
          </w:p>
        </w:tc>
      </w:tr>
      <w:tr>
        <w:trPr>
          <w:trHeight w:val="338"/>
        </w:trPr>
        <w:tc>
          <w:tcPr>
            <w:tcW w:w="2560" w:type="dxa"/>
            <w:vAlign w:val="bottom"/>
            <w:gridSpan w:val="2"/>
          </w:tcPr>
          <w:p>
            <w:pPr>
              <w:spacing w:after="0"/>
              <w:rPr>
                <w:sz w:val="20"/>
                <w:szCs w:val="20"/>
                <w:color w:val="auto"/>
              </w:rPr>
            </w:pPr>
            <w:r>
              <w:rPr>
                <w:rFonts w:ascii="Arial" w:cs="Arial" w:eastAsia="Arial" w:hAnsi="Arial"/>
                <w:sz w:val="18"/>
                <w:szCs w:val="18"/>
                <w:color w:val="auto"/>
              </w:rPr>
              <w:t>Santana Row ROF,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90%</w:t>
            </w:r>
          </w:p>
        </w:tc>
      </w:tr>
      <w:tr>
        <w:trPr>
          <w:trHeight w:val="297"/>
        </w:trPr>
        <w:tc>
          <w:tcPr>
            <w:tcW w:w="2560" w:type="dxa"/>
            <w:vAlign w:val="bottom"/>
            <w:gridSpan w:val="2"/>
          </w:tcPr>
          <w:p>
            <w:pPr>
              <w:spacing w:after="0"/>
              <w:rPr>
                <w:sz w:val="20"/>
                <w:szCs w:val="20"/>
                <w:color w:val="auto"/>
              </w:rPr>
            </w:pPr>
            <w:r>
              <w:rPr>
                <w:rFonts w:ascii="Arial" w:cs="Arial" w:eastAsia="Arial" w:hAnsi="Arial"/>
                <w:sz w:val="18"/>
                <w:szCs w:val="18"/>
                <w:color w:val="auto"/>
              </w:rPr>
              <w:t>Christopher Yeo</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Manager/member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10%</w:t>
            </w:r>
          </w:p>
        </w:tc>
      </w:tr>
      <w:tr>
        <w:trPr>
          <w:trHeight w:val="338"/>
        </w:trPr>
        <w:tc>
          <w:tcPr>
            <w:tcW w:w="2560" w:type="dxa"/>
            <w:vAlign w:val="bottom"/>
            <w:gridSpan w:val="2"/>
          </w:tcPr>
          <w:p>
            <w:pPr>
              <w:spacing w:after="0"/>
              <w:rPr>
                <w:sz w:val="20"/>
                <w:szCs w:val="20"/>
                <w:color w:val="auto"/>
              </w:rPr>
            </w:pPr>
            <w:r>
              <w:rPr>
                <w:rFonts w:ascii="Arial" w:cs="Arial" w:eastAsia="Arial" w:hAnsi="Arial"/>
                <w:sz w:val="18"/>
                <w:szCs w:val="18"/>
                <w:color w:val="auto"/>
              </w:rPr>
              <w:t>Santana Row ROF,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49%</w:t>
            </w:r>
          </w:p>
        </w:tc>
      </w:tr>
      <w:tr>
        <w:trPr>
          <w:trHeight w:val="291"/>
        </w:trPr>
        <w:tc>
          <w:tcPr>
            <w:tcW w:w="2560" w:type="dxa"/>
            <w:vAlign w:val="bottom"/>
            <w:gridSpan w:val="2"/>
          </w:tcPr>
          <w:p>
            <w:pPr>
              <w:spacing w:after="0"/>
              <w:rPr>
                <w:sz w:val="20"/>
                <w:szCs w:val="20"/>
                <w:color w:val="auto"/>
              </w:rPr>
            </w:pPr>
            <w:r>
              <w:rPr>
                <w:rFonts w:ascii="Arial" w:cs="Arial" w:eastAsia="Arial" w:hAnsi="Arial"/>
                <w:sz w:val="18"/>
                <w:szCs w:val="18"/>
                <w:color w:val="auto"/>
              </w:rPr>
              <w:t>San Francisco Coffee Roasting</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Manager/member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51%</w:t>
            </w:r>
          </w:p>
        </w:tc>
      </w:tr>
      <w:tr>
        <w:trPr>
          <w:trHeight w:val="222"/>
        </w:trPr>
        <w:tc>
          <w:tcPr>
            <w:tcW w:w="2560" w:type="dxa"/>
            <w:vAlign w:val="bottom"/>
            <w:gridSpan w:val="2"/>
          </w:tcPr>
          <w:p>
            <w:pPr>
              <w:spacing w:after="0"/>
              <w:rPr>
                <w:sz w:val="20"/>
                <w:szCs w:val="20"/>
                <w:color w:val="auto"/>
              </w:rPr>
            </w:pPr>
            <w:r>
              <w:rPr>
                <w:rFonts w:ascii="Arial" w:cs="Arial" w:eastAsia="Arial" w:hAnsi="Arial"/>
                <w:sz w:val="18"/>
                <w:szCs w:val="18"/>
                <w:color w:val="auto"/>
              </w:rPr>
              <w:t>Company, Inc.</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38"/>
        </w:trPr>
        <w:tc>
          <w:tcPr>
            <w:tcW w:w="2560" w:type="dxa"/>
            <w:vAlign w:val="bottom"/>
            <w:gridSpan w:val="2"/>
          </w:tcPr>
          <w:p>
            <w:pPr>
              <w:spacing w:after="0"/>
              <w:rPr>
                <w:sz w:val="20"/>
                <w:szCs w:val="20"/>
                <w:color w:val="auto"/>
              </w:rPr>
            </w:pPr>
            <w:r>
              <w:rPr>
                <w:rFonts w:ascii="Arial" w:cs="Arial" w:eastAsia="Arial" w:hAnsi="Arial"/>
                <w:sz w:val="18"/>
                <w:szCs w:val="18"/>
                <w:color w:val="auto"/>
              </w:rPr>
              <w:t>Santana Row ROF,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30%</w:t>
            </w:r>
          </w:p>
        </w:tc>
      </w:tr>
      <w:tr>
        <w:trPr>
          <w:trHeight w:val="513"/>
        </w:trPr>
        <w:tc>
          <w:tcPr>
            <w:tcW w:w="2560" w:type="dxa"/>
            <w:vAlign w:val="bottom"/>
            <w:gridSpan w:val="2"/>
          </w:tcPr>
          <w:p>
            <w:pPr>
              <w:spacing w:after="0"/>
              <w:rPr>
                <w:sz w:val="20"/>
                <w:szCs w:val="20"/>
                <w:color w:val="auto"/>
              </w:rPr>
            </w:pPr>
            <w:r>
              <w:rPr>
                <w:rFonts w:ascii="Arial" w:cs="Arial" w:eastAsia="Arial" w:hAnsi="Arial"/>
                <w:sz w:val="18"/>
                <w:szCs w:val="18"/>
                <w:color w:val="auto"/>
              </w:rPr>
              <w:t>Fugu Management, LLC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Manager/member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70%</w:t>
            </w:r>
          </w:p>
        </w:tc>
      </w:tr>
      <w:tr>
        <w:trPr>
          <w:trHeight w:val="338"/>
        </w:trPr>
        <w:tc>
          <w:tcPr>
            <w:tcW w:w="2560" w:type="dxa"/>
            <w:vAlign w:val="bottom"/>
            <w:gridSpan w:val="2"/>
          </w:tcPr>
          <w:p>
            <w:pPr>
              <w:spacing w:after="0"/>
              <w:rPr>
                <w:sz w:val="20"/>
                <w:szCs w:val="20"/>
                <w:color w:val="auto"/>
              </w:rPr>
            </w:pPr>
            <w:r>
              <w:rPr>
                <w:rFonts w:ascii="Arial" w:cs="Arial" w:eastAsia="Arial" w:hAnsi="Arial"/>
                <w:sz w:val="18"/>
                <w:szCs w:val="18"/>
                <w:color w:val="auto"/>
              </w:rPr>
              <w:t>Santana Row ROF,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75%</w:t>
            </w:r>
          </w:p>
        </w:tc>
      </w:tr>
      <w:tr>
        <w:trPr>
          <w:trHeight w:val="297"/>
        </w:trPr>
        <w:tc>
          <w:tcPr>
            <w:tcW w:w="2560" w:type="dxa"/>
            <w:vAlign w:val="bottom"/>
            <w:gridSpan w:val="2"/>
          </w:tcPr>
          <w:p>
            <w:pPr>
              <w:spacing w:after="0"/>
              <w:rPr>
                <w:sz w:val="20"/>
                <w:szCs w:val="20"/>
                <w:color w:val="auto"/>
              </w:rPr>
            </w:pPr>
            <w:r>
              <w:rPr>
                <w:rFonts w:ascii="Arial" w:cs="Arial" w:eastAsia="Arial" w:hAnsi="Arial"/>
                <w:sz w:val="18"/>
                <w:szCs w:val="18"/>
                <w:color w:val="auto"/>
              </w:rPr>
              <w:t>Lark Creek Cafe,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Manager/member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25%</w:t>
            </w:r>
          </w:p>
        </w:tc>
      </w:tr>
      <w:tr>
        <w:trPr>
          <w:trHeight w:val="338"/>
        </w:trPr>
        <w:tc>
          <w:tcPr>
            <w:tcW w:w="2560" w:type="dxa"/>
            <w:vAlign w:val="bottom"/>
            <w:gridSpan w:val="2"/>
          </w:tcPr>
          <w:p>
            <w:pPr>
              <w:spacing w:after="0"/>
              <w:rPr>
                <w:sz w:val="20"/>
                <w:szCs w:val="20"/>
                <w:color w:val="auto"/>
              </w:rPr>
            </w:pPr>
            <w:r>
              <w:rPr>
                <w:rFonts w:ascii="Arial" w:cs="Arial" w:eastAsia="Arial" w:hAnsi="Arial"/>
                <w:sz w:val="18"/>
                <w:szCs w:val="18"/>
                <w:color w:val="auto"/>
              </w:rPr>
              <w:t>Santana Row ROF,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20%</w:t>
            </w:r>
          </w:p>
        </w:tc>
      </w:tr>
      <w:tr>
        <w:trPr>
          <w:trHeight w:val="297"/>
        </w:trPr>
        <w:tc>
          <w:tcPr>
            <w:tcW w:w="2560" w:type="dxa"/>
            <w:vAlign w:val="bottom"/>
            <w:gridSpan w:val="2"/>
          </w:tcPr>
          <w:p>
            <w:pPr>
              <w:spacing w:after="0"/>
              <w:rPr>
                <w:sz w:val="20"/>
                <w:szCs w:val="20"/>
                <w:color w:val="auto"/>
              </w:rPr>
            </w:pPr>
            <w:r>
              <w:rPr>
                <w:rFonts w:ascii="Arial" w:cs="Arial" w:eastAsia="Arial" w:hAnsi="Arial"/>
                <w:sz w:val="18"/>
                <w:szCs w:val="18"/>
                <w:color w:val="auto"/>
              </w:rPr>
              <w:t>Tim Stannard</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Manager/member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80%</w:t>
            </w:r>
          </w:p>
        </w:tc>
      </w:tr>
      <w:tr>
        <w:trPr>
          <w:trHeight w:val="338"/>
        </w:trPr>
        <w:tc>
          <w:tcPr>
            <w:tcW w:w="2560" w:type="dxa"/>
            <w:vAlign w:val="bottom"/>
            <w:gridSpan w:val="2"/>
          </w:tcPr>
          <w:p>
            <w:pPr>
              <w:spacing w:after="0"/>
              <w:rPr>
                <w:sz w:val="20"/>
                <w:szCs w:val="20"/>
                <w:color w:val="auto"/>
              </w:rPr>
            </w:pPr>
            <w:r>
              <w:rPr>
                <w:rFonts w:ascii="Arial" w:cs="Arial" w:eastAsia="Arial" w:hAnsi="Arial"/>
                <w:sz w:val="18"/>
                <w:szCs w:val="18"/>
                <w:color w:val="auto"/>
              </w:rPr>
              <w:t>Santana Row ROF,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90%</w:t>
            </w:r>
          </w:p>
        </w:tc>
      </w:tr>
      <w:tr>
        <w:trPr>
          <w:trHeight w:val="513"/>
        </w:trPr>
        <w:tc>
          <w:tcPr>
            <w:tcW w:w="2560" w:type="dxa"/>
            <w:vAlign w:val="bottom"/>
            <w:gridSpan w:val="2"/>
          </w:tcPr>
          <w:p>
            <w:pPr>
              <w:spacing w:after="0"/>
              <w:rPr>
                <w:sz w:val="20"/>
                <w:szCs w:val="20"/>
                <w:color w:val="auto"/>
              </w:rPr>
            </w:pPr>
            <w:r>
              <w:rPr>
                <w:rFonts w:ascii="Arial" w:cs="Arial" w:eastAsia="Arial" w:hAnsi="Arial"/>
                <w:sz w:val="18"/>
                <w:szCs w:val="18"/>
                <w:color w:val="auto"/>
              </w:rPr>
              <w:t>Christopher Yeo</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Manager/member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10%</w:t>
            </w:r>
          </w:p>
        </w:tc>
      </w:tr>
      <w:tr>
        <w:trPr>
          <w:trHeight w:val="338"/>
        </w:trPr>
        <w:tc>
          <w:tcPr>
            <w:tcW w:w="2560" w:type="dxa"/>
            <w:vAlign w:val="bottom"/>
            <w:gridSpan w:val="2"/>
          </w:tcPr>
          <w:p>
            <w:pPr>
              <w:spacing w:after="0"/>
              <w:rPr>
                <w:sz w:val="20"/>
                <w:szCs w:val="20"/>
                <w:color w:val="auto"/>
              </w:rPr>
            </w:pPr>
            <w:r>
              <w:rPr>
                <w:rFonts w:ascii="Arial" w:cs="Arial" w:eastAsia="Arial" w:hAnsi="Arial"/>
                <w:sz w:val="18"/>
                <w:szCs w:val="18"/>
                <w:color w:val="auto"/>
              </w:rPr>
              <w:t>VDAE, LLC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General partner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65.000%</w:t>
            </w:r>
          </w:p>
        </w:tc>
      </w:tr>
      <w:tr>
        <w:trPr>
          <w:trHeight w:val="297"/>
        </w:trPr>
        <w:tc>
          <w:tcPr>
            <w:tcW w:w="2560" w:type="dxa"/>
            <w:vAlign w:val="bottom"/>
            <w:gridSpan w:val="2"/>
          </w:tcPr>
          <w:p>
            <w:pPr>
              <w:spacing w:after="0"/>
              <w:rPr>
                <w:sz w:val="20"/>
                <w:szCs w:val="20"/>
                <w:color w:val="auto"/>
              </w:rPr>
            </w:pPr>
            <w:r>
              <w:rPr>
                <w:rFonts w:ascii="Arial" w:cs="Arial" w:eastAsia="Arial" w:hAnsi="Arial"/>
                <w:sz w:val="18"/>
                <w:szCs w:val="18"/>
                <w:color w:val="auto"/>
              </w:rPr>
              <w:t>Santana Row ROF,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Limited partner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29.167%</w:t>
            </w:r>
          </w:p>
        </w:tc>
      </w:tr>
      <w:tr>
        <w:trPr>
          <w:trHeight w:val="311"/>
        </w:trPr>
        <w:tc>
          <w:tcPr>
            <w:tcW w:w="2560" w:type="dxa"/>
            <w:vAlign w:val="bottom"/>
            <w:gridSpan w:val="2"/>
          </w:tcPr>
          <w:p>
            <w:pPr>
              <w:spacing w:after="0"/>
              <w:rPr>
                <w:sz w:val="20"/>
                <w:szCs w:val="20"/>
                <w:color w:val="auto"/>
              </w:rPr>
            </w:pPr>
            <w:r>
              <w:rPr>
                <w:rFonts w:ascii="Arial" w:cs="Arial" w:eastAsia="Arial" w:hAnsi="Arial"/>
                <w:sz w:val="18"/>
                <w:szCs w:val="18"/>
                <w:color w:val="auto"/>
              </w:rPr>
              <w:t>VDAE, LLC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Limited partner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1.250%</w:t>
            </w:r>
          </w:p>
        </w:tc>
      </w:tr>
      <w:tr>
        <w:trPr>
          <w:trHeight w:val="311"/>
        </w:trPr>
        <w:tc>
          <w:tcPr>
            <w:tcW w:w="2560" w:type="dxa"/>
            <w:vAlign w:val="bottom"/>
            <w:gridSpan w:val="2"/>
          </w:tcPr>
          <w:p>
            <w:pPr>
              <w:spacing w:after="0"/>
              <w:rPr>
                <w:sz w:val="20"/>
                <w:szCs w:val="20"/>
                <w:color w:val="auto"/>
              </w:rPr>
            </w:pPr>
            <w:r>
              <w:rPr>
                <w:rFonts w:ascii="Arial" w:cs="Arial" w:eastAsia="Arial" w:hAnsi="Arial"/>
                <w:sz w:val="18"/>
                <w:szCs w:val="18"/>
                <w:color w:val="auto"/>
              </w:rPr>
              <w:t>VDAE,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Limited partner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91"/>
              </w:rPr>
              <w:t>4.583%</w:t>
            </w:r>
          </w:p>
        </w:tc>
      </w:tr>
      <w:tr>
        <w:trPr>
          <w:trHeight w:val="338"/>
        </w:trPr>
        <w:tc>
          <w:tcPr>
            <w:tcW w:w="2560" w:type="dxa"/>
            <w:vAlign w:val="bottom"/>
            <w:gridSpan w:val="2"/>
          </w:tcPr>
          <w:p>
            <w:pPr>
              <w:spacing w:after="0"/>
              <w:rPr>
                <w:sz w:val="20"/>
                <w:szCs w:val="20"/>
                <w:color w:val="auto"/>
              </w:rPr>
            </w:pPr>
            <w:r>
              <w:rPr>
                <w:rFonts w:ascii="Arial" w:cs="Arial" w:eastAsia="Arial" w:hAnsi="Arial"/>
                <w:sz w:val="18"/>
                <w:szCs w:val="18"/>
                <w:color w:val="auto"/>
              </w:rPr>
              <w:t>Federal/LPF GP, Inc.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General partner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.1%</w:t>
            </w:r>
          </w:p>
        </w:tc>
      </w:tr>
      <w:tr>
        <w:trPr>
          <w:trHeight w:val="297"/>
        </w:trPr>
        <w:tc>
          <w:tcPr>
            <w:tcW w:w="2560" w:type="dxa"/>
            <w:vAlign w:val="bottom"/>
            <w:gridSpan w:val="2"/>
          </w:tcPr>
          <w:p>
            <w:pPr>
              <w:spacing w:after="0"/>
              <w:rPr>
                <w:sz w:val="20"/>
                <w:szCs w:val="20"/>
                <w:color w:val="auto"/>
              </w:rPr>
            </w:pPr>
            <w:r>
              <w:rPr>
                <w:rFonts w:ascii="Arial" w:cs="Arial" w:eastAsia="Arial" w:hAnsi="Arial"/>
                <w:sz w:val="18"/>
                <w:szCs w:val="18"/>
                <w:color w:val="auto"/>
              </w:rPr>
              <w:t>CLPF-Federal GP, LLC</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General partner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.1%</w:t>
            </w:r>
          </w:p>
        </w:tc>
      </w:tr>
      <w:tr>
        <w:trPr>
          <w:trHeight w:val="311"/>
        </w:trPr>
        <w:tc>
          <w:tcPr>
            <w:tcW w:w="2560" w:type="dxa"/>
            <w:vAlign w:val="bottom"/>
            <w:gridSpan w:val="2"/>
          </w:tcPr>
          <w:p>
            <w:pPr>
              <w:spacing w:after="0"/>
              <w:rPr>
                <w:sz w:val="20"/>
                <w:szCs w:val="20"/>
                <w:color w:val="auto"/>
              </w:rPr>
            </w:pPr>
            <w:r>
              <w:rPr>
                <w:rFonts w:ascii="Arial" w:cs="Arial" w:eastAsia="Arial" w:hAnsi="Arial"/>
                <w:sz w:val="18"/>
                <w:szCs w:val="18"/>
                <w:color w:val="auto"/>
                <w:w w:val="99"/>
              </w:rPr>
              <w:t>Federal Realty Investment Trust</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Limited partner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29.9%</w:t>
            </w:r>
          </w:p>
        </w:tc>
      </w:tr>
      <w:tr>
        <w:trPr>
          <w:trHeight w:val="311"/>
        </w:trPr>
        <w:tc>
          <w:tcPr>
            <w:tcW w:w="2560" w:type="dxa"/>
            <w:vAlign w:val="bottom"/>
            <w:gridSpan w:val="2"/>
          </w:tcPr>
          <w:p>
            <w:pPr>
              <w:spacing w:after="0"/>
              <w:rPr>
                <w:sz w:val="20"/>
                <w:szCs w:val="20"/>
                <w:color w:val="auto"/>
              </w:rPr>
            </w:pPr>
            <w:r>
              <w:rPr>
                <w:rFonts w:ascii="Arial" w:cs="Arial" w:eastAsia="Arial" w:hAnsi="Arial"/>
                <w:sz w:val="18"/>
                <w:szCs w:val="18"/>
                <w:color w:val="auto"/>
              </w:rPr>
              <w:t>CLPF-Federal, L.P.</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Limited partner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69.9%</w:t>
            </w:r>
          </w:p>
        </w:tc>
      </w:tr>
      <w:tr>
        <w:trPr>
          <w:trHeight w:val="378"/>
        </w:trPr>
        <w:tc>
          <w:tcPr>
            <w:tcW w:w="20" w:type="dxa"/>
            <w:vAlign w:val="bottom"/>
          </w:tcPr>
          <w:p>
            <w:pPr>
              <w:spacing w:after="0"/>
              <w:rPr>
                <w:sz w:val="24"/>
                <w:szCs w:val="24"/>
                <w:color w:val="auto"/>
              </w:rPr>
            </w:pPr>
          </w:p>
        </w:tc>
        <w:tc>
          <w:tcPr>
            <w:tcW w:w="2540" w:type="dxa"/>
            <w:vAlign w:val="bottom"/>
          </w:tcPr>
          <w:p>
            <w:pPr>
              <w:ind w:left="980"/>
              <w:spacing w:after="0"/>
              <w:rPr>
                <w:sz w:val="20"/>
                <w:szCs w:val="20"/>
                <w:color w:val="auto"/>
              </w:rPr>
            </w:pPr>
            <w:r>
              <w:rPr>
                <w:rFonts w:ascii="Arial" w:cs="Arial" w:eastAsia="Arial" w:hAnsi="Arial"/>
                <w:sz w:val="18"/>
                <w:szCs w:val="18"/>
                <w:color w:val="auto"/>
              </w:rPr>
              <w:t>Page 9</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left="-279"/>
        <w:spacing w:after="0" w:line="276" w:lineRule="auto"/>
        <w:rPr>
          <w:sz w:val="20"/>
          <w:szCs w:val="20"/>
          <w:color w:val="auto"/>
        </w:rPr>
      </w:pPr>
      <w:r>
        <w:rPr>
          <w:rFonts w:ascii="Arial" w:cs="Arial" w:eastAsia="Arial" w:hAnsi="Arial"/>
          <w:sz w:val="12"/>
          <w:szCs w:val="12"/>
          <w:b w:val="1"/>
          <w:bCs w:val="1"/>
          <w:color w:val="auto"/>
        </w:rPr>
        <w:t>Material and/or Excluded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9264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ind w:right="100"/>
        <w:spacing w:after="0" w:line="370" w:lineRule="auto"/>
        <w:rPr>
          <w:sz w:val="20"/>
          <w:szCs w:val="20"/>
          <w:color w:val="auto"/>
        </w:rPr>
      </w:pPr>
      <w:r>
        <w:rPr>
          <w:rFonts w:ascii="Arial" w:cs="Arial" w:eastAsia="Arial" w:hAnsi="Arial"/>
          <w:sz w:val="15"/>
          <w:szCs w:val="15"/>
          <w:color w:val="auto"/>
        </w:rPr>
        <w:t>Unconsolidated affiliate</w:t>
      </w:r>
    </w:p>
    <w:p>
      <w:pPr>
        <w:spacing w:after="0" w:line="103"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Unconsolidated affiliate</w:t>
      </w:r>
    </w:p>
    <w:p>
      <w:pPr>
        <w:spacing w:after="0" w:line="103"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Unconsolidated affiliate</w:t>
      </w:r>
    </w:p>
    <w:p>
      <w:pPr>
        <w:spacing w:after="0" w:line="319"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Unconsolidated affiliate</w:t>
      </w:r>
    </w:p>
    <w:p>
      <w:pPr>
        <w:spacing w:after="0" w:line="319"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Unconsolidated affiliate</w:t>
      </w:r>
    </w:p>
    <w:p>
      <w:pPr>
        <w:spacing w:after="0" w:line="103"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Unconsolidated affiliate</w:t>
      </w:r>
    </w:p>
    <w:p>
      <w:pPr>
        <w:spacing w:after="0" w:line="103"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Unconsolidated affiliate</w:t>
      </w:r>
    </w:p>
    <w:p>
      <w:pPr>
        <w:spacing w:after="0" w:line="319"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Unconsolidated affiliate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Unconsolidated affiliate</w:t>
      </w:r>
    </w:p>
    <w:p>
      <w:pPr>
        <w:sectPr>
          <w:pgSz w:w="11900" w:h="16838" w:orient="portrait"/>
          <w:cols w:equalWidth="0" w:num="3">
            <w:col w:w="4220" w:space="260"/>
            <w:col w:w="5260" w:space="220"/>
            <w:col w:w="1200"/>
          </w:cols>
          <w:pgMar w:left="240" w:top="274" w:right="499" w:bottom="1440" w:gutter="0" w:footer="0" w:header="0"/>
          <w:type w:val="continuous"/>
        </w:sectPr>
      </w:pPr>
    </w:p>
    <w:bookmarkStart w:id="161" w:name="page162"/>
    <w:bookmarkEnd w:id="161"/>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u w:val="single" w:color="auto"/>
          <w:color w:val="auto"/>
        </w:rPr>
        <w:t>OWNERSHIP STRUCTURE</w:t>
      </w:r>
    </w:p>
    <w:p>
      <w:pPr>
        <w:sectPr>
          <w:pgSz w:w="11900" w:h="16838" w:orient="portrait"/>
          <w:cols w:equalWidth="0" w:num="1">
            <w:col w:w="11060"/>
          </w:cols>
          <w:pgMar w:left="240" w:top="274" w:right="599" w:bottom="1440" w:gutter="0" w:footer="0" w:header="0"/>
        </w:sect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FLV ATLANTIC PLAZA GP, LLC, a Delaware limited liability company</w:t>
      </w:r>
    </w:p>
    <w:p>
      <w:pPr>
        <w:spacing w:after="0" w:line="7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FLV ATLANTIC PLAZA LIMITED PARTNERSHIP, a Delaware limited partnership</w:t>
      </w:r>
    </w:p>
    <w:p>
      <w:pPr>
        <w:spacing w:after="0" w:line="172" w:lineRule="exact"/>
        <w:rPr>
          <w:sz w:val="20"/>
          <w:szCs w:val="20"/>
          <w:color w:val="auto"/>
        </w:rPr>
      </w:pPr>
    </w:p>
    <w:p>
      <w:pPr>
        <w:ind w:right="1840"/>
        <w:spacing w:after="0" w:line="332" w:lineRule="auto"/>
        <w:rPr>
          <w:sz w:val="20"/>
          <w:szCs w:val="20"/>
          <w:color w:val="auto"/>
        </w:rPr>
      </w:pPr>
      <w:r>
        <w:rPr>
          <w:rFonts w:ascii="Arial" w:cs="Arial" w:eastAsia="Arial" w:hAnsi="Arial"/>
          <w:sz w:val="16"/>
          <w:szCs w:val="16"/>
          <w:color w:val="auto"/>
        </w:rPr>
        <w:t>FLV PLEASANT SHOPS GP, LLC, a Delaware limited liability company</w:t>
      </w:r>
    </w:p>
    <w:p>
      <w:pPr>
        <w:spacing w:after="0" w:line="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FLV PLEASANT SHOPS LIMITED PARTNERSHIP, a Delaware limited partnership</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FLV CAMPUS PLAZA GP, LLC, a Delaware limited liability company</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FLV CAMPUS PLAZA LIMITED PARTNERSHIP, a Delaware limited partnership</w:t>
      </w:r>
    </w:p>
    <w:p>
      <w:pPr>
        <w:spacing w:after="0" w:line="172" w:lineRule="exact"/>
        <w:rPr>
          <w:sz w:val="20"/>
          <w:szCs w:val="20"/>
          <w:color w:val="auto"/>
        </w:rPr>
      </w:pPr>
    </w:p>
    <w:p>
      <w:pPr>
        <w:ind w:right="1700"/>
        <w:spacing w:after="0" w:line="332" w:lineRule="auto"/>
        <w:rPr>
          <w:sz w:val="20"/>
          <w:szCs w:val="20"/>
          <w:color w:val="auto"/>
        </w:rPr>
      </w:pPr>
      <w:r>
        <w:rPr>
          <w:rFonts w:ascii="Arial" w:cs="Arial" w:eastAsia="Arial" w:hAnsi="Arial"/>
          <w:sz w:val="16"/>
          <w:szCs w:val="16"/>
          <w:color w:val="auto"/>
        </w:rPr>
        <w:t>FLV PLAZA DEL MERCADO, LLC, a Delaware limited liability company</w:t>
      </w:r>
    </w:p>
    <w:p>
      <w:pPr>
        <w:spacing w:after="0" w:line="31" w:lineRule="exact"/>
        <w:rPr>
          <w:sz w:val="20"/>
          <w:szCs w:val="20"/>
          <w:color w:val="auto"/>
        </w:rPr>
      </w:pPr>
    </w:p>
    <w:p>
      <w:pPr>
        <w:ind w:right="1840"/>
        <w:spacing w:after="0" w:line="332" w:lineRule="auto"/>
        <w:rPr>
          <w:sz w:val="20"/>
          <w:szCs w:val="20"/>
          <w:color w:val="auto"/>
        </w:rPr>
      </w:pPr>
      <w:r>
        <w:rPr>
          <w:rFonts w:ascii="Arial" w:cs="Arial" w:eastAsia="Arial" w:hAnsi="Arial"/>
          <w:sz w:val="16"/>
          <w:szCs w:val="16"/>
          <w:color w:val="auto"/>
        </w:rPr>
        <w:t>FLV PLAZA DEL MERCADO, LP, a Delaware limited partnership</w:t>
      </w:r>
    </w:p>
    <w:p>
      <w:pPr>
        <w:spacing w:after="0" w:line="126" w:lineRule="exact"/>
        <w:rPr>
          <w:sz w:val="20"/>
          <w:szCs w:val="20"/>
          <w:color w:val="auto"/>
        </w:rPr>
      </w:pPr>
    </w:p>
    <w:p>
      <w:pPr>
        <w:ind w:right="1620"/>
        <w:spacing w:after="0" w:line="332" w:lineRule="auto"/>
        <w:rPr>
          <w:sz w:val="20"/>
          <w:szCs w:val="20"/>
          <w:color w:val="auto"/>
        </w:rPr>
      </w:pPr>
      <w:r>
        <w:rPr>
          <w:rFonts w:ascii="Arial" w:cs="Arial" w:eastAsia="Arial" w:hAnsi="Arial"/>
          <w:sz w:val="16"/>
          <w:szCs w:val="16"/>
          <w:color w:val="auto"/>
        </w:rPr>
        <w:t>FLV GREENLAWN PLAZA GP, LLC, a Delaware limited liability company</w:t>
      </w:r>
    </w:p>
    <w:p>
      <w:pPr>
        <w:spacing w:after="0" w:line="31" w:lineRule="exact"/>
        <w:rPr>
          <w:sz w:val="20"/>
          <w:szCs w:val="20"/>
          <w:color w:val="auto"/>
        </w:rPr>
      </w:pPr>
    </w:p>
    <w:p>
      <w:pPr>
        <w:ind w:right="2000"/>
        <w:spacing w:after="0" w:line="332" w:lineRule="auto"/>
        <w:rPr>
          <w:sz w:val="20"/>
          <w:szCs w:val="20"/>
          <w:color w:val="auto"/>
        </w:rPr>
      </w:pPr>
      <w:r>
        <w:rPr>
          <w:rFonts w:ascii="Arial" w:cs="Arial" w:eastAsia="Arial" w:hAnsi="Arial"/>
          <w:sz w:val="16"/>
          <w:szCs w:val="16"/>
          <w:color w:val="auto"/>
        </w:rPr>
        <w:t>FLV GREENLAWN PLAZA, LP, a Delaware limited partnership</w:t>
      </w:r>
    </w:p>
    <w:p>
      <w:pPr>
        <w:spacing w:after="0" w:line="126" w:lineRule="exact"/>
        <w:rPr>
          <w:sz w:val="20"/>
          <w:szCs w:val="20"/>
          <w:color w:val="auto"/>
        </w:rPr>
      </w:pPr>
    </w:p>
    <w:p>
      <w:pPr>
        <w:ind w:right="1780"/>
        <w:spacing w:after="0" w:line="332" w:lineRule="auto"/>
        <w:rPr>
          <w:sz w:val="20"/>
          <w:szCs w:val="20"/>
          <w:color w:val="auto"/>
        </w:rPr>
      </w:pPr>
      <w:r>
        <w:rPr>
          <w:rFonts w:ascii="Arial" w:cs="Arial" w:eastAsia="Arial" w:hAnsi="Arial"/>
          <w:sz w:val="16"/>
          <w:szCs w:val="16"/>
          <w:color w:val="auto"/>
        </w:rPr>
        <w:t>FLV BARCROFT PLAZA GP, LLC, a Delaware limited liability company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FLV BARCROFT PLAZA, LP,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partnership</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tcPr>
          <w:p>
            <w:pPr>
              <w:ind w:left="320"/>
              <w:spacing w:after="0"/>
              <w:rPr>
                <w:sz w:val="20"/>
                <w:szCs w:val="20"/>
                <w:color w:val="auto"/>
              </w:rPr>
            </w:pPr>
            <w:r>
              <w:rPr>
                <w:rFonts w:ascii="Arial" w:cs="Arial" w:eastAsia="Arial" w:hAnsi="Arial"/>
                <w:sz w:val="18"/>
                <w:szCs w:val="18"/>
                <w:color w:val="auto"/>
              </w:rPr>
              <w:t>Sole member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86"/>
              </w:rPr>
              <w:t>100%</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FLV Atlantic Plaza GP, LLC</w:t>
            </w:r>
          </w:p>
        </w:tc>
        <w:tc>
          <w:tcPr>
            <w:tcW w:w="1700" w:type="dxa"/>
            <w:vAlign w:val="bottom"/>
          </w:tcPr>
          <w:p>
            <w:pPr>
              <w:ind w:left="320"/>
              <w:spacing w:after="0"/>
              <w:rPr>
                <w:sz w:val="20"/>
                <w:szCs w:val="20"/>
                <w:color w:val="auto"/>
              </w:rPr>
            </w:pPr>
            <w:r>
              <w:rPr>
                <w:rFonts w:ascii="Arial" w:cs="Arial" w:eastAsia="Arial" w:hAnsi="Arial"/>
                <w:sz w:val="18"/>
                <w:szCs w:val="18"/>
                <w:color w:val="auto"/>
              </w:rPr>
              <w:t>General partner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90"/>
              </w:rPr>
              <w:t>.1%</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vMerge w:val="restart"/>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vMerge w:val="restart"/>
          </w:tcPr>
          <w:p>
            <w:pPr>
              <w:ind w:left="320"/>
              <w:spacing w:after="0"/>
              <w:rPr>
                <w:sz w:val="20"/>
                <w:szCs w:val="20"/>
                <w:color w:val="auto"/>
              </w:rPr>
            </w:pPr>
            <w:r>
              <w:rPr>
                <w:rFonts w:ascii="Arial" w:cs="Arial" w:eastAsia="Arial" w:hAnsi="Arial"/>
                <w:sz w:val="18"/>
                <w:szCs w:val="18"/>
                <w:color w:val="auto"/>
              </w:rPr>
              <w:t>Limited partner</w:t>
            </w:r>
          </w:p>
        </w:tc>
        <w:tc>
          <w:tcPr>
            <w:tcW w:w="860" w:type="dxa"/>
            <w:vAlign w:val="bottom"/>
            <w:vMerge w:val="restart"/>
          </w:tcPr>
          <w:p>
            <w:pPr>
              <w:jc w:val="center"/>
              <w:ind w:left="72"/>
              <w:spacing w:after="0"/>
              <w:rPr>
                <w:sz w:val="20"/>
                <w:szCs w:val="20"/>
                <w:color w:val="auto"/>
              </w:rPr>
            </w:pPr>
            <w:r>
              <w:rPr>
                <w:rFonts w:ascii="Arial" w:cs="Arial" w:eastAsia="Arial" w:hAnsi="Arial"/>
                <w:sz w:val="18"/>
                <w:szCs w:val="18"/>
                <w:color w:val="auto"/>
                <w:w w:val="90"/>
              </w:rPr>
              <w:t>99.9%</w:t>
            </w: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52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tcPr>
          <w:p>
            <w:pPr>
              <w:ind w:left="320"/>
              <w:spacing w:after="0"/>
              <w:rPr>
                <w:sz w:val="20"/>
                <w:szCs w:val="20"/>
                <w:color w:val="auto"/>
              </w:rPr>
            </w:pPr>
            <w:r>
              <w:rPr>
                <w:rFonts w:ascii="Arial" w:cs="Arial" w:eastAsia="Arial" w:hAnsi="Arial"/>
                <w:sz w:val="18"/>
                <w:szCs w:val="18"/>
                <w:color w:val="auto"/>
              </w:rPr>
              <w:t>Sole member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86"/>
              </w:rPr>
              <w:t>100%</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FLV Pleasant Shops GP, LLC</w:t>
            </w:r>
          </w:p>
        </w:tc>
        <w:tc>
          <w:tcPr>
            <w:tcW w:w="1700" w:type="dxa"/>
            <w:vAlign w:val="bottom"/>
          </w:tcPr>
          <w:p>
            <w:pPr>
              <w:ind w:left="320"/>
              <w:spacing w:after="0"/>
              <w:rPr>
                <w:sz w:val="20"/>
                <w:szCs w:val="20"/>
                <w:color w:val="auto"/>
              </w:rPr>
            </w:pPr>
            <w:r>
              <w:rPr>
                <w:rFonts w:ascii="Arial" w:cs="Arial" w:eastAsia="Arial" w:hAnsi="Arial"/>
                <w:sz w:val="18"/>
                <w:szCs w:val="18"/>
                <w:color w:val="auto"/>
              </w:rPr>
              <w:t>General partner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90"/>
              </w:rPr>
              <w:t>.1%</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vMerge w:val="restart"/>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vMerge w:val="restart"/>
          </w:tcPr>
          <w:p>
            <w:pPr>
              <w:ind w:left="320"/>
              <w:spacing w:after="0"/>
              <w:rPr>
                <w:sz w:val="20"/>
                <w:szCs w:val="20"/>
                <w:color w:val="auto"/>
              </w:rPr>
            </w:pPr>
            <w:r>
              <w:rPr>
                <w:rFonts w:ascii="Arial" w:cs="Arial" w:eastAsia="Arial" w:hAnsi="Arial"/>
                <w:sz w:val="18"/>
                <w:szCs w:val="18"/>
                <w:color w:val="auto"/>
              </w:rPr>
              <w:t>Limited partner</w:t>
            </w:r>
          </w:p>
        </w:tc>
        <w:tc>
          <w:tcPr>
            <w:tcW w:w="860" w:type="dxa"/>
            <w:vAlign w:val="bottom"/>
            <w:vMerge w:val="restart"/>
          </w:tcPr>
          <w:p>
            <w:pPr>
              <w:jc w:val="center"/>
              <w:ind w:left="72"/>
              <w:spacing w:after="0"/>
              <w:rPr>
                <w:sz w:val="20"/>
                <w:szCs w:val="20"/>
                <w:color w:val="auto"/>
              </w:rPr>
            </w:pPr>
            <w:r>
              <w:rPr>
                <w:rFonts w:ascii="Arial" w:cs="Arial" w:eastAsia="Arial" w:hAnsi="Arial"/>
                <w:sz w:val="18"/>
                <w:szCs w:val="18"/>
                <w:color w:val="auto"/>
                <w:w w:val="90"/>
              </w:rPr>
              <w:t>99.9%</w:t>
            </w: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52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tcPr>
          <w:p>
            <w:pPr>
              <w:ind w:left="320"/>
              <w:spacing w:after="0"/>
              <w:rPr>
                <w:sz w:val="20"/>
                <w:szCs w:val="20"/>
                <w:color w:val="auto"/>
              </w:rPr>
            </w:pPr>
            <w:r>
              <w:rPr>
                <w:rFonts w:ascii="Arial" w:cs="Arial" w:eastAsia="Arial" w:hAnsi="Arial"/>
                <w:sz w:val="18"/>
                <w:szCs w:val="18"/>
                <w:color w:val="auto"/>
              </w:rPr>
              <w:t>Sole member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86"/>
              </w:rPr>
              <w:t>100%</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FLV Campus Plaza GP, LLC</w:t>
            </w:r>
          </w:p>
        </w:tc>
        <w:tc>
          <w:tcPr>
            <w:tcW w:w="1700" w:type="dxa"/>
            <w:vAlign w:val="bottom"/>
          </w:tcPr>
          <w:p>
            <w:pPr>
              <w:ind w:left="320"/>
              <w:spacing w:after="0"/>
              <w:rPr>
                <w:sz w:val="20"/>
                <w:szCs w:val="20"/>
                <w:color w:val="auto"/>
              </w:rPr>
            </w:pPr>
            <w:r>
              <w:rPr>
                <w:rFonts w:ascii="Arial" w:cs="Arial" w:eastAsia="Arial" w:hAnsi="Arial"/>
                <w:sz w:val="18"/>
                <w:szCs w:val="18"/>
                <w:color w:val="auto"/>
              </w:rPr>
              <w:t>General partner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90"/>
              </w:rPr>
              <w:t>.1%</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vMerge w:val="restart"/>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vMerge w:val="restart"/>
          </w:tcPr>
          <w:p>
            <w:pPr>
              <w:ind w:left="320"/>
              <w:spacing w:after="0"/>
              <w:rPr>
                <w:sz w:val="20"/>
                <w:szCs w:val="20"/>
                <w:color w:val="auto"/>
              </w:rPr>
            </w:pPr>
            <w:r>
              <w:rPr>
                <w:rFonts w:ascii="Arial" w:cs="Arial" w:eastAsia="Arial" w:hAnsi="Arial"/>
                <w:sz w:val="18"/>
                <w:szCs w:val="18"/>
                <w:color w:val="auto"/>
              </w:rPr>
              <w:t>Limited partner</w:t>
            </w:r>
          </w:p>
        </w:tc>
        <w:tc>
          <w:tcPr>
            <w:tcW w:w="860" w:type="dxa"/>
            <w:vAlign w:val="bottom"/>
            <w:vMerge w:val="restart"/>
          </w:tcPr>
          <w:p>
            <w:pPr>
              <w:jc w:val="center"/>
              <w:ind w:left="72"/>
              <w:spacing w:after="0"/>
              <w:rPr>
                <w:sz w:val="20"/>
                <w:szCs w:val="20"/>
                <w:color w:val="auto"/>
              </w:rPr>
            </w:pPr>
            <w:r>
              <w:rPr>
                <w:rFonts w:ascii="Arial" w:cs="Arial" w:eastAsia="Arial" w:hAnsi="Arial"/>
                <w:sz w:val="18"/>
                <w:szCs w:val="18"/>
                <w:color w:val="auto"/>
                <w:w w:val="90"/>
              </w:rPr>
              <w:t>99.9%</w:t>
            </w: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52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tcPr>
          <w:p>
            <w:pPr>
              <w:ind w:left="320"/>
              <w:spacing w:after="0"/>
              <w:rPr>
                <w:sz w:val="20"/>
                <w:szCs w:val="20"/>
                <w:color w:val="auto"/>
              </w:rPr>
            </w:pPr>
            <w:r>
              <w:rPr>
                <w:rFonts w:ascii="Arial" w:cs="Arial" w:eastAsia="Arial" w:hAnsi="Arial"/>
                <w:sz w:val="18"/>
                <w:szCs w:val="18"/>
                <w:color w:val="auto"/>
              </w:rPr>
              <w:t>Sole member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86"/>
              </w:rPr>
              <w:t>100%</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FLV Plaza del Mercado, LLC</w:t>
            </w:r>
          </w:p>
        </w:tc>
        <w:tc>
          <w:tcPr>
            <w:tcW w:w="1700" w:type="dxa"/>
            <w:vAlign w:val="bottom"/>
          </w:tcPr>
          <w:p>
            <w:pPr>
              <w:ind w:left="320"/>
              <w:spacing w:after="0"/>
              <w:rPr>
                <w:sz w:val="20"/>
                <w:szCs w:val="20"/>
                <w:color w:val="auto"/>
              </w:rPr>
            </w:pPr>
            <w:r>
              <w:rPr>
                <w:rFonts w:ascii="Arial" w:cs="Arial" w:eastAsia="Arial" w:hAnsi="Arial"/>
                <w:sz w:val="18"/>
                <w:szCs w:val="18"/>
                <w:color w:val="auto"/>
              </w:rPr>
              <w:t>General partner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90"/>
              </w:rPr>
              <w:t>.1%</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vMerge w:val="restart"/>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vMerge w:val="restart"/>
          </w:tcPr>
          <w:p>
            <w:pPr>
              <w:ind w:left="320"/>
              <w:spacing w:after="0"/>
              <w:rPr>
                <w:sz w:val="20"/>
                <w:szCs w:val="20"/>
                <w:color w:val="auto"/>
              </w:rPr>
            </w:pPr>
            <w:r>
              <w:rPr>
                <w:rFonts w:ascii="Arial" w:cs="Arial" w:eastAsia="Arial" w:hAnsi="Arial"/>
                <w:sz w:val="18"/>
                <w:szCs w:val="18"/>
                <w:color w:val="auto"/>
              </w:rPr>
              <w:t>Limited partner</w:t>
            </w:r>
          </w:p>
        </w:tc>
        <w:tc>
          <w:tcPr>
            <w:tcW w:w="860" w:type="dxa"/>
            <w:vAlign w:val="bottom"/>
            <w:vMerge w:val="restart"/>
          </w:tcPr>
          <w:p>
            <w:pPr>
              <w:jc w:val="center"/>
              <w:ind w:left="72"/>
              <w:spacing w:after="0"/>
              <w:rPr>
                <w:sz w:val="20"/>
                <w:szCs w:val="20"/>
                <w:color w:val="auto"/>
              </w:rPr>
            </w:pPr>
            <w:r>
              <w:rPr>
                <w:rFonts w:ascii="Arial" w:cs="Arial" w:eastAsia="Arial" w:hAnsi="Arial"/>
                <w:sz w:val="18"/>
                <w:szCs w:val="18"/>
                <w:color w:val="auto"/>
                <w:w w:val="90"/>
              </w:rPr>
              <w:t>99.9%</w:t>
            </w: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52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tcPr>
          <w:p>
            <w:pPr>
              <w:ind w:left="320"/>
              <w:spacing w:after="0"/>
              <w:rPr>
                <w:sz w:val="20"/>
                <w:szCs w:val="20"/>
                <w:color w:val="auto"/>
              </w:rPr>
            </w:pPr>
            <w:r>
              <w:rPr>
                <w:rFonts w:ascii="Arial" w:cs="Arial" w:eastAsia="Arial" w:hAnsi="Arial"/>
                <w:sz w:val="18"/>
                <w:szCs w:val="18"/>
                <w:color w:val="auto"/>
              </w:rPr>
              <w:t>Sole member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86"/>
              </w:rPr>
              <w:t>100%</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FLV Greenlawn Plaza GP, LLC</w:t>
            </w:r>
          </w:p>
        </w:tc>
        <w:tc>
          <w:tcPr>
            <w:tcW w:w="1700" w:type="dxa"/>
            <w:vAlign w:val="bottom"/>
          </w:tcPr>
          <w:p>
            <w:pPr>
              <w:ind w:left="320"/>
              <w:spacing w:after="0"/>
              <w:rPr>
                <w:sz w:val="20"/>
                <w:szCs w:val="20"/>
                <w:color w:val="auto"/>
              </w:rPr>
            </w:pPr>
            <w:r>
              <w:rPr>
                <w:rFonts w:ascii="Arial" w:cs="Arial" w:eastAsia="Arial" w:hAnsi="Arial"/>
                <w:sz w:val="18"/>
                <w:szCs w:val="18"/>
                <w:color w:val="auto"/>
              </w:rPr>
              <w:t>General partner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90"/>
              </w:rPr>
              <w:t>.1%</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vMerge w:val="restart"/>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vMerge w:val="restart"/>
          </w:tcPr>
          <w:p>
            <w:pPr>
              <w:ind w:left="320"/>
              <w:spacing w:after="0"/>
              <w:rPr>
                <w:sz w:val="20"/>
                <w:szCs w:val="20"/>
                <w:color w:val="auto"/>
              </w:rPr>
            </w:pPr>
            <w:r>
              <w:rPr>
                <w:rFonts w:ascii="Arial" w:cs="Arial" w:eastAsia="Arial" w:hAnsi="Arial"/>
                <w:sz w:val="18"/>
                <w:szCs w:val="18"/>
                <w:color w:val="auto"/>
              </w:rPr>
              <w:t>Limited partner</w:t>
            </w:r>
          </w:p>
        </w:tc>
        <w:tc>
          <w:tcPr>
            <w:tcW w:w="860" w:type="dxa"/>
            <w:vAlign w:val="bottom"/>
            <w:vMerge w:val="restart"/>
          </w:tcPr>
          <w:p>
            <w:pPr>
              <w:jc w:val="center"/>
              <w:ind w:left="72"/>
              <w:spacing w:after="0"/>
              <w:rPr>
                <w:sz w:val="20"/>
                <w:szCs w:val="20"/>
                <w:color w:val="auto"/>
              </w:rPr>
            </w:pPr>
            <w:r>
              <w:rPr>
                <w:rFonts w:ascii="Arial" w:cs="Arial" w:eastAsia="Arial" w:hAnsi="Arial"/>
                <w:sz w:val="18"/>
                <w:szCs w:val="18"/>
                <w:color w:val="auto"/>
                <w:w w:val="90"/>
              </w:rPr>
              <w:t>99.9%</w:t>
            </w: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52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tcPr>
          <w:p>
            <w:pPr>
              <w:ind w:left="320"/>
              <w:spacing w:after="0"/>
              <w:rPr>
                <w:sz w:val="20"/>
                <w:szCs w:val="20"/>
                <w:color w:val="auto"/>
              </w:rPr>
            </w:pPr>
            <w:r>
              <w:rPr>
                <w:rFonts w:ascii="Arial" w:cs="Arial" w:eastAsia="Arial" w:hAnsi="Arial"/>
                <w:sz w:val="18"/>
                <w:szCs w:val="18"/>
                <w:color w:val="auto"/>
              </w:rPr>
              <w:t>Sole member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86"/>
              </w:rPr>
              <w:t>100%</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FLV Barcroft Plaza GP, LLC</w:t>
            </w:r>
          </w:p>
        </w:tc>
        <w:tc>
          <w:tcPr>
            <w:tcW w:w="1700" w:type="dxa"/>
            <w:vAlign w:val="bottom"/>
          </w:tcPr>
          <w:p>
            <w:pPr>
              <w:ind w:left="320"/>
              <w:spacing w:after="0"/>
              <w:rPr>
                <w:sz w:val="20"/>
                <w:szCs w:val="20"/>
                <w:color w:val="auto"/>
              </w:rPr>
            </w:pPr>
            <w:r>
              <w:rPr>
                <w:rFonts w:ascii="Arial" w:cs="Arial" w:eastAsia="Arial" w:hAnsi="Arial"/>
                <w:sz w:val="18"/>
                <w:szCs w:val="18"/>
                <w:color w:val="auto"/>
              </w:rPr>
              <w:t>General partner</w:t>
            </w:r>
          </w:p>
        </w:tc>
        <w:tc>
          <w:tcPr>
            <w:tcW w:w="860" w:type="dxa"/>
            <w:vAlign w:val="bottom"/>
          </w:tcPr>
          <w:p>
            <w:pPr>
              <w:jc w:val="center"/>
              <w:ind w:left="92"/>
              <w:spacing w:after="0"/>
              <w:rPr>
                <w:sz w:val="20"/>
                <w:szCs w:val="20"/>
                <w:color w:val="auto"/>
              </w:rPr>
            </w:pPr>
            <w:r>
              <w:rPr>
                <w:rFonts w:ascii="Arial" w:cs="Arial" w:eastAsia="Arial" w:hAnsi="Arial"/>
                <w:sz w:val="18"/>
                <w:szCs w:val="18"/>
                <w:color w:val="auto"/>
                <w:w w:val="90"/>
              </w:rPr>
              <w:t>.1%</w:t>
            </w:r>
          </w:p>
        </w:tc>
        <w:tc>
          <w:tcPr>
            <w:tcW w:w="1200" w:type="dxa"/>
            <w:vAlign w:val="bottom"/>
          </w:tcPr>
          <w:p>
            <w:pPr>
              <w:ind w:left="100"/>
              <w:spacing w:after="0"/>
              <w:rPr>
                <w:sz w:val="20"/>
                <w:szCs w:val="20"/>
                <w:color w:val="auto"/>
              </w:rPr>
            </w:pPr>
            <w:r>
              <w:rPr>
                <w:rFonts w:ascii="Arial" w:cs="Arial" w:eastAsia="Arial" w:hAnsi="Arial"/>
                <w:sz w:val="18"/>
                <w:szCs w:val="18"/>
                <w:color w:val="auto"/>
                <w:w w:val="87"/>
              </w:rPr>
              <w:t>Unconsolidated</w:t>
            </w:r>
          </w:p>
        </w:tc>
        <w:tc>
          <w:tcPr>
            <w:tcW w:w="0" w:type="dxa"/>
            <w:vAlign w:val="bottom"/>
          </w:tcPr>
          <w:p>
            <w:pPr>
              <w:spacing w:after="0"/>
              <w:rPr>
                <w:sz w:val="1"/>
                <w:szCs w:val="1"/>
                <w:color w:val="auto"/>
              </w:rPr>
            </w:pPr>
          </w:p>
        </w:tc>
      </w:tr>
      <w:tr>
        <w:trPr>
          <w:trHeight w:val="222"/>
        </w:trPr>
        <w:tc>
          <w:tcPr>
            <w:tcW w:w="2520" w:type="dxa"/>
            <w:vAlign w:val="bottom"/>
            <w:vMerge w:val="restart"/>
          </w:tcPr>
          <w:p>
            <w:pPr>
              <w:spacing w:after="0"/>
              <w:rPr>
                <w:sz w:val="20"/>
                <w:szCs w:val="20"/>
                <w:color w:val="auto"/>
              </w:rPr>
            </w:pPr>
            <w:r>
              <w:rPr>
                <w:rFonts w:ascii="Arial" w:cs="Arial" w:eastAsia="Arial" w:hAnsi="Arial"/>
                <w:sz w:val="18"/>
                <w:szCs w:val="18"/>
                <w:color w:val="auto"/>
              </w:rPr>
              <w:t>Federal/Lion Venture LP</w:t>
            </w:r>
          </w:p>
        </w:tc>
        <w:tc>
          <w:tcPr>
            <w:tcW w:w="1700" w:type="dxa"/>
            <w:vAlign w:val="bottom"/>
            <w:vMerge w:val="restart"/>
          </w:tcPr>
          <w:p>
            <w:pPr>
              <w:ind w:left="320"/>
              <w:spacing w:after="0"/>
              <w:rPr>
                <w:sz w:val="20"/>
                <w:szCs w:val="20"/>
                <w:color w:val="auto"/>
              </w:rPr>
            </w:pPr>
            <w:r>
              <w:rPr>
                <w:rFonts w:ascii="Arial" w:cs="Arial" w:eastAsia="Arial" w:hAnsi="Arial"/>
                <w:sz w:val="18"/>
                <w:szCs w:val="18"/>
                <w:color w:val="auto"/>
              </w:rPr>
              <w:t>Limited partner</w:t>
            </w:r>
          </w:p>
        </w:tc>
        <w:tc>
          <w:tcPr>
            <w:tcW w:w="860" w:type="dxa"/>
            <w:vAlign w:val="bottom"/>
            <w:vMerge w:val="restart"/>
          </w:tcPr>
          <w:p>
            <w:pPr>
              <w:jc w:val="center"/>
              <w:ind w:left="72"/>
              <w:spacing w:after="0"/>
              <w:rPr>
                <w:sz w:val="20"/>
                <w:szCs w:val="20"/>
                <w:color w:val="auto"/>
              </w:rPr>
            </w:pPr>
            <w:r>
              <w:rPr>
                <w:rFonts w:ascii="Arial" w:cs="Arial" w:eastAsia="Arial" w:hAnsi="Arial"/>
                <w:sz w:val="18"/>
                <w:szCs w:val="18"/>
                <w:color w:val="auto"/>
                <w:w w:val="90"/>
              </w:rPr>
              <w:t>99.9%</w:t>
            </w:r>
          </w:p>
        </w:tc>
        <w:tc>
          <w:tcPr>
            <w:tcW w:w="1200" w:type="dxa"/>
            <w:vAlign w:val="bottom"/>
          </w:tcPr>
          <w:p>
            <w:pPr>
              <w:ind w:left="100"/>
              <w:spacing w:after="0"/>
              <w:rPr>
                <w:sz w:val="20"/>
                <w:szCs w:val="20"/>
                <w:color w:val="auto"/>
              </w:rPr>
            </w:pPr>
            <w:r>
              <w:rPr>
                <w:rFonts w:ascii="Arial" w:cs="Arial" w:eastAsia="Arial" w:hAnsi="Arial"/>
                <w:sz w:val="18"/>
                <w:szCs w:val="18"/>
                <w:color w:val="auto"/>
              </w:rPr>
              <w:t>affiliate</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Page 10</w:t>
      </w:r>
    </w:p>
    <w:p>
      <w:pPr>
        <w:sectPr>
          <w:pgSz w:w="11900" w:h="16838" w:orient="portrait"/>
          <w:cols w:equalWidth="0" w:num="2">
            <w:col w:w="4520" w:space="260"/>
            <w:col w:w="6280"/>
          </w:cols>
          <w:pgMar w:left="240" w:top="274" w:right="599" w:bottom="1440" w:gutter="0" w:footer="0" w:header="0"/>
          <w:type w:val="continuous"/>
        </w:sectPr>
      </w:pPr>
    </w:p>
    <w:bookmarkStart w:id="162" w:name="page163"/>
    <w:bookmarkEnd w:id="162"/>
    <w:p>
      <w:pPr>
        <w:ind w:left="4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6.1(B)</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Deforest Building Residential Condominium Owners Association, a California non-profit mutual benefit corporation</w:t>
      </w:r>
    </w:p>
    <w:p>
      <w:pPr>
        <w:spacing w:after="0" w:line="194" w:lineRule="exact"/>
        <w:rPr>
          <w:sz w:val="20"/>
          <w:szCs w:val="20"/>
          <w:color w:val="auto"/>
        </w:rPr>
      </w:pPr>
    </w:p>
    <w:p>
      <w:pPr>
        <w:ind w:right="799"/>
        <w:spacing w:after="0" w:line="430" w:lineRule="auto"/>
        <w:rPr>
          <w:sz w:val="20"/>
          <w:szCs w:val="20"/>
          <w:color w:val="auto"/>
        </w:rPr>
      </w:pPr>
      <w:r>
        <w:rPr>
          <w:rFonts w:ascii="Arial" w:cs="Arial" w:eastAsia="Arial" w:hAnsi="Arial"/>
          <w:sz w:val="18"/>
          <w:szCs w:val="18"/>
          <w:color w:val="auto"/>
        </w:rPr>
        <w:t>The Margo Building and Villa Cornet Building Condominium Owners Association, a California non-profit mutual benefit corporation The Villa Cornet Condominium Owners Association, a California non-profit mutual benefit corporation</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0219"/>
          </w:cols>
          <w:pgMar w:left="240" w:top="274" w:right="1440"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July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940" w:type="dxa"/>
            <w:vAlign w:val="bottom"/>
          </w:tcPr>
          <w:p>
            <w:pPr>
              <w:spacing w:after="0"/>
              <w:rPr>
                <w:sz w:val="14"/>
                <w:szCs w:val="14"/>
                <w:color w:val="auto"/>
              </w:rPr>
            </w:pPr>
          </w:p>
        </w:tc>
        <w:tc>
          <w:tcPr>
            <w:tcW w:w="502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4"/>
                <w:szCs w:val="14"/>
                <w:color w:val="auto"/>
              </w:rPr>
            </w:pPr>
          </w:p>
        </w:tc>
        <w:tc>
          <w:tcPr>
            <w:tcW w:w="10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City</w:t>
            </w: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940" w:type="dxa"/>
            <w:vAlign w:val="bottom"/>
          </w:tcPr>
          <w:p>
            <w:pPr>
              <w:spacing w:after="0"/>
              <w:rPr>
                <w:sz w:val="14"/>
                <w:szCs w:val="14"/>
                <w:color w:val="auto"/>
              </w:rPr>
            </w:pPr>
          </w:p>
        </w:tc>
        <w:tc>
          <w:tcPr>
            <w:tcW w:w="5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Arial" w:cs="Arial" w:eastAsia="Arial" w:hAnsi="Arial"/>
                <w:sz w:val="14"/>
                <w:szCs w:val="14"/>
                <w:b w:val="1"/>
                <w:bCs w:val="1"/>
                <w:color w:val="auto"/>
              </w:rPr>
              <w:t>ST</w:t>
            </w:r>
          </w:p>
        </w:tc>
        <w:tc>
          <w:tcPr>
            <w:tcW w:w="0" w:type="dxa"/>
            <w:vAlign w:val="bottom"/>
          </w:tcPr>
          <w:p>
            <w:pPr>
              <w:spacing w:after="0"/>
              <w:rPr>
                <w:sz w:val="1"/>
                <w:szCs w:val="1"/>
                <w:color w:val="auto"/>
              </w:rPr>
            </w:pPr>
          </w:p>
        </w:tc>
      </w:tr>
      <w:tr>
        <w:trPr>
          <w:trHeight w:val="169"/>
        </w:trPr>
        <w:tc>
          <w:tcPr>
            <w:tcW w:w="54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96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rPr>
              <w:t>Wholly Owned Properties</w:t>
            </w: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080" w:type="dxa"/>
            <w:vAlign w:val="bottom"/>
            <w:gridSpan w:val="2"/>
          </w:tcPr>
          <w:p>
            <w:pPr>
              <w:spacing w:after="0"/>
              <w:rPr>
                <w:sz w:val="20"/>
                <w:szCs w:val="20"/>
                <w:color w:val="auto"/>
              </w:rPr>
            </w:pPr>
            <w:r>
              <w:rPr>
                <w:rFonts w:ascii="Arial" w:cs="Arial" w:eastAsia="Arial" w:hAnsi="Arial"/>
                <w:sz w:val="18"/>
                <w:szCs w:val="18"/>
                <w:color w:val="auto"/>
              </w:rPr>
              <w:t>010-1002</w:t>
            </w: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Andorra</w:t>
            </w:r>
          </w:p>
        </w:tc>
        <w:tc>
          <w:tcPr>
            <w:tcW w:w="502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Philadelphia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040-1240</w:t>
            </w:r>
          </w:p>
        </w:tc>
        <w:tc>
          <w:tcPr>
            <w:tcW w:w="6960" w:type="dxa"/>
            <w:vAlign w:val="bottom"/>
            <w:gridSpan w:val="2"/>
          </w:tcPr>
          <w:p>
            <w:pPr>
              <w:spacing w:after="0"/>
              <w:rPr>
                <w:sz w:val="20"/>
                <w:szCs w:val="20"/>
                <w:color w:val="auto"/>
              </w:rPr>
            </w:pPr>
            <w:r>
              <w:rPr>
                <w:rFonts w:ascii="Arial" w:cs="Arial" w:eastAsia="Arial" w:hAnsi="Arial"/>
                <w:sz w:val="18"/>
                <w:szCs w:val="18"/>
                <w:color w:val="auto"/>
              </w:rPr>
              <w:t>Governor Plaza</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Glen Burnie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060-1444</w:t>
            </w:r>
          </w:p>
        </w:tc>
        <w:tc>
          <w:tcPr>
            <w:tcW w:w="6960" w:type="dxa"/>
            <w:vAlign w:val="bottom"/>
            <w:gridSpan w:val="2"/>
          </w:tcPr>
          <w:p>
            <w:pPr>
              <w:spacing w:after="0"/>
              <w:rPr>
                <w:sz w:val="20"/>
                <w:szCs w:val="20"/>
                <w:color w:val="auto"/>
              </w:rPr>
            </w:pPr>
            <w:r>
              <w:rPr>
                <w:rFonts w:ascii="Arial" w:cs="Arial" w:eastAsia="Arial" w:hAnsi="Arial"/>
                <w:sz w:val="18"/>
                <w:szCs w:val="18"/>
                <w:color w:val="auto"/>
              </w:rPr>
              <w:t>Loehmann’s Link Office Building</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Fairfax</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060-1445</w:t>
            </w:r>
          </w:p>
        </w:tc>
        <w:tc>
          <w:tcPr>
            <w:tcW w:w="6960" w:type="dxa"/>
            <w:vAlign w:val="bottom"/>
            <w:gridSpan w:val="2"/>
          </w:tcPr>
          <w:p>
            <w:pPr>
              <w:spacing w:after="0"/>
              <w:rPr>
                <w:sz w:val="20"/>
                <w:szCs w:val="20"/>
                <w:color w:val="auto"/>
              </w:rPr>
            </w:pPr>
            <w:r>
              <w:rPr>
                <w:rFonts w:ascii="Arial" w:cs="Arial" w:eastAsia="Arial" w:hAnsi="Arial"/>
                <w:sz w:val="18"/>
                <w:szCs w:val="18"/>
                <w:color w:val="auto"/>
              </w:rPr>
              <w:t>Loehmann’s Link Shopping Ctr</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Fairfax</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060-1446</w:t>
            </w:r>
          </w:p>
        </w:tc>
        <w:tc>
          <w:tcPr>
            <w:tcW w:w="6960" w:type="dxa"/>
            <w:vAlign w:val="bottom"/>
            <w:gridSpan w:val="2"/>
          </w:tcPr>
          <w:p>
            <w:pPr>
              <w:spacing w:after="0"/>
              <w:rPr>
                <w:sz w:val="20"/>
                <w:szCs w:val="20"/>
                <w:color w:val="auto"/>
              </w:rPr>
            </w:pPr>
            <w:r>
              <w:rPr>
                <w:rFonts w:ascii="Arial" w:cs="Arial" w:eastAsia="Arial" w:hAnsi="Arial"/>
                <w:sz w:val="18"/>
                <w:szCs w:val="18"/>
                <w:color w:val="auto"/>
              </w:rPr>
              <w:t>Loehmann’s Redstone Office Bld</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Fairfax</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060-1447</w:t>
            </w:r>
          </w:p>
        </w:tc>
        <w:tc>
          <w:tcPr>
            <w:tcW w:w="6960" w:type="dxa"/>
            <w:vAlign w:val="bottom"/>
            <w:gridSpan w:val="2"/>
          </w:tcPr>
          <w:p>
            <w:pPr>
              <w:spacing w:after="0"/>
              <w:rPr>
                <w:sz w:val="20"/>
                <w:szCs w:val="20"/>
                <w:color w:val="auto"/>
              </w:rPr>
            </w:pPr>
            <w:r>
              <w:rPr>
                <w:rFonts w:ascii="Arial" w:cs="Arial" w:eastAsia="Arial" w:hAnsi="Arial"/>
                <w:sz w:val="18"/>
                <w:szCs w:val="18"/>
                <w:color w:val="auto"/>
              </w:rPr>
              <w:t>Loehmann’s Redstone Shop Ctr</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Fairfax</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080-1600</w:t>
            </w:r>
          </w:p>
        </w:tc>
        <w:tc>
          <w:tcPr>
            <w:tcW w:w="6960" w:type="dxa"/>
            <w:vAlign w:val="bottom"/>
            <w:gridSpan w:val="2"/>
          </w:tcPr>
          <w:p>
            <w:pPr>
              <w:spacing w:after="0"/>
              <w:rPr>
                <w:sz w:val="20"/>
                <w:szCs w:val="20"/>
                <w:color w:val="auto"/>
              </w:rPr>
            </w:pPr>
            <w:r>
              <w:rPr>
                <w:rFonts w:ascii="Arial" w:cs="Arial" w:eastAsia="Arial" w:hAnsi="Arial"/>
                <w:sz w:val="18"/>
                <w:szCs w:val="18"/>
                <w:color w:val="auto"/>
              </w:rPr>
              <w:t>Perring Plaza</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Baltimore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100-1630</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1-Retail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100-1632</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IB-Retail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100-1634</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lC-Retail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100-1638</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3-Retail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100-1642</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4-Retail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100-1644</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5-Retail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100-1646</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6A-Retail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100-1650</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7-Retail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100-1652</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8A-Retail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100-1662</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11A-Retail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100-1668</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13/15-Retail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100-1674</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K-Retail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100-1651</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7-Residential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100-1653</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8A-Residential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100-1663</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11A-Res/Office</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100-1669</w:t>
            </w:r>
          </w:p>
        </w:tc>
        <w:tc>
          <w:tcPr>
            <w:tcW w:w="6960" w:type="dxa"/>
            <w:vAlign w:val="bottom"/>
            <w:gridSpan w:val="2"/>
          </w:tcPr>
          <w:p>
            <w:pPr>
              <w:spacing w:after="0"/>
              <w:rPr>
                <w:sz w:val="20"/>
                <w:szCs w:val="20"/>
                <w:color w:val="auto"/>
              </w:rPr>
            </w:pPr>
            <w:r>
              <w:rPr>
                <w:rFonts w:ascii="Arial" w:cs="Arial" w:eastAsia="Arial" w:hAnsi="Arial"/>
                <w:sz w:val="18"/>
                <w:szCs w:val="18"/>
                <w:color w:val="auto"/>
              </w:rPr>
              <w:t>Santana Row Building 13/15-Res/Office</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160-1800</w:t>
            </w:r>
          </w:p>
        </w:tc>
        <w:tc>
          <w:tcPr>
            <w:tcW w:w="6960" w:type="dxa"/>
            <w:vAlign w:val="bottom"/>
            <w:gridSpan w:val="2"/>
          </w:tcPr>
          <w:p>
            <w:pPr>
              <w:spacing w:after="0"/>
              <w:rPr>
                <w:sz w:val="20"/>
                <w:szCs w:val="20"/>
                <w:color w:val="auto"/>
              </w:rPr>
            </w:pPr>
            <w:r>
              <w:rPr>
                <w:rFonts w:ascii="Arial" w:cs="Arial" w:eastAsia="Arial" w:hAnsi="Arial"/>
                <w:sz w:val="18"/>
                <w:szCs w:val="18"/>
                <w:color w:val="auto"/>
              </w:rPr>
              <w:t>Westgate Mall</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San Jose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170-1730</w:t>
            </w:r>
          </w:p>
        </w:tc>
        <w:tc>
          <w:tcPr>
            <w:tcW w:w="6960" w:type="dxa"/>
            <w:vAlign w:val="bottom"/>
            <w:gridSpan w:val="2"/>
          </w:tcPr>
          <w:p>
            <w:pPr>
              <w:spacing w:after="0"/>
              <w:rPr>
                <w:sz w:val="20"/>
                <w:szCs w:val="20"/>
                <w:color w:val="auto"/>
              </w:rPr>
            </w:pPr>
            <w:r>
              <w:rPr>
                <w:rFonts w:ascii="Arial" w:cs="Arial" w:eastAsia="Arial" w:hAnsi="Arial"/>
                <w:sz w:val="18"/>
                <w:szCs w:val="18"/>
                <w:color w:val="auto"/>
              </w:rPr>
              <w:t>Sturtevant Street</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Somerville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170-1732</w:t>
            </w:r>
          </w:p>
        </w:tc>
        <w:tc>
          <w:tcPr>
            <w:tcW w:w="6960" w:type="dxa"/>
            <w:vAlign w:val="bottom"/>
            <w:gridSpan w:val="2"/>
          </w:tcPr>
          <w:p>
            <w:pPr>
              <w:spacing w:after="0"/>
              <w:rPr>
                <w:sz w:val="20"/>
                <w:szCs w:val="20"/>
                <w:color w:val="auto"/>
              </w:rPr>
            </w:pPr>
            <w:r>
              <w:rPr>
                <w:rFonts w:ascii="Arial" w:cs="Arial" w:eastAsia="Arial" w:hAnsi="Arial"/>
                <w:sz w:val="18"/>
                <w:szCs w:val="18"/>
                <w:color w:val="auto"/>
              </w:rPr>
              <w:t>147 Foley Street</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Somerville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180-1008</w:t>
            </w:r>
          </w:p>
        </w:tc>
        <w:tc>
          <w:tcPr>
            <w:tcW w:w="6960" w:type="dxa"/>
            <w:vAlign w:val="bottom"/>
            <w:gridSpan w:val="2"/>
          </w:tcPr>
          <w:p>
            <w:pPr>
              <w:spacing w:after="0"/>
              <w:rPr>
                <w:sz w:val="20"/>
                <w:szCs w:val="20"/>
                <w:color w:val="auto"/>
              </w:rPr>
            </w:pPr>
            <w:r>
              <w:rPr>
                <w:rFonts w:ascii="Arial" w:cs="Arial" w:eastAsia="Arial" w:hAnsi="Arial"/>
                <w:sz w:val="18"/>
                <w:szCs w:val="18"/>
                <w:color w:val="auto"/>
              </w:rPr>
              <w:t>Assembly Square</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Somerville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400-1020</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Shops W W 1-Arlington East</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400-1021</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Shops W W 2</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400-1022</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Offices W W 2</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400-1023</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Shops W W 3</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400-1024</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Shops W W 4</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400-1025</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Offices W W 4</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400-1026</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Shops W W 5</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400-1027</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Offices W W 5</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400-1028</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Shops II</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400-1029</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Shops III</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400-1030</w:t>
            </w:r>
          </w:p>
        </w:tc>
        <w:tc>
          <w:tcPr>
            <w:tcW w:w="6960" w:type="dxa"/>
            <w:vAlign w:val="bottom"/>
            <w:gridSpan w:val="2"/>
          </w:tcPr>
          <w:p>
            <w:pPr>
              <w:spacing w:after="0"/>
              <w:rPr>
                <w:sz w:val="20"/>
                <w:szCs w:val="20"/>
                <w:color w:val="auto"/>
              </w:rPr>
            </w:pPr>
            <w:r>
              <w:rPr>
                <w:rFonts w:ascii="Arial" w:cs="Arial" w:eastAsia="Arial" w:hAnsi="Arial"/>
                <w:sz w:val="18"/>
                <w:szCs w:val="18"/>
                <w:color w:val="auto"/>
              </w:rPr>
              <w:t>Ravengard</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400-1031</w:t>
            </w:r>
          </w:p>
        </w:tc>
        <w:tc>
          <w:tcPr>
            <w:tcW w:w="6960" w:type="dxa"/>
            <w:vAlign w:val="bottom"/>
            <w:gridSpan w:val="2"/>
          </w:tcPr>
          <w:p>
            <w:pPr>
              <w:spacing w:after="0"/>
              <w:rPr>
                <w:sz w:val="20"/>
                <w:szCs w:val="20"/>
                <w:color w:val="auto"/>
              </w:rPr>
            </w:pPr>
            <w:r>
              <w:rPr>
                <w:rFonts w:ascii="Arial" w:cs="Arial" w:eastAsia="Arial" w:hAnsi="Arial"/>
                <w:sz w:val="18"/>
                <w:szCs w:val="18"/>
                <w:color w:val="auto"/>
              </w:rPr>
              <w:t>Bethesda Ave Shops Parking Lot</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400-1032</w:t>
            </w:r>
          </w:p>
        </w:tc>
        <w:tc>
          <w:tcPr>
            <w:tcW w:w="6960" w:type="dxa"/>
            <w:vAlign w:val="bottom"/>
            <w:gridSpan w:val="2"/>
          </w:tcPr>
          <w:p>
            <w:pPr>
              <w:spacing w:after="0"/>
              <w:rPr>
                <w:sz w:val="20"/>
                <w:szCs w:val="20"/>
                <w:color w:val="auto"/>
              </w:rPr>
            </w:pPr>
            <w:r>
              <w:rPr>
                <w:rFonts w:ascii="Arial" w:cs="Arial" w:eastAsia="Arial" w:hAnsi="Arial"/>
                <w:sz w:val="18"/>
                <w:szCs w:val="18"/>
                <w:color w:val="auto"/>
              </w:rPr>
              <w:t>4900 Hampden Lane (Bethesda)</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400-3031</w:t>
            </w:r>
          </w:p>
        </w:tc>
        <w:tc>
          <w:tcPr>
            <w:tcW w:w="6960" w:type="dxa"/>
            <w:vAlign w:val="bottom"/>
            <w:gridSpan w:val="2"/>
          </w:tcPr>
          <w:p>
            <w:pPr>
              <w:spacing w:after="0"/>
              <w:rPr>
                <w:sz w:val="20"/>
                <w:szCs w:val="20"/>
                <w:color w:val="auto"/>
              </w:rPr>
            </w:pPr>
            <w:r>
              <w:rPr>
                <w:rFonts w:ascii="Arial" w:cs="Arial" w:eastAsia="Arial" w:hAnsi="Arial"/>
                <w:sz w:val="18"/>
                <w:szCs w:val="18"/>
                <w:color w:val="auto"/>
              </w:rPr>
              <w:t>Elm Street-Retail (Bethesda)</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400-3032</w:t>
            </w:r>
          </w:p>
        </w:tc>
        <w:tc>
          <w:tcPr>
            <w:tcW w:w="6960" w:type="dxa"/>
            <w:vAlign w:val="bottom"/>
            <w:gridSpan w:val="2"/>
          </w:tcPr>
          <w:p>
            <w:pPr>
              <w:spacing w:after="0"/>
              <w:rPr>
                <w:sz w:val="20"/>
                <w:szCs w:val="20"/>
                <w:color w:val="auto"/>
              </w:rPr>
            </w:pPr>
            <w:r>
              <w:rPr>
                <w:rFonts w:ascii="Arial" w:cs="Arial" w:eastAsia="Arial" w:hAnsi="Arial"/>
                <w:sz w:val="18"/>
                <w:szCs w:val="18"/>
                <w:color w:val="auto"/>
              </w:rPr>
              <w:t>Kilbane/Jaffe Parcels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4" w:name="page165"/>
    <w:bookmarkEnd w:id="1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684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Property</w:t>
            </w:r>
          </w:p>
        </w:tc>
        <w:tc>
          <w:tcPr>
            <w:tcW w:w="220" w:type="dxa"/>
            <w:vAlign w:val="bottom"/>
          </w:tcPr>
          <w:p>
            <w:pPr>
              <w:spacing w:after="0"/>
              <w:rPr>
                <w:sz w:val="14"/>
                <w:szCs w:val="14"/>
                <w:color w:val="auto"/>
              </w:rPr>
            </w:pPr>
          </w:p>
        </w:tc>
        <w:tc>
          <w:tcPr>
            <w:tcW w:w="11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City</w:t>
            </w: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4"/>
                <w:szCs w:val="14"/>
                <w:color w:val="auto"/>
              </w:rPr>
            </w:pPr>
          </w:p>
        </w:tc>
        <w:tc>
          <w:tcPr>
            <w:tcW w:w="6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w:t>
            </w:r>
          </w:p>
        </w:tc>
        <w:tc>
          <w:tcPr>
            <w:tcW w:w="0" w:type="dxa"/>
            <w:vAlign w:val="bottom"/>
          </w:tcPr>
          <w:p>
            <w:pPr>
              <w:spacing w:after="0"/>
              <w:rPr>
                <w:sz w:val="1"/>
                <w:szCs w:val="1"/>
                <w:color w:val="auto"/>
              </w:rPr>
            </w:pPr>
          </w:p>
        </w:tc>
      </w:tr>
      <w:tr>
        <w:trPr>
          <w:trHeight w:val="201"/>
        </w:trPr>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400-3033</w:t>
            </w:r>
          </w:p>
        </w:tc>
        <w:tc>
          <w:tcPr>
            <w:tcW w:w="6840" w:type="dxa"/>
            <w:vAlign w:val="bottom"/>
          </w:tcPr>
          <w:p>
            <w:pPr>
              <w:spacing w:after="0" w:line="201" w:lineRule="exact"/>
              <w:rPr>
                <w:sz w:val="20"/>
                <w:szCs w:val="20"/>
                <w:color w:val="auto"/>
              </w:rPr>
            </w:pPr>
            <w:r>
              <w:rPr>
                <w:rFonts w:ascii="Arial" w:cs="Arial" w:eastAsia="Arial" w:hAnsi="Arial"/>
                <w:sz w:val="18"/>
                <w:szCs w:val="18"/>
                <w:color w:val="auto"/>
              </w:rPr>
              <w:t>Elm Street-Office (Bethesda)</w:t>
            </w:r>
          </w:p>
        </w:tc>
        <w:tc>
          <w:tcPr>
            <w:tcW w:w="2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Bethesda</w:t>
            </w:r>
          </w:p>
        </w:tc>
        <w:tc>
          <w:tcPr>
            <w:tcW w:w="1820" w:type="dxa"/>
            <w:vAlign w:val="bottom"/>
          </w:tcPr>
          <w:p>
            <w:pPr>
              <w:spacing w:after="0"/>
              <w:rPr>
                <w:sz w:val="17"/>
                <w:szCs w:val="17"/>
                <w:color w:val="auto"/>
              </w:rPr>
            </w:pPr>
          </w:p>
        </w:tc>
        <w:tc>
          <w:tcPr>
            <w:tcW w:w="320" w:type="dxa"/>
            <w:vAlign w:val="bottom"/>
          </w:tcPr>
          <w:p>
            <w:pPr>
              <w:spacing w:after="0" w:line="201" w:lineRule="exact"/>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400-3034</w:t>
            </w:r>
          </w:p>
        </w:tc>
        <w:tc>
          <w:tcPr>
            <w:tcW w:w="6840" w:type="dxa"/>
            <w:vAlign w:val="bottom"/>
          </w:tcPr>
          <w:p>
            <w:pPr>
              <w:spacing w:after="0"/>
              <w:rPr>
                <w:sz w:val="20"/>
                <w:szCs w:val="20"/>
                <w:color w:val="auto"/>
              </w:rPr>
            </w:pPr>
            <w:r>
              <w:rPr>
                <w:rFonts w:ascii="Arial" w:cs="Arial" w:eastAsia="Arial" w:hAnsi="Arial"/>
                <w:sz w:val="18"/>
                <w:szCs w:val="18"/>
                <w:color w:val="auto"/>
              </w:rPr>
              <w:t>Woodmont East-Retail</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400-3035</w:t>
            </w:r>
          </w:p>
        </w:tc>
        <w:tc>
          <w:tcPr>
            <w:tcW w:w="6840" w:type="dxa"/>
            <w:vAlign w:val="bottom"/>
          </w:tcPr>
          <w:p>
            <w:pPr>
              <w:spacing w:after="0"/>
              <w:rPr>
                <w:sz w:val="20"/>
                <w:szCs w:val="20"/>
                <w:color w:val="auto"/>
              </w:rPr>
            </w:pPr>
            <w:r>
              <w:rPr>
                <w:rFonts w:ascii="Arial" w:cs="Arial" w:eastAsia="Arial" w:hAnsi="Arial"/>
                <w:sz w:val="18"/>
                <w:szCs w:val="18"/>
                <w:color w:val="auto"/>
              </w:rPr>
              <w:t>Woodmont East-Offices</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Bethesda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400-3100</w:t>
            </w:r>
          </w:p>
        </w:tc>
        <w:tc>
          <w:tcPr>
            <w:tcW w:w="6840" w:type="dxa"/>
            <w:vAlign w:val="bottom"/>
          </w:tcPr>
          <w:p>
            <w:pPr>
              <w:spacing w:after="0"/>
              <w:rPr>
                <w:sz w:val="20"/>
                <w:szCs w:val="20"/>
                <w:color w:val="auto"/>
              </w:rPr>
            </w:pPr>
            <w:r>
              <w:rPr>
                <w:rFonts w:ascii="Arial" w:cs="Arial" w:eastAsia="Arial" w:hAnsi="Arial"/>
                <w:sz w:val="18"/>
                <w:szCs w:val="18"/>
                <w:color w:val="auto"/>
              </w:rPr>
              <w:t>64 Greenwich</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Greenwich</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CT</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400-3101</w:t>
            </w:r>
          </w:p>
        </w:tc>
        <w:tc>
          <w:tcPr>
            <w:tcW w:w="6840" w:type="dxa"/>
            <w:vAlign w:val="bottom"/>
          </w:tcPr>
          <w:p>
            <w:pPr>
              <w:spacing w:after="0"/>
              <w:rPr>
                <w:sz w:val="20"/>
                <w:szCs w:val="20"/>
                <w:color w:val="auto"/>
              </w:rPr>
            </w:pPr>
            <w:r>
              <w:rPr>
                <w:rFonts w:ascii="Arial" w:cs="Arial" w:eastAsia="Arial" w:hAnsi="Arial"/>
                <w:sz w:val="18"/>
                <w:szCs w:val="18"/>
                <w:color w:val="auto"/>
              </w:rPr>
              <w:t>205 Greenwich Ave (Saks)</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Greenwich</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CT</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400-3400</w:t>
            </w:r>
          </w:p>
        </w:tc>
        <w:tc>
          <w:tcPr>
            <w:tcW w:w="6840" w:type="dxa"/>
            <w:vAlign w:val="bottom"/>
          </w:tcPr>
          <w:p>
            <w:pPr>
              <w:spacing w:after="0"/>
              <w:rPr>
                <w:sz w:val="20"/>
                <w:szCs w:val="20"/>
                <w:color w:val="auto"/>
              </w:rPr>
            </w:pPr>
            <w:r>
              <w:rPr>
                <w:rFonts w:ascii="Arial" w:cs="Arial" w:eastAsia="Arial" w:hAnsi="Arial"/>
                <w:sz w:val="18"/>
                <w:szCs w:val="18"/>
                <w:color w:val="auto"/>
              </w:rPr>
              <w:t>Fresh Meadows-Kmart Center</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Queens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400-3401</w:t>
            </w:r>
          </w:p>
        </w:tc>
        <w:tc>
          <w:tcPr>
            <w:tcW w:w="6840" w:type="dxa"/>
            <w:vAlign w:val="bottom"/>
          </w:tcPr>
          <w:p>
            <w:pPr>
              <w:spacing w:after="0"/>
              <w:rPr>
                <w:sz w:val="20"/>
                <w:szCs w:val="20"/>
                <w:color w:val="auto"/>
              </w:rPr>
            </w:pPr>
            <w:r>
              <w:rPr>
                <w:rFonts w:ascii="Arial" w:cs="Arial" w:eastAsia="Arial" w:hAnsi="Arial"/>
                <w:sz w:val="18"/>
                <w:szCs w:val="18"/>
                <w:color w:val="auto"/>
              </w:rPr>
              <w:t>Fresh Meadows (Filene’s Ctr)</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Queens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400-3402</w:t>
            </w:r>
          </w:p>
        </w:tc>
        <w:tc>
          <w:tcPr>
            <w:tcW w:w="6840" w:type="dxa"/>
            <w:vAlign w:val="bottom"/>
          </w:tcPr>
          <w:p>
            <w:pPr>
              <w:spacing w:after="0"/>
              <w:rPr>
                <w:sz w:val="20"/>
                <w:szCs w:val="20"/>
                <w:color w:val="auto"/>
              </w:rPr>
            </w:pPr>
            <w:r>
              <w:rPr>
                <w:rFonts w:ascii="Arial" w:cs="Arial" w:eastAsia="Arial" w:hAnsi="Arial"/>
                <w:sz w:val="18"/>
                <w:szCs w:val="18"/>
                <w:color w:val="auto"/>
              </w:rPr>
              <w:t>Fresh Meadows (73rd Ave Strip)</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Queens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400-3403</w:t>
            </w:r>
          </w:p>
        </w:tc>
        <w:tc>
          <w:tcPr>
            <w:tcW w:w="6840" w:type="dxa"/>
            <w:vAlign w:val="bottom"/>
          </w:tcPr>
          <w:p>
            <w:pPr>
              <w:spacing w:after="0"/>
              <w:rPr>
                <w:sz w:val="20"/>
                <w:szCs w:val="20"/>
                <w:color w:val="auto"/>
              </w:rPr>
            </w:pPr>
            <w:r>
              <w:rPr>
                <w:rFonts w:ascii="Arial" w:cs="Arial" w:eastAsia="Arial" w:hAnsi="Arial"/>
                <w:sz w:val="18"/>
                <w:szCs w:val="18"/>
                <w:color w:val="auto"/>
              </w:rPr>
              <w:t>Fresh Meadows (69th Ave Strip)</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Queens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400-3500</w:t>
            </w:r>
          </w:p>
        </w:tc>
        <w:tc>
          <w:tcPr>
            <w:tcW w:w="6840" w:type="dxa"/>
            <w:vAlign w:val="bottom"/>
          </w:tcPr>
          <w:p>
            <w:pPr>
              <w:spacing w:after="0"/>
              <w:rPr>
                <w:sz w:val="20"/>
                <w:szCs w:val="20"/>
                <w:color w:val="auto"/>
              </w:rPr>
            </w:pPr>
            <w:r>
              <w:rPr>
                <w:rFonts w:ascii="Arial" w:cs="Arial" w:eastAsia="Arial" w:hAnsi="Arial"/>
                <w:sz w:val="18"/>
                <w:szCs w:val="18"/>
                <w:color w:val="auto"/>
              </w:rPr>
              <w:t>150 Post Street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7"/>
              </w:rPr>
              <w:t>San Francisco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400-3525</w:t>
            </w:r>
          </w:p>
        </w:tc>
        <w:tc>
          <w:tcPr>
            <w:tcW w:w="6840" w:type="dxa"/>
            <w:vAlign w:val="bottom"/>
          </w:tcPr>
          <w:p>
            <w:pPr>
              <w:spacing w:after="0"/>
              <w:rPr>
                <w:sz w:val="20"/>
                <w:szCs w:val="20"/>
                <w:color w:val="auto"/>
              </w:rPr>
            </w:pPr>
            <w:r>
              <w:rPr>
                <w:rFonts w:ascii="Arial" w:cs="Arial" w:eastAsia="Arial" w:hAnsi="Arial"/>
                <w:sz w:val="18"/>
                <w:szCs w:val="18"/>
                <w:color w:val="auto"/>
              </w:rPr>
              <w:t>1344 3rd Street (Santa Monica)</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Santa Monica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400-3600</w:t>
            </w:r>
          </w:p>
        </w:tc>
        <w:tc>
          <w:tcPr>
            <w:tcW w:w="6840" w:type="dxa"/>
            <w:vAlign w:val="bottom"/>
          </w:tcPr>
          <w:p>
            <w:pPr>
              <w:spacing w:after="0"/>
              <w:rPr>
                <w:sz w:val="20"/>
                <w:szCs w:val="20"/>
                <w:color w:val="auto"/>
              </w:rPr>
            </w:pPr>
            <w:r>
              <w:rPr>
                <w:rFonts w:ascii="Arial" w:cs="Arial" w:eastAsia="Arial" w:hAnsi="Arial"/>
                <w:sz w:val="18"/>
                <w:szCs w:val="18"/>
                <w:color w:val="auto"/>
              </w:rPr>
              <w:t>Sam’s Park &amp; Shop</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Washington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DC</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400-3601</w:t>
            </w:r>
          </w:p>
        </w:tc>
        <w:tc>
          <w:tcPr>
            <w:tcW w:w="6840" w:type="dxa"/>
            <w:vAlign w:val="bottom"/>
          </w:tcPr>
          <w:p>
            <w:pPr>
              <w:spacing w:after="0"/>
              <w:rPr>
                <w:sz w:val="20"/>
                <w:szCs w:val="20"/>
                <w:color w:val="auto"/>
              </w:rPr>
            </w:pPr>
            <w:r>
              <w:rPr>
                <w:rFonts w:ascii="Arial" w:cs="Arial" w:eastAsia="Arial" w:hAnsi="Arial"/>
                <w:sz w:val="18"/>
                <w:szCs w:val="18"/>
                <w:color w:val="auto"/>
              </w:rPr>
              <w:t>Village at Shirlington-Retail</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Arlington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400-3602</w:t>
            </w:r>
          </w:p>
        </w:tc>
        <w:tc>
          <w:tcPr>
            <w:tcW w:w="6840" w:type="dxa"/>
            <w:vAlign w:val="bottom"/>
          </w:tcPr>
          <w:p>
            <w:pPr>
              <w:spacing w:after="0"/>
              <w:rPr>
                <w:sz w:val="20"/>
                <w:szCs w:val="20"/>
                <w:color w:val="auto"/>
              </w:rPr>
            </w:pPr>
            <w:r>
              <w:rPr>
                <w:rFonts w:ascii="Arial" w:cs="Arial" w:eastAsia="Arial" w:hAnsi="Arial"/>
                <w:sz w:val="18"/>
                <w:szCs w:val="18"/>
                <w:color w:val="auto"/>
              </w:rPr>
              <w:t>Village at Shirlington-Office</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Arlington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400-3603</w:t>
            </w:r>
          </w:p>
        </w:tc>
        <w:tc>
          <w:tcPr>
            <w:tcW w:w="6840" w:type="dxa"/>
            <w:vAlign w:val="bottom"/>
          </w:tcPr>
          <w:p>
            <w:pPr>
              <w:spacing w:after="0"/>
              <w:rPr>
                <w:sz w:val="20"/>
                <w:szCs w:val="20"/>
                <w:color w:val="auto"/>
              </w:rPr>
            </w:pPr>
            <w:r>
              <w:rPr>
                <w:rFonts w:ascii="Arial" w:cs="Arial" w:eastAsia="Arial" w:hAnsi="Arial"/>
                <w:sz w:val="18"/>
                <w:szCs w:val="18"/>
                <w:color w:val="auto"/>
              </w:rPr>
              <w:t>Pentagon Row</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Arlington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400-3604</w:t>
            </w:r>
          </w:p>
        </w:tc>
        <w:tc>
          <w:tcPr>
            <w:tcW w:w="6840" w:type="dxa"/>
            <w:vAlign w:val="bottom"/>
          </w:tcPr>
          <w:p>
            <w:pPr>
              <w:spacing w:after="0"/>
              <w:rPr>
                <w:sz w:val="20"/>
                <w:szCs w:val="20"/>
                <w:color w:val="auto"/>
              </w:rPr>
            </w:pPr>
            <w:r>
              <w:rPr>
                <w:rFonts w:ascii="Arial" w:cs="Arial" w:eastAsia="Arial" w:hAnsi="Arial"/>
                <w:sz w:val="18"/>
                <w:szCs w:val="18"/>
                <w:color w:val="auto"/>
              </w:rPr>
              <w:t>Friendship Center</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Washington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DC</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420-4300</w:t>
            </w:r>
          </w:p>
        </w:tc>
        <w:tc>
          <w:tcPr>
            <w:tcW w:w="6840" w:type="dxa"/>
            <w:vAlign w:val="bottom"/>
          </w:tcPr>
          <w:p>
            <w:pPr>
              <w:spacing w:after="0"/>
              <w:rPr>
                <w:sz w:val="20"/>
                <w:szCs w:val="20"/>
                <w:color w:val="auto"/>
              </w:rPr>
            </w:pPr>
            <w:r>
              <w:rPr>
                <w:rFonts w:ascii="Arial" w:cs="Arial" w:eastAsia="Arial" w:hAnsi="Arial"/>
                <w:sz w:val="18"/>
                <w:szCs w:val="18"/>
                <w:color w:val="auto"/>
              </w:rPr>
              <w:t>14 N Fair Oaks</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Pasadena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420-4500</w:t>
            </w:r>
          </w:p>
        </w:tc>
        <w:tc>
          <w:tcPr>
            <w:tcW w:w="6840" w:type="dxa"/>
            <w:vAlign w:val="bottom"/>
          </w:tcPr>
          <w:p>
            <w:pPr>
              <w:spacing w:after="0"/>
              <w:rPr>
                <w:sz w:val="20"/>
                <w:szCs w:val="20"/>
                <w:color w:val="auto"/>
              </w:rPr>
            </w:pPr>
            <w:r>
              <w:rPr>
                <w:rFonts w:ascii="Arial" w:cs="Arial" w:eastAsia="Arial" w:hAnsi="Arial"/>
                <w:sz w:val="18"/>
                <w:szCs w:val="18"/>
                <w:color w:val="auto"/>
              </w:rPr>
              <w:t>643-653 5th Ave</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Diego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420-4502</w:t>
            </w:r>
          </w:p>
        </w:tc>
        <w:tc>
          <w:tcPr>
            <w:tcW w:w="6840" w:type="dxa"/>
            <w:vAlign w:val="bottom"/>
          </w:tcPr>
          <w:p>
            <w:pPr>
              <w:spacing w:after="0"/>
              <w:rPr>
                <w:sz w:val="20"/>
                <w:szCs w:val="20"/>
                <w:color w:val="auto"/>
              </w:rPr>
            </w:pPr>
            <w:r>
              <w:rPr>
                <w:rFonts w:ascii="Arial" w:cs="Arial" w:eastAsia="Arial" w:hAnsi="Arial"/>
                <w:sz w:val="18"/>
                <w:szCs w:val="18"/>
                <w:color w:val="auto"/>
              </w:rPr>
              <w:t>665 5th Ave</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Diego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420-4503</w:t>
            </w:r>
          </w:p>
        </w:tc>
        <w:tc>
          <w:tcPr>
            <w:tcW w:w="6840" w:type="dxa"/>
            <w:vAlign w:val="bottom"/>
          </w:tcPr>
          <w:p>
            <w:pPr>
              <w:spacing w:after="0"/>
              <w:rPr>
                <w:sz w:val="20"/>
                <w:szCs w:val="20"/>
                <w:color w:val="auto"/>
              </w:rPr>
            </w:pPr>
            <w:r>
              <w:rPr>
                <w:rFonts w:ascii="Arial" w:cs="Arial" w:eastAsia="Arial" w:hAnsi="Arial"/>
                <w:sz w:val="18"/>
                <w:szCs w:val="18"/>
                <w:color w:val="auto"/>
              </w:rPr>
              <w:t>825-831 5th Ave</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Diego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420-4700</w:t>
            </w:r>
          </w:p>
        </w:tc>
        <w:tc>
          <w:tcPr>
            <w:tcW w:w="6840" w:type="dxa"/>
            <w:vAlign w:val="bottom"/>
          </w:tcPr>
          <w:p>
            <w:pPr>
              <w:spacing w:after="0"/>
              <w:rPr>
                <w:sz w:val="20"/>
                <w:szCs w:val="20"/>
                <w:color w:val="auto"/>
              </w:rPr>
            </w:pPr>
            <w:r>
              <w:rPr>
                <w:rFonts w:ascii="Arial" w:cs="Arial" w:eastAsia="Arial" w:hAnsi="Arial"/>
                <w:sz w:val="18"/>
                <w:szCs w:val="18"/>
                <w:color w:val="auto"/>
              </w:rPr>
              <w:t>301 Arizona/1251-1253 3rd Street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Santa Monica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420-4702</w:t>
            </w:r>
          </w:p>
        </w:tc>
        <w:tc>
          <w:tcPr>
            <w:tcW w:w="6840" w:type="dxa"/>
            <w:vAlign w:val="bottom"/>
          </w:tcPr>
          <w:p>
            <w:pPr>
              <w:spacing w:after="0"/>
              <w:rPr>
                <w:sz w:val="20"/>
                <w:szCs w:val="20"/>
                <w:color w:val="auto"/>
              </w:rPr>
            </w:pPr>
            <w:r>
              <w:rPr>
                <w:rFonts w:ascii="Arial" w:cs="Arial" w:eastAsia="Arial" w:hAnsi="Arial"/>
                <w:sz w:val="18"/>
                <w:szCs w:val="18"/>
                <w:color w:val="auto"/>
              </w:rPr>
              <w:t>1225 3rd Street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Santa Monica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420-4704</w:t>
            </w:r>
          </w:p>
        </w:tc>
        <w:tc>
          <w:tcPr>
            <w:tcW w:w="6840" w:type="dxa"/>
            <w:vAlign w:val="bottom"/>
          </w:tcPr>
          <w:p>
            <w:pPr>
              <w:spacing w:after="0"/>
              <w:rPr>
                <w:sz w:val="20"/>
                <w:szCs w:val="20"/>
                <w:color w:val="auto"/>
              </w:rPr>
            </w:pPr>
            <w:r>
              <w:rPr>
                <w:rFonts w:ascii="Arial" w:cs="Arial" w:eastAsia="Arial" w:hAnsi="Arial"/>
                <w:sz w:val="18"/>
                <w:szCs w:val="18"/>
                <w:color w:val="auto"/>
              </w:rPr>
              <w:t>1337 3rd Street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Santa Monica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420-4705</w:t>
            </w:r>
          </w:p>
        </w:tc>
        <w:tc>
          <w:tcPr>
            <w:tcW w:w="6840" w:type="dxa"/>
            <w:vAlign w:val="bottom"/>
          </w:tcPr>
          <w:p>
            <w:pPr>
              <w:spacing w:after="0"/>
              <w:rPr>
                <w:sz w:val="20"/>
                <w:szCs w:val="20"/>
                <w:color w:val="auto"/>
              </w:rPr>
            </w:pPr>
            <w:r>
              <w:rPr>
                <w:rFonts w:ascii="Arial" w:cs="Arial" w:eastAsia="Arial" w:hAnsi="Arial"/>
                <w:sz w:val="18"/>
                <w:szCs w:val="18"/>
                <w:color w:val="auto"/>
              </w:rPr>
              <w:t>1343-1349 3rd Street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Santa Monica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421-4701</w:t>
            </w:r>
          </w:p>
        </w:tc>
        <w:tc>
          <w:tcPr>
            <w:tcW w:w="6840" w:type="dxa"/>
            <w:vAlign w:val="bottom"/>
          </w:tcPr>
          <w:p>
            <w:pPr>
              <w:spacing w:after="0"/>
              <w:rPr>
                <w:sz w:val="20"/>
                <w:szCs w:val="20"/>
                <w:color w:val="auto"/>
              </w:rPr>
            </w:pPr>
            <w:r>
              <w:rPr>
                <w:rFonts w:ascii="Arial" w:cs="Arial" w:eastAsia="Arial" w:hAnsi="Arial"/>
                <w:sz w:val="18"/>
                <w:szCs w:val="18"/>
                <w:color w:val="auto"/>
              </w:rPr>
              <w:t>1202 3rd Street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Santa Monica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422-4706</w:t>
            </w:r>
          </w:p>
        </w:tc>
        <w:tc>
          <w:tcPr>
            <w:tcW w:w="6840" w:type="dxa"/>
            <w:vAlign w:val="bottom"/>
          </w:tcPr>
          <w:p>
            <w:pPr>
              <w:spacing w:after="0"/>
              <w:rPr>
                <w:sz w:val="20"/>
                <w:szCs w:val="20"/>
                <w:color w:val="auto"/>
              </w:rPr>
            </w:pPr>
            <w:r>
              <w:rPr>
                <w:rFonts w:ascii="Arial" w:cs="Arial" w:eastAsia="Arial" w:hAnsi="Arial"/>
                <w:sz w:val="18"/>
                <w:szCs w:val="18"/>
                <w:color w:val="auto"/>
              </w:rPr>
              <w:t>1222 3rd Street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Santa Monica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424-4301</w:t>
            </w:r>
          </w:p>
        </w:tc>
        <w:tc>
          <w:tcPr>
            <w:tcW w:w="6840" w:type="dxa"/>
            <w:vAlign w:val="bottom"/>
          </w:tcPr>
          <w:p>
            <w:pPr>
              <w:spacing w:after="0"/>
              <w:rPr>
                <w:sz w:val="20"/>
                <w:szCs w:val="20"/>
                <w:color w:val="auto"/>
              </w:rPr>
            </w:pPr>
            <w:r>
              <w:rPr>
                <w:rFonts w:ascii="Arial" w:cs="Arial" w:eastAsia="Arial" w:hAnsi="Arial"/>
                <w:sz w:val="18"/>
                <w:szCs w:val="18"/>
                <w:color w:val="auto"/>
              </w:rPr>
              <w:t>140-168 W Colorado</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Pasadena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428-4708</w:t>
            </w:r>
          </w:p>
        </w:tc>
        <w:tc>
          <w:tcPr>
            <w:tcW w:w="6840" w:type="dxa"/>
            <w:vAlign w:val="bottom"/>
          </w:tcPr>
          <w:p>
            <w:pPr>
              <w:spacing w:after="0"/>
              <w:rPr>
                <w:sz w:val="20"/>
                <w:szCs w:val="20"/>
                <w:color w:val="auto"/>
              </w:rPr>
            </w:pPr>
            <w:r>
              <w:rPr>
                <w:rFonts w:ascii="Arial" w:cs="Arial" w:eastAsia="Arial" w:hAnsi="Arial"/>
                <w:sz w:val="18"/>
                <w:szCs w:val="18"/>
                <w:color w:val="auto"/>
              </w:rPr>
              <w:t>214 Wilshire</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Santa Monica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440-5001</w:t>
            </w:r>
          </w:p>
        </w:tc>
        <w:tc>
          <w:tcPr>
            <w:tcW w:w="6840" w:type="dxa"/>
            <w:vAlign w:val="bottom"/>
          </w:tcPr>
          <w:p>
            <w:pPr>
              <w:spacing w:after="0"/>
              <w:rPr>
                <w:sz w:val="20"/>
                <w:szCs w:val="20"/>
                <w:color w:val="auto"/>
              </w:rPr>
            </w:pPr>
            <w:r>
              <w:rPr>
                <w:rFonts w:ascii="Arial" w:cs="Arial" w:eastAsia="Arial" w:hAnsi="Arial"/>
                <w:sz w:val="18"/>
                <w:szCs w:val="18"/>
                <w:color w:val="auto"/>
              </w:rPr>
              <w:t>107-14/16 71st Street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Forest Hills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440-5002</w:t>
            </w:r>
          </w:p>
        </w:tc>
        <w:tc>
          <w:tcPr>
            <w:tcW w:w="6840" w:type="dxa"/>
            <w:vAlign w:val="bottom"/>
          </w:tcPr>
          <w:p>
            <w:pPr>
              <w:spacing w:after="0"/>
              <w:rPr>
                <w:sz w:val="20"/>
                <w:szCs w:val="20"/>
                <w:color w:val="auto"/>
              </w:rPr>
            </w:pPr>
            <w:r>
              <w:rPr>
                <w:rFonts w:ascii="Arial" w:cs="Arial" w:eastAsia="Arial" w:hAnsi="Arial"/>
                <w:sz w:val="18"/>
                <w:szCs w:val="18"/>
                <w:color w:val="auto"/>
              </w:rPr>
              <w:t>108-22 Queens Blvd</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Forest Hills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441-5003</w:t>
            </w:r>
          </w:p>
        </w:tc>
        <w:tc>
          <w:tcPr>
            <w:tcW w:w="6840" w:type="dxa"/>
            <w:vAlign w:val="bottom"/>
          </w:tcPr>
          <w:p>
            <w:pPr>
              <w:spacing w:after="0"/>
              <w:rPr>
                <w:sz w:val="20"/>
                <w:szCs w:val="20"/>
                <w:color w:val="auto"/>
              </w:rPr>
            </w:pPr>
            <w:r>
              <w:rPr>
                <w:rFonts w:ascii="Arial" w:cs="Arial" w:eastAsia="Arial" w:hAnsi="Arial"/>
                <w:sz w:val="18"/>
                <w:szCs w:val="18"/>
                <w:color w:val="auto"/>
              </w:rPr>
              <w:t>69-39/41 Austin St (Forest Hills)</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Forest Hills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450-5500</w:t>
            </w:r>
          </w:p>
        </w:tc>
        <w:tc>
          <w:tcPr>
            <w:tcW w:w="6840" w:type="dxa"/>
            <w:vAlign w:val="bottom"/>
          </w:tcPr>
          <w:p>
            <w:pPr>
              <w:spacing w:after="0"/>
              <w:rPr>
                <w:sz w:val="20"/>
                <w:szCs w:val="20"/>
                <w:color w:val="auto"/>
              </w:rPr>
            </w:pPr>
            <w:r>
              <w:rPr>
                <w:rFonts w:ascii="Arial" w:cs="Arial" w:eastAsia="Arial" w:hAnsi="Arial"/>
                <w:sz w:val="18"/>
                <w:szCs w:val="18"/>
                <w:color w:val="auto"/>
              </w:rPr>
              <w:t>Old Town Center</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Los Gatos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451-5601</w:t>
            </w:r>
          </w:p>
        </w:tc>
        <w:tc>
          <w:tcPr>
            <w:tcW w:w="6840" w:type="dxa"/>
            <w:vAlign w:val="bottom"/>
          </w:tcPr>
          <w:p>
            <w:pPr>
              <w:spacing w:after="0"/>
              <w:rPr>
                <w:sz w:val="20"/>
                <w:szCs w:val="20"/>
                <w:color w:val="auto"/>
              </w:rPr>
            </w:pPr>
            <w:r>
              <w:rPr>
                <w:rFonts w:ascii="Arial" w:cs="Arial" w:eastAsia="Arial" w:hAnsi="Arial"/>
                <w:sz w:val="18"/>
                <w:szCs w:val="18"/>
                <w:color w:val="auto"/>
              </w:rPr>
              <w:t>301-303 E Houston St (Vogue)</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Antonio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451-5602</w:t>
            </w:r>
          </w:p>
        </w:tc>
        <w:tc>
          <w:tcPr>
            <w:tcW w:w="6840" w:type="dxa"/>
            <w:vAlign w:val="bottom"/>
          </w:tcPr>
          <w:p>
            <w:pPr>
              <w:spacing w:after="0"/>
              <w:rPr>
                <w:sz w:val="20"/>
                <w:szCs w:val="20"/>
                <w:color w:val="auto"/>
              </w:rPr>
            </w:pPr>
            <w:r>
              <w:rPr>
                <w:rFonts w:ascii="Arial" w:cs="Arial" w:eastAsia="Arial" w:hAnsi="Arial"/>
                <w:sz w:val="18"/>
                <w:szCs w:val="18"/>
                <w:color w:val="auto"/>
              </w:rPr>
              <w:t>225-233 E Houston St (Schaum)</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Antonio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451-5603</w:t>
            </w:r>
          </w:p>
        </w:tc>
        <w:tc>
          <w:tcPr>
            <w:tcW w:w="6840" w:type="dxa"/>
            <w:vAlign w:val="bottom"/>
          </w:tcPr>
          <w:p>
            <w:pPr>
              <w:spacing w:after="0"/>
              <w:rPr>
                <w:sz w:val="20"/>
                <w:szCs w:val="20"/>
                <w:color w:val="auto"/>
              </w:rPr>
            </w:pPr>
            <w:r>
              <w:rPr>
                <w:rFonts w:ascii="Arial" w:cs="Arial" w:eastAsia="Arial" w:hAnsi="Arial"/>
                <w:sz w:val="18"/>
                <w:szCs w:val="18"/>
                <w:color w:val="auto"/>
              </w:rPr>
              <w:t>St. Mary’s &amp; E. Houston (West H)</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Antonio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451-5606</w:t>
            </w:r>
          </w:p>
        </w:tc>
        <w:tc>
          <w:tcPr>
            <w:tcW w:w="6840" w:type="dxa"/>
            <w:vAlign w:val="bottom"/>
          </w:tcPr>
          <w:p>
            <w:pPr>
              <w:spacing w:after="0"/>
              <w:rPr>
                <w:sz w:val="20"/>
                <w:szCs w:val="20"/>
                <w:color w:val="auto"/>
              </w:rPr>
            </w:pPr>
            <w:r>
              <w:rPr>
                <w:rFonts w:ascii="Arial" w:cs="Arial" w:eastAsia="Arial" w:hAnsi="Arial"/>
                <w:sz w:val="18"/>
                <w:szCs w:val="18"/>
                <w:color w:val="auto"/>
              </w:rPr>
              <w:t>111 Jefferson St (Pkg Lot)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Antonio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451-5607</w:t>
            </w:r>
          </w:p>
        </w:tc>
        <w:tc>
          <w:tcPr>
            <w:tcW w:w="6840" w:type="dxa"/>
            <w:vAlign w:val="bottom"/>
          </w:tcPr>
          <w:p>
            <w:pPr>
              <w:spacing w:after="0"/>
              <w:rPr>
                <w:sz w:val="20"/>
                <w:szCs w:val="20"/>
                <w:color w:val="auto"/>
              </w:rPr>
            </w:pPr>
            <w:r>
              <w:rPr>
                <w:rFonts w:ascii="Arial" w:cs="Arial" w:eastAsia="Arial" w:hAnsi="Arial"/>
                <w:sz w:val="18"/>
                <w:szCs w:val="18"/>
                <w:color w:val="auto"/>
              </w:rPr>
              <w:t>300-302 E Houston St (Walgreen)</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Antonio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451-5608</w:t>
            </w:r>
          </w:p>
        </w:tc>
        <w:tc>
          <w:tcPr>
            <w:tcW w:w="6840" w:type="dxa"/>
            <w:vAlign w:val="bottom"/>
          </w:tcPr>
          <w:p>
            <w:pPr>
              <w:spacing w:after="0"/>
              <w:rPr>
                <w:sz w:val="20"/>
                <w:szCs w:val="20"/>
                <w:color w:val="auto"/>
              </w:rPr>
            </w:pPr>
            <w:r>
              <w:rPr>
                <w:rFonts w:ascii="Arial" w:cs="Arial" w:eastAsia="Arial" w:hAnsi="Arial"/>
                <w:sz w:val="18"/>
                <w:szCs w:val="18"/>
                <w:color w:val="auto"/>
              </w:rPr>
              <w:t>221-223 E Houston St (Court Bl)</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Antonio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451-5609</w:t>
            </w:r>
          </w:p>
        </w:tc>
        <w:tc>
          <w:tcPr>
            <w:tcW w:w="6840" w:type="dxa"/>
            <w:vAlign w:val="bottom"/>
          </w:tcPr>
          <w:p>
            <w:pPr>
              <w:spacing w:after="0"/>
              <w:rPr>
                <w:sz w:val="20"/>
                <w:szCs w:val="20"/>
                <w:color w:val="auto"/>
              </w:rPr>
            </w:pPr>
            <w:r>
              <w:rPr>
                <w:rFonts w:ascii="Arial" w:cs="Arial" w:eastAsia="Arial" w:hAnsi="Arial"/>
                <w:sz w:val="18"/>
                <w:szCs w:val="18"/>
                <w:color w:val="auto"/>
              </w:rPr>
              <w:t>219 E Houston St (Carl/Bennet)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Antonio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451-5610</w:t>
            </w:r>
          </w:p>
        </w:tc>
        <w:tc>
          <w:tcPr>
            <w:tcW w:w="6840" w:type="dxa"/>
            <w:vAlign w:val="bottom"/>
          </w:tcPr>
          <w:p>
            <w:pPr>
              <w:spacing w:after="0"/>
              <w:rPr>
                <w:sz w:val="20"/>
                <w:szCs w:val="20"/>
                <w:color w:val="auto"/>
              </w:rPr>
            </w:pPr>
            <w:r>
              <w:rPr>
                <w:rFonts w:ascii="Arial" w:cs="Arial" w:eastAsia="Arial" w:hAnsi="Arial"/>
                <w:sz w:val="18"/>
                <w:szCs w:val="18"/>
                <w:color w:val="auto"/>
              </w:rPr>
              <w:t>311-315 E Houston St (Kress)</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Antonio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451-5611</w:t>
            </w:r>
          </w:p>
        </w:tc>
        <w:tc>
          <w:tcPr>
            <w:tcW w:w="6840" w:type="dxa"/>
            <w:vAlign w:val="bottom"/>
          </w:tcPr>
          <w:p>
            <w:pPr>
              <w:spacing w:after="0"/>
              <w:rPr>
                <w:sz w:val="20"/>
                <w:szCs w:val="20"/>
                <w:color w:val="auto"/>
              </w:rPr>
            </w:pPr>
            <w:r>
              <w:rPr>
                <w:rFonts w:ascii="Arial" w:cs="Arial" w:eastAsia="Arial" w:hAnsi="Arial"/>
                <w:sz w:val="18"/>
                <w:szCs w:val="18"/>
                <w:color w:val="auto"/>
              </w:rPr>
              <w:t>306-308 E Houston St (Stuart)</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Antonio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451-5612</w:t>
            </w:r>
          </w:p>
        </w:tc>
        <w:tc>
          <w:tcPr>
            <w:tcW w:w="6840" w:type="dxa"/>
            <w:vAlign w:val="bottom"/>
          </w:tcPr>
          <w:p>
            <w:pPr>
              <w:spacing w:after="0"/>
              <w:rPr>
                <w:sz w:val="20"/>
                <w:szCs w:val="20"/>
                <w:color w:val="auto"/>
              </w:rPr>
            </w:pPr>
            <w:r>
              <w:rPr>
                <w:rFonts w:ascii="Arial" w:cs="Arial" w:eastAsia="Arial" w:hAnsi="Arial"/>
                <w:sz w:val="18"/>
                <w:szCs w:val="18"/>
                <w:color w:val="auto"/>
              </w:rPr>
              <w:t>400 E Houston St (Maverick)</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San Antonio</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500-1010</w:t>
            </w:r>
          </w:p>
        </w:tc>
        <w:tc>
          <w:tcPr>
            <w:tcW w:w="6840" w:type="dxa"/>
            <w:vAlign w:val="bottom"/>
          </w:tcPr>
          <w:p>
            <w:pPr>
              <w:spacing w:after="0"/>
              <w:rPr>
                <w:sz w:val="20"/>
                <w:szCs w:val="20"/>
                <w:color w:val="auto"/>
              </w:rPr>
            </w:pPr>
            <w:r>
              <w:rPr>
                <w:rFonts w:ascii="Arial" w:cs="Arial" w:eastAsia="Arial" w:hAnsi="Arial"/>
                <w:sz w:val="18"/>
                <w:szCs w:val="18"/>
                <w:color w:val="auto"/>
              </w:rPr>
              <w:t>Bala Cynwyd</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Bala Cynwyd</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500-1050</w:t>
            </w:r>
          </w:p>
        </w:tc>
        <w:tc>
          <w:tcPr>
            <w:tcW w:w="6840" w:type="dxa"/>
            <w:vAlign w:val="bottom"/>
          </w:tcPr>
          <w:p>
            <w:pPr>
              <w:spacing w:after="0"/>
              <w:rPr>
                <w:sz w:val="20"/>
                <w:szCs w:val="20"/>
                <w:color w:val="auto"/>
              </w:rPr>
            </w:pPr>
            <w:r>
              <w:rPr>
                <w:rFonts w:ascii="Arial" w:cs="Arial" w:eastAsia="Arial" w:hAnsi="Arial"/>
                <w:sz w:val="18"/>
                <w:szCs w:val="18"/>
                <w:color w:val="auto"/>
              </w:rPr>
              <w:t>Bristol</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Bristol</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CT</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500-1090</w:t>
            </w:r>
          </w:p>
        </w:tc>
        <w:tc>
          <w:tcPr>
            <w:tcW w:w="6840" w:type="dxa"/>
            <w:vAlign w:val="bottom"/>
          </w:tcPr>
          <w:p>
            <w:pPr>
              <w:spacing w:after="0"/>
              <w:rPr>
                <w:sz w:val="20"/>
                <w:szCs w:val="20"/>
                <w:color w:val="auto"/>
              </w:rPr>
            </w:pPr>
            <w:r>
              <w:rPr>
                <w:rFonts w:ascii="Arial" w:cs="Arial" w:eastAsia="Arial" w:hAnsi="Arial"/>
                <w:sz w:val="18"/>
                <w:szCs w:val="18"/>
                <w:color w:val="auto"/>
              </w:rPr>
              <w:t>Crossroads</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Highland Park</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500-1125</w:t>
            </w:r>
          </w:p>
        </w:tc>
        <w:tc>
          <w:tcPr>
            <w:tcW w:w="6840" w:type="dxa"/>
            <w:vAlign w:val="bottom"/>
          </w:tcPr>
          <w:p>
            <w:pPr>
              <w:spacing w:after="0"/>
              <w:rPr>
                <w:sz w:val="20"/>
                <w:szCs w:val="20"/>
                <w:color w:val="auto"/>
              </w:rPr>
            </w:pPr>
            <w:r>
              <w:rPr>
                <w:rFonts w:ascii="Arial" w:cs="Arial" w:eastAsia="Arial" w:hAnsi="Arial"/>
                <w:sz w:val="18"/>
                <w:szCs w:val="18"/>
                <w:color w:val="auto"/>
              </w:rPr>
              <w:t>Dedham</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Dedham</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500-1160</w:t>
            </w:r>
          </w:p>
        </w:tc>
        <w:tc>
          <w:tcPr>
            <w:tcW w:w="6840" w:type="dxa"/>
            <w:vAlign w:val="bottom"/>
          </w:tcPr>
          <w:p>
            <w:pPr>
              <w:spacing w:after="0"/>
              <w:rPr>
                <w:sz w:val="20"/>
                <w:szCs w:val="20"/>
                <w:color w:val="auto"/>
              </w:rPr>
            </w:pPr>
            <w:r>
              <w:rPr>
                <w:rFonts w:ascii="Arial" w:cs="Arial" w:eastAsia="Arial" w:hAnsi="Arial"/>
                <w:sz w:val="18"/>
                <w:szCs w:val="18"/>
                <w:color w:val="auto"/>
              </w:rPr>
              <w:t>Eastgate</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Chapel Hill</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NC</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500-1180</w:t>
            </w:r>
          </w:p>
        </w:tc>
        <w:tc>
          <w:tcPr>
            <w:tcW w:w="6840" w:type="dxa"/>
            <w:vAlign w:val="bottom"/>
          </w:tcPr>
          <w:p>
            <w:pPr>
              <w:spacing w:after="0"/>
              <w:rPr>
                <w:sz w:val="20"/>
                <w:szCs w:val="20"/>
                <w:color w:val="auto"/>
              </w:rPr>
            </w:pPr>
            <w:r>
              <w:rPr>
                <w:rFonts w:ascii="Arial" w:cs="Arial" w:eastAsia="Arial" w:hAnsi="Arial"/>
                <w:sz w:val="18"/>
                <w:szCs w:val="18"/>
                <w:color w:val="auto"/>
              </w:rPr>
              <w:t>Ellisburg Circle</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Cherry Hill</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500-1200</w:t>
            </w:r>
          </w:p>
        </w:tc>
        <w:tc>
          <w:tcPr>
            <w:tcW w:w="6840" w:type="dxa"/>
            <w:vAlign w:val="bottom"/>
          </w:tcPr>
          <w:p>
            <w:pPr>
              <w:spacing w:after="0"/>
              <w:rPr>
                <w:sz w:val="20"/>
                <w:szCs w:val="20"/>
                <w:color w:val="auto"/>
              </w:rPr>
            </w:pPr>
            <w:r>
              <w:rPr>
                <w:rFonts w:ascii="Arial" w:cs="Arial" w:eastAsia="Arial" w:hAnsi="Arial"/>
                <w:sz w:val="18"/>
                <w:szCs w:val="18"/>
                <w:color w:val="auto"/>
              </w:rPr>
              <w:t>Falls Plaza</w:t>
            </w:r>
          </w:p>
        </w:tc>
        <w:tc>
          <w:tcPr>
            <w:tcW w:w="2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Falls Church</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2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4"/>
                <w:szCs w:val="14"/>
                <w:color w:val="auto"/>
              </w:rPr>
            </w:pPr>
          </w:p>
        </w:tc>
        <w:tc>
          <w:tcPr>
            <w:tcW w:w="13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City</w:t>
            </w: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w:t>
            </w:r>
          </w:p>
        </w:tc>
        <w:tc>
          <w:tcPr>
            <w:tcW w:w="0" w:type="dxa"/>
            <w:vAlign w:val="bottom"/>
          </w:tcPr>
          <w:p>
            <w:pPr>
              <w:spacing w:after="0"/>
              <w:rPr>
                <w:sz w:val="1"/>
                <w:szCs w:val="1"/>
                <w:color w:val="auto"/>
              </w:rPr>
            </w:pPr>
          </w:p>
        </w:tc>
      </w:tr>
      <w:tr>
        <w:trPr>
          <w:trHeight w:val="201"/>
        </w:trPr>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500-1201</w:t>
            </w:r>
          </w:p>
        </w:tc>
        <w:tc>
          <w:tcPr>
            <w:tcW w:w="6620" w:type="dxa"/>
            <w:vAlign w:val="bottom"/>
            <w:gridSpan w:val="3"/>
          </w:tcPr>
          <w:p>
            <w:pPr>
              <w:spacing w:after="0" w:line="201" w:lineRule="exact"/>
              <w:rPr>
                <w:sz w:val="20"/>
                <w:szCs w:val="20"/>
                <w:color w:val="auto"/>
              </w:rPr>
            </w:pPr>
            <w:r>
              <w:rPr>
                <w:rFonts w:ascii="Arial" w:cs="Arial" w:eastAsia="Arial" w:hAnsi="Arial"/>
                <w:sz w:val="18"/>
                <w:szCs w:val="18"/>
                <w:color w:val="auto"/>
              </w:rPr>
              <w:t>Feasterville</w:t>
            </w:r>
          </w:p>
        </w:tc>
        <w:tc>
          <w:tcPr>
            <w:tcW w:w="200" w:type="dxa"/>
            <w:vAlign w:val="bottom"/>
          </w:tcPr>
          <w:p>
            <w:pPr>
              <w:spacing w:after="0"/>
              <w:rPr>
                <w:sz w:val="17"/>
                <w:szCs w:val="17"/>
                <w:color w:val="auto"/>
              </w:rPr>
            </w:pPr>
          </w:p>
        </w:tc>
        <w:tc>
          <w:tcPr>
            <w:tcW w:w="1380" w:type="dxa"/>
            <w:vAlign w:val="bottom"/>
          </w:tcPr>
          <w:p>
            <w:pPr>
              <w:spacing w:after="0" w:line="201" w:lineRule="exact"/>
              <w:rPr>
                <w:sz w:val="20"/>
                <w:szCs w:val="20"/>
                <w:color w:val="auto"/>
              </w:rPr>
            </w:pPr>
            <w:r>
              <w:rPr>
                <w:rFonts w:ascii="Arial" w:cs="Arial" w:eastAsia="Arial" w:hAnsi="Arial"/>
                <w:sz w:val="18"/>
                <w:szCs w:val="18"/>
                <w:color w:val="auto"/>
              </w:rPr>
              <w:t>Feasterville</w:t>
            </w:r>
          </w:p>
        </w:tc>
        <w:tc>
          <w:tcPr>
            <w:tcW w:w="1820" w:type="dxa"/>
            <w:vAlign w:val="bottom"/>
          </w:tcPr>
          <w:p>
            <w:pPr>
              <w:spacing w:after="0"/>
              <w:rPr>
                <w:sz w:val="17"/>
                <w:szCs w:val="17"/>
                <w:color w:val="auto"/>
              </w:rPr>
            </w:pPr>
          </w:p>
        </w:tc>
        <w:tc>
          <w:tcPr>
            <w:tcW w:w="320" w:type="dxa"/>
            <w:vAlign w:val="bottom"/>
          </w:tcPr>
          <w:p>
            <w:pPr>
              <w:spacing w:after="0" w:line="201" w:lineRule="exact"/>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500-1202</w:t>
            </w:r>
          </w:p>
        </w:tc>
        <w:tc>
          <w:tcPr>
            <w:tcW w:w="6620" w:type="dxa"/>
            <w:vAlign w:val="bottom"/>
            <w:gridSpan w:val="3"/>
          </w:tcPr>
          <w:p>
            <w:pPr>
              <w:spacing w:after="0"/>
              <w:rPr>
                <w:sz w:val="20"/>
                <w:szCs w:val="20"/>
                <w:color w:val="auto"/>
              </w:rPr>
            </w:pPr>
            <w:r>
              <w:rPr>
                <w:rFonts w:ascii="Arial" w:cs="Arial" w:eastAsia="Arial" w:hAnsi="Arial"/>
                <w:sz w:val="18"/>
                <w:szCs w:val="18"/>
                <w:color w:val="auto"/>
              </w:rPr>
              <w:t>Flourtown</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Flourtown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500-1217</w:t>
            </w:r>
          </w:p>
        </w:tc>
        <w:tc>
          <w:tcPr>
            <w:tcW w:w="6620" w:type="dxa"/>
            <w:vAlign w:val="bottom"/>
            <w:gridSpan w:val="3"/>
          </w:tcPr>
          <w:p>
            <w:pPr>
              <w:spacing w:after="0"/>
              <w:rPr>
                <w:sz w:val="20"/>
                <w:szCs w:val="20"/>
                <w:color w:val="auto"/>
              </w:rPr>
            </w:pPr>
            <w:r>
              <w:rPr>
                <w:rFonts w:ascii="Arial" w:cs="Arial" w:eastAsia="Arial" w:hAnsi="Arial"/>
                <w:sz w:val="18"/>
                <w:szCs w:val="18"/>
                <w:color w:val="auto"/>
              </w:rPr>
              <w:t>Finley Square</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Downers Grove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500-1220</w:t>
            </w:r>
          </w:p>
        </w:tc>
        <w:tc>
          <w:tcPr>
            <w:tcW w:w="6620" w:type="dxa"/>
            <w:vAlign w:val="bottom"/>
            <w:gridSpan w:val="3"/>
          </w:tcPr>
          <w:p>
            <w:pPr>
              <w:spacing w:after="0"/>
              <w:rPr>
                <w:sz w:val="20"/>
                <w:szCs w:val="20"/>
                <w:color w:val="auto"/>
              </w:rPr>
            </w:pPr>
            <w:r>
              <w:rPr>
                <w:rFonts w:ascii="Arial" w:cs="Arial" w:eastAsia="Arial" w:hAnsi="Arial"/>
                <w:sz w:val="18"/>
                <w:szCs w:val="18"/>
                <w:color w:val="auto"/>
              </w:rPr>
              <w:t>Gratiot Plaza</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Roseville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MI</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500-1235</w:t>
            </w:r>
          </w:p>
        </w:tc>
        <w:tc>
          <w:tcPr>
            <w:tcW w:w="6620" w:type="dxa"/>
            <w:vAlign w:val="bottom"/>
            <w:gridSpan w:val="3"/>
          </w:tcPr>
          <w:p>
            <w:pPr>
              <w:spacing w:after="0"/>
              <w:rPr>
                <w:sz w:val="20"/>
                <w:szCs w:val="20"/>
                <w:color w:val="auto"/>
              </w:rPr>
            </w:pPr>
            <w:r>
              <w:rPr>
                <w:rFonts w:ascii="Arial" w:cs="Arial" w:eastAsia="Arial" w:hAnsi="Arial"/>
                <w:sz w:val="18"/>
                <w:szCs w:val="18"/>
                <w:color w:val="auto"/>
              </w:rPr>
              <w:t>Gaithersburg Square Shopping Center</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Gaithersburg</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500-1236</w:t>
            </w:r>
          </w:p>
        </w:tc>
        <w:tc>
          <w:tcPr>
            <w:tcW w:w="6620" w:type="dxa"/>
            <w:vAlign w:val="bottom"/>
            <w:gridSpan w:val="3"/>
          </w:tcPr>
          <w:p>
            <w:pPr>
              <w:spacing w:after="0"/>
              <w:rPr>
                <w:sz w:val="20"/>
                <w:szCs w:val="20"/>
                <w:color w:val="auto"/>
              </w:rPr>
            </w:pPr>
            <w:r>
              <w:rPr>
                <w:rFonts w:ascii="Arial" w:cs="Arial" w:eastAsia="Arial" w:hAnsi="Arial"/>
                <w:sz w:val="18"/>
                <w:szCs w:val="18"/>
                <w:color w:val="auto"/>
              </w:rPr>
              <w:t>Gaithersburg Square Office Bld</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Gaithersburg</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500-1245</w:t>
            </w:r>
          </w:p>
        </w:tc>
        <w:tc>
          <w:tcPr>
            <w:tcW w:w="6620" w:type="dxa"/>
            <w:vAlign w:val="bottom"/>
            <w:gridSpan w:val="3"/>
          </w:tcPr>
          <w:p>
            <w:pPr>
              <w:spacing w:after="0"/>
              <w:rPr>
                <w:sz w:val="20"/>
                <w:szCs w:val="20"/>
                <w:color w:val="auto"/>
              </w:rPr>
            </w:pPr>
            <w:r>
              <w:rPr>
                <w:rFonts w:ascii="Arial" w:cs="Arial" w:eastAsia="Arial" w:hAnsi="Arial"/>
                <w:sz w:val="18"/>
                <w:szCs w:val="18"/>
                <w:color w:val="auto"/>
              </w:rPr>
              <w:t>Garden Market</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Western Springs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500-1315</w:t>
            </w:r>
          </w:p>
        </w:tc>
        <w:tc>
          <w:tcPr>
            <w:tcW w:w="6620" w:type="dxa"/>
            <w:vAlign w:val="bottom"/>
            <w:gridSpan w:val="3"/>
          </w:tcPr>
          <w:p>
            <w:pPr>
              <w:spacing w:after="0"/>
              <w:rPr>
                <w:sz w:val="20"/>
                <w:szCs w:val="20"/>
                <w:color w:val="auto"/>
              </w:rPr>
            </w:pPr>
            <w:r>
              <w:rPr>
                <w:rFonts w:ascii="Arial" w:cs="Arial" w:eastAsia="Arial" w:hAnsi="Arial"/>
                <w:sz w:val="18"/>
                <w:szCs w:val="18"/>
                <w:color w:val="auto"/>
              </w:rPr>
              <w:t>Idylwood Plaza</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Falls Church</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500-1321</w:t>
            </w:r>
          </w:p>
        </w:tc>
        <w:tc>
          <w:tcPr>
            <w:tcW w:w="6620" w:type="dxa"/>
            <w:vAlign w:val="bottom"/>
            <w:gridSpan w:val="3"/>
          </w:tcPr>
          <w:p>
            <w:pPr>
              <w:spacing w:after="0"/>
              <w:rPr>
                <w:sz w:val="20"/>
                <w:szCs w:val="20"/>
                <w:color w:val="auto"/>
              </w:rPr>
            </w:pPr>
            <w:r>
              <w:rPr>
                <w:rFonts w:ascii="Arial" w:cs="Arial" w:eastAsia="Arial" w:hAnsi="Arial"/>
                <w:sz w:val="18"/>
                <w:szCs w:val="18"/>
                <w:color w:val="auto"/>
              </w:rPr>
              <w:t>Allwood</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Clifton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500-1322</w:t>
            </w:r>
          </w:p>
        </w:tc>
        <w:tc>
          <w:tcPr>
            <w:tcW w:w="6620" w:type="dxa"/>
            <w:vAlign w:val="bottom"/>
            <w:gridSpan w:val="3"/>
          </w:tcPr>
          <w:p>
            <w:pPr>
              <w:spacing w:after="0"/>
              <w:rPr>
                <w:sz w:val="20"/>
                <w:szCs w:val="20"/>
                <w:color w:val="auto"/>
              </w:rPr>
            </w:pPr>
            <w:r>
              <w:rPr>
                <w:rFonts w:ascii="Arial" w:cs="Arial" w:eastAsia="Arial" w:hAnsi="Arial"/>
                <w:sz w:val="18"/>
                <w:szCs w:val="18"/>
                <w:color w:val="auto"/>
              </w:rPr>
              <w:t>Blue Star</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Watchung</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500-1323</w:t>
            </w:r>
          </w:p>
        </w:tc>
        <w:tc>
          <w:tcPr>
            <w:tcW w:w="6620" w:type="dxa"/>
            <w:vAlign w:val="bottom"/>
            <w:gridSpan w:val="3"/>
          </w:tcPr>
          <w:p>
            <w:pPr>
              <w:spacing w:after="0"/>
              <w:rPr>
                <w:sz w:val="20"/>
                <w:szCs w:val="20"/>
                <w:color w:val="auto"/>
              </w:rPr>
            </w:pPr>
            <w:r>
              <w:rPr>
                <w:rFonts w:ascii="Arial" w:cs="Arial" w:eastAsia="Arial" w:hAnsi="Arial"/>
                <w:sz w:val="18"/>
                <w:szCs w:val="18"/>
                <w:color w:val="auto"/>
              </w:rPr>
              <w:t>Brunswick</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N.Brunswick</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500-1324</w:t>
            </w:r>
          </w:p>
        </w:tc>
        <w:tc>
          <w:tcPr>
            <w:tcW w:w="6620" w:type="dxa"/>
            <w:vAlign w:val="bottom"/>
            <w:gridSpan w:val="3"/>
          </w:tcPr>
          <w:p>
            <w:pPr>
              <w:spacing w:after="0"/>
              <w:rPr>
                <w:sz w:val="20"/>
                <w:szCs w:val="20"/>
                <w:color w:val="auto"/>
              </w:rPr>
            </w:pPr>
            <w:r>
              <w:rPr>
                <w:rFonts w:ascii="Arial" w:cs="Arial" w:eastAsia="Arial" w:hAnsi="Arial"/>
                <w:sz w:val="18"/>
                <w:szCs w:val="18"/>
                <w:color w:val="auto"/>
              </w:rPr>
              <w:t>Clifton</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Clifton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500-1325</w:t>
            </w:r>
          </w:p>
        </w:tc>
        <w:tc>
          <w:tcPr>
            <w:tcW w:w="6620" w:type="dxa"/>
            <w:vAlign w:val="bottom"/>
            <w:gridSpan w:val="3"/>
          </w:tcPr>
          <w:p>
            <w:pPr>
              <w:spacing w:after="0"/>
              <w:rPr>
                <w:sz w:val="20"/>
                <w:szCs w:val="20"/>
                <w:color w:val="auto"/>
              </w:rPr>
            </w:pPr>
            <w:r>
              <w:rPr>
                <w:rFonts w:ascii="Arial" w:cs="Arial" w:eastAsia="Arial" w:hAnsi="Arial"/>
                <w:sz w:val="18"/>
                <w:szCs w:val="18"/>
                <w:color w:val="auto"/>
              </w:rPr>
              <w:t>Hamilton</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Hamilton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500-1326</w:t>
            </w:r>
          </w:p>
        </w:tc>
        <w:tc>
          <w:tcPr>
            <w:tcW w:w="6620" w:type="dxa"/>
            <w:vAlign w:val="bottom"/>
            <w:gridSpan w:val="3"/>
          </w:tcPr>
          <w:p>
            <w:pPr>
              <w:spacing w:after="0"/>
              <w:rPr>
                <w:sz w:val="20"/>
                <w:szCs w:val="20"/>
                <w:color w:val="auto"/>
              </w:rPr>
            </w:pPr>
            <w:r>
              <w:rPr>
                <w:rFonts w:ascii="Arial" w:cs="Arial" w:eastAsia="Arial" w:hAnsi="Arial"/>
                <w:sz w:val="18"/>
                <w:szCs w:val="18"/>
                <w:color w:val="auto"/>
              </w:rPr>
              <w:t>Huntington</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Huntington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500-1327</w:t>
            </w:r>
          </w:p>
        </w:tc>
        <w:tc>
          <w:tcPr>
            <w:tcW w:w="6620" w:type="dxa"/>
            <w:vAlign w:val="bottom"/>
            <w:gridSpan w:val="3"/>
          </w:tcPr>
          <w:p>
            <w:pPr>
              <w:spacing w:after="0"/>
              <w:rPr>
                <w:sz w:val="20"/>
                <w:szCs w:val="20"/>
                <w:color w:val="auto"/>
              </w:rPr>
            </w:pPr>
            <w:r>
              <w:rPr>
                <w:rFonts w:ascii="Arial" w:cs="Arial" w:eastAsia="Arial" w:hAnsi="Arial"/>
                <w:sz w:val="18"/>
                <w:szCs w:val="18"/>
                <w:color w:val="auto"/>
              </w:rPr>
              <w:t>Rutgers</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Franklin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500-1440</w:t>
            </w:r>
          </w:p>
        </w:tc>
        <w:tc>
          <w:tcPr>
            <w:tcW w:w="6620" w:type="dxa"/>
            <w:vAlign w:val="bottom"/>
            <w:gridSpan w:val="3"/>
          </w:tcPr>
          <w:p>
            <w:pPr>
              <w:spacing w:after="0"/>
              <w:rPr>
                <w:sz w:val="20"/>
                <w:szCs w:val="20"/>
                <w:color w:val="auto"/>
              </w:rPr>
            </w:pPr>
            <w:r>
              <w:rPr>
                <w:rFonts w:ascii="Arial" w:cs="Arial" w:eastAsia="Arial" w:hAnsi="Arial"/>
                <w:sz w:val="18"/>
                <w:szCs w:val="18"/>
                <w:color w:val="auto"/>
              </w:rPr>
              <w:t>Lancaster</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Lancaster</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500-1441</w:t>
            </w:r>
          </w:p>
        </w:tc>
        <w:tc>
          <w:tcPr>
            <w:tcW w:w="6620" w:type="dxa"/>
            <w:vAlign w:val="bottom"/>
            <w:gridSpan w:val="3"/>
          </w:tcPr>
          <w:p>
            <w:pPr>
              <w:spacing w:after="0"/>
              <w:rPr>
                <w:sz w:val="20"/>
                <w:szCs w:val="20"/>
                <w:color w:val="auto"/>
              </w:rPr>
            </w:pPr>
            <w:r>
              <w:rPr>
                <w:rFonts w:ascii="Arial" w:cs="Arial" w:eastAsia="Arial" w:hAnsi="Arial"/>
                <w:sz w:val="18"/>
                <w:szCs w:val="18"/>
                <w:color w:val="auto"/>
              </w:rPr>
              <w:t>Langhorne Square</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Levittown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500-1443</w:t>
            </w:r>
          </w:p>
        </w:tc>
        <w:tc>
          <w:tcPr>
            <w:tcW w:w="6620" w:type="dxa"/>
            <w:vAlign w:val="bottom"/>
            <w:gridSpan w:val="3"/>
          </w:tcPr>
          <w:p>
            <w:pPr>
              <w:spacing w:after="0"/>
              <w:rPr>
                <w:sz w:val="20"/>
                <w:szCs w:val="20"/>
                <w:color w:val="auto"/>
              </w:rPr>
            </w:pPr>
            <w:r>
              <w:rPr>
                <w:rFonts w:ascii="Arial" w:cs="Arial" w:eastAsia="Arial" w:hAnsi="Arial"/>
                <w:sz w:val="18"/>
                <w:szCs w:val="18"/>
                <w:color w:val="auto"/>
              </w:rPr>
              <w:t>Laurel Centre</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Laurel</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500-1475</w:t>
            </w:r>
          </w:p>
        </w:tc>
        <w:tc>
          <w:tcPr>
            <w:tcW w:w="6620" w:type="dxa"/>
            <w:vAlign w:val="bottom"/>
            <w:gridSpan w:val="3"/>
          </w:tcPr>
          <w:p>
            <w:pPr>
              <w:spacing w:after="0"/>
              <w:rPr>
                <w:sz w:val="20"/>
                <w:szCs w:val="20"/>
                <w:color w:val="auto"/>
              </w:rPr>
            </w:pPr>
            <w:r>
              <w:rPr>
                <w:rFonts w:ascii="Arial" w:cs="Arial" w:eastAsia="Arial" w:hAnsi="Arial"/>
                <w:sz w:val="18"/>
                <w:szCs w:val="18"/>
                <w:color w:val="auto"/>
              </w:rPr>
              <w:t>Mercer Mall</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Lawrenceville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500-1476</w:t>
            </w:r>
          </w:p>
        </w:tc>
        <w:tc>
          <w:tcPr>
            <w:tcW w:w="6620" w:type="dxa"/>
            <w:vAlign w:val="bottom"/>
            <w:gridSpan w:val="3"/>
          </w:tcPr>
          <w:p>
            <w:pPr>
              <w:spacing w:after="0"/>
              <w:rPr>
                <w:sz w:val="20"/>
                <w:szCs w:val="20"/>
                <w:color w:val="auto"/>
              </w:rPr>
            </w:pPr>
            <w:r>
              <w:rPr>
                <w:rFonts w:ascii="Arial" w:cs="Arial" w:eastAsia="Arial" w:hAnsi="Arial"/>
                <w:sz w:val="18"/>
                <w:szCs w:val="18"/>
                <w:color w:val="auto"/>
              </w:rPr>
              <w:t>Mercer Mall-Loupinski/Moore</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Lawrenceville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500-1480</w:t>
            </w:r>
          </w:p>
        </w:tc>
        <w:tc>
          <w:tcPr>
            <w:tcW w:w="6620" w:type="dxa"/>
            <w:vAlign w:val="bottom"/>
            <w:gridSpan w:val="3"/>
          </w:tcPr>
          <w:p>
            <w:pPr>
              <w:spacing w:after="0"/>
              <w:rPr>
                <w:sz w:val="20"/>
                <w:szCs w:val="20"/>
                <w:color w:val="auto"/>
              </w:rPr>
            </w:pPr>
            <w:r>
              <w:rPr>
                <w:rFonts w:ascii="Arial" w:cs="Arial" w:eastAsia="Arial" w:hAnsi="Arial"/>
                <w:sz w:val="18"/>
                <w:szCs w:val="18"/>
                <w:color w:val="auto"/>
              </w:rPr>
              <w:t>Mid-Pike Plaza</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Rockville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500-1500</w:t>
            </w:r>
          </w:p>
        </w:tc>
        <w:tc>
          <w:tcPr>
            <w:tcW w:w="6620" w:type="dxa"/>
            <w:vAlign w:val="bottom"/>
            <w:gridSpan w:val="3"/>
          </w:tcPr>
          <w:p>
            <w:pPr>
              <w:spacing w:after="0"/>
              <w:rPr>
                <w:sz w:val="20"/>
                <w:szCs w:val="20"/>
                <w:color w:val="auto"/>
              </w:rPr>
            </w:pPr>
            <w:r>
              <w:rPr>
                <w:rFonts w:ascii="Arial" w:cs="Arial" w:eastAsia="Arial" w:hAnsi="Arial"/>
                <w:sz w:val="18"/>
                <w:szCs w:val="18"/>
                <w:color w:val="auto"/>
              </w:rPr>
              <w:t>Town Center of New Britain</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New Britain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500-1520</w:t>
            </w:r>
          </w:p>
        </w:tc>
        <w:tc>
          <w:tcPr>
            <w:tcW w:w="6620" w:type="dxa"/>
            <w:vAlign w:val="bottom"/>
            <w:gridSpan w:val="3"/>
          </w:tcPr>
          <w:p>
            <w:pPr>
              <w:spacing w:after="0"/>
              <w:rPr>
                <w:sz w:val="20"/>
                <w:szCs w:val="20"/>
                <w:color w:val="auto"/>
              </w:rPr>
            </w:pPr>
            <w:r>
              <w:rPr>
                <w:rFonts w:ascii="Arial" w:cs="Arial" w:eastAsia="Arial" w:hAnsi="Arial"/>
                <w:sz w:val="18"/>
                <w:szCs w:val="18"/>
                <w:color w:val="auto"/>
              </w:rPr>
              <w:t>Northeast</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Philadelphia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500-1525</w:t>
            </w:r>
          </w:p>
        </w:tc>
        <w:tc>
          <w:tcPr>
            <w:tcW w:w="6620" w:type="dxa"/>
            <w:vAlign w:val="bottom"/>
            <w:gridSpan w:val="3"/>
          </w:tcPr>
          <w:p>
            <w:pPr>
              <w:spacing w:after="0"/>
              <w:rPr>
                <w:sz w:val="20"/>
                <w:szCs w:val="20"/>
                <w:color w:val="auto"/>
              </w:rPr>
            </w:pPr>
            <w:r>
              <w:rPr>
                <w:rFonts w:ascii="Arial" w:cs="Arial" w:eastAsia="Arial" w:hAnsi="Arial"/>
                <w:sz w:val="18"/>
                <w:szCs w:val="18"/>
                <w:color w:val="auto"/>
              </w:rPr>
              <w:t>North Lake Commons</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Lake Zurich</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500-1560</w:t>
            </w:r>
          </w:p>
        </w:tc>
        <w:tc>
          <w:tcPr>
            <w:tcW w:w="6620" w:type="dxa"/>
            <w:vAlign w:val="bottom"/>
            <w:gridSpan w:val="3"/>
          </w:tcPr>
          <w:p>
            <w:pPr>
              <w:spacing w:after="0"/>
              <w:rPr>
                <w:sz w:val="20"/>
                <w:szCs w:val="20"/>
                <w:color w:val="auto"/>
              </w:rPr>
            </w:pPr>
            <w:r>
              <w:rPr>
                <w:rFonts w:ascii="Arial" w:cs="Arial" w:eastAsia="Arial" w:hAnsi="Arial"/>
                <w:sz w:val="18"/>
                <w:szCs w:val="18"/>
                <w:color w:val="auto"/>
              </w:rPr>
              <w:t>Old Keene Mill</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Springfield</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500-1580</w:t>
            </w:r>
          </w:p>
        </w:tc>
        <w:tc>
          <w:tcPr>
            <w:tcW w:w="6620" w:type="dxa"/>
            <w:vAlign w:val="bottom"/>
            <w:gridSpan w:val="3"/>
          </w:tcPr>
          <w:p>
            <w:pPr>
              <w:spacing w:after="0"/>
              <w:rPr>
                <w:sz w:val="20"/>
                <w:szCs w:val="20"/>
                <w:color w:val="auto"/>
              </w:rPr>
            </w:pPr>
            <w:r>
              <w:rPr>
                <w:rFonts w:ascii="Arial" w:cs="Arial" w:eastAsia="Arial" w:hAnsi="Arial"/>
                <w:sz w:val="18"/>
                <w:szCs w:val="18"/>
                <w:color w:val="auto"/>
              </w:rPr>
              <w:t>Pan Am</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Fairfax</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500-1610</w:t>
            </w:r>
          </w:p>
        </w:tc>
        <w:tc>
          <w:tcPr>
            <w:tcW w:w="6620" w:type="dxa"/>
            <w:vAlign w:val="bottom"/>
            <w:gridSpan w:val="3"/>
          </w:tcPr>
          <w:p>
            <w:pPr>
              <w:spacing w:after="0"/>
              <w:rPr>
                <w:sz w:val="20"/>
                <w:szCs w:val="20"/>
                <w:color w:val="auto"/>
              </w:rPr>
            </w:pPr>
            <w:r>
              <w:rPr>
                <w:rFonts w:ascii="Arial" w:cs="Arial" w:eastAsia="Arial" w:hAnsi="Arial"/>
                <w:sz w:val="18"/>
                <w:szCs w:val="18"/>
                <w:color w:val="auto"/>
              </w:rPr>
              <w:t>Queen Anne Plaza</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Norwell</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500-1625</w:t>
            </w:r>
          </w:p>
        </w:tc>
        <w:tc>
          <w:tcPr>
            <w:tcW w:w="6620" w:type="dxa"/>
            <w:vAlign w:val="bottom"/>
            <w:gridSpan w:val="3"/>
          </w:tcPr>
          <w:p>
            <w:pPr>
              <w:spacing w:after="0"/>
              <w:rPr>
                <w:sz w:val="20"/>
                <w:szCs w:val="20"/>
                <w:color w:val="auto"/>
              </w:rPr>
            </w:pPr>
            <w:r>
              <w:rPr>
                <w:rFonts w:ascii="Arial" w:cs="Arial" w:eastAsia="Arial" w:hAnsi="Arial"/>
                <w:sz w:val="18"/>
                <w:szCs w:val="18"/>
                <w:color w:val="auto"/>
              </w:rPr>
              <w:t>Quince Orchard Shopping Center</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Gaithersburg</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500-1626</w:t>
            </w:r>
          </w:p>
        </w:tc>
        <w:tc>
          <w:tcPr>
            <w:tcW w:w="6620" w:type="dxa"/>
            <w:vAlign w:val="bottom"/>
            <w:gridSpan w:val="3"/>
          </w:tcPr>
          <w:p>
            <w:pPr>
              <w:spacing w:after="0"/>
              <w:rPr>
                <w:sz w:val="20"/>
                <w:szCs w:val="20"/>
                <w:color w:val="auto"/>
              </w:rPr>
            </w:pPr>
            <w:r>
              <w:rPr>
                <w:rFonts w:ascii="Arial" w:cs="Arial" w:eastAsia="Arial" w:hAnsi="Arial"/>
                <w:sz w:val="18"/>
                <w:szCs w:val="18"/>
                <w:color w:val="auto"/>
              </w:rPr>
              <w:t>Quince Orchard Office Building</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Gaithersburg</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500-1627</w:t>
            </w:r>
          </w:p>
        </w:tc>
        <w:tc>
          <w:tcPr>
            <w:tcW w:w="6620" w:type="dxa"/>
            <w:vAlign w:val="bottom"/>
            <w:gridSpan w:val="3"/>
          </w:tcPr>
          <w:p>
            <w:pPr>
              <w:spacing w:after="0"/>
              <w:rPr>
                <w:sz w:val="20"/>
                <w:szCs w:val="20"/>
                <w:color w:val="auto"/>
              </w:rPr>
            </w:pPr>
            <w:r>
              <w:rPr>
                <w:rFonts w:ascii="Arial" w:cs="Arial" w:eastAsia="Arial" w:hAnsi="Arial"/>
                <w:sz w:val="18"/>
                <w:szCs w:val="18"/>
                <w:color w:val="auto"/>
              </w:rPr>
              <w:t>7700 Richmond Highway</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Alexandria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500-1700</w:t>
            </w:r>
          </w:p>
        </w:tc>
        <w:tc>
          <w:tcPr>
            <w:tcW w:w="6620" w:type="dxa"/>
            <w:vAlign w:val="bottom"/>
            <w:gridSpan w:val="3"/>
          </w:tcPr>
          <w:p>
            <w:pPr>
              <w:spacing w:after="0"/>
              <w:rPr>
                <w:sz w:val="20"/>
                <w:szCs w:val="20"/>
                <w:color w:val="auto"/>
              </w:rPr>
            </w:pPr>
            <w:r>
              <w:rPr>
                <w:rFonts w:ascii="Arial" w:cs="Arial" w:eastAsia="Arial" w:hAnsi="Arial"/>
                <w:sz w:val="18"/>
                <w:szCs w:val="18"/>
                <w:color w:val="auto"/>
              </w:rPr>
              <w:t>Saugus Plaza</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Saugus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500-1750</w:t>
            </w:r>
          </w:p>
        </w:tc>
        <w:tc>
          <w:tcPr>
            <w:tcW w:w="6620" w:type="dxa"/>
            <w:vAlign w:val="bottom"/>
            <w:gridSpan w:val="3"/>
          </w:tcPr>
          <w:p>
            <w:pPr>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Springfield</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500-1761</w:t>
            </w:r>
          </w:p>
        </w:tc>
        <w:tc>
          <w:tcPr>
            <w:tcW w:w="6620" w:type="dxa"/>
            <w:vAlign w:val="bottom"/>
            <w:gridSpan w:val="3"/>
          </w:tcPr>
          <w:p>
            <w:pPr>
              <w:spacing w:after="0"/>
              <w:rPr>
                <w:sz w:val="20"/>
                <w:szCs w:val="20"/>
                <w:color w:val="auto"/>
              </w:rPr>
            </w:pPr>
            <w:r>
              <w:rPr>
                <w:rFonts w:ascii="Arial" w:cs="Arial" w:eastAsia="Arial" w:hAnsi="Arial"/>
                <w:sz w:val="18"/>
                <w:szCs w:val="18"/>
                <w:color w:val="auto"/>
              </w:rPr>
              <w:t>Troy</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Parsippany-Troy</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500-1880</w:t>
            </w:r>
          </w:p>
        </w:tc>
        <w:tc>
          <w:tcPr>
            <w:tcW w:w="6620" w:type="dxa"/>
            <w:vAlign w:val="bottom"/>
            <w:gridSpan w:val="3"/>
          </w:tcPr>
          <w:p>
            <w:pPr>
              <w:spacing w:after="0"/>
              <w:rPr>
                <w:sz w:val="20"/>
                <w:szCs w:val="20"/>
                <w:color w:val="auto"/>
              </w:rPr>
            </w:pPr>
            <w:r>
              <w:rPr>
                <w:rFonts w:ascii="Arial" w:cs="Arial" w:eastAsia="Arial" w:hAnsi="Arial"/>
                <w:sz w:val="18"/>
                <w:szCs w:val="18"/>
                <w:color w:val="auto"/>
              </w:rPr>
              <w:t>Falls Plaza East</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Falls Church</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500-1883</w:t>
            </w:r>
          </w:p>
        </w:tc>
        <w:tc>
          <w:tcPr>
            <w:tcW w:w="6620" w:type="dxa"/>
            <w:vAlign w:val="bottom"/>
            <w:gridSpan w:val="3"/>
          </w:tcPr>
          <w:p>
            <w:pPr>
              <w:spacing w:after="0"/>
              <w:rPr>
                <w:sz w:val="20"/>
                <w:szCs w:val="20"/>
                <w:color w:val="auto"/>
              </w:rPr>
            </w:pPr>
            <w:r>
              <w:rPr>
                <w:rFonts w:ascii="Arial" w:cs="Arial" w:eastAsia="Arial" w:hAnsi="Arial"/>
                <w:sz w:val="18"/>
                <w:szCs w:val="18"/>
                <w:color w:val="auto"/>
              </w:rPr>
              <w:t>Willow Lawn</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Richmond</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500-1889</w:t>
            </w:r>
          </w:p>
        </w:tc>
        <w:tc>
          <w:tcPr>
            <w:tcW w:w="6620" w:type="dxa"/>
            <w:vAlign w:val="bottom"/>
            <w:gridSpan w:val="3"/>
          </w:tcPr>
          <w:p>
            <w:pPr>
              <w:spacing w:after="0"/>
              <w:rPr>
                <w:sz w:val="20"/>
                <w:szCs w:val="20"/>
                <w:color w:val="auto"/>
              </w:rPr>
            </w:pPr>
            <w:r>
              <w:rPr>
                <w:rFonts w:ascii="Arial" w:cs="Arial" w:eastAsia="Arial" w:hAnsi="Arial"/>
                <w:sz w:val="18"/>
                <w:szCs w:val="18"/>
                <w:color w:val="auto"/>
              </w:rPr>
              <w:t>Willow Grove</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Willow Grove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500-1910</w:t>
            </w:r>
          </w:p>
        </w:tc>
        <w:tc>
          <w:tcPr>
            <w:tcW w:w="6620" w:type="dxa"/>
            <w:vAlign w:val="bottom"/>
            <w:gridSpan w:val="3"/>
          </w:tcPr>
          <w:p>
            <w:pPr>
              <w:spacing w:after="0"/>
              <w:rPr>
                <w:sz w:val="20"/>
                <w:szCs w:val="20"/>
                <w:color w:val="auto"/>
              </w:rPr>
            </w:pPr>
            <w:r>
              <w:rPr>
                <w:rFonts w:ascii="Arial" w:cs="Arial" w:eastAsia="Arial" w:hAnsi="Arial"/>
                <w:sz w:val="18"/>
                <w:szCs w:val="18"/>
                <w:color w:val="auto"/>
              </w:rPr>
              <w:t>Rockville Town Square</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Rockville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500-1910</w:t>
            </w:r>
          </w:p>
        </w:tc>
        <w:tc>
          <w:tcPr>
            <w:tcW w:w="6620" w:type="dxa"/>
            <w:vAlign w:val="bottom"/>
            <w:gridSpan w:val="3"/>
          </w:tcPr>
          <w:p>
            <w:pPr>
              <w:spacing w:after="0"/>
              <w:rPr>
                <w:sz w:val="20"/>
                <w:szCs w:val="20"/>
                <w:color w:val="auto"/>
              </w:rPr>
            </w:pPr>
            <w:r>
              <w:rPr>
                <w:rFonts w:ascii="Arial" w:cs="Arial" w:eastAsia="Arial" w:hAnsi="Arial"/>
                <w:sz w:val="18"/>
                <w:szCs w:val="18"/>
                <w:color w:val="auto"/>
              </w:rPr>
              <w:t>Rockville Town Square 2</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Rockville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500-2060</w:t>
            </w:r>
          </w:p>
        </w:tc>
        <w:tc>
          <w:tcPr>
            <w:tcW w:w="6620" w:type="dxa"/>
            <w:vAlign w:val="bottom"/>
            <w:gridSpan w:val="3"/>
          </w:tcPr>
          <w:p>
            <w:pPr>
              <w:spacing w:after="0"/>
              <w:rPr>
                <w:sz w:val="20"/>
                <w:szCs w:val="20"/>
                <w:color w:val="auto"/>
              </w:rPr>
            </w:pPr>
            <w:r>
              <w:rPr>
                <w:rFonts w:ascii="Arial" w:cs="Arial" w:eastAsia="Arial" w:hAnsi="Arial"/>
                <w:sz w:val="18"/>
                <w:szCs w:val="18"/>
                <w:color w:val="auto"/>
              </w:rPr>
              <w:t>Rollingwood Apartments</w:t>
            </w:r>
          </w:p>
        </w:tc>
        <w:tc>
          <w:tcPr>
            <w:tcW w:w="2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Silver Spring</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Controlled Properties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gridSpan w:val="2"/>
          </w:tcPr>
          <w:p>
            <w:pPr>
              <w:spacing w:after="0"/>
              <w:rPr>
                <w:sz w:val="20"/>
                <w:szCs w:val="20"/>
                <w:color w:val="auto"/>
              </w:rPr>
            </w:pPr>
            <w:r>
              <w:rPr>
                <w:rFonts w:ascii="Arial" w:cs="Arial" w:eastAsia="Arial" w:hAnsi="Arial"/>
                <w:sz w:val="18"/>
                <w:szCs w:val="18"/>
                <w:color w:val="auto"/>
              </w:rPr>
              <w:t>110-1605</w:t>
            </w: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Pike 7</w:t>
            </w:r>
          </w:p>
        </w:tc>
        <w:tc>
          <w:tcPr>
            <w:tcW w:w="50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Tysons Corner</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490-1085</w:t>
            </w:r>
          </w:p>
        </w:tc>
        <w:tc>
          <w:tcPr>
            <w:tcW w:w="6620" w:type="dxa"/>
            <w:vAlign w:val="bottom"/>
            <w:gridSpan w:val="3"/>
          </w:tcPr>
          <w:p>
            <w:pPr>
              <w:spacing w:after="0"/>
              <w:rPr>
                <w:sz w:val="20"/>
                <w:szCs w:val="20"/>
                <w:color w:val="auto"/>
              </w:rPr>
            </w:pPr>
            <w:r>
              <w:rPr>
                <w:rFonts w:ascii="Arial" w:cs="Arial" w:eastAsia="Arial" w:hAnsi="Arial"/>
                <w:sz w:val="18"/>
                <w:szCs w:val="18"/>
                <w:color w:val="auto"/>
              </w:rPr>
              <w:t>Courthouse Center</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Rockville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490-1400</w:t>
            </w:r>
          </w:p>
        </w:tc>
        <w:tc>
          <w:tcPr>
            <w:tcW w:w="6620" w:type="dxa"/>
            <w:vAlign w:val="bottom"/>
            <w:gridSpan w:val="3"/>
          </w:tcPr>
          <w:p>
            <w:pPr>
              <w:spacing w:after="0"/>
              <w:rPr>
                <w:sz w:val="20"/>
                <w:szCs w:val="20"/>
                <w:color w:val="auto"/>
              </w:rPr>
            </w:pPr>
            <w:r>
              <w:rPr>
                <w:rFonts w:ascii="Arial" w:cs="Arial" w:eastAsia="Arial" w:hAnsi="Arial"/>
                <w:sz w:val="18"/>
                <w:szCs w:val="18"/>
                <w:color w:val="auto"/>
              </w:rPr>
              <w:t>Kings Court</w:t>
            </w: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Los Gatos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490-1720</w:t>
            </w:r>
          </w:p>
        </w:tc>
        <w:tc>
          <w:tcPr>
            <w:tcW w:w="6620" w:type="dxa"/>
            <w:vAlign w:val="bottom"/>
            <w:gridSpan w:val="3"/>
          </w:tcPr>
          <w:p>
            <w:pPr>
              <w:spacing w:after="0"/>
              <w:rPr>
                <w:sz w:val="20"/>
                <w:szCs w:val="20"/>
                <w:color w:val="auto"/>
              </w:rPr>
            </w:pPr>
            <w:r>
              <w:rPr>
                <w:rFonts w:ascii="Arial" w:cs="Arial" w:eastAsia="Arial" w:hAnsi="Arial"/>
                <w:sz w:val="18"/>
                <w:szCs w:val="18"/>
                <w:color w:val="auto"/>
              </w:rPr>
              <w:t>South Valley</w:t>
            </w:r>
          </w:p>
        </w:tc>
        <w:tc>
          <w:tcPr>
            <w:tcW w:w="2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Alexandria</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Non-Controlled Properties</w:t>
            </w: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gridSpan w:val="2"/>
          </w:tcPr>
          <w:p>
            <w:pPr>
              <w:spacing w:after="0"/>
              <w:rPr>
                <w:sz w:val="20"/>
                <w:szCs w:val="20"/>
                <w:color w:val="auto"/>
              </w:rPr>
            </w:pPr>
            <w:r>
              <w:rPr>
                <w:rFonts w:ascii="Arial" w:cs="Arial" w:eastAsia="Arial" w:hAnsi="Arial"/>
                <w:sz w:val="18"/>
                <w:szCs w:val="18"/>
                <w:color w:val="auto"/>
              </w:rPr>
              <w:t>030-1080</w:t>
            </w:r>
          </w:p>
        </w:tc>
        <w:tc>
          <w:tcPr>
            <w:tcW w:w="6620" w:type="dxa"/>
            <w:vAlign w:val="bottom"/>
            <w:gridSpan w:val="3"/>
          </w:tcPr>
          <w:p>
            <w:pPr>
              <w:spacing w:after="0"/>
              <w:rPr>
                <w:sz w:val="20"/>
                <w:szCs w:val="20"/>
                <w:color w:val="auto"/>
              </w:rPr>
            </w:pPr>
            <w:r>
              <w:rPr>
                <w:rFonts w:ascii="Arial" w:cs="Arial" w:eastAsia="Arial" w:hAnsi="Arial"/>
                <w:sz w:val="18"/>
                <w:szCs w:val="18"/>
                <w:color w:val="auto"/>
              </w:rPr>
              <w:t>Congressional</w:t>
            </w:r>
          </w:p>
        </w:tc>
        <w:tc>
          <w:tcPr>
            <w:tcW w:w="2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Rockville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030-1081</w:t>
            </w:r>
          </w:p>
        </w:tc>
        <w:tc>
          <w:tcPr>
            <w:tcW w:w="6620" w:type="dxa"/>
            <w:vAlign w:val="bottom"/>
            <w:gridSpan w:val="3"/>
          </w:tcPr>
          <w:p>
            <w:pPr>
              <w:spacing w:after="0"/>
              <w:rPr>
                <w:sz w:val="20"/>
                <w:szCs w:val="20"/>
                <w:color w:val="auto"/>
              </w:rPr>
            </w:pPr>
            <w:r>
              <w:rPr>
                <w:rFonts w:ascii="Arial" w:cs="Arial" w:eastAsia="Arial" w:hAnsi="Arial"/>
                <w:sz w:val="18"/>
                <w:szCs w:val="18"/>
                <w:color w:val="auto"/>
              </w:rPr>
              <w:t>Congressional Plaza Apartments</w:t>
            </w:r>
          </w:p>
        </w:tc>
        <w:tc>
          <w:tcPr>
            <w:tcW w:w="2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Rockville</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66" w:name="page167"/>
    <w:bookmarkEnd w:id="1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220" w:type="dxa"/>
            <w:vAlign w:val="bottom"/>
          </w:tcPr>
          <w:p>
            <w:pPr>
              <w:spacing w:after="0"/>
              <w:rPr>
                <w:sz w:val="14"/>
                <w:szCs w:val="14"/>
                <w:color w:val="auto"/>
              </w:rPr>
            </w:pPr>
          </w:p>
        </w:tc>
        <w:tc>
          <w:tcPr>
            <w:tcW w:w="6720" w:type="dxa"/>
            <w:vAlign w:val="bottom"/>
            <w:vMerge w:val="restart"/>
          </w:tcPr>
          <w:p>
            <w:pPr>
              <w:ind w:left="3100"/>
              <w:spacing w:after="0"/>
              <w:rPr>
                <w:sz w:val="20"/>
                <w:szCs w:val="20"/>
                <w:color w:val="auto"/>
              </w:rPr>
            </w:pPr>
            <w:r>
              <w:rPr>
                <w:rFonts w:ascii="Arial" w:cs="Arial" w:eastAsia="Arial" w:hAnsi="Arial"/>
                <w:sz w:val="14"/>
                <w:szCs w:val="14"/>
                <w:b w:val="1"/>
                <w:bCs w:val="1"/>
                <w:color w:val="auto"/>
              </w:rPr>
              <w:t>Property</w:t>
            </w:r>
          </w:p>
        </w:tc>
        <w:tc>
          <w:tcPr>
            <w:tcW w:w="220" w:type="dxa"/>
            <w:vAlign w:val="bottom"/>
          </w:tcPr>
          <w:p>
            <w:pPr>
              <w:spacing w:after="0"/>
              <w:rPr>
                <w:sz w:val="14"/>
                <w:szCs w:val="14"/>
                <w:color w:val="auto"/>
              </w:rPr>
            </w:pPr>
          </w:p>
        </w:tc>
        <w:tc>
          <w:tcPr>
            <w:tcW w:w="12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City</w:t>
            </w: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w:t>
            </w:r>
          </w:p>
        </w:tc>
        <w:tc>
          <w:tcPr>
            <w:tcW w:w="0" w:type="dxa"/>
            <w:vAlign w:val="bottom"/>
          </w:tcPr>
          <w:p>
            <w:pPr>
              <w:spacing w:after="0"/>
              <w:rPr>
                <w:sz w:val="1"/>
                <w:szCs w:val="1"/>
                <w:color w:val="auto"/>
              </w:rPr>
            </w:pPr>
          </w:p>
        </w:tc>
      </w:tr>
      <w:tr>
        <w:trPr>
          <w:trHeight w:val="201"/>
        </w:trPr>
        <w:tc>
          <w:tcPr>
            <w:tcW w:w="900" w:type="dxa"/>
            <w:vAlign w:val="bottom"/>
            <w:gridSpan w:val="2"/>
          </w:tcPr>
          <w:p>
            <w:pPr>
              <w:spacing w:after="0" w:line="201" w:lineRule="exact"/>
              <w:rPr>
                <w:sz w:val="20"/>
                <w:szCs w:val="20"/>
                <w:color w:val="auto"/>
              </w:rPr>
            </w:pPr>
            <w:r>
              <w:rPr>
                <w:rFonts w:ascii="Arial" w:cs="Arial" w:eastAsia="Arial" w:hAnsi="Arial"/>
                <w:sz w:val="18"/>
                <w:szCs w:val="18"/>
                <w:color w:val="auto"/>
              </w:rPr>
              <w:t>090-1190</w:t>
            </w:r>
          </w:p>
        </w:tc>
        <w:tc>
          <w:tcPr>
            <w:tcW w:w="220" w:type="dxa"/>
            <w:vAlign w:val="bottom"/>
          </w:tcPr>
          <w:p>
            <w:pPr>
              <w:spacing w:after="0"/>
              <w:rPr>
                <w:sz w:val="17"/>
                <w:szCs w:val="17"/>
                <w:color w:val="auto"/>
              </w:rPr>
            </w:pPr>
          </w:p>
        </w:tc>
        <w:tc>
          <w:tcPr>
            <w:tcW w:w="6720" w:type="dxa"/>
            <w:vAlign w:val="bottom"/>
          </w:tcPr>
          <w:p>
            <w:pPr>
              <w:spacing w:after="0" w:line="201" w:lineRule="exact"/>
              <w:rPr>
                <w:sz w:val="20"/>
                <w:szCs w:val="20"/>
                <w:color w:val="auto"/>
              </w:rPr>
            </w:pPr>
            <w:r>
              <w:rPr>
                <w:rFonts w:ascii="Arial" w:cs="Arial" w:eastAsia="Arial" w:hAnsi="Arial"/>
                <w:sz w:val="18"/>
                <w:szCs w:val="18"/>
                <w:color w:val="auto"/>
              </w:rPr>
              <w:t>Escondido Promenade</w:t>
            </w:r>
          </w:p>
        </w:tc>
        <w:tc>
          <w:tcPr>
            <w:tcW w:w="220" w:type="dxa"/>
            <w:vAlign w:val="bottom"/>
          </w:tcPr>
          <w:p>
            <w:pPr>
              <w:spacing w:after="0"/>
              <w:rPr>
                <w:sz w:val="17"/>
                <w:szCs w:val="17"/>
                <w:color w:val="auto"/>
              </w:rPr>
            </w:pPr>
          </w:p>
        </w:tc>
        <w:tc>
          <w:tcPr>
            <w:tcW w:w="1240" w:type="dxa"/>
            <w:vAlign w:val="bottom"/>
          </w:tcPr>
          <w:p>
            <w:pPr>
              <w:spacing w:after="0" w:line="201" w:lineRule="exact"/>
              <w:rPr>
                <w:sz w:val="20"/>
                <w:szCs w:val="20"/>
                <w:color w:val="auto"/>
              </w:rPr>
            </w:pPr>
            <w:r>
              <w:rPr>
                <w:rFonts w:ascii="Arial" w:cs="Arial" w:eastAsia="Arial" w:hAnsi="Arial"/>
                <w:sz w:val="18"/>
                <w:szCs w:val="18"/>
                <w:color w:val="auto"/>
              </w:rPr>
              <w:t>Escondido</w:t>
            </w:r>
          </w:p>
        </w:tc>
        <w:tc>
          <w:tcPr>
            <w:tcW w:w="182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423-4200</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1221-1227 Hermosa Ave (Hermosa)</w:t>
            </w:r>
          </w:p>
        </w:tc>
        <w:tc>
          <w:tcPr>
            <w:tcW w:w="2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4"/>
              </w:rPr>
              <w:t>Hermosa Beach</w:t>
            </w:r>
          </w:p>
        </w:tc>
        <w:tc>
          <w:tcPr>
            <w:tcW w:w="212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423-4504</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953-955 5th Ave</w:t>
            </w:r>
          </w:p>
        </w:tc>
        <w:tc>
          <w:tcPr>
            <w:tcW w:w="2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San Diego</w:t>
            </w:r>
          </w:p>
        </w:tc>
        <w:tc>
          <w:tcPr>
            <w:tcW w:w="212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423-4707</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1232-1240 3rd Street</w:t>
            </w:r>
          </w:p>
        </w:tc>
        <w:tc>
          <w:tcPr>
            <w:tcW w:w="2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Santa Monica</w:t>
            </w:r>
          </w:p>
        </w:tc>
        <w:tc>
          <w:tcPr>
            <w:tcW w:w="212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425-4225</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Galaxy Bldg-Hollywood</w:t>
            </w:r>
          </w:p>
        </w:tc>
        <w:tc>
          <w:tcPr>
            <w:tcW w:w="2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Hollywood</w:t>
            </w:r>
          </w:p>
        </w:tc>
        <w:tc>
          <w:tcPr>
            <w:tcW w:w="212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22"/>
        </w:trPr>
        <w:tc>
          <w:tcPr>
            <w:tcW w:w="900" w:type="dxa"/>
            <w:vAlign w:val="bottom"/>
            <w:gridSpan w:val="2"/>
          </w:tcPr>
          <w:p>
            <w:pPr>
              <w:spacing w:after="0"/>
              <w:rPr>
                <w:sz w:val="20"/>
                <w:szCs w:val="20"/>
                <w:color w:val="auto"/>
              </w:rPr>
            </w:pPr>
            <w:r>
              <w:rPr>
                <w:rFonts w:ascii="Arial" w:cs="Arial" w:eastAsia="Arial" w:hAnsi="Arial"/>
                <w:sz w:val="18"/>
                <w:szCs w:val="18"/>
                <w:color w:val="auto"/>
              </w:rPr>
              <w:t>425-4226</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7001 Hollywood Bldg (Peterson)</w:t>
            </w:r>
          </w:p>
        </w:tc>
        <w:tc>
          <w:tcPr>
            <w:tcW w:w="2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Hollywood</w:t>
            </w:r>
          </w:p>
        </w:tc>
        <w:tc>
          <w:tcPr>
            <w:tcW w:w="2120" w:type="dxa"/>
            <w:vAlign w:val="bottom"/>
            <w:gridSpan w:val="2"/>
          </w:tcPr>
          <w:p>
            <w:pPr>
              <w:ind w:left="18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2—Permitted Liens in Existence as of Date of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properties are currenty subject to liens: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Encumbered Properties</w:t>
            </w:r>
          </w:p>
        </w:tc>
        <w:tc>
          <w:tcPr>
            <w:tcW w:w="31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120-1450</w:t>
            </w:r>
          </w:p>
        </w:tc>
        <w:tc>
          <w:tcPr>
            <w:tcW w:w="4920" w:type="dxa"/>
            <w:vAlign w:val="bottom"/>
            <w:gridSpan w:val="2"/>
          </w:tcPr>
          <w:p>
            <w:pPr>
              <w:spacing w:after="0"/>
              <w:rPr>
                <w:sz w:val="20"/>
                <w:szCs w:val="20"/>
                <w:color w:val="auto"/>
              </w:rPr>
            </w:pPr>
            <w:r>
              <w:rPr>
                <w:rFonts w:ascii="Arial" w:cs="Arial" w:eastAsia="Arial" w:hAnsi="Arial"/>
                <w:sz w:val="18"/>
                <w:szCs w:val="18"/>
                <w:color w:val="auto"/>
              </w:rPr>
              <w:t>Leesburg Plaza</w:t>
            </w:r>
          </w:p>
        </w:tc>
        <w:tc>
          <w:tcPr>
            <w:tcW w:w="4140" w:type="dxa"/>
            <w:vAlign w:val="bottom"/>
          </w:tcPr>
          <w:p>
            <w:pPr>
              <w:ind w:left="2140"/>
              <w:spacing w:after="0"/>
              <w:rPr>
                <w:sz w:val="20"/>
                <w:szCs w:val="20"/>
                <w:color w:val="auto"/>
              </w:rPr>
            </w:pPr>
            <w:r>
              <w:rPr>
                <w:rFonts w:ascii="Arial" w:cs="Arial" w:eastAsia="Arial" w:hAnsi="Arial"/>
                <w:sz w:val="18"/>
                <w:szCs w:val="18"/>
                <w:color w:val="auto"/>
              </w:rPr>
              <w:t>Leesburg</w:t>
            </w:r>
          </w:p>
        </w:tc>
        <w:tc>
          <w:tcPr>
            <w:tcW w:w="1240" w:type="dxa"/>
            <w:vAlign w:val="bottom"/>
          </w:tcPr>
          <w:p>
            <w:pPr>
              <w:ind w:left="960"/>
              <w:spacing w:after="0"/>
              <w:rPr>
                <w:sz w:val="20"/>
                <w:szCs w:val="20"/>
                <w:color w:val="auto"/>
              </w:rPr>
            </w:pPr>
            <w:r>
              <w:rPr>
                <w:rFonts w:ascii="Arial" w:cs="Arial" w:eastAsia="Arial" w:hAnsi="Arial"/>
                <w:sz w:val="18"/>
                <w:szCs w:val="18"/>
                <w:color w:val="auto"/>
              </w:rPr>
              <w:t>VA</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451-5603</w:t>
            </w:r>
          </w:p>
        </w:tc>
        <w:tc>
          <w:tcPr>
            <w:tcW w:w="4920" w:type="dxa"/>
            <w:vAlign w:val="bottom"/>
            <w:gridSpan w:val="2"/>
          </w:tcPr>
          <w:p>
            <w:pPr>
              <w:spacing w:after="0"/>
              <w:rPr>
                <w:sz w:val="20"/>
                <w:szCs w:val="20"/>
                <w:color w:val="auto"/>
              </w:rPr>
            </w:pPr>
            <w:r>
              <w:rPr>
                <w:rFonts w:ascii="Arial" w:cs="Arial" w:eastAsia="Arial" w:hAnsi="Arial"/>
                <w:sz w:val="18"/>
                <w:szCs w:val="18"/>
                <w:color w:val="auto"/>
              </w:rPr>
              <w:t>164 East Houston (a portion of West H)</w:t>
            </w:r>
          </w:p>
        </w:tc>
        <w:tc>
          <w:tcPr>
            <w:tcW w:w="4140" w:type="dxa"/>
            <w:vAlign w:val="bottom"/>
          </w:tcPr>
          <w:p>
            <w:pPr>
              <w:ind w:left="2140"/>
              <w:spacing w:after="0"/>
              <w:rPr>
                <w:sz w:val="20"/>
                <w:szCs w:val="20"/>
                <w:color w:val="auto"/>
              </w:rPr>
            </w:pPr>
            <w:r>
              <w:rPr>
                <w:rFonts w:ascii="Arial" w:cs="Arial" w:eastAsia="Arial" w:hAnsi="Arial"/>
                <w:sz w:val="18"/>
                <w:szCs w:val="18"/>
                <w:color w:val="auto"/>
              </w:rPr>
              <w:t>San Antonio</w:t>
            </w:r>
          </w:p>
        </w:tc>
        <w:tc>
          <w:tcPr>
            <w:tcW w:w="1240" w:type="dxa"/>
            <w:vAlign w:val="bottom"/>
          </w:tcPr>
          <w:p>
            <w:pPr>
              <w:ind w:left="960"/>
              <w:spacing w:after="0"/>
              <w:rPr>
                <w:sz w:val="20"/>
                <w:szCs w:val="20"/>
                <w:color w:val="auto"/>
              </w:rPr>
            </w:pPr>
            <w:r>
              <w:rPr>
                <w:rFonts w:ascii="Arial" w:cs="Arial" w:eastAsia="Arial" w:hAnsi="Arial"/>
                <w:sz w:val="18"/>
                <w:szCs w:val="18"/>
                <w:color w:val="auto"/>
              </w:rPr>
              <w:t>TX</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130-1215</w:t>
            </w:r>
          </w:p>
        </w:tc>
        <w:tc>
          <w:tcPr>
            <w:tcW w:w="4920" w:type="dxa"/>
            <w:vAlign w:val="bottom"/>
            <w:gridSpan w:val="2"/>
          </w:tcPr>
          <w:p>
            <w:pPr>
              <w:spacing w:after="0"/>
              <w:rPr>
                <w:sz w:val="20"/>
                <w:szCs w:val="20"/>
                <w:color w:val="auto"/>
              </w:rPr>
            </w:pPr>
            <w:r>
              <w:rPr>
                <w:rFonts w:ascii="Arial" w:cs="Arial" w:eastAsia="Arial" w:hAnsi="Arial"/>
                <w:sz w:val="18"/>
                <w:szCs w:val="18"/>
                <w:color w:val="auto"/>
              </w:rPr>
              <w:t>Federal Plaza</w:t>
            </w:r>
          </w:p>
        </w:tc>
        <w:tc>
          <w:tcPr>
            <w:tcW w:w="4140" w:type="dxa"/>
            <w:vAlign w:val="bottom"/>
          </w:tcPr>
          <w:p>
            <w:pPr>
              <w:ind w:left="2140"/>
              <w:spacing w:after="0"/>
              <w:rPr>
                <w:sz w:val="20"/>
                <w:szCs w:val="20"/>
                <w:color w:val="auto"/>
              </w:rPr>
            </w:pPr>
            <w:r>
              <w:rPr>
                <w:rFonts w:ascii="Arial" w:cs="Arial" w:eastAsia="Arial" w:hAnsi="Arial"/>
                <w:sz w:val="18"/>
                <w:szCs w:val="18"/>
                <w:color w:val="auto"/>
              </w:rPr>
              <w:t>Rockville</w:t>
            </w:r>
          </w:p>
        </w:tc>
        <w:tc>
          <w:tcPr>
            <w:tcW w:w="1240" w:type="dxa"/>
            <w:vAlign w:val="bottom"/>
          </w:tcPr>
          <w:p>
            <w:pPr>
              <w:ind w:left="960"/>
              <w:spacing w:after="0"/>
              <w:rPr>
                <w:sz w:val="20"/>
                <w:szCs w:val="20"/>
                <w:color w:val="auto"/>
              </w:rPr>
            </w:pPr>
            <w:r>
              <w:rPr>
                <w:rFonts w:ascii="Arial" w:cs="Arial" w:eastAsia="Arial" w:hAnsi="Arial"/>
                <w:sz w:val="18"/>
                <w:szCs w:val="18"/>
                <w:color w:val="auto"/>
                <w:w w:val="92"/>
              </w:rPr>
              <w:t>MD</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490-1490</w:t>
            </w:r>
          </w:p>
        </w:tc>
        <w:tc>
          <w:tcPr>
            <w:tcW w:w="4920" w:type="dxa"/>
            <w:vAlign w:val="bottom"/>
            <w:gridSpan w:val="2"/>
          </w:tcPr>
          <w:p>
            <w:pPr>
              <w:spacing w:after="0"/>
              <w:rPr>
                <w:sz w:val="20"/>
                <w:szCs w:val="20"/>
                <w:color w:val="auto"/>
              </w:rPr>
            </w:pPr>
            <w:r>
              <w:rPr>
                <w:rFonts w:ascii="Arial" w:cs="Arial" w:eastAsia="Arial" w:hAnsi="Arial"/>
                <w:sz w:val="18"/>
                <w:szCs w:val="18"/>
                <w:color w:val="auto"/>
              </w:rPr>
              <w:t>Mount Vernon</w:t>
            </w:r>
          </w:p>
        </w:tc>
        <w:tc>
          <w:tcPr>
            <w:tcW w:w="4140" w:type="dxa"/>
            <w:vAlign w:val="bottom"/>
          </w:tcPr>
          <w:p>
            <w:pPr>
              <w:ind w:left="2140"/>
              <w:spacing w:after="0"/>
              <w:rPr>
                <w:sz w:val="20"/>
                <w:szCs w:val="20"/>
                <w:color w:val="auto"/>
              </w:rPr>
            </w:pPr>
            <w:r>
              <w:rPr>
                <w:rFonts w:ascii="Arial" w:cs="Arial" w:eastAsia="Arial" w:hAnsi="Arial"/>
                <w:sz w:val="18"/>
                <w:szCs w:val="18"/>
                <w:color w:val="auto"/>
              </w:rPr>
              <w:t>Alexandria</w:t>
            </w:r>
          </w:p>
        </w:tc>
        <w:tc>
          <w:tcPr>
            <w:tcW w:w="1240" w:type="dxa"/>
            <w:vAlign w:val="bottom"/>
          </w:tcPr>
          <w:p>
            <w:pPr>
              <w:ind w:left="960"/>
              <w:spacing w:after="0"/>
              <w:rPr>
                <w:sz w:val="20"/>
                <w:szCs w:val="20"/>
                <w:color w:val="auto"/>
              </w:rPr>
            </w:pPr>
            <w:r>
              <w:rPr>
                <w:rFonts w:ascii="Arial" w:cs="Arial" w:eastAsia="Arial" w:hAnsi="Arial"/>
                <w:sz w:val="18"/>
                <w:szCs w:val="18"/>
                <w:color w:val="auto"/>
              </w:rPr>
              <w:t>VA</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500-1047</w:t>
            </w:r>
          </w:p>
        </w:tc>
        <w:tc>
          <w:tcPr>
            <w:tcW w:w="4920" w:type="dxa"/>
            <w:vAlign w:val="bottom"/>
            <w:gridSpan w:val="2"/>
          </w:tcPr>
          <w:p>
            <w:pPr>
              <w:spacing w:after="0"/>
              <w:rPr>
                <w:sz w:val="20"/>
                <w:szCs w:val="20"/>
                <w:color w:val="auto"/>
              </w:rPr>
            </w:pPr>
            <w:r>
              <w:rPr>
                <w:rFonts w:ascii="Arial" w:cs="Arial" w:eastAsia="Arial" w:hAnsi="Arial"/>
                <w:sz w:val="18"/>
                <w:szCs w:val="18"/>
                <w:color w:val="auto"/>
              </w:rPr>
              <w:t>Brick Plaza</w:t>
            </w:r>
          </w:p>
        </w:tc>
        <w:tc>
          <w:tcPr>
            <w:tcW w:w="4140" w:type="dxa"/>
            <w:vAlign w:val="bottom"/>
          </w:tcPr>
          <w:p>
            <w:pPr>
              <w:ind w:left="2140"/>
              <w:spacing w:after="0"/>
              <w:rPr>
                <w:sz w:val="20"/>
                <w:szCs w:val="20"/>
                <w:color w:val="auto"/>
              </w:rPr>
            </w:pPr>
            <w:r>
              <w:rPr>
                <w:rFonts w:ascii="Arial" w:cs="Arial" w:eastAsia="Arial" w:hAnsi="Arial"/>
                <w:sz w:val="18"/>
                <w:szCs w:val="18"/>
                <w:color w:val="auto"/>
              </w:rPr>
              <w:t>Brick</w:t>
            </w:r>
          </w:p>
        </w:tc>
        <w:tc>
          <w:tcPr>
            <w:tcW w:w="1240" w:type="dxa"/>
            <w:vAlign w:val="bottom"/>
          </w:tcPr>
          <w:p>
            <w:pPr>
              <w:ind w:left="960"/>
              <w:spacing w:after="0"/>
              <w:rPr>
                <w:sz w:val="20"/>
                <w:szCs w:val="20"/>
                <w:color w:val="auto"/>
              </w:rPr>
            </w:pPr>
            <w:r>
              <w:rPr>
                <w:rFonts w:ascii="Arial" w:cs="Arial" w:eastAsia="Arial" w:hAnsi="Arial"/>
                <w:sz w:val="18"/>
                <w:szCs w:val="18"/>
                <w:color w:val="auto"/>
              </w:rPr>
              <w:t>NJ</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500-1313</w:t>
            </w:r>
          </w:p>
        </w:tc>
        <w:tc>
          <w:tcPr>
            <w:tcW w:w="4920" w:type="dxa"/>
            <w:vAlign w:val="bottom"/>
            <w:gridSpan w:val="2"/>
          </w:tcPr>
          <w:p>
            <w:pPr>
              <w:spacing w:after="0"/>
              <w:rPr>
                <w:sz w:val="20"/>
                <w:szCs w:val="20"/>
                <w:color w:val="auto"/>
              </w:rPr>
            </w:pPr>
            <w:r>
              <w:rPr>
                <w:rFonts w:ascii="Arial" w:cs="Arial" w:eastAsia="Arial" w:hAnsi="Arial"/>
                <w:sz w:val="18"/>
                <w:szCs w:val="18"/>
                <w:color w:val="auto"/>
              </w:rPr>
              <w:t>Hauppauge</w:t>
            </w:r>
          </w:p>
        </w:tc>
        <w:tc>
          <w:tcPr>
            <w:tcW w:w="4140" w:type="dxa"/>
            <w:vAlign w:val="bottom"/>
          </w:tcPr>
          <w:p>
            <w:pPr>
              <w:ind w:left="2140"/>
              <w:spacing w:after="0"/>
              <w:rPr>
                <w:sz w:val="20"/>
                <w:szCs w:val="20"/>
                <w:color w:val="auto"/>
              </w:rPr>
            </w:pPr>
            <w:r>
              <w:rPr>
                <w:rFonts w:ascii="Arial" w:cs="Arial" w:eastAsia="Arial" w:hAnsi="Arial"/>
                <w:sz w:val="18"/>
                <w:szCs w:val="18"/>
                <w:color w:val="auto"/>
              </w:rPr>
              <w:t>Hauppauge</w:t>
            </w:r>
          </w:p>
        </w:tc>
        <w:tc>
          <w:tcPr>
            <w:tcW w:w="1240" w:type="dxa"/>
            <w:vAlign w:val="bottom"/>
          </w:tcPr>
          <w:p>
            <w:pPr>
              <w:ind w:left="960"/>
              <w:spacing w:after="0"/>
              <w:rPr>
                <w:sz w:val="20"/>
                <w:szCs w:val="20"/>
                <w:color w:val="auto"/>
              </w:rPr>
            </w:pPr>
            <w:r>
              <w:rPr>
                <w:rFonts w:ascii="Arial" w:cs="Arial" w:eastAsia="Arial" w:hAnsi="Arial"/>
                <w:sz w:val="18"/>
                <w:szCs w:val="18"/>
                <w:color w:val="auto"/>
              </w:rPr>
              <w:t>NY</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500-1442</w:t>
            </w:r>
          </w:p>
        </w:tc>
        <w:tc>
          <w:tcPr>
            <w:tcW w:w="4920" w:type="dxa"/>
            <w:vAlign w:val="bottom"/>
            <w:gridSpan w:val="2"/>
          </w:tcPr>
          <w:p>
            <w:pPr>
              <w:spacing w:after="0"/>
              <w:rPr>
                <w:sz w:val="20"/>
                <w:szCs w:val="20"/>
                <w:color w:val="auto"/>
              </w:rPr>
            </w:pPr>
            <w:r>
              <w:rPr>
                <w:rFonts w:ascii="Arial" w:cs="Arial" w:eastAsia="Arial" w:hAnsi="Arial"/>
                <w:sz w:val="18"/>
                <w:szCs w:val="18"/>
                <w:color w:val="auto"/>
              </w:rPr>
              <w:t>Lawrence Park</w:t>
            </w:r>
          </w:p>
        </w:tc>
        <w:tc>
          <w:tcPr>
            <w:tcW w:w="4140" w:type="dxa"/>
            <w:vAlign w:val="bottom"/>
          </w:tcPr>
          <w:p>
            <w:pPr>
              <w:ind w:left="2140"/>
              <w:spacing w:after="0"/>
              <w:rPr>
                <w:sz w:val="20"/>
                <w:szCs w:val="20"/>
                <w:color w:val="auto"/>
              </w:rPr>
            </w:pPr>
            <w:r>
              <w:rPr>
                <w:rFonts w:ascii="Arial" w:cs="Arial" w:eastAsia="Arial" w:hAnsi="Arial"/>
                <w:sz w:val="18"/>
                <w:szCs w:val="18"/>
                <w:color w:val="auto"/>
              </w:rPr>
              <w:t>Broomall</w:t>
            </w:r>
          </w:p>
        </w:tc>
        <w:tc>
          <w:tcPr>
            <w:tcW w:w="1240" w:type="dxa"/>
            <w:vAlign w:val="bottom"/>
          </w:tcPr>
          <w:p>
            <w:pPr>
              <w:ind w:left="960"/>
              <w:spacing w:after="0"/>
              <w:rPr>
                <w:sz w:val="20"/>
                <w:szCs w:val="20"/>
                <w:color w:val="auto"/>
              </w:rPr>
            </w:pPr>
            <w:r>
              <w:rPr>
                <w:rFonts w:ascii="Arial" w:cs="Arial" w:eastAsia="Arial" w:hAnsi="Arial"/>
                <w:sz w:val="18"/>
                <w:szCs w:val="18"/>
                <w:color w:val="auto"/>
              </w:rPr>
              <w:t>PA</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500-1763</w:t>
            </w:r>
          </w:p>
        </w:tc>
        <w:tc>
          <w:tcPr>
            <w:tcW w:w="4920" w:type="dxa"/>
            <w:vAlign w:val="bottom"/>
            <w:gridSpan w:val="2"/>
          </w:tcPr>
          <w:p>
            <w:pPr>
              <w:spacing w:after="0"/>
              <w:rPr>
                <w:sz w:val="20"/>
                <w:szCs w:val="20"/>
                <w:color w:val="auto"/>
              </w:rPr>
            </w:pPr>
            <w:r>
              <w:rPr>
                <w:rFonts w:ascii="Arial" w:cs="Arial" w:eastAsia="Arial" w:hAnsi="Arial"/>
                <w:sz w:val="18"/>
                <w:szCs w:val="18"/>
                <w:color w:val="auto"/>
              </w:rPr>
              <w:t>Tysons Station</w:t>
            </w:r>
          </w:p>
        </w:tc>
        <w:tc>
          <w:tcPr>
            <w:tcW w:w="4140" w:type="dxa"/>
            <w:vAlign w:val="bottom"/>
          </w:tcPr>
          <w:p>
            <w:pPr>
              <w:ind w:left="2140"/>
              <w:spacing w:after="0"/>
              <w:rPr>
                <w:sz w:val="20"/>
                <w:szCs w:val="20"/>
                <w:color w:val="auto"/>
              </w:rPr>
            </w:pPr>
            <w:r>
              <w:rPr>
                <w:rFonts w:ascii="Arial" w:cs="Arial" w:eastAsia="Arial" w:hAnsi="Arial"/>
                <w:sz w:val="18"/>
                <w:szCs w:val="18"/>
                <w:color w:val="auto"/>
              </w:rPr>
              <w:t>Falls Church</w:t>
            </w:r>
          </w:p>
        </w:tc>
        <w:tc>
          <w:tcPr>
            <w:tcW w:w="1240" w:type="dxa"/>
            <w:vAlign w:val="bottom"/>
          </w:tcPr>
          <w:p>
            <w:pPr>
              <w:ind w:left="960"/>
              <w:spacing w:after="0"/>
              <w:rPr>
                <w:sz w:val="20"/>
                <w:szCs w:val="20"/>
                <w:color w:val="auto"/>
              </w:rPr>
            </w:pPr>
            <w:r>
              <w:rPr>
                <w:rFonts w:ascii="Arial" w:cs="Arial" w:eastAsia="Arial" w:hAnsi="Arial"/>
                <w:sz w:val="18"/>
                <w:szCs w:val="18"/>
                <w:color w:val="auto"/>
              </w:rPr>
              <w:t>VA</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500-1881</w:t>
            </w:r>
          </w:p>
        </w:tc>
        <w:tc>
          <w:tcPr>
            <w:tcW w:w="4920" w:type="dxa"/>
            <w:vAlign w:val="bottom"/>
            <w:gridSpan w:val="2"/>
          </w:tcPr>
          <w:p>
            <w:pPr>
              <w:spacing w:after="0"/>
              <w:rPr>
                <w:sz w:val="20"/>
                <w:szCs w:val="20"/>
                <w:color w:val="auto"/>
              </w:rPr>
            </w:pPr>
            <w:r>
              <w:rPr>
                <w:rFonts w:ascii="Arial" w:cs="Arial" w:eastAsia="Arial" w:hAnsi="Arial"/>
                <w:sz w:val="18"/>
                <w:szCs w:val="18"/>
                <w:color w:val="auto"/>
              </w:rPr>
              <w:t>Wildwood</w:t>
            </w:r>
          </w:p>
        </w:tc>
        <w:tc>
          <w:tcPr>
            <w:tcW w:w="4140" w:type="dxa"/>
            <w:vAlign w:val="bottom"/>
          </w:tcPr>
          <w:p>
            <w:pPr>
              <w:ind w:left="2140"/>
              <w:spacing w:after="0"/>
              <w:rPr>
                <w:sz w:val="20"/>
                <w:szCs w:val="20"/>
                <w:color w:val="auto"/>
              </w:rPr>
            </w:pPr>
            <w:r>
              <w:rPr>
                <w:rFonts w:ascii="Arial" w:cs="Arial" w:eastAsia="Arial" w:hAnsi="Arial"/>
                <w:sz w:val="18"/>
                <w:szCs w:val="18"/>
                <w:color w:val="auto"/>
              </w:rPr>
              <w:t>Bethesda</w:t>
            </w:r>
          </w:p>
        </w:tc>
        <w:tc>
          <w:tcPr>
            <w:tcW w:w="1240" w:type="dxa"/>
            <w:vAlign w:val="bottom"/>
          </w:tcPr>
          <w:p>
            <w:pPr>
              <w:ind w:left="960"/>
              <w:spacing w:after="0"/>
              <w:rPr>
                <w:sz w:val="20"/>
                <w:szCs w:val="20"/>
                <w:color w:val="auto"/>
              </w:rPr>
            </w:pPr>
            <w:r>
              <w:rPr>
                <w:rFonts w:ascii="Arial" w:cs="Arial" w:eastAsia="Arial" w:hAnsi="Arial"/>
                <w:sz w:val="18"/>
                <w:szCs w:val="18"/>
                <w:color w:val="auto"/>
                <w:w w:val="92"/>
              </w:rPr>
              <w:t>MD</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500-1900</w:t>
            </w:r>
          </w:p>
        </w:tc>
        <w:tc>
          <w:tcPr>
            <w:tcW w:w="4920" w:type="dxa"/>
            <w:vAlign w:val="bottom"/>
            <w:gridSpan w:val="2"/>
          </w:tcPr>
          <w:p>
            <w:pPr>
              <w:spacing w:after="0"/>
              <w:rPr>
                <w:sz w:val="20"/>
                <w:szCs w:val="20"/>
                <w:color w:val="auto"/>
              </w:rPr>
            </w:pPr>
            <w:r>
              <w:rPr>
                <w:rFonts w:ascii="Arial" w:cs="Arial" w:eastAsia="Arial" w:hAnsi="Arial"/>
                <w:sz w:val="18"/>
                <w:szCs w:val="18"/>
                <w:color w:val="auto"/>
              </w:rPr>
              <w:t>Wynnewood</w:t>
            </w:r>
          </w:p>
        </w:tc>
        <w:tc>
          <w:tcPr>
            <w:tcW w:w="4140" w:type="dxa"/>
            <w:vAlign w:val="bottom"/>
          </w:tcPr>
          <w:p>
            <w:pPr>
              <w:ind w:left="2140"/>
              <w:spacing w:after="0"/>
              <w:rPr>
                <w:sz w:val="20"/>
                <w:szCs w:val="20"/>
                <w:color w:val="auto"/>
              </w:rPr>
            </w:pPr>
            <w:r>
              <w:rPr>
                <w:rFonts w:ascii="Arial" w:cs="Arial" w:eastAsia="Arial" w:hAnsi="Arial"/>
                <w:sz w:val="18"/>
                <w:szCs w:val="18"/>
                <w:color w:val="auto"/>
              </w:rPr>
              <w:t>Wynnewood</w:t>
            </w:r>
          </w:p>
        </w:tc>
        <w:tc>
          <w:tcPr>
            <w:tcW w:w="1240" w:type="dxa"/>
            <w:vAlign w:val="bottom"/>
          </w:tcPr>
          <w:p>
            <w:pPr>
              <w:ind w:left="960"/>
              <w:spacing w:after="0"/>
              <w:rPr>
                <w:sz w:val="20"/>
                <w:szCs w:val="20"/>
                <w:color w:val="auto"/>
              </w:rPr>
            </w:pPr>
            <w:r>
              <w:rPr>
                <w:rFonts w:ascii="Arial" w:cs="Arial" w:eastAsia="Arial" w:hAnsi="Arial"/>
                <w:sz w:val="18"/>
                <w:szCs w:val="18"/>
                <w:color w:val="auto"/>
              </w:rPr>
              <w:t>PA</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500-2070</w:t>
            </w:r>
          </w:p>
        </w:tc>
        <w:tc>
          <w:tcPr>
            <w:tcW w:w="4920" w:type="dxa"/>
            <w:vAlign w:val="bottom"/>
            <w:gridSpan w:val="2"/>
          </w:tcPr>
          <w:p>
            <w:pPr>
              <w:spacing w:after="0"/>
              <w:rPr>
                <w:sz w:val="20"/>
                <w:szCs w:val="20"/>
                <w:color w:val="auto"/>
              </w:rPr>
            </w:pPr>
            <w:r>
              <w:rPr>
                <w:rFonts w:ascii="Arial" w:cs="Arial" w:eastAsia="Arial" w:hAnsi="Arial"/>
                <w:sz w:val="18"/>
                <w:szCs w:val="18"/>
                <w:color w:val="auto"/>
              </w:rPr>
              <w:t>Barracks Road</w:t>
            </w:r>
          </w:p>
        </w:tc>
        <w:tc>
          <w:tcPr>
            <w:tcW w:w="4140" w:type="dxa"/>
            <w:vAlign w:val="bottom"/>
          </w:tcPr>
          <w:p>
            <w:pPr>
              <w:ind w:left="2140"/>
              <w:spacing w:after="0"/>
              <w:rPr>
                <w:sz w:val="20"/>
                <w:szCs w:val="20"/>
                <w:color w:val="auto"/>
              </w:rPr>
            </w:pPr>
            <w:r>
              <w:rPr>
                <w:rFonts w:ascii="Arial" w:cs="Arial" w:eastAsia="Arial" w:hAnsi="Arial"/>
                <w:sz w:val="18"/>
                <w:szCs w:val="18"/>
                <w:color w:val="auto"/>
              </w:rPr>
              <w:t>Charlottesville</w:t>
            </w:r>
          </w:p>
        </w:tc>
        <w:tc>
          <w:tcPr>
            <w:tcW w:w="1240" w:type="dxa"/>
            <w:vAlign w:val="bottom"/>
          </w:tcPr>
          <w:p>
            <w:pPr>
              <w:ind w:left="960"/>
              <w:spacing w:after="0"/>
              <w:rPr>
                <w:sz w:val="20"/>
                <w:szCs w:val="20"/>
                <w:color w:val="auto"/>
              </w:rPr>
            </w:pPr>
            <w:r>
              <w:rPr>
                <w:rFonts w:ascii="Arial" w:cs="Arial" w:eastAsia="Arial" w:hAnsi="Arial"/>
                <w:sz w:val="18"/>
                <w:szCs w:val="18"/>
                <w:color w:val="auto"/>
              </w:rPr>
              <w:t>VA</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150-1477</w:t>
            </w:r>
          </w:p>
        </w:tc>
        <w:tc>
          <w:tcPr>
            <w:tcW w:w="4920" w:type="dxa"/>
            <w:vAlign w:val="bottom"/>
            <w:gridSpan w:val="2"/>
          </w:tcPr>
          <w:p>
            <w:pPr>
              <w:spacing w:after="0"/>
              <w:rPr>
                <w:sz w:val="20"/>
                <w:szCs w:val="20"/>
                <w:color w:val="auto"/>
              </w:rPr>
            </w:pPr>
            <w:r>
              <w:rPr>
                <w:rFonts w:ascii="Arial" w:cs="Arial" w:eastAsia="Arial" w:hAnsi="Arial"/>
                <w:sz w:val="18"/>
                <w:szCs w:val="18"/>
                <w:color w:val="auto"/>
              </w:rPr>
              <w:t>H&amp;H Parcel at Mercer Mall</w:t>
            </w:r>
          </w:p>
        </w:tc>
        <w:tc>
          <w:tcPr>
            <w:tcW w:w="4140" w:type="dxa"/>
            <w:vAlign w:val="bottom"/>
          </w:tcPr>
          <w:p>
            <w:pPr>
              <w:ind w:left="2140"/>
              <w:spacing w:after="0"/>
              <w:rPr>
                <w:sz w:val="20"/>
                <w:szCs w:val="20"/>
                <w:color w:val="auto"/>
              </w:rPr>
            </w:pPr>
            <w:r>
              <w:rPr>
                <w:rFonts w:ascii="Arial" w:cs="Arial" w:eastAsia="Arial" w:hAnsi="Arial"/>
                <w:sz w:val="18"/>
                <w:szCs w:val="18"/>
                <w:color w:val="auto"/>
              </w:rPr>
              <w:t>Lawrenceville</w:t>
            </w:r>
          </w:p>
        </w:tc>
        <w:tc>
          <w:tcPr>
            <w:tcW w:w="1240" w:type="dxa"/>
            <w:vAlign w:val="bottom"/>
          </w:tcPr>
          <w:p>
            <w:pPr>
              <w:ind w:left="960"/>
              <w:spacing w:after="0"/>
              <w:rPr>
                <w:sz w:val="20"/>
                <w:szCs w:val="20"/>
                <w:color w:val="auto"/>
              </w:rPr>
            </w:pPr>
            <w:r>
              <w:rPr>
                <w:rFonts w:ascii="Arial" w:cs="Arial" w:eastAsia="Arial" w:hAnsi="Arial"/>
                <w:sz w:val="18"/>
                <w:szCs w:val="18"/>
                <w:color w:val="auto"/>
              </w:rPr>
              <w:t>NJ</w:t>
            </w:r>
          </w:p>
        </w:tc>
      </w:tr>
      <w:tr>
        <w:trPr>
          <w:trHeight w:val="222"/>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191-1096</w:t>
            </w:r>
          </w:p>
        </w:tc>
        <w:tc>
          <w:tcPr>
            <w:tcW w:w="4920" w:type="dxa"/>
            <w:vAlign w:val="bottom"/>
            <w:gridSpan w:val="2"/>
          </w:tcPr>
          <w:p>
            <w:pPr>
              <w:spacing w:after="0"/>
              <w:rPr>
                <w:sz w:val="20"/>
                <w:szCs w:val="20"/>
                <w:color w:val="auto"/>
              </w:rPr>
            </w:pPr>
            <w:r>
              <w:rPr>
                <w:rFonts w:ascii="Arial" w:cs="Arial" w:eastAsia="Arial" w:hAnsi="Arial"/>
                <w:sz w:val="18"/>
                <w:szCs w:val="18"/>
                <w:color w:val="auto"/>
              </w:rPr>
              <w:t>Crow Canyon</w:t>
            </w:r>
          </w:p>
        </w:tc>
        <w:tc>
          <w:tcPr>
            <w:tcW w:w="4140" w:type="dxa"/>
            <w:vAlign w:val="bottom"/>
          </w:tcPr>
          <w:p>
            <w:pPr>
              <w:ind w:left="2140"/>
              <w:spacing w:after="0"/>
              <w:rPr>
                <w:sz w:val="20"/>
                <w:szCs w:val="20"/>
                <w:color w:val="auto"/>
              </w:rPr>
            </w:pPr>
            <w:r>
              <w:rPr>
                <w:rFonts w:ascii="Arial" w:cs="Arial" w:eastAsia="Arial" w:hAnsi="Arial"/>
                <w:sz w:val="18"/>
                <w:szCs w:val="18"/>
                <w:color w:val="auto"/>
              </w:rPr>
              <w:t>San Ramon</w:t>
            </w:r>
          </w:p>
        </w:tc>
        <w:tc>
          <w:tcPr>
            <w:tcW w:w="1240" w:type="dxa"/>
            <w:vAlign w:val="bottom"/>
          </w:tcPr>
          <w:p>
            <w:pPr>
              <w:ind w:left="960"/>
              <w:spacing w:after="0"/>
              <w:rPr>
                <w:sz w:val="20"/>
                <w:szCs w:val="20"/>
                <w:color w:val="auto"/>
              </w:rPr>
            </w:pPr>
            <w:r>
              <w:rPr>
                <w:rFonts w:ascii="Arial" w:cs="Arial" w:eastAsia="Arial" w:hAnsi="Arial"/>
                <w:sz w:val="18"/>
                <w:szCs w:val="18"/>
                <w:color w:val="auto"/>
              </w:rPr>
              <w:t>CA</w:t>
            </w:r>
          </w:p>
        </w:tc>
      </w:tr>
    </w:tbl>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Unconsolidated JV Properties</w:t>
            </w:r>
          </w:p>
        </w:tc>
        <w:tc>
          <w:tcPr>
            <w:tcW w:w="24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801-8010</w:t>
            </w:r>
          </w:p>
        </w:tc>
        <w:tc>
          <w:tcPr>
            <w:tcW w:w="4640" w:type="dxa"/>
            <w:vAlign w:val="bottom"/>
            <w:gridSpan w:val="2"/>
          </w:tcPr>
          <w:p>
            <w:pPr>
              <w:spacing w:after="0"/>
              <w:rPr>
                <w:sz w:val="20"/>
                <w:szCs w:val="20"/>
                <w:color w:val="auto"/>
              </w:rPr>
            </w:pPr>
            <w:r>
              <w:rPr>
                <w:rFonts w:ascii="Arial" w:cs="Arial" w:eastAsia="Arial" w:hAnsi="Arial"/>
                <w:sz w:val="18"/>
                <w:szCs w:val="18"/>
                <w:color w:val="auto"/>
              </w:rPr>
              <w:t>Plaza del Mercado</w:t>
            </w:r>
          </w:p>
        </w:tc>
        <w:tc>
          <w:tcPr>
            <w:tcW w:w="4420" w:type="dxa"/>
            <w:vAlign w:val="bottom"/>
          </w:tcPr>
          <w:p>
            <w:pPr>
              <w:ind w:left="2420"/>
              <w:spacing w:after="0"/>
              <w:rPr>
                <w:sz w:val="20"/>
                <w:szCs w:val="20"/>
                <w:color w:val="auto"/>
              </w:rPr>
            </w:pPr>
            <w:r>
              <w:rPr>
                <w:rFonts w:ascii="Arial" w:cs="Arial" w:eastAsia="Arial" w:hAnsi="Arial"/>
                <w:sz w:val="18"/>
                <w:szCs w:val="18"/>
                <w:color w:val="auto"/>
              </w:rPr>
              <w:t>Silver Spring</w:t>
            </w:r>
          </w:p>
        </w:tc>
        <w:tc>
          <w:tcPr>
            <w:tcW w:w="1240" w:type="dxa"/>
            <w:vAlign w:val="bottom"/>
          </w:tcPr>
          <w:p>
            <w:pPr>
              <w:ind w:left="960"/>
              <w:spacing w:after="0"/>
              <w:rPr>
                <w:sz w:val="20"/>
                <w:szCs w:val="20"/>
                <w:color w:val="auto"/>
              </w:rPr>
            </w:pPr>
            <w:r>
              <w:rPr>
                <w:rFonts w:ascii="Arial" w:cs="Arial" w:eastAsia="Arial" w:hAnsi="Arial"/>
                <w:sz w:val="18"/>
                <w:szCs w:val="18"/>
                <w:color w:val="auto"/>
                <w:w w:val="92"/>
              </w:rPr>
              <w:t>MD</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802-8020</w:t>
            </w:r>
          </w:p>
        </w:tc>
        <w:tc>
          <w:tcPr>
            <w:tcW w:w="4640" w:type="dxa"/>
            <w:vAlign w:val="bottom"/>
            <w:gridSpan w:val="2"/>
          </w:tcPr>
          <w:p>
            <w:pPr>
              <w:spacing w:after="0"/>
              <w:rPr>
                <w:sz w:val="20"/>
                <w:szCs w:val="20"/>
                <w:color w:val="auto"/>
              </w:rPr>
            </w:pPr>
            <w:r>
              <w:rPr>
                <w:rFonts w:ascii="Arial" w:cs="Arial" w:eastAsia="Arial" w:hAnsi="Arial"/>
                <w:sz w:val="18"/>
                <w:szCs w:val="18"/>
                <w:color w:val="auto"/>
              </w:rPr>
              <w:t>Campus Plaza</w:t>
            </w:r>
          </w:p>
        </w:tc>
        <w:tc>
          <w:tcPr>
            <w:tcW w:w="4420" w:type="dxa"/>
            <w:vAlign w:val="bottom"/>
          </w:tcPr>
          <w:p>
            <w:pPr>
              <w:ind w:left="2420"/>
              <w:spacing w:after="0"/>
              <w:rPr>
                <w:sz w:val="20"/>
                <w:szCs w:val="20"/>
                <w:color w:val="auto"/>
              </w:rPr>
            </w:pPr>
            <w:r>
              <w:rPr>
                <w:rFonts w:ascii="Arial" w:cs="Arial" w:eastAsia="Arial" w:hAnsi="Arial"/>
                <w:sz w:val="18"/>
                <w:szCs w:val="18"/>
                <w:color w:val="auto"/>
              </w:rPr>
              <w:t>Bridgewater</w:t>
            </w:r>
          </w:p>
        </w:tc>
        <w:tc>
          <w:tcPr>
            <w:tcW w:w="1240" w:type="dxa"/>
            <w:vAlign w:val="bottom"/>
          </w:tcPr>
          <w:p>
            <w:pPr>
              <w:ind w:left="960"/>
              <w:spacing w:after="0"/>
              <w:rPr>
                <w:sz w:val="20"/>
                <w:szCs w:val="20"/>
                <w:color w:val="auto"/>
              </w:rPr>
            </w:pPr>
            <w:r>
              <w:rPr>
                <w:rFonts w:ascii="Arial" w:cs="Arial" w:eastAsia="Arial" w:hAnsi="Arial"/>
                <w:sz w:val="18"/>
                <w:szCs w:val="18"/>
                <w:color w:val="auto"/>
                <w:w w:val="96"/>
              </w:rPr>
              <w:t>MA</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803-8030</w:t>
            </w:r>
          </w:p>
        </w:tc>
        <w:tc>
          <w:tcPr>
            <w:tcW w:w="4640" w:type="dxa"/>
            <w:vAlign w:val="bottom"/>
            <w:gridSpan w:val="2"/>
          </w:tcPr>
          <w:p>
            <w:pPr>
              <w:spacing w:after="0"/>
              <w:rPr>
                <w:sz w:val="20"/>
                <w:szCs w:val="20"/>
                <w:color w:val="auto"/>
              </w:rPr>
            </w:pPr>
            <w:r>
              <w:rPr>
                <w:rFonts w:ascii="Arial" w:cs="Arial" w:eastAsia="Arial" w:hAnsi="Arial"/>
                <w:sz w:val="18"/>
                <w:szCs w:val="18"/>
                <w:color w:val="auto"/>
              </w:rPr>
              <w:t>Pleasant Shops</w:t>
            </w:r>
          </w:p>
        </w:tc>
        <w:tc>
          <w:tcPr>
            <w:tcW w:w="4420" w:type="dxa"/>
            <w:vAlign w:val="bottom"/>
          </w:tcPr>
          <w:p>
            <w:pPr>
              <w:ind w:left="2420"/>
              <w:spacing w:after="0"/>
              <w:rPr>
                <w:sz w:val="20"/>
                <w:szCs w:val="20"/>
                <w:color w:val="auto"/>
              </w:rPr>
            </w:pPr>
            <w:r>
              <w:rPr>
                <w:rFonts w:ascii="Arial" w:cs="Arial" w:eastAsia="Arial" w:hAnsi="Arial"/>
                <w:sz w:val="18"/>
                <w:szCs w:val="18"/>
                <w:color w:val="auto"/>
              </w:rPr>
              <w:t>Weymouth</w:t>
            </w:r>
          </w:p>
        </w:tc>
        <w:tc>
          <w:tcPr>
            <w:tcW w:w="1240" w:type="dxa"/>
            <w:vAlign w:val="bottom"/>
          </w:tcPr>
          <w:p>
            <w:pPr>
              <w:ind w:left="960"/>
              <w:spacing w:after="0"/>
              <w:rPr>
                <w:sz w:val="20"/>
                <w:szCs w:val="20"/>
                <w:color w:val="auto"/>
              </w:rPr>
            </w:pPr>
            <w:r>
              <w:rPr>
                <w:rFonts w:ascii="Arial" w:cs="Arial" w:eastAsia="Arial" w:hAnsi="Arial"/>
                <w:sz w:val="18"/>
                <w:szCs w:val="18"/>
                <w:color w:val="auto"/>
                <w:w w:val="96"/>
              </w:rPr>
              <w:t>MA</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804-8040</w:t>
            </w:r>
          </w:p>
        </w:tc>
        <w:tc>
          <w:tcPr>
            <w:tcW w:w="4640" w:type="dxa"/>
            <w:vAlign w:val="bottom"/>
            <w:gridSpan w:val="2"/>
          </w:tcPr>
          <w:p>
            <w:pPr>
              <w:spacing w:after="0"/>
              <w:rPr>
                <w:sz w:val="20"/>
                <w:szCs w:val="20"/>
                <w:color w:val="auto"/>
              </w:rPr>
            </w:pPr>
            <w:r>
              <w:rPr>
                <w:rFonts w:ascii="Arial" w:cs="Arial" w:eastAsia="Arial" w:hAnsi="Arial"/>
                <w:sz w:val="18"/>
                <w:szCs w:val="18"/>
                <w:color w:val="auto"/>
              </w:rPr>
              <w:t>Atlantic Plaza</w:t>
            </w:r>
          </w:p>
        </w:tc>
        <w:tc>
          <w:tcPr>
            <w:tcW w:w="4420" w:type="dxa"/>
            <w:vAlign w:val="bottom"/>
          </w:tcPr>
          <w:p>
            <w:pPr>
              <w:ind w:left="2420"/>
              <w:spacing w:after="0"/>
              <w:rPr>
                <w:sz w:val="20"/>
                <w:szCs w:val="20"/>
                <w:color w:val="auto"/>
              </w:rPr>
            </w:pPr>
            <w:r>
              <w:rPr>
                <w:rFonts w:ascii="Arial" w:cs="Arial" w:eastAsia="Arial" w:hAnsi="Arial"/>
                <w:sz w:val="18"/>
                <w:szCs w:val="18"/>
                <w:color w:val="auto"/>
              </w:rPr>
              <w:t>North Reading</w:t>
            </w:r>
          </w:p>
        </w:tc>
        <w:tc>
          <w:tcPr>
            <w:tcW w:w="1240" w:type="dxa"/>
            <w:vAlign w:val="bottom"/>
          </w:tcPr>
          <w:p>
            <w:pPr>
              <w:ind w:left="960"/>
              <w:spacing w:after="0"/>
              <w:rPr>
                <w:sz w:val="20"/>
                <w:szCs w:val="20"/>
                <w:color w:val="auto"/>
              </w:rPr>
            </w:pPr>
            <w:r>
              <w:rPr>
                <w:rFonts w:ascii="Arial" w:cs="Arial" w:eastAsia="Arial" w:hAnsi="Arial"/>
                <w:sz w:val="18"/>
                <w:szCs w:val="18"/>
                <w:color w:val="auto"/>
                <w:w w:val="96"/>
              </w:rPr>
              <w:t>MA</w:t>
            </w:r>
          </w:p>
        </w:tc>
      </w:tr>
      <w:tr>
        <w:trPr>
          <w:trHeight w:val="216"/>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805-8050</w:t>
            </w:r>
          </w:p>
        </w:tc>
        <w:tc>
          <w:tcPr>
            <w:tcW w:w="4640" w:type="dxa"/>
            <w:vAlign w:val="bottom"/>
            <w:gridSpan w:val="2"/>
          </w:tcPr>
          <w:p>
            <w:pPr>
              <w:spacing w:after="0"/>
              <w:rPr>
                <w:sz w:val="20"/>
                <w:szCs w:val="20"/>
                <w:color w:val="auto"/>
              </w:rPr>
            </w:pPr>
            <w:r>
              <w:rPr>
                <w:rFonts w:ascii="Arial" w:cs="Arial" w:eastAsia="Arial" w:hAnsi="Arial"/>
                <w:sz w:val="18"/>
                <w:szCs w:val="18"/>
                <w:color w:val="auto"/>
              </w:rPr>
              <w:t>Greenlawn Plaza</w:t>
            </w:r>
          </w:p>
        </w:tc>
        <w:tc>
          <w:tcPr>
            <w:tcW w:w="4420" w:type="dxa"/>
            <w:vAlign w:val="bottom"/>
          </w:tcPr>
          <w:p>
            <w:pPr>
              <w:ind w:left="2420"/>
              <w:spacing w:after="0"/>
              <w:rPr>
                <w:sz w:val="20"/>
                <w:szCs w:val="20"/>
                <w:color w:val="auto"/>
              </w:rPr>
            </w:pPr>
            <w:r>
              <w:rPr>
                <w:rFonts w:ascii="Arial" w:cs="Arial" w:eastAsia="Arial" w:hAnsi="Arial"/>
                <w:sz w:val="18"/>
                <w:szCs w:val="18"/>
                <w:color w:val="auto"/>
              </w:rPr>
              <w:t>Greenlawn</w:t>
            </w:r>
          </w:p>
        </w:tc>
        <w:tc>
          <w:tcPr>
            <w:tcW w:w="1240" w:type="dxa"/>
            <w:vAlign w:val="bottom"/>
          </w:tcPr>
          <w:p>
            <w:pPr>
              <w:ind w:left="960"/>
              <w:spacing w:after="0"/>
              <w:rPr>
                <w:sz w:val="20"/>
                <w:szCs w:val="20"/>
                <w:color w:val="auto"/>
              </w:rPr>
            </w:pPr>
            <w:r>
              <w:rPr>
                <w:rFonts w:ascii="Arial" w:cs="Arial" w:eastAsia="Arial" w:hAnsi="Arial"/>
                <w:sz w:val="18"/>
                <w:szCs w:val="18"/>
                <w:color w:val="auto"/>
              </w:rPr>
              <w:t>NY</w:t>
            </w:r>
          </w:p>
        </w:tc>
      </w:tr>
      <w:tr>
        <w:trPr>
          <w:trHeight w:val="222"/>
        </w:trPr>
        <w:tc>
          <w:tcPr>
            <w:tcW w:w="1080" w:type="dxa"/>
            <w:vAlign w:val="bottom"/>
          </w:tcPr>
          <w:p>
            <w:pPr>
              <w:jc w:val="right"/>
              <w:ind w:right="312"/>
              <w:spacing w:after="0"/>
              <w:rPr>
                <w:sz w:val="20"/>
                <w:szCs w:val="20"/>
                <w:color w:val="auto"/>
              </w:rPr>
            </w:pPr>
            <w:r>
              <w:rPr>
                <w:rFonts w:ascii="Arial" w:cs="Arial" w:eastAsia="Arial" w:hAnsi="Arial"/>
                <w:sz w:val="18"/>
                <w:szCs w:val="18"/>
                <w:color w:val="auto"/>
                <w:w w:val="86"/>
              </w:rPr>
              <w:t>806-8060</w:t>
            </w:r>
          </w:p>
        </w:tc>
        <w:tc>
          <w:tcPr>
            <w:tcW w:w="4640" w:type="dxa"/>
            <w:vAlign w:val="bottom"/>
            <w:gridSpan w:val="2"/>
          </w:tcPr>
          <w:p>
            <w:pPr>
              <w:spacing w:after="0"/>
              <w:rPr>
                <w:sz w:val="20"/>
                <w:szCs w:val="20"/>
                <w:color w:val="auto"/>
              </w:rPr>
            </w:pPr>
            <w:r>
              <w:rPr>
                <w:rFonts w:ascii="Arial" w:cs="Arial" w:eastAsia="Arial" w:hAnsi="Arial"/>
                <w:sz w:val="18"/>
                <w:szCs w:val="18"/>
                <w:color w:val="auto"/>
              </w:rPr>
              <w:t>Barcroft Plaza</w:t>
            </w:r>
          </w:p>
        </w:tc>
        <w:tc>
          <w:tcPr>
            <w:tcW w:w="4420" w:type="dxa"/>
            <w:vAlign w:val="bottom"/>
          </w:tcPr>
          <w:p>
            <w:pPr>
              <w:ind w:left="2420"/>
              <w:spacing w:after="0"/>
              <w:rPr>
                <w:sz w:val="20"/>
                <w:szCs w:val="20"/>
                <w:color w:val="auto"/>
              </w:rPr>
            </w:pPr>
            <w:r>
              <w:rPr>
                <w:rFonts w:ascii="Arial" w:cs="Arial" w:eastAsia="Arial" w:hAnsi="Arial"/>
                <w:sz w:val="18"/>
                <w:szCs w:val="18"/>
                <w:color w:val="auto"/>
              </w:rPr>
              <w:t>Falls Church</w:t>
            </w:r>
          </w:p>
        </w:tc>
        <w:tc>
          <w:tcPr>
            <w:tcW w:w="1240" w:type="dxa"/>
            <w:vAlign w:val="bottom"/>
          </w:tcPr>
          <w:p>
            <w:pPr>
              <w:ind w:left="960"/>
              <w:spacing w:after="0"/>
              <w:rPr>
                <w:sz w:val="20"/>
                <w:szCs w:val="20"/>
                <w:color w:val="auto"/>
              </w:rPr>
            </w:pPr>
            <w:r>
              <w:rPr>
                <w:rFonts w:ascii="Arial" w:cs="Arial" w:eastAsia="Arial" w:hAnsi="Arial"/>
                <w:sz w:val="18"/>
                <w:szCs w:val="18"/>
                <w:color w:val="auto"/>
              </w:rPr>
              <w:t>VA</w:t>
            </w:r>
          </w:p>
        </w:tc>
      </w:tr>
    </w:tbl>
    <w:p>
      <w:pPr>
        <w:sectPr>
          <w:pgSz w:w="11900" w:h="16838" w:orient="portrait"/>
          <w:cols w:equalWidth="0" w:num="1">
            <w:col w:w="11420"/>
          </w:cols>
          <w:pgMar w:left="240" w:top="263" w:right="239" w:bottom="1440" w:gutter="0" w:footer="0" w:header="0"/>
        </w:sectPr>
      </w:pPr>
    </w:p>
    <w:bookmarkStart w:id="167" w:name="page168"/>
    <w:bookmarkEnd w:id="167"/>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Federal Realty Investment Trust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Summary of Outstanding Debt and Capital Lease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Schedule 6.1(g)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Maturity</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Interest Rate as of</w:t>
            </w:r>
          </w:p>
        </w:tc>
        <w:tc>
          <w:tcPr>
            <w:tcW w:w="6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as of</w:t>
            </w: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Date</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2006</w:t>
            </w:r>
          </w:p>
        </w:tc>
        <w:tc>
          <w:tcPr>
            <w:tcW w:w="6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2006</w:t>
            </w:r>
          </w:p>
        </w:tc>
        <w:tc>
          <w:tcPr>
            <w:tcW w:w="1300" w:type="dxa"/>
            <w:vAlign w:val="bottom"/>
          </w:tcPr>
          <w:p>
            <w:pPr>
              <w:spacing w:after="0"/>
              <w:rPr>
                <w:sz w:val="14"/>
                <w:szCs w:val="14"/>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Counterparty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Mortgage Loans (a)</w:t>
            </w:r>
          </w:p>
        </w:tc>
        <w:tc>
          <w:tcPr>
            <w:tcW w:w="212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10/01/08</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9,821</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164 E Houston Street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10/08/08</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Solomon Schosser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Mercer Mall</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04/01/09</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4,544</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Merrill Lynch Credit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Federal Plaza</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06/01/11</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6.750%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34,428</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Bear Steams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Tysons Station</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09/01/11</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6,437</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SunLife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Crow Canyon</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08/11/13</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5.400%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22.116</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Credit Suisse First Boston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Barracks Road</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11/01/15</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42.909</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Hauppauge</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11/01/15</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7.950%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16,176</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Lawrence Park</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11/01/15</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30,414</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Wildwood</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11/01/15</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7.950%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26,734</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Wynnewood</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11/01/15</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30,995</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Brick Plaza</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11/01/15</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7.415%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31,869</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Mount Vernon</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04/15/28</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w:t>
            </w:r>
          </w:p>
        </w:tc>
        <w:tc>
          <w:tcPr>
            <w:tcW w:w="16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Thrivent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268,978</w:t>
            </w: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Notes Payable</w:t>
            </w: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01/31/13</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1,719</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Revolving credit facility</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10/08/06</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LIBOR + .65%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102,000</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Term note with banks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10/08/08</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LIBOR + .85%</w:t>
            </w:r>
          </w:p>
        </w:tc>
        <w:tc>
          <w:tcPr>
            <w:tcW w:w="620" w:type="dxa"/>
            <w:vAlign w:val="bottom"/>
          </w:tcPr>
          <w:p>
            <w:pPr>
              <w:ind w:left="40"/>
              <w:spacing w:after="0"/>
              <w:rPr>
                <w:sz w:val="20"/>
                <w:szCs w:val="20"/>
                <w:color w:val="auto"/>
              </w:rPr>
            </w:pPr>
            <w:r>
              <w:rPr>
                <w:rFonts w:ascii="Arial" w:cs="Arial" w:eastAsia="Arial" w:hAnsi="Arial"/>
                <w:sz w:val="18"/>
                <w:szCs w:val="18"/>
                <w:color w:val="auto"/>
              </w:rPr>
              <w:t>(d)</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100,000</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Term note with banks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10/08/08</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LIBOR + .85%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150,000</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Escondido (Municipal bonds)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10/01/16</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3.551%</w:t>
            </w:r>
          </w:p>
        </w:tc>
        <w:tc>
          <w:tcPr>
            <w:tcW w:w="620" w:type="dxa"/>
            <w:vAlign w:val="bottom"/>
          </w:tcPr>
          <w:p>
            <w:pPr>
              <w:ind w:left="40"/>
              <w:spacing w:after="0"/>
              <w:rPr>
                <w:sz w:val="20"/>
                <w:szCs w:val="20"/>
                <w:color w:val="auto"/>
              </w:rPr>
            </w:pPr>
            <w:r>
              <w:rPr>
                <w:rFonts w:ascii="Arial" w:cs="Arial" w:eastAsia="Arial" w:hAnsi="Arial"/>
                <w:sz w:val="18"/>
                <w:szCs w:val="18"/>
                <w:color w:val="auto"/>
              </w:rPr>
              <w:t>(e)</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363,119</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620" w:type="dxa"/>
            <w:vAlign w:val="bottom"/>
            <w:gridSpan w:val="8"/>
          </w:tcPr>
          <w:p>
            <w:pPr>
              <w:spacing w:after="0"/>
              <w:rPr>
                <w:sz w:val="20"/>
                <w:szCs w:val="20"/>
                <w:color w:val="auto"/>
              </w:rPr>
            </w:pPr>
            <w:r>
              <w:rPr>
                <w:rFonts w:ascii="Arial" w:cs="Arial" w:eastAsia="Arial" w:hAnsi="Arial"/>
                <w:sz w:val="18"/>
                <w:szCs w:val="18"/>
                <w:b w:val="1"/>
                <w:bCs w:val="1"/>
                <w:color w:val="auto"/>
              </w:rPr>
              <w:t>Senior Notes and Debentures</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6.99% Medium Term Notes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03/10/06</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6.894%</w:t>
            </w:r>
          </w:p>
        </w:tc>
        <w:tc>
          <w:tcPr>
            <w:tcW w:w="620" w:type="dxa"/>
            <w:vAlign w:val="bottom"/>
          </w:tcPr>
          <w:p>
            <w:pPr>
              <w:ind w:left="40"/>
              <w:spacing w:after="0"/>
              <w:rPr>
                <w:sz w:val="20"/>
                <w:szCs w:val="20"/>
                <w:color w:val="auto"/>
              </w:rPr>
            </w:pPr>
            <w:r>
              <w:rPr>
                <w:rFonts w:ascii="Arial" w:cs="Arial" w:eastAsia="Arial" w:hAnsi="Arial"/>
                <w:sz w:val="18"/>
                <w:szCs w:val="18"/>
                <w:color w:val="auto"/>
              </w:rPr>
              <w:t>(f)</w:t>
            </w:r>
          </w:p>
        </w:tc>
        <w:tc>
          <w:tcPr>
            <w:tcW w:w="16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6.125% Notes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11/15/07</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150,000</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8.75% Notes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12/01/09</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8.750%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175,000</w:t>
            </w: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02/15/11</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5.65% Notes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06/01/16</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5.650%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125,000</w:t>
            </w: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7.48% Debentures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08/15/26</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6.82% Medium Term Notes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08/01/27</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6.820%</w:t>
            </w:r>
          </w:p>
        </w:tc>
        <w:tc>
          <w:tcPr>
            <w:tcW w:w="620" w:type="dxa"/>
            <w:vAlign w:val="bottom"/>
          </w:tcPr>
          <w:p>
            <w:pPr>
              <w:ind w:left="40"/>
              <w:spacing w:after="0"/>
              <w:rPr>
                <w:sz w:val="20"/>
                <w:szCs w:val="20"/>
                <w:color w:val="auto"/>
              </w:rPr>
            </w:pPr>
            <w:r>
              <w:rPr>
                <w:rFonts w:ascii="Arial" w:cs="Arial" w:eastAsia="Arial" w:hAnsi="Arial"/>
                <w:sz w:val="18"/>
                <w:szCs w:val="18"/>
                <w:color w:val="auto"/>
              </w:rPr>
              <w:t>(i)</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615,000</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620" w:type="dxa"/>
            <w:vAlign w:val="bottom"/>
            <w:gridSpan w:val="8"/>
          </w:tcPr>
          <w:p>
            <w:pPr>
              <w:spacing w:after="0"/>
              <w:rPr>
                <w:sz w:val="20"/>
                <w:szCs w:val="20"/>
                <w:color w:val="auto"/>
              </w:rPr>
            </w:pPr>
            <w:r>
              <w:rPr>
                <w:rFonts w:ascii="Arial" w:cs="Arial" w:eastAsia="Arial" w:hAnsi="Arial"/>
                <w:sz w:val="18"/>
                <w:szCs w:val="18"/>
                <w:b w:val="1"/>
                <w:bCs w:val="1"/>
                <w:color w:val="auto"/>
              </w:rPr>
              <w:t>Letter of Credit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420"/>
              <w:spacing w:after="0"/>
              <w:rPr>
                <w:sz w:val="20"/>
                <w:szCs w:val="20"/>
                <w:color w:val="auto"/>
              </w:rPr>
            </w:pPr>
            <w:r>
              <w:rPr>
                <w:rFonts w:ascii="Arial" w:cs="Arial" w:eastAsia="Arial" w:hAnsi="Arial"/>
                <w:sz w:val="18"/>
                <w:szCs w:val="18"/>
                <w:i w:val="1"/>
                <w:iCs w:val="1"/>
                <w:color w:val="auto"/>
              </w:rPr>
              <w:t>Beneficiary</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Township of Lower Marion</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City of San Antonio, Texas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Fireman Fund Insurance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color w:val="auto"/>
              </w:rPr>
              <w:t>Company</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557</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City of Escondido Promenade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5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Project</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16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Wells Fargo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11,206</w:t>
            </w: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Capital Lease Obligations</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Borders>
              <w:top w:val="single" w:sz="8" w:color="auto"/>
            </w:tcBorders>
            <w:gridSpan w:val="5"/>
          </w:tcPr>
          <w:p>
            <w:pPr>
              <w:ind w:left="420"/>
              <w:spacing w:after="0"/>
              <w:rPr>
                <w:sz w:val="20"/>
                <w:szCs w:val="20"/>
                <w:color w:val="auto"/>
              </w:rPr>
            </w:pPr>
            <w:r>
              <w:rPr>
                <w:rFonts w:ascii="Arial" w:cs="Arial" w:eastAsia="Arial" w:hAnsi="Arial"/>
                <w:sz w:val="18"/>
                <w:szCs w:val="18"/>
                <w:i w:val="1"/>
                <w:iCs w:val="1"/>
                <w:color w:val="auto"/>
              </w:rPr>
              <w:t>Bethesda Row</w:t>
            </w:r>
          </w:p>
        </w:tc>
        <w:tc>
          <w:tcPr>
            <w:tcW w:w="168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1/1/2059</w:t>
            </w:r>
          </w:p>
        </w:tc>
        <w:tc>
          <w:tcPr>
            <w:tcW w:w="16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7.884%-9.92%</w:t>
            </w: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12,576</w:t>
            </w:r>
          </w:p>
        </w:tc>
        <w:tc>
          <w:tcPr>
            <w:tcW w:w="3280" w:type="dxa"/>
            <w:vAlign w:val="bottom"/>
            <w:tcBorders>
              <w:top w:val="single" w:sz="8" w:color="CCEEFF"/>
            </w:tcBorders>
            <w:gridSpan w:val="3"/>
          </w:tcPr>
          <w:p>
            <w:pPr>
              <w:ind w:left="140"/>
              <w:spacing w:after="0"/>
              <w:rPr>
                <w:sz w:val="20"/>
                <w:szCs w:val="20"/>
                <w:color w:val="auto"/>
              </w:rPr>
            </w:pPr>
            <w:r>
              <w:rPr>
                <w:rFonts w:ascii="Arial" w:cs="Arial" w:eastAsia="Arial" w:hAnsi="Arial"/>
                <w:sz w:val="18"/>
                <w:szCs w:val="18"/>
                <w:color w:val="auto"/>
              </w:rPr>
              <w:t>Miller Properties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Allwood</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12/12/2037</w:t>
            </w: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10% + Participation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3,055</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Levin Management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Blue Star</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12/12/2037</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 + Participation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23,315</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Levin Management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Brunswick</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12/12/2037</w:t>
            </w: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10% + Participation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9,706</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Levin Management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Clifton</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12/12/2037</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 + Participation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2,841</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Levin Management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Hamilton</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12/12/2037</w:t>
            </w: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10% + Participation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4,211</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Levin Management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Huntington</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12/12/2037</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 + Participation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12,463</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Levin Management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Rutgers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12/12/2037</w:t>
            </w: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10% + Participation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11,243</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Levin Management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Lancaster</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3/27/2076</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6.500%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4,907</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Manheim Associates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Mercer Mall</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10/14/2028</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53,853</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Mercer Mall Property Group</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Mid-Pike</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5/18/2057</w:t>
            </w: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11.25% + Participation</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10,041</w:t>
            </w:r>
          </w:p>
        </w:tc>
        <w:tc>
          <w:tcPr>
            <w:tcW w:w="160" w:type="dxa"/>
            <w:vAlign w:val="bottom"/>
          </w:tcPr>
          <w:p>
            <w:pPr>
              <w:spacing w:after="0"/>
              <w:rPr>
                <w:sz w:val="19"/>
                <w:szCs w:val="19"/>
                <w:color w:val="auto"/>
              </w:rPr>
            </w:pP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Levin Management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148,211</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620" w:type="dxa"/>
            <w:vAlign w:val="bottom"/>
            <w:gridSpan w:val="8"/>
          </w:tcPr>
          <w:p>
            <w:pPr>
              <w:spacing w:after="0"/>
              <w:rPr>
                <w:sz w:val="20"/>
                <w:szCs w:val="20"/>
                <w:color w:val="auto"/>
              </w:rPr>
            </w:pPr>
            <w:r>
              <w:rPr>
                <w:rFonts w:ascii="Arial" w:cs="Arial" w:eastAsia="Arial" w:hAnsi="Arial"/>
                <w:sz w:val="18"/>
                <w:szCs w:val="18"/>
                <w:b w:val="1"/>
                <w:bCs w:val="1"/>
                <w:color w:val="auto"/>
              </w:rPr>
              <w:t>Subsequent Debt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6.0% Notes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07/15/12</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120,000</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7"/>
          </w:tcPr>
          <w:p>
            <w:pPr>
              <w:ind w:left="860"/>
              <w:spacing w:after="0"/>
              <w:rPr>
                <w:sz w:val="20"/>
                <w:szCs w:val="20"/>
                <w:color w:val="auto"/>
              </w:rPr>
            </w:pPr>
            <w:r>
              <w:rPr>
                <w:rFonts w:ascii="Arial" w:cs="Arial" w:eastAsia="Arial" w:hAnsi="Arial"/>
                <w:sz w:val="18"/>
                <w:szCs w:val="18"/>
                <w:color w:val="auto"/>
              </w:rPr>
              <w:t>6.2% Notes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01/15/17</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6.200%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130,000</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250,000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w:t>
      </w:r>
    </w:p>
    <w:p>
      <w:pPr>
        <w:spacing w:after="0" w:line="21"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($23.2 million) of the $77.4 million debt of the partnership with Clarion Lion Properties Fund.</w:t>
      </w:r>
    </w:p>
    <w:p>
      <w:pPr>
        <w:sectPr>
          <w:pgSz w:w="11900" w:h="16864" w:orient="portrait"/>
          <w:cols w:equalWidth="0" w:num="1">
            <w:col w:w="11420"/>
          </w:cols>
          <w:pgMar w:left="240" w:top="280" w:right="239" w:bottom="0" w:gutter="0" w:footer="0" w:header="0"/>
        </w:sectPr>
      </w:pPr>
    </w:p>
    <w:bookmarkStart w:id="168" w:name="page169"/>
    <w:bookmarkEnd w:id="168"/>
    <w:p>
      <w:pPr>
        <w:ind w:left="900" w:hanging="446"/>
        <w:spacing w:after="0" w:line="25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anytime thereafter.</w:t>
      </w: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debt is being repaid and replaced with the Credit Agreement.</w:t>
      </w:r>
    </w:p>
    <w:p>
      <w:pPr>
        <w:spacing w:after="0" w:line="9" w:lineRule="exact"/>
        <w:rPr>
          <w:rFonts w:ascii="Arial" w:cs="Arial" w:eastAsia="Arial" w:hAnsi="Arial"/>
          <w:sz w:val="18"/>
          <w:szCs w:val="18"/>
          <w:color w:val="auto"/>
        </w:rPr>
      </w:pPr>
    </w:p>
    <w:p>
      <w:pPr>
        <w:ind w:left="900" w:right="300" w:hanging="446"/>
        <w:spacing w:after="0" w:line="250"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$250 million of aggregate debt debt was repaid in full on July 17, 2006 from the proceeds of the notes issuances described on this schedule under “Subsequent Debt.”</w:t>
      </w:r>
    </w:p>
    <w:p>
      <w:pPr>
        <w:ind w:left="900" w:hanging="446"/>
        <w:spacing w:after="0"/>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32" w:lineRule="exact"/>
        <w:rPr>
          <w:rFonts w:ascii="Arial" w:cs="Arial" w:eastAsia="Arial" w:hAnsi="Arial"/>
          <w:sz w:val="16"/>
          <w:szCs w:val="16"/>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Trust purchased interest rate swaps at issuance, thereby reducing the effective interest on these notes.</w:t>
      </w:r>
    </w:p>
    <w:p>
      <w:pPr>
        <w:spacing w:after="0" w:line="9" w:lineRule="exact"/>
        <w:rPr>
          <w:rFonts w:ascii="Arial" w:cs="Arial" w:eastAsia="Arial" w:hAnsi="Arial"/>
          <w:sz w:val="18"/>
          <w:szCs w:val="18"/>
          <w:color w:val="auto"/>
        </w:rPr>
      </w:pPr>
    </w:p>
    <w:p>
      <w:pPr>
        <w:ind w:left="900" w:right="240" w:hanging="446"/>
        <w:spacing w:after="0" w:line="250"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this note offering. A loss of $1.5 million associated with this hedge is being amortized into the note offering thereby increasing the effective interest rate on these notes to 6.325%.</w:t>
      </w:r>
    </w:p>
    <w:p>
      <w:pPr>
        <w:ind w:left="900" w:hanging="446"/>
        <w:spacing w:after="0"/>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pacing w:after="0" w:line="32" w:lineRule="exact"/>
        <w:rPr>
          <w:rFonts w:ascii="Arial" w:cs="Arial" w:eastAsia="Arial" w:hAnsi="Arial"/>
          <w:sz w:val="16"/>
          <w:szCs w:val="16"/>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Obligations:</w:t>
      </w:r>
    </w:p>
    <w:p>
      <w:pPr>
        <w:spacing w:after="0" w:line="21" w:lineRule="exact"/>
        <w:rPr>
          <w:sz w:val="20"/>
          <w:szCs w:val="20"/>
          <w:color w:val="auto"/>
        </w:rPr>
      </w:pPr>
    </w:p>
    <w:p>
      <w:pPr>
        <w:ind w:left="460" w:right="20" w:hanging="452"/>
        <w:spacing w:after="0" w:line="250"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San Antonio TIF—If the tax revenues within the TIF zone are not sufficient to pay debt service on obligations issued by the City of San Antonio that were used to fund public improvements around properties we own in the TIF distict, we would be required to provide funding for the shortfall. Funding obligation applied from 10/1/02 through 9/30/14. We do not anticipate the funding obligation to exceed $600,000 in any one year or $3 million in aggregate.</w:t>
      </w:r>
    </w:p>
    <w:p>
      <w:pPr>
        <w:spacing w:after="0" w:line="1" w:lineRule="exact"/>
        <w:rPr>
          <w:rFonts w:ascii="Arial" w:cs="Arial" w:eastAsia="Arial" w:hAnsi="Arial"/>
          <w:sz w:val="18"/>
          <w:szCs w:val="18"/>
          <w:color w:val="auto"/>
        </w:rPr>
      </w:pPr>
    </w:p>
    <w:p>
      <w:pPr>
        <w:ind w:left="460" w:right="220" w:hanging="452"/>
        <w:spacing w:after="0" w:line="300" w:lineRule="auto"/>
        <w:tabs>
          <w:tab w:leader="none" w:pos="4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Redevelopment Bonds—In connection with current redevelopment projects, local governmental authorities typically require deposting a bond to secure performance on work on public infrastructure. If we fail to perform the work or perform faulty work, we may be obligated to pay on these bonds. The</w:t>
      </w:r>
    </w:p>
    <w:p>
      <w:pPr>
        <w:spacing w:after="0" w:line="1" w:lineRule="exact"/>
        <w:rPr>
          <w:sz w:val="20"/>
          <w:szCs w:val="20"/>
          <w:color w:val="auto"/>
        </w:rPr>
      </w:pPr>
    </w:p>
    <w:p>
      <w:pPr>
        <w:ind w:left="460"/>
        <w:spacing w:after="0"/>
        <w:tabs>
          <w:tab w:leader="none" w:pos="4500" w:val="left"/>
        </w:tabs>
        <w:rPr>
          <w:sz w:val="20"/>
          <w:szCs w:val="20"/>
          <w:color w:val="auto"/>
        </w:rPr>
      </w:pPr>
      <w:r>
        <w:rPr>
          <w:rFonts w:ascii="Arial" w:cs="Arial" w:eastAsia="Arial" w:hAnsi="Arial"/>
          <w:sz w:val="18"/>
          <w:szCs w:val="18"/>
          <w:color w:val="auto"/>
        </w:rPr>
        <w:t>current amount outstanding under these bonds is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-17780</wp:posOffset>
            </wp:positionV>
            <wp:extent cx="3346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9" w:name="page170"/>
    <w:bookmarkEnd w:id="16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6.1(h)</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LITIGATION</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one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First National the option to require that we acquire the property at a price determined in accordance with a formula included in the “Final Proposal.” First National is seeking an unspecified amount of monetary damages. A trial as to liability only was held and on June 27, 2006, a jury rendered a verdict against us. We have filed a motion for judgment as a matter of law or, in the alternative, for a new trial. We are also requesting that the court certify the case for immediate appeal in the event the motion for judgment as a matter of law and motion for a new trial are denied. All of these motions are scheduled to be heard in August 2006. If our motions are denied and we are not successful in having the jury verdict reversed by an immediate appeal, the case will proceed to a trial on the issue of damages which will not occur for at least nine months. The complaint did not specify the amount of damages claimed and we cannot make a reasonable estimate of potential damages until experts are retained and additional discovery is completed on the damages issue. If we are not successful in overturning the jury verdict, there likely will be a material adverse impact on our net income in the period in which we would pay the damages awarded although we do not believe it will have a Material Adverse Effect.</w:t>
      </w:r>
    </w:p>
    <w:p>
      <w:pPr>
        <w:sectPr>
          <w:pgSz w:w="11900" w:h="16838" w:orient="portrait"/>
          <w:cols w:equalWidth="0" w:num="1">
            <w:col w:w="11400"/>
          </w:cols>
          <w:pgMar w:left="240" w:top="274" w:right="2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6.1(x)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July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362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Property</w:t>
            </w:r>
          </w:p>
        </w:tc>
        <w:tc>
          <w:tcPr>
            <w:tcW w:w="340" w:type="dxa"/>
            <w:vAlign w:val="bottom"/>
          </w:tcPr>
          <w:p>
            <w:pPr>
              <w:spacing w:after="0"/>
              <w:rPr>
                <w:sz w:val="14"/>
                <w:szCs w:val="14"/>
                <w:color w:val="auto"/>
              </w:rPr>
            </w:pPr>
          </w:p>
        </w:tc>
        <w:tc>
          <w:tcPr>
            <w:tcW w:w="11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City</w:t>
            </w:r>
          </w:p>
        </w:tc>
        <w:tc>
          <w:tcPr>
            <w:tcW w:w="320" w:type="dxa"/>
            <w:vAlign w:val="bottom"/>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w:t>
            </w:r>
          </w:p>
        </w:tc>
        <w:tc>
          <w:tcPr>
            <w:tcW w:w="320" w:type="dxa"/>
            <w:vAlign w:val="bottom"/>
          </w:tcPr>
          <w:p>
            <w:pPr>
              <w:spacing w:after="0"/>
              <w:rPr>
                <w:sz w:val="14"/>
                <w:szCs w:val="14"/>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Property Type</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60" w:type="dxa"/>
            <w:vAlign w:val="bottom"/>
          </w:tcPr>
          <w:p>
            <w:pPr>
              <w:spacing w:after="0"/>
              <w:rPr>
                <w:sz w:val="14"/>
                <w:szCs w:val="14"/>
                <w:color w:val="auto"/>
              </w:rPr>
            </w:pPr>
          </w:p>
        </w:tc>
        <w:tc>
          <w:tcPr>
            <w:tcW w:w="36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Retail/Multif</w:t>
            </w:r>
          </w:p>
        </w:tc>
        <w:tc>
          <w:tcPr>
            <w:tcW w:w="320" w:type="dxa"/>
            <w:vAlign w:val="bottom"/>
          </w:tcPr>
          <w:p>
            <w:pPr>
              <w:spacing w:after="0"/>
              <w:rPr>
                <w:sz w:val="14"/>
                <w:szCs w:val="14"/>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Eligible Property Exceptions</w:t>
            </w:r>
          </w:p>
        </w:tc>
        <w:tc>
          <w:tcPr>
            <w:tcW w:w="0" w:type="dxa"/>
            <w:vAlign w:val="bottom"/>
          </w:tcPr>
          <w:p>
            <w:pPr>
              <w:spacing w:after="0"/>
              <w:rPr>
                <w:sz w:val="1"/>
                <w:szCs w:val="1"/>
                <w:color w:val="auto"/>
              </w:rPr>
            </w:pPr>
          </w:p>
        </w:tc>
      </w:tr>
      <w:tr>
        <w:trPr>
          <w:trHeight w:val="201"/>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010-1002</w:t>
            </w:r>
          </w:p>
        </w:tc>
        <w:tc>
          <w:tcPr>
            <w:tcW w:w="3620" w:type="dxa"/>
            <w:vAlign w:val="bottom"/>
          </w:tcPr>
          <w:p>
            <w:pPr>
              <w:spacing w:after="0" w:line="201" w:lineRule="exact"/>
              <w:rPr>
                <w:sz w:val="20"/>
                <w:szCs w:val="20"/>
                <w:color w:val="auto"/>
              </w:rPr>
            </w:pPr>
            <w:r>
              <w:rPr>
                <w:rFonts w:ascii="Arial" w:cs="Arial" w:eastAsia="Arial" w:hAnsi="Arial"/>
                <w:sz w:val="18"/>
                <w:szCs w:val="18"/>
                <w:color w:val="auto"/>
              </w:rPr>
              <w:t>Andorra</w:t>
            </w:r>
          </w:p>
        </w:tc>
        <w:tc>
          <w:tcPr>
            <w:tcW w:w="34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Philadelphia</w:t>
            </w:r>
          </w:p>
        </w:tc>
        <w:tc>
          <w:tcPr>
            <w:tcW w:w="32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Arial" w:cs="Arial" w:eastAsia="Arial" w:hAnsi="Arial"/>
                <w:sz w:val="18"/>
                <w:szCs w:val="18"/>
                <w:color w:val="auto"/>
              </w:rPr>
              <w:t>PA</w:t>
            </w:r>
          </w:p>
        </w:tc>
        <w:tc>
          <w:tcPr>
            <w:tcW w:w="320" w:type="dxa"/>
            <w:vAlign w:val="bottom"/>
          </w:tcPr>
          <w:p>
            <w:pPr>
              <w:spacing w:after="0"/>
              <w:rPr>
                <w:sz w:val="17"/>
                <w:szCs w:val="17"/>
                <w:color w:val="auto"/>
              </w:rPr>
            </w:pPr>
          </w:p>
        </w:tc>
        <w:tc>
          <w:tcPr>
            <w:tcW w:w="1240" w:type="dxa"/>
            <w:vAlign w:val="bottom"/>
          </w:tcPr>
          <w:p>
            <w:pPr>
              <w:spacing w:after="0" w:line="201" w:lineRule="exact"/>
              <w:rPr>
                <w:sz w:val="20"/>
                <w:szCs w:val="20"/>
                <w:color w:val="auto"/>
              </w:rPr>
            </w:pPr>
            <w:r>
              <w:rPr>
                <w:rFonts w:ascii="Arial" w:cs="Arial" w:eastAsia="Arial" w:hAnsi="Arial"/>
                <w:sz w:val="18"/>
                <w:szCs w:val="18"/>
                <w:color w:val="auto"/>
              </w:rPr>
              <w:t>Wholly Owned</w:t>
            </w:r>
          </w:p>
        </w:tc>
        <w:tc>
          <w:tcPr>
            <w:tcW w:w="320" w:type="dxa"/>
            <w:vAlign w:val="bottom"/>
          </w:tcPr>
          <w:p>
            <w:pPr>
              <w:spacing w:after="0"/>
              <w:rPr>
                <w:sz w:val="17"/>
                <w:szCs w:val="17"/>
                <w:color w:val="auto"/>
              </w:rPr>
            </w:pPr>
          </w:p>
        </w:tc>
        <w:tc>
          <w:tcPr>
            <w:tcW w:w="860" w:type="dxa"/>
            <w:vAlign w:val="bottom"/>
          </w:tcPr>
          <w:p>
            <w:pPr>
              <w:spacing w:after="0" w:line="201" w:lineRule="exact"/>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030-1080</w:t>
            </w:r>
          </w:p>
        </w:tc>
        <w:tc>
          <w:tcPr>
            <w:tcW w:w="3620" w:type="dxa"/>
            <w:vAlign w:val="bottom"/>
          </w:tcPr>
          <w:p>
            <w:pPr>
              <w:spacing w:after="0"/>
              <w:rPr>
                <w:sz w:val="20"/>
                <w:szCs w:val="20"/>
                <w:color w:val="auto"/>
              </w:rPr>
            </w:pPr>
            <w:r>
              <w:rPr>
                <w:rFonts w:ascii="Arial" w:cs="Arial" w:eastAsia="Arial" w:hAnsi="Arial"/>
                <w:sz w:val="18"/>
                <w:szCs w:val="18"/>
                <w:color w:val="auto"/>
              </w:rPr>
              <w:t>Congressional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Rockville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9"/>
              </w:rPr>
              <w:t>MD</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Non-Controlled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030-1081</w:t>
            </w:r>
          </w:p>
        </w:tc>
        <w:tc>
          <w:tcPr>
            <w:tcW w:w="3620" w:type="dxa"/>
            <w:vAlign w:val="bottom"/>
          </w:tcPr>
          <w:p>
            <w:pPr>
              <w:spacing w:after="0"/>
              <w:rPr>
                <w:sz w:val="20"/>
                <w:szCs w:val="20"/>
                <w:color w:val="auto"/>
              </w:rPr>
            </w:pPr>
            <w:r>
              <w:rPr>
                <w:rFonts w:ascii="Arial" w:cs="Arial" w:eastAsia="Arial" w:hAnsi="Arial"/>
                <w:sz w:val="18"/>
                <w:szCs w:val="18"/>
                <w:color w:val="auto"/>
              </w:rPr>
              <w:t>Congressional Plaza Apartments</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Rockville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9"/>
              </w:rPr>
              <w:t>MD</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Non-Controlled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w w:val="98"/>
              </w:rPr>
              <w:t>Multifamily</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040-1240</w:t>
            </w:r>
          </w:p>
        </w:tc>
        <w:tc>
          <w:tcPr>
            <w:tcW w:w="3620" w:type="dxa"/>
            <w:vAlign w:val="bottom"/>
          </w:tcPr>
          <w:p>
            <w:pPr>
              <w:spacing w:after="0"/>
              <w:rPr>
                <w:sz w:val="20"/>
                <w:szCs w:val="20"/>
                <w:color w:val="auto"/>
              </w:rPr>
            </w:pPr>
            <w:r>
              <w:rPr>
                <w:rFonts w:ascii="Arial" w:cs="Arial" w:eastAsia="Arial" w:hAnsi="Arial"/>
                <w:sz w:val="18"/>
                <w:szCs w:val="18"/>
                <w:color w:val="auto"/>
              </w:rPr>
              <w:t>Governor Plaza</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Glen Burnie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9"/>
              </w:rPr>
              <w:t>MD</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060-1444</w:t>
            </w:r>
          </w:p>
        </w:tc>
        <w:tc>
          <w:tcPr>
            <w:tcW w:w="3620" w:type="dxa"/>
            <w:vAlign w:val="bottom"/>
          </w:tcPr>
          <w:p>
            <w:pPr>
              <w:spacing w:after="0"/>
              <w:rPr>
                <w:sz w:val="20"/>
                <w:szCs w:val="20"/>
                <w:color w:val="auto"/>
              </w:rPr>
            </w:pPr>
            <w:r>
              <w:rPr>
                <w:rFonts w:ascii="Arial" w:cs="Arial" w:eastAsia="Arial" w:hAnsi="Arial"/>
                <w:sz w:val="18"/>
                <w:szCs w:val="18"/>
                <w:color w:val="auto"/>
              </w:rPr>
              <w:t>Loehmann's Link Office Building</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Fairfax</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VA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060-1445</w:t>
            </w:r>
          </w:p>
        </w:tc>
        <w:tc>
          <w:tcPr>
            <w:tcW w:w="3620" w:type="dxa"/>
            <w:vAlign w:val="bottom"/>
          </w:tcPr>
          <w:p>
            <w:pPr>
              <w:spacing w:after="0"/>
              <w:rPr>
                <w:sz w:val="20"/>
                <w:szCs w:val="20"/>
                <w:color w:val="auto"/>
              </w:rPr>
            </w:pPr>
            <w:r>
              <w:rPr>
                <w:rFonts w:ascii="Arial" w:cs="Arial" w:eastAsia="Arial" w:hAnsi="Arial"/>
                <w:sz w:val="18"/>
                <w:szCs w:val="18"/>
                <w:color w:val="auto"/>
              </w:rPr>
              <w:t>Loehmann's Link Shopping Ctr</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Fairfax</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VA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060-1446</w:t>
            </w:r>
          </w:p>
        </w:tc>
        <w:tc>
          <w:tcPr>
            <w:tcW w:w="3620" w:type="dxa"/>
            <w:vAlign w:val="bottom"/>
          </w:tcPr>
          <w:p>
            <w:pPr>
              <w:spacing w:after="0"/>
              <w:rPr>
                <w:sz w:val="20"/>
                <w:szCs w:val="20"/>
                <w:color w:val="auto"/>
              </w:rPr>
            </w:pPr>
            <w:r>
              <w:rPr>
                <w:rFonts w:ascii="Arial" w:cs="Arial" w:eastAsia="Arial" w:hAnsi="Arial"/>
                <w:sz w:val="18"/>
                <w:szCs w:val="18"/>
                <w:color w:val="auto"/>
              </w:rPr>
              <w:t>Loehmann's Redstone Office Bld</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Fairfax</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VA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060-1447</w:t>
            </w:r>
          </w:p>
        </w:tc>
        <w:tc>
          <w:tcPr>
            <w:tcW w:w="3620" w:type="dxa"/>
            <w:vAlign w:val="bottom"/>
          </w:tcPr>
          <w:p>
            <w:pPr>
              <w:spacing w:after="0"/>
              <w:rPr>
                <w:sz w:val="20"/>
                <w:szCs w:val="20"/>
                <w:color w:val="auto"/>
              </w:rPr>
            </w:pPr>
            <w:r>
              <w:rPr>
                <w:rFonts w:ascii="Arial" w:cs="Arial" w:eastAsia="Arial" w:hAnsi="Arial"/>
                <w:sz w:val="18"/>
                <w:szCs w:val="18"/>
                <w:color w:val="auto"/>
              </w:rPr>
              <w:t>Loehmann's Redstone Shop Ctr</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Fairfax</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VA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080-1600</w:t>
            </w:r>
          </w:p>
        </w:tc>
        <w:tc>
          <w:tcPr>
            <w:tcW w:w="3620" w:type="dxa"/>
            <w:vAlign w:val="bottom"/>
          </w:tcPr>
          <w:p>
            <w:pPr>
              <w:spacing w:after="0"/>
              <w:rPr>
                <w:sz w:val="20"/>
                <w:szCs w:val="20"/>
                <w:color w:val="auto"/>
              </w:rPr>
            </w:pPr>
            <w:r>
              <w:rPr>
                <w:rFonts w:ascii="Arial" w:cs="Arial" w:eastAsia="Arial" w:hAnsi="Arial"/>
                <w:sz w:val="18"/>
                <w:szCs w:val="18"/>
                <w:color w:val="auto"/>
              </w:rPr>
              <w:t>Perring Plaza</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Baltimore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9"/>
              </w:rPr>
              <w:t>MD</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090-1190</w:t>
            </w:r>
          </w:p>
        </w:tc>
        <w:tc>
          <w:tcPr>
            <w:tcW w:w="3620" w:type="dxa"/>
            <w:vAlign w:val="bottom"/>
          </w:tcPr>
          <w:p>
            <w:pPr>
              <w:spacing w:after="0"/>
              <w:rPr>
                <w:sz w:val="20"/>
                <w:szCs w:val="20"/>
                <w:color w:val="auto"/>
              </w:rPr>
            </w:pPr>
            <w:r>
              <w:rPr>
                <w:rFonts w:ascii="Arial" w:cs="Arial" w:eastAsia="Arial" w:hAnsi="Arial"/>
                <w:sz w:val="18"/>
                <w:szCs w:val="18"/>
                <w:color w:val="auto"/>
              </w:rPr>
              <w:t>Escondido Promenade</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Escondido</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Non-Controlled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100-1630</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1-Retail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100-1632</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1B-Retail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100-1634</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1C-Retail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100-1638</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3-Retail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100-1642</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4-Retail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100-1644</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5-Retail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100-1646</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6A-Retail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100-1650</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7-Retail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100-1652</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8A-Retail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100-1662</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1lA-Retail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100-1668</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13/15-Retail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100-1674</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K-Retail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100-1651</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7-Residential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w w:val="98"/>
              </w:rPr>
              <w:t>Multifamily</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100-1653</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8A-Residential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w w:val="98"/>
              </w:rPr>
              <w:t>Multifamily</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100-1663</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11 A-Res/Office</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100-1669</w:t>
            </w:r>
          </w:p>
        </w:tc>
        <w:tc>
          <w:tcPr>
            <w:tcW w:w="3620" w:type="dxa"/>
            <w:vAlign w:val="bottom"/>
          </w:tcPr>
          <w:p>
            <w:pPr>
              <w:spacing w:after="0"/>
              <w:rPr>
                <w:sz w:val="20"/>
                <w:szCs w:val="20"/>
                <w:color w:val="auto"/>
              </w:rPr>
            </w:pPr>
            <w:r>
              <w:rPr>
                <w:rFonts w:ascii="Arial" w:cs="Arial" w:eastAsia="Arial" w:hAnsi="Arial"/>
                <w:sz w:val="18"/>
                <w:szCs w:val="18"/>
                <w:color w:val="auto"/>
              </w:rPr>
              <w:t>Santana Row Building 13/15-Res/Office</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110-1605</w:t>
            </w:r>
          </w:p>
        </w:tc>
        <w:tc>
          <w:tcPr>
            <w:tcW w:w="3620" w:type="dxa"/>
            <w:vAlign w:val="bottom"/>
          </w:tcPr>
          <w:p>
            <w:pPr>
              <w:spacing w:after="0"/>
              <w:rPr>
                <w:sz w:val="20"/>
                <w:szCs w:val="20"/>
                <w:color w:val="auto"/>
              </w:rPr>
            </w:pPr>
            <w:r>
              <w:rPr>
                <w:rFonts w:ascii="Arial" w:cs="Arial" w:eastAsia="Arial" w:hAnsi="Arial"/>
                <w:sz w:val="18"/>
                <w:szCs w:val="18"/>
                <w:color w:val="auto"/>
              </w:rPr>
              <w:t>Pike 7</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3"/>
              </w:rPr>
              <w:t>Tysons Corner</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VA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Controlled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160-1800</w:t>
            </w:r>
          </w:p>
        </w:tc>
        <w:tc>
          <w:tcPr>
            <w:tcW w:w="3620" w:type="dxa"/>
            <w:vAlign w:val="bottom"/>
          </w:tcPr>
          <w:p>
            <w:pPr>
              <w:spacing w:after="0"/>
              <w:rPr>
                <w:sz w:val="20"/>
                <w:szCs w:val="20"/>
                <w:color w:val="auto"/>
              </w:rPr>
            </w:pPr>
            <w:r>
              <w:rPr>
                <w:rFonts w:ascii="Arial" w:cs="Arial" w:eastAsia="Arial" w:hAnsi="Arial"/>
                <w:sz w:val="18"/>
                <w:szCs w:val="18"/>
                <w:color w:val="auto"/>
              </w:rPr>
              <w:t>Westgate Mall</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San Jose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170-1730</w:t>
            </w:r>
          </w:p>
        </w:tc>
        <w:tc>
          <w:tcPr>
            <w:tcW w:w="3620" w:type="dxa"/>
            <w:vAlign w:val="bottom"/>
          </w:tcPr>
          <w:p>
            <w:pPr>
              <w:spacing w:after="0"/>
              <w:rPr>
                <w:sz w:val="20"/>
                <w:szCs w:val="20"/>
                <w:color w:val="auto"/>
              </w:rPr>
            </w:pPr>
            <w:r>
              <w:rPr>
                <w:rFonts w:ascii="Arial" w:cs="Arial" w:eastAsia="Arial" w:hAnsi="Arial"/>
                <w:sz w:val="18"/>
                <w:szCs w:val="18"/>
                <w:color w:val="auto"/>
              </w:rPr>
              <w:t>Sturtevant Street</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Somerville</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MA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1000" w:type="dxa"/>
            <w:vAlign w:val="bottom"/>
            <w:gridSpan w:val="2"/>
          </w:tcPr>
          <w:p>
            <w:pPr>
              <w:spacing w:after="0"/>
              <w:rPr>
                <w:sz w:val="20"/>
                <w:szCs w:val="20"/>
                <w:color w:val="auto"/>
              </w:rPr>
            </w:pPr>
            <w:r>
              <w:rPr>
                <w:rFonts w:ascii="Arial" w:cs="Arial" w:eastAsia="Arial" w:hAnsi="Arial"/>
                <w:sz w:val="18"/>
                <w:szCs w:val="18"/>
                <w:color w:val="auto"/>
              </w:rPr>
              <w:t>170-1732</w:t>
            </w:r>
          </w:p>
        </w:tc>
        <w:tc>
          <w:tcPr>
            <w:tcW w:w="3620" w:type="dxa"/>
            <w:vAlign w:val="bottom"/>
          </w:tcPr>
          <w:p>
            <w:pPr>
              <w:spacing w:after="0"/>
              <w:rPr>
                <w:sz w:val="20"/>
                <w:szCs w:val="20"/>
                <w:color w:val="auto"/>
              </w:rPr>
            </w:pPr>
            <w:r>
              <w:rPr>
                <w:rFonts w:ascii="Arial" w:cs="Arial" w:eastAsia="Arial" w:hAnsi="Arial"/>
                <w:sz w:val="18"/>
                <w:szCs w:val="18"/>
                <w:color w:val="auto"/>
              </w:rPr>
              <w:t>147 Foley Street</w:t>
            </w:r>
          </w:p>
        </w:tc>
        <w:tc>
          <w:tcPr>
            <w:tcW w:w="34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Somerville</w:t>
            </w:r>
          </w:p>
        </w:tc>
        <w:tc>
          <w:tcPr>
            <w:tcW w:w="3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MA</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Wholly Owned</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1" w:name="page172"/>
    <w:bookmarkEnd w:id="1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398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11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City</w:t>
            </w:r>
          </w:p>
        </w:tc>
        <w:tc>
          <w:tcPr>
            <w:tcW w:w="120" w:type="dxa"/>
            <w:vAlign w:val="bottom"/>
          </w:tcPr>
          <w:p>
            <w:pPr>
              <w:spacing w:after="0"/>
              <w:rPr>
                <w:sz w:val="14"/>
                <w:szCs w:val="14"/>
                <w:color w:val="auto"/>
              </w:rPr>
            </w:pPr>
          </w:p>
        </w:tc>
        <w:tc>
          <w:tcPr>
            <w:tcW w:w="2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w:t>
            </w:r>
          </w:p>
        </w:tc>
        <w:tc>
          <w:tcPr>
            <w:tcW w:w="100" w:type="dxa"/>
            <w:vAlign w:val="bottom"/>
          </w:tcPr>
          <w:p>
            <w:pPr>
              <w:spacing w:after="0"/>
              <w:rPr>
                <w:sz w:val="14"/>
                <w:szCs w:val="14"/>
                <w:color w:val="auto"/>
              </w:rPr>
            </w:pP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Property Type</w:t>
            </w:r>
          </w:p>
        </w:tc>
        <w:tc>
          <w:tcPr>
            <w:tcW w:w="120" w:type="dxa"/>
            <w:vAlign w:val="bottom"/>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Retail/Multif</w:t>
            </w: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4"/>
                <w:szCs w:val="14"/>
                <w:color w:val="auto"/>
              </w:rPr>
            </w:pPr>
          </w:p>
        </w:tc>
        <w:tc>
          <w:tcPr>
            <w:tcW w:w="39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Eligible Property Exceptions</w:t>
            </w:r>
          </w:p>
        </w:tc>
        <w:tc>
          <w:tcPr>
            <w:tcW w:w="0" w:type="dxa"/>
            <w:vAlign w:val="bottom"/>
          </w:tcPr>
          <w:p>
            <w:pPr>
              <w:spacing w:after="0"/>
              <w:rPr>
                <w:sz w:val="1"/>
                <w:szCs w:val="1"/>
                <w:color w:val="auto"/>
              </w:rPr>
            </w:pPr>
          </w:p>
        </w:tc>
      </w:tr>
      <w:tr>
        <w:trPr>
          <w:trHeight w:val="201"/>
        </w:trPr>
        <w:tc>
          <w:tcPr>
            <w:tcW w:w="900" w:type="dxa"/>
            <w:vAlign w:val="bottom"/>
            <w:gridSpan w:val="2"/>
          </w:tcPr>
          <w:p>
            <w:pPr>
              <w:spacing w:after="0" w:line="201" w:lineRule="exact"/>
              <w:rPr>
                <w:sz w:val="20"/>
                <w:szCs w:val="20"/>
                <w:color w:val="auto"/>
              </w:rPr>
            </w:pPr>
            <w:r>
              <w:rPr>
                <w:rFonts w:ascii="Arial" w:cs="Arial" w:eastAsia="Arial" w:hAnsi="Arial"/>
                <w:sz w:val="18"/>
                <w:szCs w:val="18"/>
                <w:color w:val="auto"/>
              </w:rPr>
              <w:t>180-1008</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Assembly Square</w:t>
            </w:r>
          </w:p>
        </w:tc>
        <w:tc>
          <w:tcPr>
            <w:tcW w:w="1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Somerville</w:t>
            </w:r>
          </w:p>
        </w:tc>
        <w:tc>
          <w:tcPr>
            <w:tcW w:w="120" w:type="dxa"/>
            <w:vAlign w:val="bottom"/>
          </w:tcPr>
          <w:p>
            <w:pPr>
              <w:spacing w:after="0"/>
              <w:rPr>
                <w:sz w:val="17"/>
                <w:szCs w:val="17"/>
                <w:color w:val="auto"/>
              </w:rPr>
            </w:pPr>
          </w:p>
        </w:tc>
        <w:tc>
          <w:tcPr>
            <w:tcW w:w="280" w:type="dxa"/>
            <w:vAlign w:val="bottom"/>
          </w:tcPr>
          <w:p>
            <w:pPr>
              <w:spacing w:after="0" w:line="201" w:lineRule="exact"/>
              <w:rPr>
                <w:sz w:val="20"/>
                <w:szCs w:val="20"/>
                <w:color w:val="auto"/>
              </w:rPr>
            </w:pPr>
            <w:r>
              <w:rPr>
                <w:rFonts w:ascii="Arial" w:cs="Arial" w:eastAsia="Arial" w:hAnsi="Arial"/>
                <w:sz w:val="18"/>
                <w:szCs w:val="18"/>
                <w:color w:val="auto"/>
                <w:w w:val="96"/>
              </w:rPr>
              <w:t>MA</w:t>
            </w:r>
          </w:p>
        </w:tc>
        <w:tc>
          <w:tcPr>
            <w:tcW w:w="100" w:type="dxa"/>
            <w:vAlign w:val="bottom"/>
          </w:tcPr>
          <w:p>
            <w:pPr>
              <w:spacing w:after="0"/>
              <w:rPr>
                <w:sz w:val="17"/>
                <w:szCs w:val="17"/>
                <w:color w:val="auto"/>
              </w:rPr>
            </w:pPr>
          </w:p>
        </w:tc>
        <w:tc>
          <w:tcPr>
            <w:tcW w:w="1240" w:type="dxa"/>
            <w:vAlign w:val="bottom"/>
          </w:tcPr>
          <w:p>
            <w:pPr>
              <w:spacing w:after="0" w:line="201" w:lineRule="exact"/>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400-1020   Bethesda Ave Shops W W 1</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400-1021   Bethesda Ave Shops W W 2</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400-1022   Bethesda Ave Offices W W 2</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400-1023   Bethesda Ave Shops W W 3</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400-1024   Bethesda Ave Shops W W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400-1025   Bethesda Ave Offices W W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400-1026   Bethesda Ave Shops W W 5</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400-1027   Bethesda Ave Offices W W 5</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400-1028   Bethesda Ave Shops II</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Leasehold for a small portion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of the property terminates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12/31/25 with obligation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FRIT, as tenant, to purchase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the property on that date.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400-1029   Bethesda Ave Shops III</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400-1030</w:t>
            </w:r>
          </w:p>
        </w:tc>
        <w:tc>
          <w:tcPr>
            <w:tcW w:w="3980" w:type="dxa"/>
            <w:vAlign w:val="bottom"/>
          </w:tcPr>
          <w:p>
            <w:pPr>
              <w:spacing w:after="0"/>
              <w:rPr>
                <w:sz w:val="20"/>
                <w:szCs w:val="20"/>
                <w:color w:val="auto"/>
              </w:rPr>
            </w:pPr>
            <w:r>
              <w:rPr>
                <w:rFonts w:ascii="Arial" w:cs="Arial" w:eastAsia="Arial" w:hAnsi="Arial"/>
                <w:sz w:val="18"/>
                <w:szCs w:val="18"/>
                <w:color w:val="auto"/>
              </w:rPr>
              <w:t>Ravengard</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400-1031   Bethesda Ave Shops Parking Lot</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400-1032   4900 Hampden Lane (Bethesda)</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400-3031</w:t>
            </w:r>
          </w:p>
        </w:tc>
        <w:tc>
          <w:tcPr>
            <w:tcW w:w="3980" w:type="dxa"/>
            <w:vAlign w:val="bottom"/>
          </w:tcPr>
          <w:p>
            <w:pPr>
              <w:spacing w:after="0"/>
              <w:rPr>
                <w:sz w:val="20"/>
                <w:szCs w:val="20"/>
                <w:color w:val="auto"/>
              </w:rPr>
            </w:pPr>
            <w:r>
              <w:rPr>
                <w:rFonts w:ascii="Arial" w:cs="Arial" w:eastAsia="Arial" w:hAnsi="Arial"/>
                <w:sz w:val="18"/>
                <w:szCs w:val="18"/>
                <w:color w:val="auto"/>
              </w:rPr>
              <w:t>Elm Street-Retail</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400-3032</w:t>
            </w:r>
          </w:p>
        </w:tc>
        <w:tc>
          <w:tcPr>
            <w:tcW w:w="3980" w:type="dxa"/>
            <w:vAlign w:val="bottom"/>
          </w:tcPr>
          <w:p>
            <w:pPr>
              <w:spacing w:after="0"/>
              <w:rPr>
                <w:sz w:val="20"/>
                <w:szCs w:val="20"/>
                <w:color w:val="auto"/>
              </w:rPr>
            </w:pPr>
            <w:r>
              <w:rPr>
                <w:rFonts w:ascii="Arial" w:cs="Arial" w:eastAsia="Arial" w:hAnsi="Arial"/>
                <w:sz w:val="18"/>
                <w:szCs w:val="18"/>
                <w:color w:val="auto"/>
              </w:rPr>
              <w:t>Kilbane/Jaffe Parcels</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400-3033</w:t>
            </w:r>
          </w:p>
        </w:tc>
        <w:tc>
          <w:tcPr>
            <w:tcW w:w="3980" w:type="dxa"/>
            <w:vAlign w:val="bottom"/>
          </w:tcPr>
          <w:p>
            <w:pPr>
              <w:spacing w:after="0"/>
              <w:rPr>
                <w:sz w:val="20"/>
                <w:szCs w:val="20"/>
                <w:color w:val="auto"/>
              </w:rPr>
            </w:pPr>
            <w:r>
              <w:rPr>
                <w:rFonts w:ascii="Arial" w:cs="Arial" w:eastAsia="Arial" w:hAnsi="Arial"/>
                <w:sz w:val="18"/>
                <w:szCs w:val="18"/>
                <w:color w:val="auto"/>
              </w:rPr>
              <w:t>Elm Street-Office (Bethesda)</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400-3034</w:t>
            </w:r>
          </w:p>
        </w:tc>
        <w:tc>
          <w:tcPr>
            <w:tcW w:w="3980" w:type="dxa"/>
            <w:vAlign w:val="bottom"/>
          </w:tcPr>
          <w:p>
            <w:pPr>
              <w:spacing w:after="0"/>
              <w:rPr>
                <w:sz w:val="20"/>
                <w:szCs w:val="20"/>
                <w:color w:val="auto"/>
              </w:rPr>
            </w:pPr>
            <w:r>
              <w:rPr>
                <w:rFonts w:ascii="Arial" w:cs="Arial" w:eastAsia="Arial" w:hAnsi="Arial"/>
                <w:sz w:val="18"/>
                <w:szCs w:val="18"/>
                <w:color w:val="auto"/>
              </w:rPr>
              <w:t>Woodmont East-Retail</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400-3035</w:t>
            </w:r>
          </w:p>
        </w:tc>
        <w:tc>
          <w:tcPr>
            <w:tcW w:w="3980" w:type="dxa"/>
            <w:vAlign w:val="bottom"/>
          </w:tcPr>
          <w:p>
            <w:pPr>
              <w:spacing w:after="0"/>
              <w:rPr>
                <w:sz w:val="20"/>
                <w:szCs w:val="20"/>
                <w:color w:val="auto"/>
              </w:rPr>
            </w:pPr>
            <w:r>
              <w:rPr>
                <w:rFonts w:ascii="Arial" w:cs="Arial" w:eastAsia="Arial" w:hAnsi="Arial"/>
                <w:sz w:val="18"/>
                <w:szCs w:val="18"/>
                <w:color w:val="auto"/>
              </w:rPr>
              <w:t>Woodmont East-Offices</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400-3100</w:t>
            </w:r>
          </w:p>
        </w:tc>
        <w:tc>
          <w:tcPr>
            <w:tcW w:w="3980" w:type="dxa"/>
            <w:vAlign w:val="bottom"/>
          </w:tcPr>
          <w:p>
            <w:pPr>
              <w:spacing w:after="0"/>
              <w:rPr>
                <w:sz w:val="20"/>
                <w:szCs w:val="20"/>
                <w:color w:val="auto"/>
              </w:rPr>
            </w:pPr>
            <w:r>
              <w:rPr>
                <w:rFonts w:ascii="Arial" w:cs="Arial" w:eastAsia="Arial" w:hAnsi="Arial"/>
                <w:sz w:val="18"/>
                <w:szCs w:val="18"/>
                <w:color w:val="auto"/>
              </w:rPr>
              <w:t>64 Greenwich Ave</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Greenwich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CT</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400-3101   205 Greenwich Ave (Saks)</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Greenwich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CT</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400-3400</w:t>
            </w:r>
          </w:p>
        </w:tc>
        <w:tc>
          <w:tcPr>
            <w:tcW w:w="3980" w:type="dxa"/>
            <w:vAlign w:val="bottom"/>
          </w:tcPr>
          <w:p>
            <w:pPr>
              <w:spacing w:after="0"/>
              <w:rPr>
                <w:sz w:val="20"/>
                <w:szCs w:val="20"/>
                <w:color w:val="auto"/>
              </w:rPr>
            </w:pPr>
            <w:r>
              <w:rPr>
                <w:rFonts w:ascii="Arial" w:cs="Arial" w:eastAsia="Arial" w:hAnsi="Arial"/>
                <w:sz w:val="18"/>
                <w:szCs w:val="18"/>
                <w:color w:val="auto"/>
              </w:rPr>
              <w:t>Fresh Meadows-Kmart Center</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400-3401   Fresh Meadows (Filene’s Ctr)</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400-3402   Fresh Meadows (73rd Ave Strip)</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400-3403   Fresh Meadows (69th Ave Strip)</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400-3500</w:t>
            </w:r>
          </w:p>
        </w:tc>
        <w:tc>
          <w:tcPr>
            <w:tcW w:w="3980" w:type="dxa"/>
            <w:vAlign w:val="bottom"/>
          </w:tcPr>
          <w:p>
            <w:pPr>
              <w:spacing w:after="0"/>
              <w:rPr>
                <w:sz w:val="20"/>
                <w:szCs w:val="20"/>
                <w:color w:val="auto"/>
              </w:rPr>
            </w:pPr>
            <w:r>
              <w:rPr>
                <w:rFonts w:ascii="Arial" w:cs="Arial" w:eastAsia="Arial" w:hAnsi="Arial"/>
                <w:sz w:val="18"/>
                <w:szCs w:val="18"/>
                <w:color w:val="auto"/>
              </w:rPr>
              <w:t>150 Post Street</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w w:val="95"/>
              </w:rPr>
              <w:t>San Francisco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400-3525</w:t>
            </w:r>
          </w:p>
        </w:tc>
        <w:tc>
          <w:tcPr>
            <w:tcW w:w="3980" w:type="dxa"/>
            <w:vAlign w:val="bottom"/>
          </w:tcPr>
          <w:p>
            <w:pPr>
              <w:spacing w:after="0"/>
              <w:rPr>
                <w:sz w:val="20"/>
                <w:szCs w:val="20"/>
                <w:color w:val="auto"/>
              </w:rPr>
            </w:pPr>
            <w:r>
              <w:rPr>
                <w:rFonts w:ascii="Arial" w:cs="Arial" w:eastAsia="Arial" w:hAnsi="Arial"/>
                <w:sz w:val="18"/>
                <w:szCs w:val="18"/>
                <w:color w:val="auto"/>
              </w:rPr>
              <w:t>1344 3rd Street</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w w:val="99"/>
              </w:rPr>
              <w:t>Santa Monica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400-3600   Sam’s Park &amp; Shop</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Washington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9"/>
              </w:rPr>
              <w:t>DC</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400-3601</w:t>
            </w:r>
          </w:p>
        </w:tc>
        <w:tc>
          <w:tcPr>
            <w:tcW w:w="3980" w:type="dxa"/>
            <w:vAlign w:val="bottom"/>
          </w:tcPr>
          <w:p>
            <w:pPr>
              <w:spacing w:after="0"/>
              <w:rPr>
                <w:sz w:val="20"/>
                <w:szCs w:val="20"/>
                <w:color w:val="auto"/>
              </w:rPr>
            </w:pPr>
            <w:r>
              <w:rPr>
                <w:rFonts w:ascii="Arial" w:cs="Arial" w:eastAsia="Arial" w:hAnsi="Arial"/>
                <w:sz w:val="18"/>
                <w:szCs w:val="18"/>
                <w:color w:val="auto"/>
              </w:rPr>
              <w:t>Village at Shirlington-Retail</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Arlington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400-3602</w:t>
            </w:r>
          </w:p>
        </w:tc>
        <w:tc>
          <w:tcPr>
            <w:tcW w:w="3980" w:type="dxa"/>
            <w:vAlign w:val="bottom"/>
          </w:tcPr>
          <w:p>
            <w:pPr>
              <w:spacing w:after="0"/>
              <w:rPr>
                <w:sz w:val="20"/>
                <w:szCs w:val="20"/>
                <w:color w:val="auto"/>
              </w:rPr>
            </w:pPr>
            <w:r>
              <w:rPr>
                <w:rFonts w:ascii="Arial" w:cs="Arial" w:eastAsia="Arial" w:hAnsi="Arial"/>
                <w:sz w:val="18"/>
                <w:szCs w:val="18"/>
                <w:color w:val="auto"/>
              </w:rPr>
              <w:t>Village at Shirlington-Office</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Arlington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400-3603</w:t>
            </w:r>
          </w:p>
        </w:tc>
        <w:tc>
          <w:tcPr>
            <w:tcW w:w="3980" w:type="dxa"/>
            <w:vAlign w:val="bottom"/>
          </w:tcPr>
          <w:p>
            <w:pPr>
              <w:spacing w:after="0"/>
              <w:rPr>
                <w:sz w:val="20"/>
                <w:szCs w:val="20"/>
                <w:color w:val="auto"/>
              </w:rPr>
            </w:pPr>
            <w:r>
              <w:rPr>
                <w:rFonts w:ascii="Arial" w:cs="Arial" w:eastAsia="Arial" w:hAnsi="Arial"/>
                <w:sz w:val="18"/>
                <w:szCs w:val="18"/>
                <w:color w:val="auto"/>
              </w:rPr>
              <w:t>Pentagon Row</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Arlington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900" w:type="dxa"/>
            <w:vAlign w:val="bottom"/>
            <w:gridSpan w:val="2"/>
          </w:tcPr>
          <w:p>
            <w:pPr>
              <w:spacing w:after="0"/>
              <w:rPr>
                <w:sz w:val="20"/>
                <w:szCs w:val="20"/>
                <w:color w:val="auto"/>
              </w:rPr>
            </w:pPr>
            <w:r>
              <w:rPr>
                <w:rFonts w:ascii="Arial" w:cs="Arial" w:eastAsia="Arial" w:hAnsi="Arial"/>
                <w:sz w:val="18"/>
                <w:szCs w:val="18"/>
                <w:color w:val="auto"/>
              </w:rPr>
              <w:t>400-3604</w:t>
            </w:r>
          </w:p>
        </w:tc>
        <w:tc>
          <w:tcPr>
            <w:tcW w:w="3980" w:type="dxa"/>
            <w:vAlign w:val="bottom"/>
          </w:tcPr>
          <w:p>
            <w:pPr>
              <w:spacing w:after="0"/>
              <w:rPr>
                <w:sz w:val="20"/>
                <w:szCs w:val="20"/>
                <w:color w:val="auto"/>
              </w:rPr>
            </w:pPr>
            <w:r>
              <w:rPr>
                <w:rFonts w:ascii="Arial" w:cs="Arial" w:eastAsia="Arial" w:hAnsi="Arial"/>
                <w:sz w:val="18"/>
                <w:szCs w:val="18"/>
                <w:color w:val="auto"/>
              </w:rPr>
              <w:t>Friendship Center</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Washington</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9"/>
              </w:rPr>
              <w:t>DC</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Wholly Owned</w:t>
            </w:r>
          </w:p>
        </w:tc>
        <w:tc>
          <w:tcPr>
            <w:tcW w:w="1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Retail</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72" w:name="page173"/>
    <w:bookmarkEnd w:id="1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274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Property</w:t>
            </w:r>
          </w:p>
        </w:tc>
        <w:tc>
          <w:tcPr>
            <w:tcW w:w="360" w:type="dxa"/>
            <w:vAlign w:val="bottom"/>
          </w:tcPr>
          <w:p>
            <w:pPr>
              <w:spacing w:after="0"/>
              <w:rPr>
                <w:sz w:val="14"/>
                <w:szCs w:val="14"/>
                <w:color w:val="auto"/>
              </w:rPr>
            </w:pPr>
          </w:p>
        </w:tc>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City</w:t>
            </w:r>
          </w:p>
        </w:tc>
        <w:tc>
          <w:tcPr>
            <w:tcW w:w="360" w:type="dxa"/>
            <w:vAlign w:val="bottom"/>
          </w:tcPr>
          <w:p>
            <w:pPr>
              <w:spacing w:after="0"/>
              <w:rPr>
                <w:sz w:val="14"/>
                <w:szCs w:val="14"/>
                <w:color w:val="auto"/>
              </w:rPr>
            </w:pPr>
          </w:p>
        </w:tc>
        <w:tc>
          <w:tcPr>
            <w:tcW w:w="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w:t>
            </w:r>
          </w:p>
        </w:tc>
        <w:tc>
          <w:tcPr>
            <w:tcW w:w="340" w:type="dxa"/>
            <w:vAlign w:val="bottom"/>
          </w:tcPr>
          <w:p>
            <w:pPr>
              <w:spacing w:after="0"/>
              <w:rPr>
                <w:sz w:val="14"/>
                <w:szCs w:val="14"/>
                <w:color w:val="auto"/>
              </w:rPr>
            </w:pPr>
          </w:p>
        </w:tc>
        <w:tc>
          <w:tcPr>
            <w:tcW w:w="12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Property Type</w:t>
            </w:r>
          </w:p>
        </w:tc>
        <w:tc>
          <w:tcPr>
            <w:tcW w:w="360" w:type="dxa"/>
            <w:vAlign w:val="bottom"/>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Retail/Multif</w:t>
            </w:r>
          </w:p>
        </w:tc>
        <w:tc>
          <w:tcPr>
            <w:tcW w:w="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80" w:type="dxa"/>
            <w:vAlign w:val="bottom"/>
          </w:tcPr>
          <w:p>
            <w:pPr>
              <w:spacing w:after="0"/>
              <w:rPr>
                <w:sz w:val="14"/>
                <w:szCs w:val="14"/>
                <w:color w:val="auto"/>
              </w:rPr>
            </w:pPr>
          </w:p>
        </w:tc>
        <w:tc>
          <w:tcPr>
            <w:tcW w:w="274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Eligible Property Exceptions</w:t>
            </w:r>
          </w:p>
        </w:tc>
        <w:tc>
          <w:tcPr>
            <w:tcW w:w="0" w:type="dxa"/>
            <w:vAlign w:val="bottom"/>
          </w:tcPr>
          <w:p>
            <w:pPr>
              <w:spacing w:after="0"/>
              <w:rPr>
                <w:sz w:val="1"/>
                <w:szCs w:val="1"/>
                <w:color w:val="auto"/>
              </w:rPr>
            </w:pPr>
          </w:p>
        </w:tc>
      </w:tr>
      <w:tr>
        <w:trPr>
          <w:trHeight w:val="201"/>
        </w:trPr>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420-4300</w:t>
            </w: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14 N Fair Oaks</w:t>
            </w:r>
          </w:p>
        </w:tc>
        <w:tc>
          <w:tcPr>
            <w:tcW w:w="36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Pasadena</w:t>
            </w:r>
          </w:p>
        </w:tc>
        <w:tc>
          <w:tcPr>
            <w:tcW w:w="360" w:type="dxa"/>
            <w:vAlign w:val="bottom"/>
          </w:tcPr>
          <w:p>
            <w:pPr>
              <w:spacing w:after="0"/>
              <w:rPr>
                <w:sz w:val="17"/>
                <w:szCs w:val="17"/>
                <w:color w:val="auto"/>
              </w:rPr>
            </w:pPr>
          </w:p>
        </w:tc>
        <w:tc>
          <w:tcPr>
            <w:tcW w:w="260" w:type="dxa"/>
            <w:vAlign w:val="bottom"/>
          </w:tcPr>
          <w:p>
            <w:pPr>
              <w:jc w:val="center"/>
              <w:spacing w:after="0" w:line="201" w:lineRule="exact"/>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7"/>
                <w:szCs w:val="17"/>
                <w:color w:val="auto"/>
              </w:rPr>
            </w:pPr>
          </w:p>
        </w:tc>
        <w:tc>
          <w:tcPr>
            <w:tcW w:w="1220" w:type="dxa"/>
            <w:vAlign w:val="bottom"/>
          </w:tcPr>
          <w:p>
            <w:pPr>
              <w:spacing w:after="0" w:line="201" w:lineRule="exact"/>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420-4500</w:t>
            </w:r>
          </w:p>
        </w:tc>
        <w:tc>
          <w:tcPr>
            <w:tcW w:w="2740" w:type="dxa"/>
            <w:vAlign w:val="bottom"/>
          </w:tcPr>
          <w:p>
            <w:pPr>
              <w:spacing w:after="0"/>
              <w:rPr>
                <w:sz w:val="20"/>
                <w:szCs w:val="20"/>
                <w:color w:val="auto"/>
              </w:rPr>
            </w:pPr>
            <w:r>
              <w:rPr>
                <w:rFonts w:ascii="Arial" w:cs="Arial" w:eastAsia="Arial" w:hAnsi="Arial"/>
                <w:sz w:val="18"/>
                <w:szCs w:val="18"/>
                <w:color w:val="auto"/>
              </w:rPr>
              <w:t>643-653 5th Ave</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Diego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420-4502</w:t>
            </w:r>
          </w:p>
        </w:tc>
        <w:tc>
          <w:tcPr>
            <w:tcW w:w="2740" w:type="dxa"/>
            <w:vAlign w:val="bottom"/>
          </w:tcPr>
          <w:p>
            <w:pPr>
              <w:spacing w:after="0"/>
              <w:rPr>
                <w:sz w:val="20"/>
                <w:szCs w:val="20"/>
                <w:color w:val="auto"/>
              </w:rPr>
            </w:pPr>
            <w:r>
              <w:rPr>
                <w:rFonts w:ascii="Arial" w:cs="Arial" w:eastAsia="Arial" w:hAnsi="Arial"/>
                <w:sz w:val="18"/>
                <w:szCs w:val="18"/>
                <w:color w:val="auto"/>
              </w:rPr>
              <w:t>665 5th Ave</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Diego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420-4503</w:t>
            </w:r>
          </w:p>
        </w:tc>
        <w:tc>
          <w:tcPr>
            <w:tcW w:w="2740" w:type="dxa"/>
            <w:vAlign w:val="bottom"/>
          </w:tcPr>
          <w:p>
            <w:pPr>
              <w:spacing w:after="0"/>
              <w:rPr>
                <w:sz w:val="20"/>
                <w:szCs w:val="20"/>
                <w:color w:val="auto"/>
              </w:rPr>
            </w:pPr>
            <w:r>
              <w:rPr>
                <w:rFonts w:ascii="Arial" w:cs="Arial" w:eastAsia="Arial" w:hAnsi="Arial"/>
                <w:sz w:val="18"/>
                <w:szCs w:val="18"/>
                <w:color w:val="auto"/>
              </w:rPr>
              <w:t>825-831 5th Ave</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Diego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420-4700</w:t>
            </w:r>
          </w:p>
        </w:tc>
        <w:tc>
          <w:tcPr>
            <w:tcW w:w="2740" w:type="dxa"/>
            <w:vAlign w:val="bottom"/>
          </w:tcPr>
          <w:p>
            <w:pPr>
              <w:spacing w:after="0"/>
              <w:rPr>
                <w:sz w:val="20"/>
                <w:szCs w:val="20"/>
                <w:color w:val="auto"/>
              </w:rPr>
            </w:pPr>
            <w:r>
              <w:rPr>
                <w:rFonts w:ascii="Arial" w:cs="Arial" w:eastAsia="Arial" w:hAnsi="Arial"/>
                <w:sz w:val="18"/>
                <w:szCs w:val="18"/>
                <w:color w:val="auto"/>
              </w:rPr>
              <w:t>301 Arizona/1251-1253 3rd Street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Santa Monica</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420-4702</w:t>
            </w:r>
          </w:p>
        </w:tc>
        <w:tc>
          <w:tcPr>
            <w:tcW w:w="2740" w:type="dxa"/>
            <w:vAlign w:val="bottom"/>
          </w:tcPr>
          <w:p>
            <w:pPr>
              <w:spacing w:after="0"/>
              <w:rPr>
                <w:sz w:val="20"/>
                <w:szCs w:val="20"/>
                <w:color w:val="auto"/>
              </w:rPr>
            </w:pPr>
            <w:r>
              <w:rPr>
                <w:rFonts w:ascii="Arial" w:cs="Arial" w:eastAsia="Arial" w:hAnsi="Arial"/>
                <w:sz w:val="18"/>
                <w:szCs w:val="18"/>
                <w:color w:val="auto"/>
              </w:rPr>
              <w:t>1225 3rd Street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Santa Monica</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420-4704</w:t>
            </w:r>
          </w:p>
        </w:tc>
        <w:tc>
          <w:tcPr>
            <w:tcW w:w="2740" w:type="dxa"/>
            <w:vAlign w:val="bottom"/>
          </w:tcPr>
          <w:p>
            <w:pPr>
              <w:spacing w:after="0"/>
              <w:rPr>
                <w:sz w:val="20"/>
                <w:szCs w:val="20"/>
                <w:color w:val="auto"/>
              </w:rPr>
            </w:pPr>
            <w:r>
              <w:rPr>
                <w:rFonts w:ascii="Arial" w:cs="Arial" w:eastAsia="Arial" w:hAnsi="Arial"/>
                <w:sz w:val="18"/>
                <w:szCs w:val="18"/>
                <w:color w:val="auto"/>
              </w:rPr>
              <w:t>1337 3rd Street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Santa Monica</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420-4705</w:t>
            </w:r>
          </w:p>
        </w:tc>
        <w:tc>
          <w:tcPr>
            <w:tcW w:w="2740" w:type="dxa"/>
            <w:vAlign w:val="bottom"/>
          </w:tcPr>
          <w:p>
            <w:pPr>
              <w:spacing w:after="0"/>
              <w:rPr>
                <w:sz w:val="20"/>
                <w:szCs w:val="20"/>
                <w:color w:val="auto"/>
              </w:rPr>
            </w:pPr>
            <w:r>
              <w:rPr>
                <w:rFonts w:ascii="Arial" w:cs="Arial" w:eastAsia="Arial" w:hAnsi="Arial"/>
                <w:sz w:val="18"/>
                <w:szCs w:val="18"/>
                <w:color w:val="auto"/>
              </w:rPr>
              <w:t>1343-1349 3rd Street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Santa Monica</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421-4701</w:t>
            </w:r>
          </w:p>
        </w:tc>
        <w:tc>
          <w:tcPr>
            <w:tcW w:w="2740" w:type="dxa"/>
            <w:vAlign w:val="bottom"/>
          </w:tcPr>
          <w:p>
            <w:pPr>
              <w:spacing w:after="0"/>
              <w:rPr>
                <w:sz w:val="20"/>
                <w:szCs w:val="20"/>
                <w:color w:val="auto"/>
              </w:rPr>
            </w:pPr>
            <w:r>
              <w:rPr>
                <w:rFonts w:ascii="Arial" w:cs="Arial" w:eastAsia="Arial" w:hAnsi="Arial"/>
                <w:sz w:val="18"/>
                <w:szCs w:val="18"/>
                <w:color w:val="auto"/>
              </w:rPr>
              <w:t>1202 3rd Street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Santa Monica</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422-4706</w:t>
            </w:r>
          </w:p>
        </w:tc>
        <w:tc>
          <w:tcPr>
            <w:tcW w:w="2740" w:type="dxa"/>
            <w:vAlign w:val="bottom"/>
          </w:tcPr>
          <w:p>
            <w:pPr>
              <w:spacing w:after="0"/>
              <w:rPr>
                <w:sz w:val="20"/>
                <w:szCs w:val="20"/>
                <w:color w:val="auto"/>
              </w:rPr>
            </w:pPr>
            <w:r>
              <w:rPr>
                <w:rFonts w:ascii="Arial" w:cs="Arial" w:eastAsia="Arial" w:hAnsi="Arial"/>
                <w:sz w:val="18"/>
                <w:szCs w:val="18"/>
                <w:color w:val="auto"/>
              </w:rPr>
              <w:t>1222 3rd Street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Santa Monica</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423-4200</w:t>
            </w:r>
          </w:p>
        </w:tc>
        <w:tc>
          <w:tcPr>
            <w:tcW w:w="2740" w:type="dxa"/>
            <w:vAlign w:val="bottom"/>
          </w:tcPr>
          <w:p>
            <w:pPr>
              <w:spacing w:after="0"/>
              <w:rPr>
                <w:sz w:val="20"/>
                <w:szCs w:val="20"/>
                <w:color w:val="auto"/>
              </w:rPr>
            </w:pPr>
            <w:r>
              <w:rPr>
                <w:rFonts w:ascii="Arial" w:cs="Arial" w:eastAsia="Arial" w:hAnsi="Arial"/>
                <w:sz w:val="18"/>
                <w:szCs w:val="18"/>
                <w:color w:val="auto"/>
                <w:w w:val="93"/>
              </w:rPr>
              <w:t>1221-1227 Hermosa Ave (Hermosa)</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w w:val="91"/>
              </w:rPr>
              <w:t>Hermosa Beach</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9"/>
              </w:rPr>
              <w:t>Non-Controlled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423-4504</w:t>
            </w:r>
          </w:p>
        </w:tc>
        <w:tc>
          <w:tcPr>
            <w:tcW w:w="2740" w:type="dxa"/>
            <w:vAlign w:val="bottom"/>
          </w:tcPr>
          <w:p>
            <w:pPr>
              <w:spacing w:after="0"/>
              <w:rPr>
                <w:sz w:val="20"/>
                <w:szCs w:val="20"/>
                <w:color w:val="auto"/>
              </w:rPr>
            </w:pPr>
            <w:r>
              <w:rPr>
                <w:rFonts w:ascii="Arial" w:cs="Arial" w:eastAsia="Arial" w:hAnsi="Arial"/>
                <w:sz w:val="18"/>
                <w:szCs w:val="18"/>
                <w:color w:val="auto"/>
              </w:rPr>
              <w:t>953-955 5th Ave</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Diego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9"/>
              </w:rPr>
              <w:t>Non-Controlled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423-4707</w:t>
            </w:r>
          </w:p>
        </w:tc>
        <w:tc>
          <w:tcPr>
            <w:tcW w:w="2740" w:type="dxa"/>
            <w:vAlign w:val="bottom"/>
          </w:tcPr>
          <w:p>
            <w:pPr>
              <w:spacing w:after="0"/>
              <w:rPr>
                <w:sz w:val="20"/>
                <w:szCs w:val="20"/>
                <w:color w:val="auto"/>
              </w:rPr>
            </w:pPr>
            <w:r>
              <w:rPr>
                <w:rFonts w:ascii="Arial" w:cs="Arial" w:eastAsia="Arial" w:hAnsi="Arial"/>
                <w:sz w:val="18"/>
                <w:szCs w:val="18"/>
                <w:color w:val="auto"/>
              </w:rPr>
              <w:t>1232-1240 3rd Street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Santa Monica</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9"/>
              </w:rPr>
              <w:t>Non-Controlled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424-4301</w:t>
            </w:r>
          </w:p>
        </w:tc>
        <w:tc>
          <w:tcPr>
            <w:tcW w:w="2740" w:type="dxa"/>
            <w:vAlign w:val="bottom"/>
          </w:tcPr>
          <w:p>
            <w:pPr>
              <w:spacing w:after="0"/>
              <w:rPr>
                <w:sz w:val="20"/>
                <w:szCs w:val="20"/>
                <w:color w:val="auto"/>
              </w:rPr>
            </w:pPr>
            <w:r>
              <w:rPr>
                <w:rFonts w:ascii="Arial" w:cs="Arial" w:eastAsia="Arial" w:hAnsi="Arial"/>
                <w:sz w:val="18"/>
                <w:szCs w:val="18"/>
                <w:color w:val="auto"/>
              </w:rPr>
              <w:t>140-168 W Colorado</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Pasadena</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w w:val="87"/>
              </w:rPr>
              <w:t>Ground lease expires 10/31/2016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w w:val="98"/>
              </w:rPr>
              <w:t>(including option) and parking</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w w:val="88"/>
              </w:rPr>
              <w:t>ground lease expires 12/15/2014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 option)</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425-4225</w:t>
            </w:r>
          </w:p>
        </w:tc>
        <w:tc>
          <w:tcPr>
            <w:tcW w:w="2740" w:type="dxa"/>
            <w:vAlign w:val="bottom"/>
          </w:tcPr>
          <w:p>
            <w:pPr>
              <w:spacing w:after="0"/>
              <w:rPr>
                <w:sz w:val="20"/>
                <w:szCs w:val="20"/>
                <w:color w:val="auto"/>
              </w:rPr>
            </w:pPr>
            <w:r>
              <w:rPr>
                <w:rFonts w:ascii="Arial" w:cs="Arial" w:eastAsia="Arial" w:hAnsi="Arial"/>
                <w:sz w:val="18"/>
                <w:szCs w:val="18"/>
                <w:color w:val="auto"/>
              </w:rPr>
              <w:t>Galaxy Bldg-Hollywood</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Hollywood</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9"/>
              </w:rPr>
              <w:t>Non-Controlled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425-4226</w:t>
            </w:r>
          </w:p>
        </w:tc>
        <w:tc>
          <w:tcPr>
            <w:tcW w:w="2740" w:type="dxa"/>
            <w:vAlign w:val="bottom"/>
          </w:tcPr>
          <w:p>
            <w:pPr>
              <w:spacing w:after="0"/>
              <w:rPr>
                <w:sz w:val="20"/>
                <w:szCs w:val="20"/>
                <w:color w:val="auto"/>
              </w:rPr>
            </w:pPr>
            <w:r>
              <w:rPr>
                <w:rFonts w:ascii="Arial" w:cs="Arial" w:eastAsia="Arial" w:hAnsi="Arial"/>
                <w:sz w:val="18"/>
                <w:szCs w:val="18"/>
                <w:color w:val="auto"/>
              </w:rPr>
              <w:t>7001 Hollywood Bldg (Peterson)</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Hollywood</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9"/>
              </w:rPr>
              <w:t>Non-Controlled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428-4708</w:t>
            </w:r>
          </w:p>
        </w:tc>
        <w:tc>
          <w:tcPr>
            <w:tcW w:w="2740" w:type="dxa"/>
            <w:vAlign w:val="bottom"/>
          </w:tcPr>
          <w:p>
            <w:pPr>
              <w:spacing w:after="0"/>
              <w:rPr>
                <w:sz w:val="20"/>
                <w:szCs w:val="20"/>
                <w:color w:val="auto"/>
              </w:rPr>
            </w:pPr>
            <w:r>
              <w:rPr>
                <w:rFonts w:ascii="Arial" w:cs="Arial" w:eastAsia="Arial" w:hAnsi="Arial"/>
                <w:sz w:val="18"/>
                <w:szCs w:val="18"/>
                <w:color w:val="auto"/>
              </w:rPr>
              <w:t>214 Wilshire</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Santa Monica</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440-5001</w:t>
            </w:r>
          </w:p>
        </w:tc>
        <w:tc>
          <w:tcPr>
            <w:tcW w:w="2740" w:type="dxa"/>
            <w:vAlign w:val="bottom"/>
          </w:tcPr>
          <w:p>
            <w:pPr>
              <w:spacing w:after="0"/>
              <w:rPr>
                <w:sz w:val="20"/>
                <w:szCs w:val="20"/>
                <w:color w:val="auto"/>
              </w:rPr>
            </w:pPr>
            <w:r>
              <w:rPr>
                <w:rFonts w:ascii="Arial" w:cs="Arial" w:eastAsia="Arial" w:hAnsi="Arial"/>
                <w:sz w:val="18"/>
                <w:szCs w:val="18"/>
                <w:color w:val="auto"/>
              </w:rPr>
              <w:t>107-14/16 71st Street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Forest Hills</w:t>
            </w:r>
          </w:p>
        </w:tc>
        <w:tc>
          <w:tcPr>
            <w:tcW w:w="620" w:type="dxa"/>
            <w:vAlign w:val="bottom"/>
            <w:gridSpan w:val="2"/>
          </w:tcPr>
          <w:p>
            <w:pPr>
              <w:jc w:val="center"/>
              <w:ind w:left="272"/>
              <w:spacing w:after="0"/>
              <w:rPr>
                <w:sz w:val="20"/>
                <w:szCs w:val="20"/>
                <w:color w:val="auto"/>
              </w:rPr>
            </w:pPr>
            <w:r>
              <w:rPr>
                <w:rFonts w:ascii="Arial" w:cs="Arial" w:eastAsia="Arial" w:hAnsi="Arial"/>
                <w:sz w:val="18"/>
                <w:szCs w:val="18"/>
                <w:color w:val="auto"/>
              </w:rPr>
              <w:t>NY</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440-5002</w:t>
            </w:r>
          </w:p>
        </w:tc>
        <w:tc>
          <w:tcPr>
            <w:tcW w:w="2740" w:type="dxa"/>
            <w:vAlign w:val="bottom"/>
          </w:tcPr>
          <w:p>
            <w:pPr>
              <w:spacing w:after="0"/>
              <w:rPr>
                <w:sz w:val="20"/>
                <w:szCs w:val="20"/>
                <w:color w:val="auto"/>
              </w:rPr>
            </w:pPr>
            <w:r>
              <w:rPr>
                <w:rFonts w:ascii="Arial" w:cs="Arial" w:eastAsia="Arial" w:hAnsi="Arial"/>
                <w:sz w:val="18"/>
                <w:szCs w:val="18"/>
                <w:color w:val="auto"/>
              </w:rPr>
              <w:t>108-22 Queens Blvd</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Forest Hills</w:t>
            </w:r>
          </w:p>
        </w:tc>
        <w:tc>
          <w:tcPr>
            <w:tcW w:w="620" w:type="dxa"/>
            <w:vAlign w:val="bottom"/>
            <w:gridSpan w:val="2"/>
          </w:tcPr>
          <w:p>
            <w:pPr>
              <w:jc w:val="center"/>
              <w:ind w:left="272"/>
              <w:spacing w:after="0"/>
              <w:rPr>
                <w:sz w:val="20"/>
                <w:szCs w:val="20"/>
                <w:color w:val="auto"/>
              </w:rPr>
            </w:pPr>
            <w:r>
              <w:rPr>
                <w:rFonts w:ascii="Arial" w:cs="Arial" w:eastAsia="Arial" w:hAnsi="Arial"/>
                <w:sz w:val="18"/>
                <w:szCs w:val="18"/>
                <w:color w:val="auto"/>
              </w:rPr>
              <w:t>NY</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441-5003</w:t>
            </w:r>
          </w:p>
        </w:tc>
        <w:tc>
          <w:tcPr>
            <w:tcW w:w="2740" w:type="dxa"/>
            <w:vAlign w:val="bottom"/>
          </w:tcPr>
          <w:p>
            <w:pPr>
              <w:spacing w:after="0"/>
              <w:rPr>
                <w:sz w:val="20"/>
                <w:szCs w:val="20"/>
                <w:color w:val="auto"/>
              </w:rPr>
            </w:pPr>
            <w:r>
              <w:rPr>
                <w:rFonts w:ascii="Arial" w:cs="Arial" w:eastAsia="Arial" w:hAnsi="Arial"/>
                <w:sz w:val="18"/>
                <w:szCs w:val="18"/>
                <w:color w:val="auto"/>
              </w:rPr>
              <w:t>69-39/41 Austin St (Forest Hills)</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Forest Hills</w:t>
            </w:r>
          </w:p>
        </w:tc>
        <w:tc>
          <w:tcPr>
            <w:tcW w:w="620" w:type="dxa"/>
            <w:vAlign w:val="bottom"/>
            <w:gridSpan w:val="2"/>
          </w:tcPr>
          <w:p>
            <w:pPr>
              <w:jc w:val="center"/>
              <w:ind w:left="272"/>
              <w:spacing w:after="0"/>
              <w:rPr>
                <w:sz w:val="20"/>
                <w:szCs w:val="20"/>
                <w:color w:val="auto"/>
              </w:rPr>
            </w:pPr>
            <w:r>
              <w:rPr>
                <w:rFonts w:ascii="Arial" w:cs="Arial" w:eastAsia="Arial" w:hAnsi="Arial"/>
                <w:sz w:val="18"/>
                <w:szCs w:val="18"/>
                <w:color w:val="auto"/>
              </w:rPr>
              <w:t>NY</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450-5500</w:t>
            </w:r>
          </w:p>
        </w:tc>
        <w:tc>
          <w:tcPr>
            <w:tcW w:w="2740" w:type="dxa"/>
            <w:vAlign w:val="bottom"/>
          </w:tcPr>
          <w:p>
            <w:pPr>
              <w:spacing w:after="0"/>
              <w:rPr>
                <w:sz w:val="20"/>
                <w:szCs w:val="20"/>
                <w:color w:val="auto"/>
              </w:rPr>
            </w:pPr>
            <w:r>
              <w:rPr>
                <w:rFonts w:ascii="Arial" w:cs="Arial" w:eastAsia="Arial" w:hAnsi="Arial"/>
                <w:sz w:val="18"/>
                <w:szCs w:val="18"/>
                <w:color w:val="auto"/>
              </w:rPr>
              <w:t>Old Town Center</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Los Gatos</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w w:val="95"/>
              </w:rPr>
              <w:t>CA</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451-5601</w:t>
            </w:r>
          </w:p>
        </w:tc>
        <w:tc>
          <w:tcPr>
            <w:tcW w:w="2740" w:type="dxa"/>
            <w:vAlign w:val="bottom"/>
          </w:tcPr>
          <w:p>
            <w:pPr>
              <w:spacing w:after="0"/>
              <w:rPr>
                <w:sz w:val="20"/>
                <w:szCs w:val="20"/>
                <w:color w:val="auto"/>
              </w:rPr>
            </w:pPr>
            <w:r>
              <w:rPr>
                <w:rFonts w:ascii="Arial" w:cs="Arial" w:eastAsia="Arial" w:hAnsi="Arial"/>
                <w:sz w:val="18"/>
                <w:szCs w:val="18"/>
                <w:color w:val="auto"/>
              </w:rPr>
              <w:t>301-303 E Houston St (Vogue)</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Antonio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rPr>
              <w:t>TX</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451-5602</w:t>
            </w:r>
          </w:p>
        </w:tc>
        <w:tc>
          <w:tcPr>
            <w:tcW w:w="2740" w:type="dxa"/>
            <w:vAlign w:val="bottom"/>
          </w:tcPr>
          <w:p>
            <w:pPr>
              <w:spacing w:after="0"/>
              <w:rPr>
                <w:sz w:val="20"/>
                <w:szCs w:val="20"/>
                <w:color w:val="auto"/>
              </w:rPr>
            </w:pPr>
            <w:r>
              <w:rPr>
                <w:rFonts w:ascii="Arial" w:cs="Arial" w:eastAsia="Arial" w:hAnsi="Arial"/>
                <w:sz w:val="18"/>
                <w:szCs w:val="18"/>
                <w:color w:val="auto"/>
              </w:rPr>
              <w:t>225-233 E Houston St (Schaum)</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Antonio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rPr>
              <w:t>TX</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451-5603</w:t>
            </w:r>
          </w:p>
        </w:tc>
        <w:tc>
          <w:tcPr>
            <w:tcW w:w="2740" w:type="dxa"/>
            <w:vAlign w:val="bottom"/>
          </w:tcPr>
          <w:p>
            <w:pPr>
              <w:spacing w:after="0"/>
              <w:rPr>
                <w:sz w:val="20"/>
                <w:szCs w:val="20"/>
                <w:color w:val="auto"/>
              </w:rPr>
            </w:pPr>
            <w:r>
              <w:rPr>
                <w:rFonts w:ascii="Arial" w:cs="Arial" w:eastAsia="Arial" w:hAnsi="Arial"/>
                <w:sz w:val="18"/>
                <w:szCs w:val="18"/>
                <w:color w:val="auto"/>
                <w:w w:val="98"/>
              </w:rPr>
              <w:t>St. Mary’s &amp; E. Houston (Wt Hotel)</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Antonio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rPr>
              <w:t>TX</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w w:val="99"/>
              </w:rPr>
              <w:t>Small portion encumbered by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w w:val="93"/>
              </w:rPr>
              <w:t>self amortizing mortgage which</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has been fully funded into an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w w:val="90"/>
              </w:rPr>
              <w:t>escrow account maintained by a</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third party.</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451-5606</w:t>
            </w:r>
          </w:p>
        </w:tc>
        <w:tc>
          <w:tcPr>
            <w:tcW w:w="2740" w:type="dxa"/>
            <w:vAlign w:val="bottom"/>
          </w:tcPr>
          <w:p>
            <w:pPr>
              <w:spacing w:after="0"/>
              <w:rPr>
                <w:sz w:val="20"/>
                <w:szCs w:val="20"/>
                <w:color w:val="auto"/>
              </w:rPr>
            </w:pPr>
            <w:r>
              <w:rPr>
                <w:rFonts w:ascii="Arial" w:cs="Arial" w:eastAsia="Arial" w:hAnsi="Arial"/>
                <w:sz w:val="18"/>
                <w:szCs w:val="18"/>
                <w:color w:val="auto"/>
              </w:rPr>
              <w:t>111 Jefferson St (Pkg Lot)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Antonio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rPr>
              <w:t>TX</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451-5607</w:t>
            </w:r>
          </w:p>
        </w:tc>
        <w:tc>
          <w:tcPr>
            <w:tcW w:w="2740" w:type="dxa"/>
            <w:vAlign w:val="bottom"/>
          </w:tcPr>
          <w:p>
            <w:pPr>
              <w:spacing w:after="0"/>
              <w:rPr>
                <w:sz w:val="20"/>
                <w:szCs w:val="20"/>
                <w:color w:val="auto"/>
              </w:rPr>
            </w:pPr>
            <w:r>
              <w:rPr>
                <w:rFonts w:ascii="Arial" w:cs="Arial" w:eastAsia="Arial" w:hAnsi="Arial"/>
                <w:sz w:val="18"/>
                <w:szCs w:val="18"/>
                <w:color w:val="auto"/>
              </w:rPr>
              <w:t>300-302 E Houston St (Walgreen)</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Antonio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rPr>
              <w:t>TX</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451-5608</w:t>
            </w:r>
          </w:p>
        </w:tc>
        <w:tc>
          <w:tcPr>
            <w:tcW w:w="2740" w:type="dxa"/>
            <w:vAlign w:val="bottom"/>
          </w:tcPr>
          <w:p>
            <w:pPr>
              <w:spacing w:after="0"/>
              <w:rPr>
                <w:sz w:val="20"/>
                <w:szCs w:val="20"/>
                <w:color w:val="auto"/>
              </w:rPr>
            </w:pPr>
            <w:r>
              <w:rPr>
                <w:rFonts w:ascii="Arial" w:cs="Arial" w:eastAsia="Arial" w:hAnsi="Arial"/>
                <w:sz w:val="18"/>
                <w:szCs w:val="18"/>
                <w:color w:val="auto"/>
              </w:rPr>
              <w:t>221-223 E Houston St (Court Bl)</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Antonio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rPr>
              <w:t>TX</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451-5609</w:t>
            </w:r>
          </w:p>
        </w:tc>
        <w:tc>
          <w:tcPr>
            <w:tcW w:w="2740" w:type="dxa"/>
            <w:vAlign w:val="bottom"/>
          </w:tcPr>
          <w:p>
            <w:pPr>
              <w:spacing w:after="0"/>
              <w:rPr>
                <w:sz w:val="20"/>
                <w:szCs w:val="20"/>
                <w:color w:val="auto"/>
              </w:rPr>
            </w:pPr>
            <w:r>
              <w:rPr>
                <w:rFonts w:ascii="Arial" w:cs="Arial" w:eastAsia="Arial" w:hAnsi="Arial"/>
                <w:sz w:val="18"/>
                <w:szCs w:val="18"/>
                <w:color w:val="auto"/>
              </w:rPr>
              <w:t>219 E Houston St (Carl/Bennet)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Antonio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rPr>
              <w:t>TX</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451-5610</w:t>
            </w:r>
          </w:p>
        </w:tc>
        <w:tc>
          <w:tcPr>
            <w:tcW w:w="2740" w:type="dxa"/>
            <w:vAlign w:val="bottom"/>
          </w:tcPr>
          <w:p>
            <w:pPr>
              <w:spacing w:after="0"/>
              <w:rPr>
                <w:sz w:val="20"/>
                <w:szCs w:val="20"/>
                <w:color w:val="auto"/>
              </w:rPr>
            </w:pPr>
            <w:r>
              <w:rPr>
                <w:rFonts w:ascii="Arial" w:cs="Arial" w:eastAsia="Arial" w:hAnsi="Arial"/>
                <w:sz w:val="18"/>
                <w:szCs w:val="18"/>
                <w:color w:val="auto"/>
              </w:rPr>
              <w:t>311-315 E Houston St (Kress)</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Antonio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rPr>
              <w:t>TX</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451-5611</w:t>
            </w:r>
          </w:p>
        </w:tc>
        <w:tc>
          <w:tcPr>
            <w:tcW w:w="2740" w:type="dxa"/>
            <w:vAlign w:val="bottom"/>
          </w:tcPr>
          <w:p>
            <w:pPr>
              <w:spacing w:after="0"/>
              <w:rPr>
                <w:sz w:val="20"/>
                <w:szCs w:val="20"/>
                <w:color w:val="auto"/>
              </w:rPr>
            </w:pPr>
            <w:r>
              <w:rPr>
                <w:rFonts w:ascii="Arial" w:cs="Arial" w:eastAsia="Arial" w:hAnsi="Arial"/>
                <w:sz w:val="18"/>
                <w:szCs w:val="18"/>
                <w:color w:val="auto"/>
              </w:rPr>
              <w:t>306-308 E Houston St (Stuart)</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Antonio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rPr>
              <w:t>TX</w:t>
            </w: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451-5612</w:t>
            </w:r>
          </w:p>
        </w:tc>
        <w:tc>
          <w:tcPr>
            <w:tcW w:w="2740" w:type="dxa"/>
            <w:vAlign w:val="bottom"/>
          </w:tcPr>
          <w:p>
            <w:pPr>
              <w:spacing w:after="0"/>
              <w:rPr>
                <w:sz w:val="20"/>
                <w:szCs w:val="20"/>
                <w:color w:val="auto"/>
              </w:rPr>
            </w:pPr>
            <w:r>
              <w:rPr>
                <w:rFonts w:ascii="Arial" w:cs="Arial" w:eastAsia="Arial" w:hAnsi="Arial"/>
                <w:sz w:val="18"/>
                <w:szCs w:val="18"/>
                <w:color w:val="auto"/>
              </w:rPr>
              <w:t>400 E Houston St (Maverick)</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San Antonio</w:t>
            </w:r>
          </w:p>
        </w:tc>
        <w:tc>
          <w:tcPr>
            <w:tcW w:w="620" w:type="dxa"/>
            <w:vAlign w:val="bottom"/>
            <w:gridSpan w:val="2"/>
          </w:tcPr>
          <w:p>
            <w:pPr>
              <w:jc w:val="center"/>
              <w:ind w:left="252"/>
              <w:spacing w:after="0"/>
              <w:rPr>
                <w:sz w:val="20"/>
                <w:szCs w:val="20"/>
                <w:color w:val="auto"/>
              </w:rPr>
            </w:pPr>
            <w:r>
              <w:rPr>
                <w:rFonts w:ascii="Arial" w:cs="Arial" w:eastAsia="Arial" w:hAnsi="Arial"/>
                <w:sz w:val="18"/>
                <w:szCs w:val="18"/>
                <w:color w:val="auto"/>
              </w:rPr>
              <w:t>TX</w:t>
            </w:r>
          </w:p>
        </w:tc>
        <w:tc>
          <w:tcPr>
            <w:tcW w:w="34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Wholly Owned</w:t>
            </w:r>
          </w:p>
        </w:tc>
        <w:tc>
          <w:tcPr>
            <w:tcW w:w="36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342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13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2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4"/>
                <w:szCs w:val="14"/>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Property Type</w:t>
            </w:r>
          </w:p>
        </w:tc>
        <w:tc>
          <w:tcPr>
            <w:tcW w:w="100" w:type="dxa"/>
            <w:vAlign w:val="bottom"/>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Retail/Multif</w:t>
            </w:r>
          </w:p>
        </w:tc>
        <w:tc>
          <w:tcPr>
            <w:tcW w:w="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4"/>
                <w:szCs w:val="14"/>
                <w:color w:val="auto"/>
              </w:rPr>
            </w:pPr>
          </w:p>
        </w:tc>
        <w:tc>
          <w:tcPr>
            <w:tcW w:w="34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Eligible Property Exceptions</w:t>
            </w:r>
          </w:p>
        </w:tc>
        <w:tc>
          <w:tcPr>
            <w:tcW w:w="0" w:type="dxa"/>
            <w:vAlign w:val="bottom"/>
          </w:tcPr>
          <w:p>
            <w:pPr>
              <w:spacing w:after="0"/>
              <w:rPr>
                <w:sz w:val="1"/>
                <w:szCs w:val="1"/>
                <w:color w:val="auto"/>
              </w:rPr>
            </w:pPr>
          </w:p>
        </w:tc>
      </w:tr>
      <w:tr>
        <w:trPr>
          <w:trHeight w:val="201"/>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490-1085</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Courthouse Center</w:t>
            </w:r>
          </w:p>
        </w:tc>
        <w:tc>
          <w:tcPr>
            <w:tcW w:w="1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17"/>
                <w:szCs w:val="17"/>
                <w:color w:val="auto"/>
              </w:rPr>
            </w:pPr>
          </w:p>
        </w:tc>
        <w:tc>
          <w:tcPr>
            <w:tcW w:w="280" w:type="dxa"/>
            <w:vAlign w:val="bottom"/>
          </w:tcPr>
          <w:p>
            <w:pPr>
              <w:spacing w:after="0" w:line="201" w:lineRule="exact"/>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7"/>
                <w:szCs w:val="17"/>
                <w:color w:val="auto"/>
              </w:rPr>
            </w:pPr>
          </w:p>
        </w:tc>
        <w:tc>
          <w:tcPr>
            <w:tcW w:w="1240" w:type="dxa"/>
            <w:vAlign w:val="bottom"/>
          </w:tcPr>
          <w:p>
            <w:pPr>
              <w:spacing w:after="0" w:line="201" w:lineRule="exact"/>
              <w:rPr>
                <w:sz w:val="20"/>
                <w:szCs w:val="20"/>
                <w:color w:val="auto"/>
              </w:rPr>
            </w:pPr>
            <w:r>
              <w:rPr>
                <w:rFonts w:ascii="Arial" w:cs="Arial" w:eastAsia="Arial" w:hAnsi="Arial"/>
                <w:sz w:val="18"/>
                <w:szCs w:val="18"/>
                <w:color w:val="auto"/>
              </w:rPr>
              <w:t>Controlled</w:t>
            </w:r>
          </w:p>
        </w:tc>
        <w:tc>
          <w:tcPr>
            <w:tcW w:w="10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490-1400</w:t>
            </w:r>
          </w:p>
        </w:tc>
        <w:tc>
          <w:tcPr>
            <w:tcW w:w="3420" w:type="dxa"/>
            <w:vAlign w:val="bottom"/>
          </w:tcPr>
          <w:p>
            <w:pPr>
              <w:spacing w:after="0"/>
              <w:rPr>
                <w:sz w:val="20"/>
                <w:szCs w:val="20"/>
                <w:color w:val="auto"/>
              </w:rPr>
            </w:pPr>
            <w:r>
              <w:rPr>
                <w:rFonts w:ascii="Arial" w:cs="Arial" w:eastAsia="Arial" w:hAnsi="Arial"/>
                <w:sz w:val="18"/>
                <w:szCs w:val="18"/>
                <w:color w:val="auto"/>
              </w:rPr>
              <w:t>Kings Court</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Los Gatos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Owned pursuant to ground lease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that expires 7/31/2024.</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490-1720</w:t>
            </w:r>
          </w:p>
        </w:tc>
        <w:tc>
          <w:tcPr>
            <w:tcW w:w="3420" w:type="dxa"/>
            <w:vAlign w:val="bottom"/>
          </w:tcPr>
          <w:p>
            <w:pPr>
              <w:spacing w:after="0"/>
              <w:rPr>
                <w:sz w:val="20"/>
                <w:szCs w:val="20"/>
                <w:color w:val="auto"/>
              </w:rPr>
            </w:pPr>
            <w:r>
              <w:rPr>
                <w:rFonts w:ascii="Arial" w:cs="Arial" w:eastAsia="Arial" w:hAnsi="Arial"/>
                <w:sz w:val="18"/>
                <w:szCs w:val="18"/>
                <w:color w:val="auto"/>
              </w:rPr>
              <w:t>South Valley</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Alexandria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500-1010</w:t>
            </w:r>
          </w:p>
        </w:tc>
        <w:tc>
          <w:tcPr>
            <w:tcW w:w="3420" w:type="dxa"/>
            <w:vAlign w:val="bottom"/>
          </w:tcPr>
          <w:p>
            <w:pPr>
              <w:spacing w:after="0"/>
              <w:rPr>
                <w:sz w:val="20"/>
                <w:szCs w:val="20"/>
                <w:color w:val="auto"/>
              </w:rPr>
            </w:pPr>
            <w:r>
              <w:rPr>
                <w:rFonts w:ascii="Arial" w:cs="Arial" w:eastAsia="Arial" w:hAnsi="Arial"/>
                <w:sz w:val="18"/>
                <w:szCs w:val="18"/>
                <w:color w:val="auto"/>
              </w:rPr>
              <w:t>Bala Cynwyd</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Bala Cynwyd</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500-1050</w:t>
            </w:r>
          </w:p>
        </w:tc>
        <w:tc>
          <w:tcPr>
            <w:tcW w:w="3420" w:type="dxa"/>
            <w:vAlign w:val="bottom"/>
          </w:tcPr>
          <w:p>
            <w:pPr>
              <w:spacing w:after="0"/>
              <w:rPr>
                <w:sz w:val="20"/>
                <w:szCs w:val="20"/>
                <w:color w:val="auto"/>
              </w:rPr>
            </w:pPr>
            <w:r>
              <w:rPr>
                <w:rFonts w:ascii="Arial" w:cs="Arial" w:eastAsia="Arial" w:hAnsi="Arial"/>
                <w:sz w:val="18"/>
                <w:szCs w:val="18"/>
                <w:color w:val="auto"/>
              </w:rPr>
              <w:t>Bristol</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Bristol</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CT</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500-1090</w:t>
            </w:r>
          </w:p>
        </w:tc>
        <w:tc>
          <w:tcPr>
            <w:tcW w:w="3420" w:type="dxa"/>
            <w:vAlign w:val="bottom"/>
          </w:tcPr>
          <w:p>
            <w:pPr>
              <w:spacing w:after="0"/>
              <w:rPr>
                <w:sz w:val="20"/>
                <w:szCs w:val="20"/>
                <w:color w:val="auto"/>
              </w:rPr>
            </w:pPr>
            <w:r>
              <w:rPr>
                <w:rFonts w:ascii="Arial" w:cs="Arial" w:eastAsia="Arial" w:hAnsi="Arial"/>
                <w:sz w:val="18"/>
                <w:szCs w:val="18"/>
                <w:color w:val="auto"/>
              </w:rPr>
              <w:t>Crossroads</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Highland Park</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500-1125</w:t>
            </w:r>
          </w:p>
        </w:tc>
        <w:tc>
          <w:tcPr>
            <w:tcW w:w="3420" w:type="dxa"/>
            <w:vAlign w:val="bottom"/>
          </w:tcPr>
          <w:p>
            <w:pPr>
              <w:spacing w:after="0"/>
              <w:rPr>
                <w:sz w:val="20"/>
                <w:szCs w:val="20"/>
                <w:color w:val="auto"/>
              </w:rPr>
            </w:pPr>
            <w:r>
              <w:rPr>
                <w:rFonts w:ascii="Arial" w:cs="Arial" w:eastAsia="Arial" w:hAnsi="Arial"/>
                <w:sz w:val="18"/>
                <w:szCs w:val="18"/>
                <w:color w:val="auto"/>
              </w:rPr>
              <w:t>Dedham</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Dedham</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500-1160</w:t>
            </w:r>
          </w:p>
        </w:tc>
        <w:tc>
          <w:tcPr>
            <w:tcW w:w="3420" w:type="dxa"/>
            <w:vAlign w:val="bottom"/>
          </w:tcPr>
          <w:p>
            <w:pPr>
              <w:spacing w:after="0"/>
              <w:rPr>
                <w:sz w:val="20"/>
                <w:szCs w:val="20"/>
                <w:color w:val="auto"/>
              </w:rPr>
            </w:pPr>
            <w:r>
              <w:rPr>
                <w:rFonts w:ascii="Arial" w:cs="Arial" w:eastAsia="Arial" w:hAnsi="Arial"/>
                <w:sz w:val="18"/>
                <w:szCs w:val="18"/>
                <w:color w:val="auto"/>
              </w:rPr>
              <w:t>Eastgate</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Chapel Hill</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9"/>
              </w:rPr>
              <w:t>NC</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500-1180</w:t>
            </w:r>
          </w:p>
        </w:tc>
        <w:tc>
          <w:tcPr>
            <w:tcW w:w="3420" w:type="dxa"/>
            <w:vAlign w:val="bottom"/>
          </w:tcPr>
          <w:p>
            <w:pPr>
              <w:spacing w:after="0"/>
              <w:rPr>
                <w:sz w:val="20"/>
                <w:szCs w:val="20"/>
                <w:color w:val="auto"/>
              </w:rPr>
            </w:pPr>
            <w:r>
              <w:rPr>
                <w:rFonts w:ascii="Arial" w:cs="Arial" w:eastAsia="Arial" w:hAnsi="Arial"/>
                <w:sz w:val="18"/>
                <w:szCs w:val="18"/>
                <w:color w:val="auto"/>
              </w:rPr>
              <w:t>Ellisburg Circle</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Cherry Hill</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500-1200</w:t>
            </w:r>
          </w:p>
        </w:tc>
        <w:tc>
          <w:tcPr>
            <w:tcW w:w="3420" w:type="dxa"/>
            <w:vAlign w:val="bottom"/>
          </w:tcPr>
          <w:p>
            <w:pPr>
              <w:spacing w:after="0"/>
              <w:rPr>
                <w:sz w:val="20"/>
                <w:szCs w:val="20"/>
                <w:color w:val="auto"/>
              </w:rPr>
            </w:pPr>
            <w:r>
              <w:rPr>
                <w:rFonts w:ascii="Arial" w:cs="Arial" w:eastAsia="Arial" w:hAnsi="Arial"/>
                <w:sz w:val="18"/>
                <w:szCs w:val="18"/>
                <w:color w:val="auto"/>
              </w:rPr>
              <w:t>Falls Plaza</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Falls Church</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500-1201</w:t>
            </w:r>
          </w:p>
        </w:tc>
        <w:tc>
          <w:tcPr>
            <w:tcW w:w="3420" w:type="dxa"/>
            <w:vAlign w:val="bottom"/>
          </w:tcPr>
          <w:p>
            <w:pPr>
              <w:spacing w:after="0"/>
              <w:rPr>
                <w:sz w:val="20"/>
                <w:szCs w:val="20"/>
                <w:color w:val="auto"/>
              </w:rPr>
            </w:pPr>
            <w:r>
              <w:rPr>
                <w:rFonts w:ascii="Arial" w:cs="Arial" w:eastAsia="Arial" w:hAnsi="Arial"/>
                <w:sz w:val="18"/>
                <w:szCs w:val="18"/>
                <w:color w:val="auto"/>
              </w:rPr>
              <w:t>Feasterville</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Feasterville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500-1202</w:t>
            </w:r>
          </w:p>
        </w:tc>
        <w:tc>
          <w:tcPr>
            <w:tcW w:w="3420" w:type="dxa"/>
            <w:vAlign w:val="bottom"/>
          </w:tcPr>
          <w:p>
            <w:pPr>
              <w:spacing w:after="0"/>
              <w:rPr>
                <w:sz w:val="20"/>
                <w:szCs w:val="20"/>
                <w:color w:val="auto"/>
              </w:rPr>
            </w:pPr>
            <w:r>
              <w:rPr>
                <w:rFonts w:ascii="Arial" w:cs="Arial" w:eastAsia="Arial" w:hAnsi="Arial"/>
                <w:sz w:val="18"/>
                <w:szCs w:val="18"/>
                <w:color w:val="auto"/>
              </w:rPr>
              <w:t>Flourtown</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Flourtown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500-1217</w:t>
            </w:r>
          </w:p>
        </w:tc>
        <w:tc>
          <w:tcPr>
            <w:tcW w:w="3420" w:type="dxa"/>
            <w:vAlign w:val="bottom"/>
          </w:tcPr>
          <w:p>
            <w:pPr>
              <w:spacing w:after="0"/>
              <w:rPr>
                <w:sz w:val="20"/>
                <w:szCs w:val="20"/>
                <w:color w:val="auto"/>
              </w:rPr>
            </w:pPr>
            <w:r>
              <w:rPr>
                <w:rFonts w:ascii="Arial" w:cs="Arial" w:eastAsia="Arial" w:hAnsi="Arial"/>
                <w:sz w:val="18"/>
                <w:szCs w:val="18"/>
                <w:color w:val="auto"/>
              </w:rPr>
              <w:t>Finley Square</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Downers Grove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500-1220</w:t>
            </w:r>
          </w:p>
        </w:tc>
        <w:tc>
          <w:tcPr>
            <w:tcW w:w="3420" w:type="dxa"/>
            <w:vAlign w:val="bottom"/>
          </w:tcPr>
          <w:p>
            <w:pPr>
              <w:spacing w:after="0"/>
              <w:rPr>
                <w:sz w:val="20"/>
                <w:szCs w:val="20"/>
                <w:color w:val="auto"/>
              </w:rPr>
            </w:pPr>
            <w:r>
              <w:rPr>
                <w:rFonts w:ascii="Arial" w:cs="Arial" w:eastAsia="Arial" w:hAnsi="Arial"/>
                <w:sz w:val="18"/>
                <w:szCs w:val="18"/>
                <w:color w:val="auto"/>
              </w:rPr>
              <w:t>Gratiot Plaza</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Roseville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MI</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500-1235   Gaithersburg Square Shopping Center</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Gaithersburg</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500-1236   Gaithersburg Square Office Bld</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Gaithersburg</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500-1245</w:t>
            </w:r>
          </w:p>
        </w:tc>
        <w:tc>
          <w:tcPr>
            <w:tcW w:w="3420" w:type="dxa"/>
            <w:vAlign w:val="bottom"/>
          </w:tcPr>
          <w:p>
            <w:pPr>
              <w:spacing w:after="0"/>
              <w:rPr>
                <w:sz w:val="20"/>
                <w:szCs w:val="20"/>
                <w:color w:val="auto"/>
              </w:rPr>
            </w:pPr>
            <w:r>
              <w:rPr>
                <w:rFonts w:ascii="Arial" w:cs="Arial" w:eastAsia="Arial" w:hAnsi="Arial"/>
                <w:sz w:val="18"/>
                <w:szCs w:val="18"/>
                <w:color w:val="auto"/>
              </w:rPr>
              <w:t>Garden Market</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Western Springs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500-1315</w:t>
            </w:r>
          </w:p>
        </w:tc>
        <w:tc>
          <w:tcPr>
            <w:tcW w:w="3420" w:type="dxa"/>
            <w:vAlign w:val="bottom"/>
          </w:tcPr>
          <w:p>
            <w:pPr>
              <w:spacing w:after="0"/>
              <w:rPr>
                <w:sz w:val="20"/>
                <w:szCs w:val="20"/>
                <w:color w:val="auto"/>
              </w:rPr>
            </w:pPr>
            <w:r>
              <w:rPr>
                <w:rFonts w:ascii="Arial" w:cs="Arial" w:eastAsia="Arial" w:hAnsi="Arial"/>
                <w:sz w:val="18"/>
                <w:szCs w:val="18"/>
                <w:color w:val="auto"/>
              </w:rPr>
              <w:t>Idylwood Plaza</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Falls Church</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500-1321</w:t>
            </w:r>
          </w:p>
        </w:tc>
        <w:tc>
          <w:tcPr>
            <w:tcW w:w="3420" w:type="dxa"/>
            <w:vAlign w:val="bottom"/>
          </w:tcPr>
          <w:p>
            <w:pPr>
              <w:spacing w:after="0"/>
              <w:rPr>
                <w:sz w:val="20"/>
                <w:szCs w:val="20"/>
                <w:color w:val="auto"/>
              </w:rPr>
            </w:pPr>
            <w:r>
              <w:rPr>
                <w:rFonts w:ascii="Arial" w:cs="Arial" w:eastAsia="Arial" w:hAnsi="Arial"/>
                <w:sz w:val="18"/>
                <w:szCs w:val="18"/>
                <w:color w:val="auto"/>
              </w:rPr>
              <w:t>Allwood</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Clifton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 right of leasehold mortgagee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to notice and cure; approval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fee mortgagee needed for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leasehold mortgage; some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limitations on tenant’s ability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transfer;</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500-1322</w:t>
            </w:r>
          </w:p>
        </w:tc>
        <w:tc>
          <w:tcPr>
            <w:tcW w:w="3420" w:type="dxa"/>
            <w:vAlign w:val="bottom"/>
          </w:tcPr>
          <w:p>
            <w:pPr>
              <w:spacing w:after="0"/>
              <w:rPr>
                <w:sz w:val="20"/>
                <w:szCs w:val="20"/>
                <w:color w:val="auto"/>
              </w:rPr>
            </w:pPr>
            <w:r>
              <w:rPr>
                <w:rFonts w:ascii="Arial" w:cs="Arial" w:eastAsia="Arial" w:hAnsi="Arial"/>
                <w:sz w:val="18"/>
                <w:szCs w:val="18"/>
                <w:color w:val="auto"/>
              </w:rPr>
              <w:t>Blue Star</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Watchung</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 right of leasehold mortgagee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to notice and cure; approval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fee mortgagee needed for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leasehold mortgage; some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limitations on tenant’s ability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transfer;</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500-1323</w:t>
            </w:r>
          </w:p>
        </w:tc>
        <w:tc>
          <w:tcPr>
            <w:tcW w:w="3420" w:type="dxa"/>
            <w:vAlign w:val="bottom"/>
          </w:tcPr>
          <w:p>
            <w:pPr>
              <w:spacing w:after="0"/>
              <w:rPr>
                <w:sz w:val="20"/>
                <w:szCs w:val="20"/>
                <w:color w:val="auto"/>
              </w:rPr>
            </w:pPr>
            <w:r>
              <w:rPr>
                <w:rFonts w:ascii="Arial" w:cs="Arial" w:eastAsia="Arial" w:hAnsi="Arial"/>
                <w:sz w:val="18"/>
                <w:szCs w:val="18"/>
                <w:color w:val="auto"/>
              </w:rPr>
              <w:t>Brunswick</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N.Brunswick</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 right of leasehold mortgagee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to notice and cure; approval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fee mortgagee needed for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leasehold mortgage; some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limitations on tenant’s ability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transfer;</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500-1324</w:t>
            </w:r>
          </w:p>
        </w:tc>
        <w:tc>
          <w:tcPr>
            <w:tcW w:w="3420" w:type="dxa"/>
            <w:vAlign w:val="bottom"/>
          </w:tcPr>
          <w:p>
            <w:pPr>
              <w:spacing w:after="0"/>
              <w:rPr>
                <w:sz w:val="20"/>
                <w:szCs w:val="20"/>
                <w:color w:val="auto"/>
              </w:rPr>
            </w:pPr>
            <w:r>
              <w:rPr>
                <w:rFonts w:ascii="Arial" w:cs="Arial" w:eastAsia="Arial" w:hAnsi="Arial"/>
                <w:sz w:val="18"/>
                <w:szCs w:val="18"/>
                <w:color w:val="auto"/>
              </w:rPr>
              <w:t>Clifton</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Clifton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 right of leasehold mortgagee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to notice and cure; approval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fee mortgagee needed for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leasehold mortgage; some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limitations on tenant’s ability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transfer;</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500-1325</w:t>
            </w:r>
          </w:p>
        </w:tc>
        <w:tc>
          <w:tcPr>
            <w:tcW w:w="3420" w:type="dxa"/>
            <w:vAlign w:val="bottom"/>
          </w:tcPr>
          <w:p>
            <w:pPr>
              <w:spacing w:after="0"/>
              <w:rPr>
                <w:sz w:val="20"/>
                <w:szCs w:val="20"/>
                <w:color w:val="auto"/>
              </w:rPr>
            </w:pPr>
            <w:r>
              <w:rPr>
                <w:rFonts w:ascii="Arial" w:cs="Arial" w:eastAsia="Arial" w:hAnsi="Arial"/>
                <w:sz w:val="18"/>
                <w:szCs w:val="18"/>
                <w:color w:val="auto"/>
              </w:rPr>
              <w:t>Hamilton</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Hamilton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 right of leasehold mortgagee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to notice and cure; approval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fee mortgagee needed for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leasehold mortgage; some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limitations on tenant’s ability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transfer;</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500-1326</w:t>
            </w:r>
          </w:p>
        </w:tc>
        <w:tc>
          <w:tcPr>
            <w:tcW w:w="3420" w:type="dxa"/>
            <w:vAlign w:val="bottom"/>
          </w:tcPr>
          <w:p>
            <w:pPr>
              <w:spacing w:after="0"/>
              <w:rPr>
                <w:sz w:val="20"/>
                <w:szCs w:val="20"/>
                <w:color w:val="auto"/>
              </w:rPr>
            </w:pPr>
            <w:r>
              <w:rPr>
                <w:rFonts w:ascii="Arial" w:cs="Arial" w:eastAsia="Arial" w:hAnsi="Arial"/>
                <w:sz w:val="18"/>
                <w:szCs w:val="18"/>
                <w:color w:val="auto"/>
              </w:rPr>
              <w:t>Huntington</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Huntington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No right of leasehold mortgagee</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to notice and cure; approval</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74" w:name="page175"/>
    <w:bookmarkEnd w:id="1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33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13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w:t>
            </w:r>
          </w:p>
        </w:tc>
        <w:tc>
          <w:tcPr>
            <w:tcW w:w="100" w:type="dxa"/>
            <w:vAlign w:val="bottom"/>
          </w:tcPr>
          <w:p>
            <w:pPr>
              <w:spacing w:after="0"/>
              <w:rPr>
                <w:sz w:val="14"/>
                <w:szCs w:val="14"/>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Property Type</w:t>
            </w:r>
          </w:p>
        </w:tc>
        <w:tc>
          <w:tcPr>
            <w:tcW w:w="120" w:type="dxa"/>
            <w:vAlign w:val="bottom"/>
          </w:tcPr>
          <w:p>
            <w:pPr>
              <w:spacing w:after="0"/>
              <w:rPr>
                <w:sz w:val="14"/>
                <w:szCs w:val="14"/>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Retail/Multif</w:t>
            </w: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ind w:left="620"/>
              <w:spacing w:after="0"/>
              <w:rPr>
                <w:sz w:val="20"/>
                <w:szCs w:val="20"/>
                <w:color w:val="auto"/>
              </w:rPr>
            </w:pPr>
            <w:r>
              <w:rPr>
                <w:rFonts w:ascii="Arial" w:cs="Arial" w:eastAsia="Arial" w:hAnsi="Arial"/>
                <w:sz w:val="14"/>
                <w:szCs w:val="14"/>
                <w:b w:val="1"/>
                <w:bCs w:val="1"/>
                <w:color w:val="auto"/>
              </w:rPr>
              <w:t>Eligible Property Exceptions</w:t>
            </w:r>
          </w:p>
        </w:tc>
        <w:tc>
          <w:tcPr>
            <w:tcW w:w="0" w:type="dxa"/>
            <w:vAlign w:val="bottom"/>
          </w:tcPr>
          <w:p>
            <w:pPr>
              <w:spacing w:after="0"/>
              <w:rPr>
                <w:sz w:val="1"/>
                <w:szCs w:val="1"/>
                <w:color w:val="auto"/>
              </w:rPr>
            </w:pPr>
          </w:p>
        </w:tc>
      </w:tr>
      <w:tr>
        <w:trPr>
          <w:trHeight w:val="201"/>
        </w:trPr>
        <w:tc>
          <w:tcPr>
            <w:tcW w:w="5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of fee mortgagee needed for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leasehold mortgage; some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limitations on tenant’s ability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transfer;</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500-1327</w:t>
            </w:r>
          </w:p>
        </w:tc>
        <w:tc>
          <w:tcPr>
            <w:tcW w:w="3300" w:type="dxa"/>
            <w:vAlign w:val="bottom"/>
          </w:tcPr>
          <w:p>
            <w:pPr>
              <w:spacing w:after="0"/>
              <w:rPr>
                <w:sz w:val="20"/>
                <w:szCs w:val="20"/>
                <w:color w:val="auto"/>
              </w:rPr>
            </w:pPr>
            <w:r>
              <w:rPr>
                <w:rFonts w:ascii="Arial" w:cs="Arial" w:eastAsia="Arial" w:hAnsi="Arial"/>
                <w:sz w:val="18"/>
                <w:szCs w:val="18"/>
                <w:color w:val="auto"/>
              </w:rPr>
              <w:t>Rutgers</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Franklin</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NJ</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 right of leasehold mortgagee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notice and cure; approval of fee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mortgagee needed for leasehold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mortgage; some limitations 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tenant’s ability to transfer;</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500-1440</w:t>
            </w:r>
          </w:p>
        </w:tc>
        <w:tc>
          <w:tcPr>
            <w:tcW w:w="3300" w:type="dxa"/>
            <w:vAlign w:val="bottom"/>
          </w:tcPr>
          <w:p>
            <w:pPr>
              <w:spacing w:after="0"/>
              <w:rPr>
                <w:sz w:val="20"/>
                <w:szCs w:val="20"/>
                <w:color w:val="auto"/>
              </w:rPr>
            </w:pPr>
            <w:r>
              <w:rPr>
                <w:rFonts w:ascii="Arial" w:cs="Arial" w:eastAsia="Arial" w:hAnsi="Arial"/>
                <w:sz w:val="18"/>
                <w:szCs w:val="18"/>
                <w:color w:val="auto"/>
              </w:rPr>
              <w:t>Lancaster</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Lancaster</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Lease expires 3/27/17 but has 12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remaining 5-year extension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options</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500-1441</w:t>
            </w:r>
          </w:p>
        </w:tc>
        <w:tc>
          <w:tcPr>
            <w:tcW w:w="3300" w:type="dxa"/>
            <w:vAlign w:val="bottom"/>
          </w:tcPr>
          <w:p>
            <w:pPr>
              <w:spacing w:after="0"/>
              <w:rPr>
                <w:sz w:val="20"/>
                <w:szCs w:val="20"/>
                <w:color w:val="auto"/>
              </w:rPr>
            </w:pPr>
            <w:r>
              <w:rPr>
                <w:rFonts w:ascii="Arial" w:cs="Arial" w:eastAsia="Arial" w:hAnsi="Arial"/>
                <w:sz w:val="18"/>
                <w:szCs w:val="18"/>
                <w:color w:val="auto"/>
              </w:rPr>
              <w:t>Langhorne Square</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Levittown</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500-1443</w:t>
            </w:r>
          </w:p>
        </w:tc>
        <w:tc>
          <w:tcPr>
            <w:tcW w:w="3300" w:type="dxa"/>
            <w:vAlign w:val="bottom"/>
          </w:tcPr>
          <w:p>
            <w:pPr>
              <w:spacing w:after="0"/>
              <w:rPr>
                <w:sz w:val="20"/>
                <w:szCs w:val="20"/>
                <w:color w:val="auto"/>
              </w:rPr>
            </w:pPr>
            <w:r>
              <w:rPr>
                <w:rFonts w:ascii="Arial" w:cs="Arial" w:eastAsia="Arial" w:hAnsi="Arial"/>
                <w:sz w:val="18"/>
                <w:szCs w:val="18"/>
                <w:color w:val="auto"/>
              </w:rPr>
              <w:t>Laurel Centre</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Laurel</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500-1475</w:t>
            </w:r>
          </w:p>
        </w:tc>
        <w:tc>
          <w:tcPr>
            <w:tcW w:w="3300" w:type="dxa"/>
            <w:vAlign w:val="bottom"/>
          </w:tcPr>
          <w:p>
            <w:pPr>
              <w:spacing w:after="0"/>
              <w:rPr>
                <w:sz w:val="20"/>
                <w:szCs w:val="20"/>
                <w:color w:val="auto"/>
              </w:rPr>
            </w:pPr>
            <w:r>
              <w:rPr>
                <w:rFonts w:ascii="Arial" w:cs="Arial" w:eastAsia="Arial" w:hAnsi="Arial"/>
                <w:sz w:val="18"/>
                <w:szCs w:val="18"/>
                <w:color w:val="auto"/>
              </w:rPr>
              <w:t>Mercer Mall</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Lawrenceville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NJ</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Owned pursuant to ground lease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that expires 9/30/2028 with an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option for the tenant to purchase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the property at a fixed price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500-1476</w:t>
            </w:r>
          </w:p>
        </w:tc>
        <w:tc>
          <w:tcPr>
            <w:tcW w:w="3300" w:type="dxa"/>
            <w:vAlign w:val="bottom"/>
          </w:tcPr>
          <w:p>
            <w:pPr>
              <w:spacing w:after="0"/>
              <w:rPr>
                <w:sz w:val="20"/>
                <w:szCs w:val="20"/>
                <w:color w:val="auto"/>
              </w:rPr>
            </w:pPr>
            <w:r>
              <w:rPr>
                <w:rFonts w:ascii="Arial" w:cs="Arial" w:eastAsia="Arial" w:hAnsi="Arial"/>
                <w:sz w:val="18"/>
                <w:szCs w:val="18"/>
                <w:color w:val="auto"/>
              </w:rPr>
              <w:t>Mercer Mall-Loupinski/Moore</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Lawrenceville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NJ</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500-1480</w:t>
            </w:r>
          </w:p>
        </w:tc>
        <w:tc>
          <w:tcPr>
            <w:tcW w:w="3300" w:type="dxa"/>
            <w:vAlign w:val="bottom"/>
          </w:tcPr>
          <w:p>
            <w:pPr>
              <w:spacing w:after="0"/>
              <w:rPr>
                <w:sz w:val="20"/>
                <w:szCs w:val="20"/>
                <w:color w:val="auto"/>
              </w:rPr>
            </w:pPr>
            <w:r>
              <w:rPr>
                <w:rFonts w:ascii="Arial" w:cs="Arial" w:eastAsia="Arial" w:hAnsi="Arial"/>
                <w:sz w:val="18"/>
                <w:szCs w:val="18"/>
                <w:color w:val="auto"/>
              </w:rPr>
              <w:t>Mid-Pike Plaza</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Rockville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500-1500   Town Center of New Britain</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New Britain</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500-1520</w:t>
            </w:r>
          </w:p>
        </w:tc>
        <w:tc>
          <w:tcPr>
            <w:tcW w:w="3300" w:type="dxa"/>
            <w:vAlign w:val="bottom"/>
          </w:tcPr>
          <w:p>
            <w:pPr>
              <w:spacing w:after="0"/>
              <w:rPr>
                <w:sz w:val="20"/>
                <w:szCs w:val="20"/>
                <w:color w:val="auto"/>
              </w:rPr>
            </w:pPr>
            <w:r>
              <w:rPr>
                <w:rFonts w:ascii="Arial" w:cs="Arial" w:eastAsia="Arial" w:hAnsi="Arial"/>
                <w:sz w:val="18"/>
                <w:szCs w:val="18"/>
                <w:color w:val="auto"/>
              </w:rPr>
              <w:t>Northeast</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500-1525</w:t>
            </w:r>
          </w:p>
        </w:tc>
        <w:tc>
          <w:tcPr>
            <w:tcW w:w="3300" w:type="dxa"/>
            <w:vAlign w:val="bottom"/>
          </w:tcPr>
          <w:p>
            <w:pPr>
              <w:spacing w:after="0"/>
              <w:rPr>
                <w:sz w:val="20"/>
                <w:szCs w:val="20"/>
                <w:color w:val="auto"/>
              </w:rPr>
            </w:pPr>
            <w:r>
              <w:rPr>
                <w:rFonts w:ascii="Arial" w:cs="Arial" w:eastAsia="Arial" w:hAnsi="Arial"/>
                <w:sz w:val="18"/>
                <w:szCs w:val="18"/>
                <w:color w:val="auto"/>
              </w:rPr>
              <w:t>North Lake Commons</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Lake Zurich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IL</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500-1560</w:t>
            </w:r>
          </w:p>
        </w:tc>
        <w:tc>
          <w:tcPr>
            <w:tcW w:w="3300" w:type="dxa"/>
            <w:vAlign w:val="bottom"/>
          </w:tcPr>
          <w:p>
            <w:pPr>
              <w:spacing w:after="0"/>
              <w:rPr>
                <w:sz w:val="20"/>
                <w:szCs w:val="20"/>
                <w:color w:val="auto"/>
              </w:rPr>
            </w:pPr>
            <w:r>
              <w:rPr>
                <w:rFonts w:ascii="Arial" w:cs="Arial" w:eastAsia="Arial" w:hAnsi="Arial"/>
                <w:sz w:val="18"/>
                <w:szCs w:val="18"/>
                <w:color w:val="auto"/>
              </w:rPr>
              <w:t>Old Keene Mill</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Springfield</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500-1580</w:t>
            </w:r>
          </w:p>
        </w:tc>
        <w:tc>
          <w:tcPr>
            <w:tcW w:w="3300" w:type="dxa"/>
            <w:vAlign w:val="bottom"/>
          </w:tcPr>
          <w:p>
            <w:pPr>
              <w:spacing w:after="0"/>
              <w:rPr>
                <w:sz w:val="20"/>
                <w:szCs w:val="20"/>
                <w:color w:val="auto"/>
              </w:rPr>
            </w:pPr>
            <w:r>
              <w:rPr>
                <w:rFonts w:ascii="Arial" w:cs="Arial" w:eastAsia="Arial" w:hAnsi="Arial"/>
                <w:sz w:val="18"/>
                <w:szCs w:val="18"/>
                <w:color w:val="auto"/>
              </w:rPr>
              <w:t>Pan Am</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Fairfax</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500-1610</w:t>
            </w:r>
          </w:p>
        </w:tc>
        <w:tc>
          <w:tcPr>
            <w:tcW w:w="3300" w:type="dxa"/>
            <w:vAlign w:val="bottom"/>
          </w:tcPr>
          <w:p>
            <w:pPr>
              <w:spacing w:after="0"/>
              <w:rPr>
                <w:sz w:val="20"/>
                <w:szCs w:val="20"/>
                <w:color w:val="auto"/>
              </w:rPr>
            </w:pPr>
            <w:r>
              <w:rPr>
                <w:rFonts w:ascii="Arial" w:cs="Arial" w:eastAsia="Arial" w:hAnsi="Arial"/>
                <w:sz w:val="18"/>
                <w:szCs w:val="18"/>
                <w:color w:val="auto"/>
              </w:rPr>
              <w:t>Queen Anne Plaza</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Norwell</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MA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500-1625   Quince Orchard Shopping Center</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Gaithersburg</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500-1626   Quince Orchard Office Building</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Gaithersburg</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500-1627</w:t>
            </w:r>
          </w:p>
        </w:tc>
        <w:tc>
          <w:tcPr>
            <w:tcW w:w="3300" w:type="dxa"/>
            <w:vAlign w:val="bottom"/>
          </w:tcPr>
          <w:p>
            <w:pPr>
              <w:spacing w:after="0"/>
              <w:rPr>
                <w:sz w:val="20"/>
                <w:szCs w:val="20"/>
                <w:color w:val="auto"/>
              </w:rPr>
            </w:pPr>
            <w:r>
              <w:rPr>
                <w:rFonts w:ascii="Arial" w:cs="Arial" w:eastAsia="Arial" w:hAnsi="Arial"/>
                <w:sz w:val="18"/>
                <w:szCs w:val="18"/>
                <w:color w:val="auto"/>
              </w:rPr>
              <w:t>7700 Richmond Highway</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Alexandria</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500-1700</w:t>
            </w:r>
          </w:p>
        </w:tc>
        <w:tc>
          <w:tcPr>
            <w:tcW w:w="3300" w:type="dxa"/>
            <w:vAlign w:val="bottom"/>
          </w:tcPr>
          <w:p>
            <w:pPr>
              <w:spacing w:after="0"/>
              <w:rPr>
                <w:sz w:val="20"/>
                <w:szCs w:val="20"/>
                <w:color w:val="auto"/>
              </w:rPr>
            </w:pPr>
            <w:r>
              <w:rPr>
                <w:rFonts w:ascii="Arial" w:cs="Arial" w:eastAsia="Arial" w:hAnsi="Arial"/>
                <w:sz w:val="18"/>
                <w:szCs w:val="18"/>
                <w:color w:val="auto"/>
              </w:rPr>
              <w:t>Saugus Plaza</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Saugus</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MA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500-1750</w:t>
            </w:r>
          </w:p>
        </w:tc>
        <w:tc>
          <w:tcPr>
            <w:tcW w:w="3300" w:type="dxa"/>
            <w:vAlign w:val="bottom"/>
          </w:tcPr>
          <w:p>
            <w:pPr>
              <w:spacing w:after="0"/>
              <w:rPr>
                <w:sz w:val="20"/>
                <w:szCs w:val="20"/>
                <w:color w:val="auto"/>
              </w:rPr>
            </w:pPr>
            <w:r>
              <w:rPr>
                <w:rFonts w:ascii="Arial" w:cs="Arial" w:eastAsia="Arial" w:hAnsi="Arial"/>
                <w:sz w:val="18"/>
                <w:szCs w:val="18"/>
                <w:color w:val="auto"/>
              </w:rPr>
              <w:t>Tower</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Springfield</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500-1761</w:t>
            </w:r>
          </w:p>
        </w:tc>
        <w:tc>
          <w:tcPr>
            <w:tcW w:w="3300" w:type="dxa"/>
            <w:vAlign w:val="bottom"/>
          </w:tcPr>
          <w:p>
            <w:pPr>
              <w:spacing w:after="0"/>
              <w:rPr>
                <w:sz w:val="20"/>
                <w:szCs w:val="20"/>
                <w:color w:val="auto"/>
              </w:rPr>
            </w:pPr>
            <w:r>
              <w:rPr>
                <w:rFonts w:ascii="Arial" w:cs="Arial" w:eastAsia="Arial" w:hAnsi="Arial"/>
                <w:sz w:val="18"/>
                <w:szCs w:val="18"/>
                <w:color w:val="auto"/>
              </w:rPr>
              <w:t>Troy</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Parsippany-Troy</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NJ</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500-1880</w:t>
            </w:r>
          </w:p>
        </w:tc>
        <w:tc>
          <w:tcPr>
            <w:tcW w:w="3300" w:type="dxa"/>
            <w:vAlign w:val="bottom"/>
          </w:tcPr>
          <w:p>
            <w:pPr>
              <w:spacing w:after="0"/>
              <w:rPr>
                <w:sz w:val="20"/>
                <w:szCs w:val="20"/>
                <w:color w:val="auto"/>
              </w:rPr>
            </w:pPr>
            <w:r>
              <w:rPr>
                <w:rFonts w:ascii="Arial" w:cs="Arial" w:eastAsia="Arial" w:hAnsi="Arial"/>
                <w:sz w:val="18"/>
                <w:szCs w:val="18"/>
                <w:color w:val="auto"/>
              </w:rPr>
              <w:t>Falls Plaza East</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Falls Church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500-1883</w:t>
            </w:r>
          </w:p>
        </w:tc>
        <w:tc>
          <w:tcPr>
            <w:tcW w:w="3300" w:type="dxa"/>
            <w:vAlign w:val="bottom"/>
          </w:tcPr>
          <w:p>
            <w:pPr>
              <w:spacing w:after="0"/>
              <w:rPr>
                <w:sz w:val="20"/>
                <w:szCs w:val="20"/>
                <w:color w:val="auto"/>
              </w:rPr>
            </w:pPr>
            <w:r>
              <w:rPr>
                <w:rFonts w:ascii="Arial" w:cs="Arial" w:eastAsia="Arial" w:hAnsi="Arial"/>
                <w:sz w:val="18"/>
                <w:szCs w:val="18"/>
                <w:color w:val="auto"/>
              </w:rPr>
              <w:t>Willow Lawn</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Richmond</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500-1889</w:t>
            </w:r>
          </w:p>
        </w:tc>
        <w:tc>
          <w:tcPr>
            <w:tcW w:w="3300" w:type="dxa"/>
            <w:vAlign w:val="bottom"/>
          </w:tcPr>
          <w:p>
            <w:pPr>
              <w:spacing w:after="0"/>
              <w:rPr>
                <w:sz w:val="20"/>
                <w:szCs w:val="20"/>
                <w:color w:val="auto"/>
              </w:rPr>
            </w:pPr>
            <w:r>
              <w:rPr>
                <w:rFonts w:ascii="Arial" w:cs="Arial" w:eastAsia="Arial" w:hAnsi="Arial"/>
                <w:sz w:val="18"/>
                <w:szCs w:val="18"/>
                <w:color w:val="auto"/>
              </w:rPr>
              <w:t>Willow Grove</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Willow Grove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500-1910</w:t>
            </w:r>
          </w:p>
        </w:tc>
        <w:tc>
          <w:tcPr>
            <w:tcW w:w="3300" w:type="dxa"/>
            <w:vAlign w:val="bottom"/>
          </w:tcPr>
          <w:p>
            <w:pPr>
              <w:spacing w:after="0"/>
              <w:rPr>
                <w:sz w:val="20"/>
                <w:szCs w:val="20"/>
                <w:color w:val="auto"/>
              </w:rPr>
            </w:pPr>
            <w:r>
              <w:rPr>
                <w:rFonts w:ascii="Arial" w:cs="Arial" w:eastAsia="Arial" w:hAnsi="Arial"/>
                <w:sz w:val="18"/>
                <w:szCs w:val="18"/>
                <w:color w:val="auto"/>
              </w:rPr>
              <w:t>Rockville Town Center</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Rockville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Acquisition of retail space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500-1911   Rockville Town Center 2</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Rockville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Acquisition of retail space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22"/>
        </w:trPr>
        <w:tc>
          <w:tcPr>
            <w:tcW w:w="900" w:type="dxa"/>
            <w:vAlign w:val="bottom"/>
            <w:gridSpan w:val="2"/>
          </w:tcPr>
          <w:p>
            <w:pPr>
              <w:spacing w:after="0"/>
              <w:rPr>
                <w:sz w:val="20"/>
                <w:szCs w:val="20"/>
                <w:color w:val="auto"/>
              </w:rPr>
            </w:pPr>
            <w:r>
              <w:rPr>
                <w:rFonts w:ascii="Arial" w:cs="Arial" w:eastAsia="Arial" w:hAnsi="Arial"/>
                <w:sz w:val="18"/>
                <w:szCs w:val="18"/>
                <w:color w:val="auto"/>
              </w:rPr>
              <w:t>500-2060</w:t>
            </w:r>
          </w:p>
        </w:tc>
        <w:tc>
          <w:tcPr>
            <w:tcW w:w="3300" w:type="dxa"/>
            <w:vAlign w:val="bottom"/>
          </w:tcPr>
          <w:p>
            <w:pPr>
              <w:spacing w:after="0"/>
              <w:rPr>
                <w:sz w:val="20"/>
                <w:szCs w:val="20"/>
                <w:color w:val="auto"/>
              </w:rPr>
            </w:pPr>
            <w:r>
              <w:rPr>
                <w:rFonts w:ascii="Arial" w:cs="Arial" w:eastAsia="Arial" w:hAnsi="Arial"/>
                <w:sz w:val="18"/>
                <w:szCs w:val="18"/>
                <w:color w:val="auto"/>
              </w:rPr>
              <w:t>Rollingwood Apartments</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Silver Spring</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c>
          <w:tcPr>
            <w:tcW w:w="1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Multifamily</w:t>
            </w:r>
          </w:p>
        </w:tc>
        <w:tc>
          <w:tcPr>
            <w:tcW w:w="1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75" w:name="page176"/>
    <w:bookmarkEnd w:id="1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300" w:type="dxa"/>
            <w:vAlign w:val="bottom"/>
            <w:gridSpan w:val="2"/>
          </w:tcPr>
          <w:p>
            <w:pPr>
              <w:jc w:val="center"/>
              <w:ind w:left="2692"/>
              <w:spacing w:after="0"/>
              <w:rPr>
                <w:sz w:val="20"/>
                <w:szCs w:val="20"/>
                <w:color w:val="auto"/>
              </w:rPr>
            </w:pPr>
            <w:r>
              <w:rPr>
                <w:rFonts w:ascii="Arial" w:cs="Arial" w:eastAsia="Arial" w:hAnsi="Arial"/>
                <w:sz w:val="18"/>
                <w:szCs w:val="18"/>
                <w:color w:val="auto"/>
              </w:rPr>
              <w:t>EXHIBIT A</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78"/>
        </w:trPr>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20" w:type="dxa"/>
            <w:vAlign w:val="bottom"/>
            <w:gridSpan w:val="5"/>
          </w:tcPr>
          <w:p>
            <w:pPr>
              <w:jc w:val="center"/>
              <w:ind w:right="140"/>
              <w:spacing w:after="0"/>
              <w:rPr>
                <w:sz w:val="20"/>
                <w:szCs w:val="20"/>
                <w:color w:val="auto"/>
              </w:rPr>
            </w:pPr>
            <w:r>
              <w:rPr>
                <w:rFonts w:ascii="Arial" w:cs="Arial" w:eastAsia="Arial" w:hAnsi="Arial"/>
                <w:sz w:val="18"/>
                <w:szCs w:val="18"/>
                <w:color w:val="auto"/>
                <w:w w:val="94"/>
              </w:rPr>
              <w:t>FORM OF ASSIGNMENT AND ACCEPTANCE AGREEMENT</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40"/>
        </w:trPr>
        <w:tc>
          <w:tcPr>
            <w:tcW w:w="5600" w:type="dxa"/>
            <w:vAlign w:val="bottom"/>
            <w:gridSpan w:val="3"/>
          </w:tcPr>
          <w:p>
            <w:pPr>
              <w:ind w:left="460"/>
              <w:spacing w:after="0"/>
              <w:rPr>
                <w:sz w:val="20"/>
                <w:szCs w:val="20"/>
                <w:color w:val="auto"/>
              </w:rPr>
            </w:pPr>
            <w:r>
              <w:rPr>
                <w:rFonts w:ascii="Arial" w:cs="Arial" w:eastAsia="Arial" w:hAnsi="Arial"/>
                <w:sz w:val="18"/>
                <w:szCs w:val="18"/>
                <w:color w:val="auto"/>
                <w:w w:val="93"/>
              </w:rPr>
              <w:t>THIS ASSIGNMENT AND ACCEPTANCE AGREEMENT dated as of</w:t>
            </w:r>
          </w:p>
        </w:tc>
        <w:tc>
          <w:tcPr>
            <w:tcW w:w="880" w:type="dxa"/>
            <w:vAlign w:val="bottom"/>
          </w:tcPr>
          <w:p>
            <w:pPr>
              <w:spacing w:after="0"/>
              <w:rPr>
                <w:sz w:val="24"/>
                <w:szCs w:val="24"/>
                <w:color w:val="auto"/>
              </w:rPr>
            </w:pPr>
          </w:p>
        </w:tc>
        <w:tc>
          <w:tcPr>
            <w:tcW w:w="2920" w:type="dxa"/>
            <w:vAlign w:val="bottom"/>
            <w:gridSpan w:val="3"/>
          </w:tcPr>
          <w:p>
            <w:pPr>
              <w:ind w:left="60"/>
              <w:spacing w:after="0"/>
              <w:rPr>
                <w:sz w:val="20"/>
                <w:szCs w:val="20"/>
                <w:color w:val="auto"/>
              </w:rPr>
            </w:pPr>
            <w:r>
              <w:rPr>
                <w:rFonts w:ascii="Arial" w:cs="Arial" w:eastAsia="Arial" w:hAnsi="Arial"/>
                <w:sz w:val="18"/>
                <w:szCs w:val="18"/>
                <w:color w:val="auto"/>
                <w:w w:val="92"/>
              </w:rPr>
              <w:t>, 20   (the “Agreement”) by and among</w:t>
            </w:r>
          </w:p>
        </w:tc>
        <w:tc>
          <w:tcPr>
            <w:tcW w:w="124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3"/>
              </w:rPr>
              <w:t>(the</w:t>
            </w:r>
          </w:p>
        </w:tc>
      </w:tr>
      <w:tr>
        <w:trPr>
          <w:trHeight w:val="20"/>
        </w:trPr>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w w:val="98"/>
              </w:rPr>
              <w:t>“Assignor”),</w:t>
            </w:r>
          </w:p>
        </w:tc>
        <w:tc>
          <w:tcPr>
            <w:tcW w:w="1240" w:type="dxa"/>
            <w:vAlign w:val="bottom"/>
            <w:tcBorders>
              <w:bottom w:val="single" w:sz="8" w:color="auto"/>
            </w:tcBorders>
          </w:tcPr>
          <w:p>
            <w:pPr>
              <w:spacing w:after="0"/>
              <w:rPr>
                <w:sz w:val="17"/>
                <w:szCs w:val="17"/>
                <w:color w:val="auto"/>
              </w:rPr>
            </w:pPr>
          </w:p>
        </w:tc>
        <w:tc>
          <w:tcPr>
            <w:tcW w:w="7220" w:type="dxa"/>
            <w:vAlign w:val="bottom"/>
            <w:gridSpan w:val="5"/>
          </w:tcPr>
          <w:p>
            <w:pPr>
              <w:jc w:val="center"/>
              <w:ind w:right="180"/>
              <w:spacing w:after="0" w:line="196" w:lineRule="exact"/>
              <w:rPr>
                <w:sz w:val="20"/>
                <w:szCs w:val="20"/>
                <w:color w:val="auto"/>
              </w:rPr>
            </w:pPr>
            <w:r>
              <w:rPr>
                <w:rFonts w:ascii="Arial" w:cs="Arial" w:eastAsia="Arial" w:hAnsi="Arial"/>
                <w:sz w:val="18"/>
                <w:szCs w:val="18"/>
                <w:color w:val="auto"/>
                <w:w w:val="93"/>
              </w:rPr>
              <w:t>(the “Assignee”), and WACHOVIA BANK, NATIONAL ASSOCIATION, as Agent (the “Agent”).</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18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WHEREAS, the Assignor is a Lender under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the Assignor desires to assign to the Assignee, among other things, all or a portion of the Assignor’s rights under the Credit Agreement, all on the terms and conditions set forth herein;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Agent consents to such assignment on the terms and conditions set forth herein;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hereby are acknowledged by the parties hereto, the parties hereto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Subject to the terms and conditions of this Agreement and in consideration of the payment to be made by the Assignee to the Assignor pursuant to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3"/>
          </w:tcPr>
          <w:p>
            <w:pPr>
              <w:spacing w:after="0"/>
              <w:rPr>
                <w:sz w:val="20"/>
                <w:szCs w:val="20"/>
                <w:color w:val="auto"/>
              </w:rPr>
            </w:pPr>
            <w:r>
              <w:rPr>
                <w:rFonts w:ascii="Arial" w:cs="Arial" w:eastAsia="Arial" w:hAnsi="Arial"/>
                <w:sz w:val="18"/>
                <w:szCs w:val="18"/>
                <w:color w:val="auto"/>
                <w:w w:val="89"/>
              </w:rPr>
              <w:t>Section 2 of this Agreement, effective as of</w:t>
            </w:r>
          </w:p>
        </w:tc>
        <w:tc>
          <w:tcPr>
            <w:tcW w:w="880" w:type="dxa"/>
            <w:vAlign w:val="bottom"/>
          </w:tcPr>
          <w:p>
            <w:pPr>
              <w:spacing w:after="0"/>
              <w:rPr>
                <w:sz w:val="17"/>
                <w:szCs w:val="17"/>
                <w:color w:val="auto"/>
              </w:rPr>
            </w:pPr>
          </w:p>
        </w:tc>
        <w:tc>
          <w:tcPr>
            <w:tcW w:w="7420" w:type="dxa"/>
            <w:vAlign w:val="bottom"/>
            <w:gridSpan w:val="7"/>
          </w:tcPr>
          <w:p>
            <w:pPr>
              <w:spacing w:after="0"/>
              <w:rPr>
                <w:sz w:val="20"/>
                <w:szCs w:val="20"/>
                <w:color w:val="auto"/>
              </w:rPr>
            </w:pPr>
            <w:r>
              <w:rPr>
                <w:rFonts w:ascii="Arial" w:cs="Arial" w:eastAsia="Arial" w:hAnsi="Arial"/>
                <w:sz w:val="18"/>
                <w:szCs w:val="18"/>
                <w:color w:val="auto"/>
                <w:w w:val="94"/>
              </w:rPr>
              <w:t>, 200   (the “Assignment Date”), the Assignor hereby irrevocably sells, transfers and assigns to the</w:t>
            </w:r>
          </w:p>
        </w:tc>
      </w:tr>
      <w:tr>
        <w:trPr>
          <w:trHeight w:val="20"/>
        </w:trPr>
        <w:tc>
          <w:tcPr>
            <w:tcW w:w="2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220" w:type="dxa"/>
            <w:vAlign w:val="bottom"/>
          </w:tcPr>
          <w:p>
            <w:pPr>
              <w:spacing w:after="0" w:line="196" w:lineRule="exact"/>
              <w:rPr>
                <w:sz w:val="20"/>
                <w:szCs w:val="20"/>
                <w:color w:val="auto"/>
              </w:rPr>
            </w:pPr>
            <w:r>
              <w:rPr>
                <w:rFonts w:ascii="Arial" w:cs="Arial" w:eastAsia="Arial" w:hAnsi="Arial"/>
                <w:sz w:val="18"/>
                <w:szCs w:val="18"/>
                <w:color w:val="auto"/>
                <w:w w:val="87"/>
              </w:rPr>
              <w:t>Assignee, without recourse, a $</w:t>
            </w:r>
          </w:p>
        </w:tc>
        <w:tc>
          <w:tcPr>
            <w:tcW w:w="520" w:type="dxa"/>
            <w:vAlign w:val="bottom"/>
            <w:tcBorders>
              <w:bottom w:val="single" w:sz="8" w:color="auto"/>
            </w:tcBorders>
          </w:tcPr>
          <w:p>
            <w:pPr>
              <w:spacing w:after="0"/>
              <w:rPr>
                <w:sz w:val="17"/>
                <w:szCs w:val="17"/>
                <w:color w:val="auto"/>
              </w:rPr>
            </w:pPr>
          </w:p>
        </w:tc>
        <w:tc>
          <w:tcPr>
            <w:tcW w:w="8660" w:type="dxa"/>
            <w:vAlign w:val="bottom"/>
            <w:gridSpan w:val="9"/>
          </w:tcPr>
          <w:p>
            <w:pPr>
              <w:ind w:left="40"/>
              <w:spacing w:after="0" w:line="196" w:lineRule="exact"/>
              <w:rPr>
                <w:sz w:val="20"/>
                <w:szCs w:val="20"/>
                <w:color w:val="auto"/>
              </w:rPr>
            </w:pPr>
            <w:r>
              <w:rPr>
                <w:rFonts w:ascii="Arial" w:cs="Arial" w:eastAsia="Arial" w:hAnsi="Arial"/>
                <w:sz w:val="18"/>
                <w:szCs w:val="18"/>
                <w:color w:val="auto"/>
                <w:w w:val="89"/>
              </w:rPr>
              <w:t>interest (such interest being the “Assigned Commitment”) in and to the Assignor’s Commitment and all of the other rights</w:t>
            </w:r>
          </w:p>
        </w:tc>
      </w:tr>
      <w:tr>
        <w:trPr>
          <w:trHeight w:val="196"/>
        </w:trPr>
        <w:tc>
          <w:tcPr>
            <w:tcW w:w="9820" w:type="dxa"/>
            <w:vAlign w:val="bottom"/>
            <w:gridSpan w:val="7"/>
          </w:tcPr>
          <w:p>
            <w:pPr>
              <w:spacing w:after="0" w:line="196" w:lineRule="exact"/>
              <w:rPr>
                <w:sz w:val="20"/>
                <w:szCs w:val="20"/>
                <w:color w:val="auto"/>
              </w:rPr>
            </w:pPr>
            <w:r>
              <w:rPr>
                <w:rFonts w:ascii="Arial" w:cs="Arial" w:eastAsia="Arial" w:hAnsi="Arial"/>
                <w:sz w:val="18"/>
                <w:szCs w:val="18"/>
                <w:color w:val="auto"/>
                <w:w w:val="89"/>
              </w:rPr>
              <w:t>and obligations of the Assignor under the Credit Agreement, such Assignor’s Revolving Note and the other Loan Documents (representing</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w w:val="87"/>
              </w:rPr>
              <w:t>% in respect of</w:t>
            </w:r>
          </w:p>
        </w:tc>
      </w:tr>
      <w:tr>
        <w:trPr>
          <w:trHeight w:val="196"/>
        </w:trPr>
        <w:tc>
          <w:tcPr>
            <w:tcW w:w="10200" w:type="dxa"/>
            <w:vAlign w:val="bottom"/>
            <w:gridSpan w:val="8"/>
          </w:tcPr>
          <w:p>
            <w:pPr>
              <w:spacing w:after="0" w:line="196" w:lineRule="exact"/>
              <w:rPr>
                <w:sz w:val="20"/>
                <w:szCs w:val="20"/>
                <w:color w:val="auto"/>
              </w:rPr>
            </w:pPr>
            <w:r>
              <w:rPr>
                <w:rFonts w:ascii="Arial" w:cs="Arial" w:eastAsia="Arial" w:hAnsi="Arial"/>
                <w:sz w:val="18"/>
                <w:szCs w:val="18"/>
                <w:color w:val="auto"/>
                <w:w w:val="89"/>
              </w:rPr>
              <w:t>the aggregate amount of all Lenders’ Commitments), including without limitation, a principal amount of outstanding Revolving Loans equal to $</w:t>
            </w: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Pr>
          <w:p>
            <w:pPr>
              <w:ind w:left="40"/>
              <w:spacing w:after="0" w:line="196" w:lineRule="exact"/>
              <w:rPr>
                <w:sz w:val="20"/>
                <w:szCs w:val="20"/>
                <w:color w:val="auto"/>
              </w:rPr>
            </w:pPr>
            <w:r>
              <w:rPr>
                <w:rFonts w:ascii="Arial" w:cs="Arial" w:eastAsia="Arial" w:hAnsi="Arial"/>
                <w:sz w:val="18"/>
                <w:szCs w:val="18"/>
                <w:color w:val="auto"/>
              </w:rPr>
              <w:t>and all</w:t>
            </w:r>
          </w:p>
        </w:tc>
      </w:tr>
    </w:tbl>
    <w:p>
      <w:pPr>
        <w:spacing w:after="0" w:line="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voting rights of the Assignor associated with the Assigned Commitment, all rights to receive interest on such amount of Revolving Loans and all commitment and other Fees with respect to the Assigned Commitment and other rights of the Assignor under the Credit Agreement and the other Loan Documents with respect to the Assigned Commitment, all as if the Assignee were an original Lender under and signatory to the Credit Agreement having a Commitment equal to the amount of the Assigned Commitment. The Assignee, subject to the terms and conditions hereof, hereby assumes all obligations of the Assignor with respect to the Assigned Commitment as if the Assignee were an original Lender under and signatory to the Credit Agreement having a Commitment equal to the Assigned Commitment, which obligations shall include, but shall not be limited to, the obligation of the Assignor to make Revolving Loans to the Borrower with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176" w:name="page177"/>
    <w:bookmarkEnd w:id="176"/>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Assigned Commitment, the obligation to pay the Agent amounts due in respect of draws under Letters of Credit as required under Section 2.4.(i) of the Credit Agreement and the obligation to indemnify the Agent as provided therein (the foregoing enumerated obligations, together with all other similar obligations more particularly set forth in the Credit Agreement and the other Loan Documents, collectively, the “Assigned Obligations”). [In addition, the</w:t>
      </w:r>
    </w:p>
    <w:tbl>
      <w:tblPr>
        <w:tblLayout w:type="fixed"/>
        <w:tblInd w:w="0" w:type="dxa"/>
        <w:tblCellMar>
          <w:top w:w="0" w:type="dxa"/>
          <w:left w:w="0" w:type="dxa"/>
          <w:bottom w:w="0" w:type="dxa"/>
          <w:right w:w="0" w:type="dxa"/>
        </w:tblCellMar>
      </w:tblPr>
      <w:tr>
        <w:trPr>
          <w:trHeight w:val="179"/>
        </w:trPr>
        <w:tc>
          <w:tcPr>
            <w:tcW w:w="6600" w:type="dxa"/>
            <w:vAlign w:val="bottom"/>
          </w:tcPr>
          <w:p>
            <w:pPr>
              <w:spacing w:after="0" w:line="179" w:lineRule="exact"/>
              <w:rPr>
                <w:sz w:val="20"/>
                <w:szCs w:val="20"/>
                <w:color w:val="auto"/>
              </w:rPr>
            </w:pPr>
            <w:r>
              <w:rPr>
                <w:rFonts w:ascii="Arial" w:cs="Arial" w:eastAsia="Arial" w:hAnsi="Arial"/>
                <w:sz w:val="18"/>
                <w:szCs w:val="18"/>
                <w:color w:val="auto"/>
                <w:w w:val="87"/>
              </w:rPr>
              <w:t>Assignor hereby irrevocably sells, transfers and assigns to the Assignee, without recourse, a $</w:t>
            </w:r>
          </w:p>
        </w:tc>
        <w:tc>
          <w:tcPr>
            <w:tcW w:w="700" w:type="dxa"/>
            <w:vAlign w:val="bottom"/>
            <w:tcBorders>
              <w:bottom w:val="single" w:sz="8" w:color="auto"/>
            </w:tcBorders>
          </w:tcPr>
          <w:p>
            <w:pPr>
              <w:spacing w:after="0"/>
              <w:rPr>
                <w:sz w:val="15"/>
                <w:szCs w:val="15"/>
                <w:color w:val="auto"/>
              </w:rPr>
            </w:pPr>
          </w:p>
        </w:tc>
        <w:tc>
          <w:tcPr>
            <w:tcW w:w="4080" w:type="dxa"/>
            <w:vAlign w:val="bottom"/>
            <w:gridSpan w:val="3"/>
          </w:tcPr>
          <w:p>
            <w:pPr>
              <w:ind w:left="40"/>
              <w:spacing w:after="0" w:line="179" w:lineRule="exact"/>
              <w:rPr>
                <w:sz w:val="20"/>
                <w:szCs w:val="20"/>
                <w:color w:val="auto"/>
              </w:rPr>
            </w:pPr>
            <w:r>
              <w:rPr>
                <w:rFonts w:ascii="Arial" w:cs="Arial" w:eastAsia="Arial" w:hAnsi="Arial"/>
                <w:sz w:val="18"/>
                <w:szCs w:val="18"/>
                <w:color w:val="auto"/>
                <w:w w:val="89"/>
              </w:rPr>
              <w:t>interest in and to the Assignor’s Bid Rate Note, including</w:t>
            </w:r>
          </w:p>
        </w:tc>
      </w:tr>
      <w:tr>
        <w:trPr>
          <w:trHeight w:val="196"/>
        </w:trPr>
        <w:tc>
          <w:tcPr>
            <w:tcW w:w="8880" w:type="dxa"/>
            <w:vAlign w:val="bottom"/>
            <w:gridSpan w:val="3"/>
          </w:tcPr>
          <w:p>
            <w:pPr>
              <w:spacing w:after="0" w:line="196" w:lineRule="exact"/>
              <w:rPr>
                <w:sz w:val="20"/>
                <w:szCs w:val="20"/>
                <w:color w:val="auto"/>
              </w:rPr>
            </w:pPr>
            <w:r>
              <w:rPr>
                <w:rFonts w:ascii="Arial" w:cs="Arial" w:eastAsia="Arial" w:hAnsi="Arial"/>
                <w:sz w:val="18"/>
                <w:szCs w:val="18"/>
                <w:color w:val="auto"/>
                <w:w w:val="89"/>
              </w:rPr>
              <w:t>without limitation, a principal amount of outstanding Bid Rate Loans owing to the Assignor in an aggregate amount equal to $</w:t>
            </w:r>
          </w:p>
        </w:tc>
        <w:tc>
          <w:tcPr>
            <w:tcW w:w="700" w:type="dxa"/>
            <w:vAlign w:val="bottom"/>
            <w:tcBorders>
              <w:bottom w:val="single" w:sz="8" w:color="auto"/>
            </w:tcBorders>
          </w:tcPr>
          <w:p>
            <w:pPr>
              <w:spacing w:after="0"/>
              <w:rPr>
                <w:sz w:val="17"/>
                <w:szCs w:val="17"/>
                <w:color w:val="auto"/>
              </w:rPr>
            </w:pPr>
          </w:p>
        </w:tc>
        <w:tc>
          <w:tcPr>
            <w:tcW w:w="1800" w:type="dxa"/>
            <w:vAlign w:val="bottom"/>
          </w:tcPr>
          <w:p>
            <w:pPr>
              <w:ind w:left="60"/>
              <w:spacing w:after="0" w:line="196" w:lineRule="exact"/>
              <w:rPr>
                <w:sz w:val="20"/>
                <w:szCs w:val="20"/>
                <w:color w:val="auto"/>
              </w:rPr>
            </w:pPr>
            <w:r>
              <w:rPr>
                <w:rFonts w:ascii="Arial" w:cs="Arial" w:eastAsia="Arial" w:hAnsi="Arial"/>
                <w:sz w:val="18"/>
                <w:szCs w:val="18"/>
                <w:color w:val="auto"/>
              </w:rPr>
              <w:t>, all rights to receive</w:t>
            </w:r>
          </w:p>
        </w:tc>
      </w:tr>
    </w:tbl>
    <w:p>
      <w:pPr>
        <w:spacing w:after="0" w:line="1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interest on such amount of Bid Rate Loans and other rights of the Assignor under the Credit Agreement and the other Loan Documents with respect to such Bid Rate Loans, all as if the Assignee had originally made such amount of Bid Rate Loans to the Borrower. The obligations assigned pursuant to the immediately preceding sentence shall constitute Assigned Obligations hereunder.] The Assignor shall have no further duties or obligations with respect to, and shall have no further interest in, the Assigned Obligations or the Assigned Commitment from and after the Assignment Date.</w:t>
      </w:r>
    </w:p>
    <w:p>
      <w:pPr>
        <w:spacing w:after="0" w:line="113" w:lineRule="exact"/>
        <w:rPr>
          <w:sz w:val="20"/>
          <w:szCs w:val="20"/>
          <w:color w:val="auto"/>
        </w:rPr>
      </w:pPr>
    </w:p>
    <w:p>
      <w:pPr>
        <w:ind w:firstLine="464"/>
        <w:spacing w:after="0" w:line="284" w:lineRule="auto"/>
        <w:tabs>
          <w:tab w:leader="none" w:pos="70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assignment by the Assignor to the Assignee hereunder is without recourse to the Assignor. The Assignee makes and confirms to the Agent, the Assignor, and the other Lenders all of the representations, warranties and covenants of a Lender under Article XI. of the Credit Agreement. Not in limitation of the foregoing, the Assignee acknowledges and agrees that, except as set forth in Section 4 below, the Assignor is making no representations or warranties with respect to, and the Assignee hereby releases and discharges the Assignor for any responsibility or liability for: (i) the present or future solvency or financial condition of the Borrower, any Subsidiary or any other Loan Party, (ii) any representations, warranties, statements or information made or furnished by the Borrower, any Subsidiary or any other Loan Party in connection with the Credit Agreement or otherwise, (iii) the validity, efficacy, sufficiency, or enforceability of the Credit Agreement, any other Loan Document or any other document or instrument executed in connection therewith, or the collectibility of the Assigned Obligations, (iv) the perfection, priority or validity of any Lien with respect to any collateral at any time securing the Obligations or the Assigned Obligations under the Notes or the Credit Agreement and (v) the performance or failure to perform by the Borrower or any other Loan Party of any obligation under the Credit Agreement or any other Loan Document to which it is a party. Further, the Assignee acknowledges that it has, independently and without reliance upon the Agent, or on any affiliate or subsidiary thereof, the Assignor or any other Lender and based on the financial statements supplied by the Borrower and such other documents and information as it has deemed appropriate, made its own credit and legal analysis and decision to become a Lender under the Credit Agreement. The Assignee also acknowledges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or any other Loan Documents or pursuant to any other obligation. Except as expressly provided in the Credit Agreement, the Agent shall have no duty or responsibility whatsoever, either initially or on a continuing basis, to provide the Assignee with any credit or other information with respect to the Borrower or any other Loan Party or to notify the Assignee of any Default or Event of Default. The Assignee has not relied on the Agent as to any legal or factual matter in connection therewith or in connection with the transactions contemplated thereunder.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177" w:name="page178"/>
    <w:bookmarkEnd w:id="177"/>
    <w:p>
      <w:pPr>
        <w:ind w:right="4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Payment by Assignee</w:t>
      </w:r>
      <w:r>
        <w:rPr>
          <w:rFonts w:ascii="Arial" w:cs="Arial" w:eastAsia="Arial" w:hAnsi="Arial"/>
          <w:sz w:val="18"/>
          <w:szCs w:val="18"/>
          <w:color w:val="auto"/>
        </w:rPr>
        <w:t>. In consideration of the assignment made pursuant to Section 1 of this Agreement, the Assignee agrees to pay to the Assignor on the Assignment Date, such amount as they may agree.</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Payments by Assignor</w:t>
      </w:r>
      <w:r>
        <w:rPr>
          <w:rFonts w:ascii="Arial" w:cs="Arial" w:eastAsia="Arial" w:hAnsi="Arial"/>
          <w:sz w:val="18"/>
          <w:szCs w:val="18"/>
          <w:color w:val="auto"/>
        </w:rPr>
        <w:t>. The Assignor agrees to pay to the Agent on the Assignment Date the administration fee, if any, payable under the applicable provisions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Warranties of Assignor</w:t>
      </w:r>
      <w:r>
        <w:rPr>
          <w:rFonts w:ascii="Arial" w:cs="Arial" w:eastAsia="Arial" w:hAnsi="Arial"/>
          <w:sz w:val="16"/>
          <w:szCs w:val="16"/>
          <w:color w:val="auto"/>
        </w:rPr>
        <w:t>. The Assignor hereby represents and warrants to the Assignee that (a) as of the Assignment Date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 the Assignor is a Lender under the Credit Agreement having a Commitment under the Credit Agreement [and the outstanding principal balance of Bid Rate</w:t>
      </w:r>
    </w:p>
    <w:p>
      <w:pPr>
        <w:spacing w:after="0" w:line="32" w:lineRule="exact"/>
        <w:rPr>
          <w:sz w:val="20"/>
          <w:szCs w:val="20"/>
          <w:color w:val="auto"/>
        </w:rPr>
      </w:pPr>
    </w:p>
    <w:p>
      <w:pPr>
        <w:spacing w:after="0"/>
        <w:tabs>
          <w:tab w:leader="none" w:pos="9700" w:val="left"/>
          <w:tab w:leader="none" w:pos="10840" w:val="left"/>
        </w:tabs>
        <w:rPr>
          <w:sz w:val="20"/>
          <w:szCs w:val="20"/>
          <w:color w:val="auto"/>
        </w:rPr>
      </w:pPr>
      <w:r>
        <w:rPr>
          <w:rFonts w:ascii="Arial" w:cs="Arial" w:eastAsia="Arial" w:hAnsi="Arial"/>
          <w:sz w:val="18"/>
          <w:szCs w:val="18"/>
          <w:color w:val="auto"/>
        </w:rPr>
        <w:t>Loans owing to the Assignor] (without reduction by any assignments thereof which have not yet become effective)[,] equal to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-17780</wp:posOffset>
            </wp:positionV>
            <wp:extent cx="12014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142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respectively], and that the Assignor is not in default of its obligations under the Credit Agreement; and (ii) the outstanding balance of Revolving Loans owing 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20"/>
                <w:szCs w:val="20"/>
                <w:color w:val="auto"/>
              </w:rPr>
            </w:pPr>
            <w:r>
              <w:rPr>
                <w:rFonts w:ascii="Arial" w:cs="Arial" w:eastAsia="Arial" w:hAnsi="Arial"/>
                <w:sz w:val="18"/>
                <w:szCs w:val="18"/>
                <w:color w:val="auto"/>
                <w:w w:val="88"/>
              </w:rPr>
              <w:t>the Assignor (without reduction by any assignments thereof which have not yet become effective) is $</w:t>
            </w:r>
          </w:p>
        </w:tc>
        <w:tc>
          <w:tcPr>
            <w:tcW w:w="340" w:type="dxa"/>
            <w:vAlign w:val="bottom"/>
          </w:tcPr>
          <w:p>
            <w:pPr>
              <w:spacing w:after="0"/>
              <w:rPr>
                <w:sz w:val="17"/>
                <w:szCs w:val="17"/>
                <w:color w:val="auto"/>
              </w:rPr>
            </w:pPr>
          </w:p>
        </w:tc>
        <w:tc>
          <w:tcPr>
            <w:tcW w:w="3860" w:type="dxa"/>
            <w:vAlign w:val="bottom"/>
            <w:gridSpan w:val="2"/>
          </w:tcPr>
          <w:p>
            <w:pPr>
              <w:ind w:left="360"/>
              <w:spacing w:after="0"/>
              <w:rPr>
                <w:sz w:val="20"/>
                <w:szCs w:val="20"/>
                <w:color w:val="auto"/>
              </w:rPr>
            </w:pPr>
            <w:r>
              <w:rPr>
                <w:rFonts w:ascii="Arial" w:cs="Arial" w:eastAsia="Arial" w:hAnsi="Arial"/>
                <w:sz w:val="18"/>
                <w:szCs w:val="18"/>
                <w:color w:val="auto"/>
                <w:w w:val="88"/>
              </w:rPr>
              <w:t>; and (b) it is the legal and beneficial owner of the</w:t>
            </w:r>
          </w:p>
        </w:tc>
      </w:tr>
      <w:tr>
        <w:trPr>
          <w:trHeight w:val="235"/>
        </w:trPr>
        <w:tc>
          <w:tcPr>
            <w:tcW w:w="7180" w:type="dxa"/>
            <w:vAlign w:val="bottom"/>
          </w:tcPr>
          <w:p>
            <w:pPr>
              <w:spacing w:after="0"/>
              <w:rPr>
                <w:sz w:val="20"/>
                <w:szCs w:val="20"/>
                <w:color w:val="auto"/>
              </w:rPr>
            </w:pPr>
            <w:r>
              <w:rPr>
                <w:rFonts w:ascii="Arial" w:cs="Arial" w:eastAsia="Arial" w:hAnsi="Arial"/>
                <w:sz w:val="18"/>
                <w:szCs w:val="18"/>
                <w:color w:val="auto"/>
                <w:w w:val="97"/>
              </w:rPr>
              <w:t>Assigned Commitment which is free and clear of any adverse claim created by the Assignor.</w:t>
            </w:r>
          </w:p>
        </w:tc>
        <w:tc>
          <w:tcPr>
            <w:tcW w:w="3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500" w:type="dxa"/>
            <w:vAlign w:val="bottom"/>
          </w:tcPr>
          <w:p>
            <w:pPr>
              <w:spacing w:after="0"/>
              <w:rPr>
                <w:sz w:val="20"/>
                <w:szCs w:val="20"/>
                <w:color w:val="auto"/>
              </w:rPr>
            </w:pPr>
          </w:p>
        </w:tc>
      </w:tr>
    </w:tbl>
    <w:p>
      <w:pPr>
        <w:spacing w:after="0" w:line="15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Representations, Warranties and Agreements of Assignee</w:t>
      </w:r>
      <w:r>
        <w:rPr>
          <w:rFonts w:ascii="Arial" w:cs="Arial" w:eastAsia="Arial" w:hAnsi="Arial"/>
          <w:sz w:val="15"/>
          <w:szCs w:val="15"/>
          <w:color w:val="auto"/>
        </w:rPr>
        <w:t>. The Assignee (a) represents and warrants that it is (i) legally authorized to enter into this Agreement, (ii) an “accredited investor” (as such term is used in Regulation D of the Securities Act) and (iii) an Eligible Assignee; (b) confirms that it has received a copy of the Credit Agreement, together with copies of the most recent financial statements delivered in connection therewith or pursuant thereto and such other documents and information (including without limitation the Loan Documents) as it has deemed appropriate to make its own credit analysis and decision to enter into this Agreement; (c) appoints and authorizes the Agent to take such action as contractual representative on its behalf and to exercise such powers under the Loan Documents as are delegated to the Agent by the terms thereof together with such powers as are reasonably incidental thereto; and</w:t>
      </w:r>
    </w:p>
    <w:p>
      <w:pPr>
        <w:spacing w:after="0" w:line="1" w:lineRule="exact"/>
        <w:rPr>
          <w:sz w:val="20"/>
          <w:szCs w:val="20"/>
          <w:color w:val="auto"/>
        </w:rPr>
      </w:pPr>
    </w:p>
    <w:p>
      <w:pPr>
        <w:jc w:val="both"/>
        <w:ind w:right="100" w:firstLine="8"/>
        <w:spacing w:after="0" w:line="255" w:lineRule="auto"/>
        <w:tabs>
          <w:tab w:leader="none" w:pos="24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agrees that, if not already a Lender and to the extent of the Assigned Commitment, it will become a party to and shall be bound by the Credit Agreement and the other Loan Documents to which the other Lenders are a party on the Assignment Date and will perform in accordance therewith all of the obligations which are required to be performed by it as a Lender.</w:t>
      </w:r>
    </w:p>
    <w:p>
      <w:pPr>
        <w:spacing w:after="0" w:line="14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Recording and Acknowledgment by the Agent</w:t>
      </w:r>
      <w:r>
        <w:rPr>
          <w:rFonts w:ascii="Arial" w:cs="Arial" w:eastAsia="Arial" w:hAnsi="Arial"/>
          <w:sz w:val="16"/>
          <w:szCs w:val="16"/>
          <w:color w:val="auto"/>
        </w:rPr>
        <w:t>. Following the execution of this Agreement, the Assignor will deliver to the Agent (a) a duly executed copy of this Agreement for acknowledgment and recording by the Agent and (b) the Assignor’s [Revolving Note [and Bid Rate Note]]. Upon such acknowledgment and recording, from and after the Assignment Date, the Agent shall make all payments in respect of the interest assigned hereby (including payments of principal, interest, Fees and other amounts) to the Assignee. The Assignor and Assignee shall make all appropriate adjustments in payments under the Credit Agreement for periods prior to the Assignment Date directly between themselves.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80" w:right="279" w:bottom="1440" w:gutter="0" w:footer="0" w:header="0"/>
        </w:sectPr>
      </w:pPr>
    </w:p>
    <w:bookmarkStart w:id="178" w:name="page179"/>
    <w:bookmarkEnd w:id="178"/>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Addresses</w:t>
      </w:r>
      <w:r>
        <w:rPr>
          <w:rFonts w:ascii="Arial" w:cs="Arial" w:eastAsia="Arial" w:hAnsi="Arial"/>
          <w:sz w:val="18"/>
          <w:szCs w:val="18"/>
          <w:color w:val="auto"/>
        </w:rPr>
        <w:t>. The Assignee specifies as its address for notices and its Lending Office for all Loans, the offices set forth on Schedule 1 attached hereto.</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Instructions</w:t>
      </w:r>
      <w:r>
        <w:rPr>
          <w:rFonts w:ascii="Arial" w:cs="Arial" w:eastAsia="Arial" w:hAnsi="Arial"/>
          <w:sz w:val="18"/>
          <w:szCs w:val="18"/>
          <w:color w:val="auto"/>
        </w:rPr>
        <w:t>. All payments to be made to the Assignee under this Agreement by the Assignor, and all payments to be made to the Assignee under the Credit Agreement, shall be made as provided in the Credit Agreement in accordance with the following instructions set forth on Schedule 1 attached hereto or as the Assignee may otherwise notify the Agent.</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Effectiveness of Assignment</w:t>
      </w:r>
      <w:r>
        <w:rPr>
          <w:rFonts w:ascii="Arial" w:cs="Arial" w:eastAsia="Arial" w:hAnsi="Arial"/>
          <w:sz w:val="16"/>
          <w:szCs w:val="16"/>
          <w:color w:val="auto"/>
        </w:rPr>
        <w:t xml:space="preserve">. This Agreement, and the assignment and assumption contemplated herein, shall not be effective until (a) this Agreement is executed and delivered by each of the Assignor, the Assignee, the Agent, and if required under Section 12.5.(d) of the Credit Agreement, the Borrower, and (b) the payment to the Assignor of the amounts, if any, owing by the Assignee pursuant to Section 2 hereof and (c) the payment to the Agent of the amounts, if any, owing by the Assignor pursuant to Section 3 hereof. Upon recording and acknowledgment of this Agreement by the Agent, from and after the Assignment Date, (i) the Assignee shall be a party to the Credit Agreement and, to the extent provided in this Agreement, have the rights and obligations of a Lender thereunder to the extent of the Assigned Commitment and (ii) the Assignor shall, to the extent provided in this Agreement, relinquish its rights (except as otherwise provided in Section 12.10. of the Credit Agreement) and be released from its obligations under the Credit Agreement with respect to the Assigned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Assignor does not assign its entire interest under the Loan Documents, it shall remain a Lender entitled to all of the benefits and subject to all of the obligations thereunder with respect to its Commitment.</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taken together, shall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have been inserted herein for convenience only and shall not be construed to be a part hereof.</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amended, changed, waived or modified except by a writing executed by the Assignee and the Assignor;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any amendment, waiver or consent which shall affect the rights or duties of the Agent under this Agreement shall not be effective unless signed by the Agent.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Assignor and the Assignee with respect to the subject matter hereof and supersedes all other prior arrangements and understandings relating to the subject matter hereof.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80" w:right="279" w:bottom="1440" w:gutter="0" w:footer="0" w:header="0"/>
        </w:sectPr>
      </w:pPr>
    </w:p>
    <w:bookmarkStart w:id="179" w:name="page180"/>
    <w:bookmarkEnd w:id="179"/>
    <w:p>
      <w:pPr>
        <w:ind w:right="6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and permitted assigns.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Definitions</w:t>
      </w:r>
      <w:r>
        <w:rPr>
          <w:rFonts w:ascii="Arial" w:cs="Arial" w:eastAsia="Arial" w:hAnsi="Arial"/>
          <w:sz w:val="16"/>
          <w:szCs w:val="16"/>
          <w:color w:val="auto"/>
        </w:rPr>
        <w:t>. Terms not otherwise defined herein are used herein with the respective meanings given them in the Credit Agreement.</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[Include this Section only if Borrower’s consent is required under Section 12.5.(d) </w:t>
      </w:r>
      <w:r>
        <w:rPr>
          <w:rFonts w:ascii="Arial" w:cs="Arial" w:eastAsia="Arial" w:hAnsi="Arial"/>
          <w:sz w:val="16"/>
          <w:szCs w:val="16"/>
          <w:color w:val="auto"/>
        </w:rPr>
        <w:t>Section 17.</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Agreements of the Borrower</w:t>
      </w:r>
      <w:r>
        <w:rPr>
          <w:rFonts w:ascii="Arial" w:cs="Arial" w:eastAsia="Arial" w:hAnsi="Arial"/>
          <w:sz w:val="16"/>
          <w:szCs w:val="16"/>
          <w:color w:val="auto"/>
        </w:rPr>
        <w:t>. The Borrower hereby agrees</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Assignee shall be a Lender under the Credit Agreement having a Commitment equal to the Assigned Commitment. The Borrower agrees that the Assignee shall have all of the rights and remedies of a Lender under the Credit Agreement and the other Loan Documents as if the Assignee were an original Lender under and signatory to the Credit Agreement, including, but not limited to, the right of a Lender to receive payments of principal and interest with respect to the Assigned Obligations, and to the Revolving Loans made by the Lenders after the date hereof and to receive the commitment and other Fees payable to the Lenders as provided in the Credit Agreement. Further, the Assignee shall be entitled to the indemnification provisions from the Borrower in favor of the Lenders as provided in the Credit Agreement and the other Loan Documents. The Borrower further agrees, upon the execution and delivery of this Agreement, to execute in favor of the Assignee, and if applicable the Assignor, Notes as required by Section 12.5.(d) of the Credit Agreement. Upon receipt by the Assignor of the amounts due the Assignor under Section 2, the Assignor agrees to surrender to the Borrower such Assignor’s Notes.]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40" w:top="280" w:right="319" w:bottom="1440" w:gutter="0" w:footer="0" w:header="0"/>
        </w:sectPr>
      </w:pPr>
    </w:p>
    <w:bookmarkStart w:id="180" w:name="page181"/>
    <w:bookmarkEnd w:id="180"/>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Assignment and Acceptance Agreement as of the date and year first written above.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10795</wp:posOffset>
            </wp:positionV>
            <wp:extent cx="22466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10795</wp:posOffset>
            </wp:positionV>
            <wp:extent cx="22466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10795</wp:posOffset>
            </wp:positionV>
            <wp:extent cx="22466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10795</wp:posOffset>
            </wp:positionV>
            <wp:extent cx="22466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268414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10795</wp:posOffset>
            </wp:positionV>
            <wp:extent cx="22212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10795</wp:posOffset>
            </wp:positionV>
            <wp:extent cx="22212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[Signatures Continued on Following Page]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80"/>
          </w:cols>
          <w:pgMar w:left="240" w:top="280" w:right="47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signature of the Borrower only if required under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12.5.(d) of the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Agreed and consented to as of the date first written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26841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10795</wp:posOffset>
            </wp:positionV>
            <wp:extent cx="21951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10795</wp:posOffset>
            </wp:positionV>
            <wp:extent cx="21951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219"/>
          </w:cols>
          <w:pgMar w:left="240" w:top="280" w:right="1440" w:bottom="1440" w:gutter="0" w:footer="0" w:header="0"/>
        </w:sectPr>
      </w:pPr>
    </w:p>
    <w:bookmarkStart w:id="182" w:name="page183"/>
    <w:bookmarkEnd w:id="182"/>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u w:val="single" w:color="auto"/>
          <w:color w:val="auto"/>
        </w:rPr>
        <w:t>Information Concerning the Assignee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10795</wp:posOffset>
            </wp:positionV>
            <wp:extent cx="44850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165735</wp:posOffset>
            </wp:positionV>
            <wp:extent cx="44850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320040</wp:posOffset>
            </wp:positionV>
            <wp:extent cx="44850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10795</wp:posOffset>
            </wp:positionV>
            <wp:extent cx="44850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165735</wp:posOffset>
            </wp:positionV>
            <wp:extent cx="44850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320040</wp:posOffset>
            </wp:positionV>
            <wp:extent cx="44850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10795</wp:posOffset>
            </wp:positionV>
            <wp:extent cx="44850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165735</wp:posOffset>
            </wp:positionV>
            <wp:extent cx="44850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320040</wp:posOffset>
            </wp:positionV>
            <wp:extent cx="44850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474345</wp:posOffset>
            </wp:positionV>
            <wp:extent cx="44850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219"/>
          </w:cols>
          <w:pgMar w:left="240" w:top="280" w:right="1440" w:bottom="1440" w:gutter="0" w:footer="0" w:header="0"/>
        </w:sectPr>
      </w:pPr>
    </w:p>
    <w:bookmarkStart w:id="183" w:name="page184"/>
    <w:bookmarkEnd w:id="183"/>
    <w:tbl>
      <w:tblPr>
        <w:tblLayout w:type="fixed"/>
        <w:tblInd w:w="460" w:type="dxa"/>
        <w:tblCellMar>
          <w:top w:w="0" w:type="dxa"/>
          <w:left w:w="0" w:type="dxa"/>
          <w:bottom w:w="0" w:type="dxa"/>
          <w:right w:w="0" w:type="dxa"/>
        </w:tblCellMar>
      </w:tblPr>
      <w:tr>
        <w:trPr>
          <w:trHeight w:val="222"/>
        </w:trPr>
        <w:tc>
          <w:tcPr>
            <w:tcW w:w="3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2"/>
          </w:tcPr>
          <w:p>
            <w:pPr>
              <w:jc w:val="center"/>
              <w:ind w:right="1560"/>
              <w:spacing w:after="0"/>
              <w:rPr>
                <w:sz w:val="20"/>
                <w:szCs w:val="20"/>
                <w:color w:val="auto"/>
              </w:rPr>
            </w:pPr>
            <w:r>
              <w:rPr>
                <w:rFonts w:ascii="Arial" w:cs="Arial" w:eastAsia="Arial" w:hAnsi="Arial"/>
                <w:sz w:val="18"/>
                <w:szCs w:val="18"/>
                <w:color w:val="auto"/>
                <w:w w:val="98"/>
              </w:rPr>
              <w:t>EXHIBIT B</w:t>
            </w: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78"/>
        </w:trPr>
        <w:tc>
          <w:tcPr>
            <w:tcW w:w="3580" w:type="dxa"/>
            <w:vAlign w:val="bottom"/>
          </w:tcPr>
          <w:p>
            <w:pPr>
              <w:spacing w:after="0"/>
              <w:rPr>
                <w:sz w:val="24"/>
                <w:szCs w:val="24"/>
                <w:color w:val="auto"/>
              </w:rPr>
            </w:pPr>
          </w:p>
        </w:tc>
        <w:tc>
          <w:tcPr>
            <w:tcW w:w="3760" w:type="dxa"/>
            <w:vAlign w:val="bottom"/>
            <w:gridSpan w:val="4"/>
          </w:tcPr>
          <w:p>
            <w:pPr>
              <w:jc w:val="center"/>
              <w:ind w:right="420"/>
              <w:spacing w:after="0"/>
              <w:rPr>
                <w:sz w:val="20"/>
                <w:szCs w:val="20"/>
                <w:color w:val="auto"/>
              </w:rPr>
            </w:pPr>
            <w:r>
              <w:rPr>
                <w:rFonts w:ascii="Arial" w:cs="Arial" w:eastAsia="Arial" w:hAnsi="Arial"/>
                <w:sz w:val="18"/>
                <w:szCs w:val="18"/>
                <w:color w:val="auto"/>
                <w:w w:val="93"/>
              </w:rPr>
              <w:t>FORM OF DESIGNATION AGREEMENT</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0"/>
        </w:trPr>
        <w:tc>
          <w:tcPr>
            <w:tcW w:w="3580" w:type="dxa"/>
            <w:vAlign w:val="bottom"/>
          </w:tcPr>
          <w:p>
            <w:pPr>
              <w:spacing w:after="0"/>
              <w:rPr>
                <w:sz w:val="20"/>
                <w:szCs w:val="20"/>
                <w:color w:val="auto"/>
              </w:rPr>
            </w:pPr>
            <w:r>
              <w:rPr>
                <w:rFonts w:ascii="Arial" w:cs="Arial" w:eastAsia="Arial" w:hAnsi="Arial"/>
                <w:sz w:val="18"/>
                <w:szCs w:val="18"/>
                <w:color w:val="auto"/>
                <w:w w:val="92"/>
              </w:rPr>
              <w:t>THIS DESIGNATION AGREEMENT dated as of</w:t>
            </w:r>
          </w:p>
        </w:tc>
        <w:tc>
          <w:tcPr>
            <w:tcW w:w="88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w w:val="93"/>
              </w:rPr>
              <w:t>, 20   (the “Agreement”) by and among</w:t>
            </w:r>
          </w:p>
        </w:tc>
        <w:tc>
          <w:tcPr>
            <w:tcW w:w="1140" w:type="dxa"/>
            <w:vAlign w:val="bottom"/>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w w:val="92"/>
              </w:rPr>
              <w:t>(the “Lender”),</w:t>
            </w:r>
          </w:p>
        </w:tc>
      </w:tr>
      <w:tr>
        <w:trPr>
          <w:trHeight w:val="20"/>
        </w:trPr>
        <w:tc>
          <w:tcPr>
            <w:tcW w:w="3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6412230</wp:posOffset>
            </wp:positionH>
            <wp:positionV relativeFrom="paragraph">
              <wp:posOffset>-8255</wp:posOffset>
            </wp:positionV>
            <wp:extent cx="78041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“Designated Lender”) and Wachovia Bank, National Association, as Agent (the “Agent”).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Lender is a Lender under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pursuant to Section 12.5.(e) of the Credit Agreement, the Lender desires to designate the Designated Lender as its “Designated Lender” under and as defined in the Credit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Agent consents to such designation on the terms and conditions set forth herein.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hereby are acknowledged by the parties hereto, the parties hereto hereby agree as follows: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Designation</w:t>
      </w:r>
      <w:r>
        <w:rPr>
          <w:rFonts w:ascii="Arial" w:cs="Arial" w:eastAsia="Arial" w:hAnsi="Arial"/>
          <w:sz w:val="16"/>
          <w:szCs w:val="16"/>
          <w:color w:val="auto"/>
        </w:rPr>
        <w:t>. Subject to the terms and conditions of this Agreement, the Lender hereby designates the Designated Lender, and the Designated Lender hereby accepts such designation, to have a right to make Bid Rate Loans on behalf of the Lender pursuant to Section 2.2. of the Credit Agreement. Any assignment by the Lender to the Designated Lender of rights to make a Bid Rate Loan shall only be effective at the time such Bid Rate Loan is funded by the Designated Lender. The Designated Lender, subject to the terms and conditions hereof, hereby agrees to make such accepted Bid Rate Loans and to perform such other obligations as may be required of it as a Designated Lender under the Credit Agreement.</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Lender Not Discharged</w:t>
      </w:r>
      <w:r>
        <w:rPr>
          <w:rFonts w:ascii="Arial" w:cs="Arial" w:eastAsia="Arial" w:hAnsi="Arial"/>
          <w:sz w:val="18"/>
          <w:szCs w:val="18"/>
          <w:color w:val="auto"/>
        </w:rPr>
        <w:t>. Notwithstanding the designation of the Designated Lender hereunder, the Lender shall be and remain obligated to the Borrower, the Agent and the Lenders for each and every of the obligations of the Lender and its related Designated Lender with respect to the Credit Agreement and the other Loan Documents, including, without limitation, any indemnification obligations under Section 11.7. of the Credit Agreement and any sums otherwise payable to the Borrower or the Agent by the Designated Lender.</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 Representations by Lender</w:t>
      </w:r>
      <w:r>
        <w:rPr>
          <w:rFonts w:ascii="Arial" w:cs="Arial" w:eastAsia="Arial" w:hAnsi="Arial"/>
          <w:sz w:val="18"/>
          <w:szCs w:val="18"/>
          <w:color w:val="auto"/>
        </w:rPr>
        <w:t>. The Lender makes no representation or warranty and, except as set forth in Section 8 below, assumes no responsibility pursuant to this Agreement with respect to (a) any statements, warranties or representations made in or in connection with any Loan Document or the execution, legality, validity, enforceability,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80" w:right="259" w:bottom="1440" w:gutter="0" w:footer="0" w:header="0"/>
        </w:sectPr>
      </w:pPr>
    </w:p>
    <w:bookmarkStart w:id="184" w:name="page185"/>
    <w:bookmarkEnd w:id="184"/>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genuineness, sufficiency or value of any Loan Document or any other instrument and document furnished pursuant thereto and (b) the financial condition of the Borrower, any Subsidiary or any other Loan Party or the performance or observance by the Borrower or any other Loan Party of any of its respective obligations under any Loan Document to which it is a party or any other instrument or document furnished pursuant thereto.</w:t>
      </w:r>
    </w:p>
    <w:p>
      <w:pPr>
        <w:spacing w:after="0" w:line="10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Covenants of Designated Lender</w:t>
      </w:r>
      <w:r>
        <w:rPr>
          <w:rFonts w:ascii="Arial" w:cs="Arial" w:eastAsia="Arial" w:hAnsi="Arial"/>
          <w:sz w:val="16"/>
          <w:szCs w:val="16"/>
          <w:color w:val="auto"/>
        </w:rPr>
        <w:t>. The Designated Lender makes and confirms to the Agent, the Lender, and the other Lenders all of the representations, warranties and covenants of a Lender under Article XI. of the Credit Agreement. Not in limitation of the foregoing, the Designated Lender (a) represents and warrants that it (i) is legally authorized to enter into this Agreement; (ii) is an “accredited investor” (as such term is used in Regulation D of the Securities Act) and (iii) meets the requirements of a “Designated Lender” contained in the definition of such term contained in the Credit Agreement; (b) confirms that it has received a copy of the Credit Agreement, together with copies of the most recent financial statements delivered pursuant thereto and such other documents and information (including without limitation the Loan Documents) as it has deemed appropriate to make its own credit analysis and decision to enter into this Agreement; (c) confirms that it has, independently and without reliance upon the Agent, or on any affiliate thereof, the Lender or any other Lender and based on such financial statements and such other documents and information, made its own credit and legal analysis and decision to become a Designated Lender under the Credit Agreement; (d) appoints and authorizes the Agent to take such action as contractual representative on its behalf and to exercise such powers under the Loan Documents as are delegated to the Agent by the terms thereof together with such powers as are reasonably incidental thereto; and (e) agrees that it will become a party to and shall be bound by the Credit Agreement, the other Loan Documents to which the other Lenders are a party on the Effective Date (as defined below) and will perform in accordance therewith all of the obligations which are required to be performed by it as a Designated Lender. The Designated Lender also acknowledges that it will, independently and without reliance upon the Agent, the Lender or any other Lender and based on such documents and information as it shall deem appropriate at the time, continue to make its own credit decisions in taking or not taking action under the Credit Agreement or any Note or pursuant to any other obligation. The Designated Lender acknowledges and agrees that except as expressly required under the Credit Agreement, the Agent shall have no duty or responsibility whatsoever, either initially or on a continuing basis, to provide the Designated Lender with any credit or other information with respect to the Borrower, any Subsidiary or any other Loan Party or to notify the Designated Lender of any Default or Event of Default.</w:t>
      </w:r>
    </w:p>
    <w:p>
      <w:pPr>
        <w:spacing w:after="0" w:line="13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Appointment of Lender as Attorney-In-Fact</w:t>
      </w:r>
      <w:r>
        <w:rPr>
          <w:rFonts w:ascii="Arial" w:cs="Arial" w:eastAsia="Arial" w:hAnsi="Arial"/>
          <w:sz w:val="15"/>
          <w:szCs w:val="15"/>
          <w:color w:val="auto"/>
        </w:rPr>
        <w:t>. The Designated Lender hereby appoints the Lender as the Designated Lender’s agent and attorney-in-fact, and grants to the Lender an irrevocable power of attorney, to receive any and all payments to be made for the benefit of the Designated Lender under the Credit Agreement, to deliver and receive all notices and other communications under the Credit Agreement and other Loan Documents and to exercise on the Designated Lender’s behalf all rights to vote and to grant and make approvals, waivers, consents of amendments to or under the Credit Agreement or other Loan Documents. Any document executed by the Lender on the Designated Lender’s behalf in connection with the Credit Agreement or other Loan Documents shall be binding on the Designated Lender. The Borrower, the Agent and each of the Lenders may rely on and are beneficiaries of the preceding provisions.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185" w:name="page186"/>
    <w:bookmarkEnd w:id="185"/>
    <w:p>
      <w:pPr>
        <w:jc w:val="both"/>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Acceptance by the Agent</w:t>
      </w:r>
      <w:r>
        <w:rPr>
          <w:rFonts w:ascii="Arial" w:cs="Arial" w:eastAsia="Arial" w:hAnsi="Arial"/>
          <w:sz w:val="18"/>
          <w:szCs w:val="18"/>
          <w:color w:val="auto"/>
        </w:rPr>
        <w:t>. Following the execution of this Agreement by the Lender and the Designated Lender, the Lender will (i) deliver to the Agent a duly executed original of this Agreement for acceptance by the Agent and (ii) pay to the Agent the fee, if any, payable under the applicable provisions of the Credit Agreement whereupon this Agreement shall become effective as of the date of such acceptance or such other date as may be specified on the signature page hereof (the “Effective Date”).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Effect of Designation</w:t>
      </w:r>
      <w:r>
        <w:rPr>
          <w:rFonts w:ascii="Arial" w:cs="Arial" w:eastAsia="Arial" w:hAnsi="Arial"/>
          <w:sz w:val="16"/>
          <w:szCs w:val="16"/>
          <w:color w:val="auto"/>
        </w:rPr>
        <w:t xml:space="preserve">. Upon such acceptance and recording by the Agent, as of the Effective Date, the Designated Lender shall be a party to the Credit Agreement with a right to make Bid Rate Loans as a Lender pursuant to Section 2.2. of the Credit Agreement and the rights and obligations of a Lender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Designated Lender shall not be required to make payments with respect to such obligations except to the extent of excess cash flow of the Designated Lender which is not otherwise required to repay obligations of the Designated Lender which are then due and payable. Notwithstanding the foregoing, the Lender, as agent for the Designated Lender, shall be and remain obligated to the Borrower, the Agent and the Lenders for each and every of the obligations of the Designated Lender and the Lender with respect to the Credit Agreement.</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Indemnification of Designated Lender</w:t>
      </w:r>
      <w:r>
        <w:rPr>
          <w:rFonts w:ascii="Arial" w:cs="Arial" w:eastAsia="Arial" w:hAnsi="Arial"/>
          <w:sz w:val="16"/>
          <w:szCs w:val="16"/>
          <w:color w:val="auto"/>
        </w:rPr>
        <w:t>. The Lender unconditionally agrees to pay or reimburse the Designated Lender and save the Designated Lender harmless against all liabilities, obligations, losses, damages, penalties, actions, judgments, suits, costs, expenses or disbursements of any kind or nature whatsoever which may be imposed or asserted by any of the parties to the Loan Documents against the Designated Lender, in its capacity as such, in any way relating to or arising out of this Agreement or any other Loan Documents or any action taken or omitted by the Designated Lender hereunder or thereunder, provided that the Lender shall not be liable for any portion of such liabilities, obligations, losses, damages, penalties, actions, judgments, suits, costs, expenses or disbursements if the same results from the Designated Lender’s gross negligence or willful misconduct.</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taken together, shall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have been inserted herein for convenience only and shall not be construed to be a part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Amendments; Waivers</w:t>
      </w:r>
      <w:r>
        <w:rPr>
          <w:rFonts w:ascii="Arial" w:cs="Arial" w:eastAsia="Arial" w:hAnsi="Arial"/>
          <w:sz w:val="16"/>
          <w:szCs w:val="16"/>
          <w:color w:val="auto"/>
        </w:rPr>
        <w:t>. This Agreement may not be amended, changed, waived or modified except by a writing executed by all parties hereto.</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80" w:right="259" w:bottom="1440" w:gutter="0" w:footer="0" w:header="0"/>
        </w:sectPr>
      </w:pPr>
    </w:p>
    <w:bookmarkStart w:id="186" w:name="page187"/>
    <w:bookmarkEnd w:id="18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and permitted assigns.</w:t>
      </w:r>
    </w:p>
    <w:p>
      <w:pPr>
        <w:spacing w:after="0" w:line="132" w:lineRule="exact"/>
        <w:rPr>
          <w:sz w:val="20"/>
          <w:szCs w:val="20"/>
          <w:color w:val="auto"/>
        </w:rPr>
      </w:pPr>
    </w:p>
    <w:p>
      <w:pPr>
        <w:ind w:left="4600" w:right="280" w:hanging="4134"/>
        <w:spacing w:after="0" w:line="430"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Definitions</w:t>
      </w:r>
      <w:r>
        <w:rPr>
          <w:rFonts w:ascii="Arial" w:cs="Arial" w:eastAsia="Arial" w:hAnsi="Arial"/>
          <w:sz w:val="18"/>
          <w:szCs w:val="18"/>
          <w:color w:val="auto"/>
        </w:rPr>
        <w:t>. Terms not otherwise defined herein are used herein with the respective meanings given them in the Credit Agreement. [Signatures on Following Page]</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740"/>
          </w:cols>
          <w:pgMar w:left="240" w:top="280" w:right="919" w:bottom="1440" w:gutter="0" w:footer="0" w:header="0"/>
        </w:sectPr>
      </w:pPr>
    </w:p>
    <w:bookmarkStart w:id="187" w:name="page188"/>
    <w:bookmarkEnd w:id="187"/>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Designation Agreement as of the date and year first written above.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-17780</wp:posOffset>
            </wp:positionV>
            <wp:extent cx="12541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10795</wp:posOffset>
            </wp:positionV>
            <wp:extent cx="25387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10795</wp:posOffset>
            </wp:positionV>
            <wp:extent cx="17583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10795</wp:posOffset>
            </wp:positionV>
            <wp:extent cx="17583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DESIGNATED LENDER: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DESIGNATED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10795</wp:posOffset>
            </wp:positionV>
            <wp:extent cx="25387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10795</wp:posOffset>
            </wp:positionV>
            <wp:extent cx="17583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10795</wp:posOffset>
            </wp:positionV>
            <wp:extent cx="17583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10795</wp:posOffset>
            </wp:positionV>
            <wp:extent cx="26416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10795</wp:posOffset>
            </wp:positionV>
            <wp:extent cx="20580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10795</wp:posOffset>
            </wp:positionV>
            <wp:extent cx="20580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219"/>
          </w:cols>
          <w:pgMar w:left="240" w:top="280" w:right="1440" w:bottom="1440" w:gutter="0" w:footer="0" w:header="0"/>
        </w:sectPr>
      </w:pPr>
    </w:p>
    <w:bookmarkStart w:id="188" w:name="page189"/>
    <w:bookmarkEnd w:id="188"/>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FORM OF NOTICE OF BORROWING</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32" w:lineRule="exact"/>
        <w:rPr>
          <w:sz w:val="20"/>
          <w:szCs w:val="20"/>
          <w:color w:val="auto"/>
        </w:rPr>
      </w:pPr>
    </w:p>
    <w:p>
      <w:pPr>
        <w:ind w:left="900" w:hanging="446"/>
        <w:spacing w:after="0"/>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Pursuant to Section 2.1.(b) of the Credit Agreement, the Borrower hereby requests that the Lenders make Revolving Loans to the Borrower in an</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w w:val="87"/>
              </w:rPr>
              <w:t>aggregate principal amount equal to $</w:t>
            </w:r>
          </w:p>
        </w:tc>
        <w:tc>
          <w:tcPr>
            <w:tcW w:w="520" w:type="dxa"/>
            <w:vAlign w:val="bottom"/>
            <w:tcBorders>
              <w:bottom w:val="single" w:sz="8" w:color="auto"/>
            </w:tcBorders>
          </w:tcPr>
          <w:p>
            <w:pPr>
              <w:spacing w:after="0"/>
              <w:rPr>
                <w:sz w:val="17"/>
                <w:szCs w:val="17"/>
                <w:color w:val="auto"/>
              </w:rPr>
            </w:pPr>
          </w:p>
        </w:tc>
        <w:tc>
          <w:tcPr>
            <w:tcW w:w="3080" w:type="dxa"/>
            <w:vAlign w:val="bottom"/>
          </w:tcPr>
          <w:p>
            <w:pPr>
              <w:jc w:val="right"/>
              <w:ind w:right="2991"/>
              <w:spacing w:after="0"/>
              <w:rPr>
                <w:sz w:val="20"/>
                <w:szCs w:val="20"/>
                <w:color w:val="auto"/>
              </w:rPr>
            </w:pPr>
            <w:r>
              <w:rPr>
                <w:rFonts w:ascii="Arial" w:cs="Arial" w:eastAsia="Arial" w:hAnsi="Arial"/>
                <w:sz w:val="10"/>
                <w:szCs w:val="10"/>
                <w:color w:val="auto"/>
                <w:w w:val="70"/>
              </w:rPr>
              <w:t>.</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w w:val="88"/>
              </w:rPr>
              <w:t>The Borrower requests that such Revolving Loans be made available to the Borrower on</w:t>
            </w:r>
          </w:p>
        </w:tc>
        <w:tc>
          <w:tcPr>
            <w:tcW w:w="52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0"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Borrower hereby requests that the requested Revolving Loans all be of the following Type:</w:t>
      </w:r>
    </w:p>
    <w:p>
      <w:pPr>
        <w:spacing w:after="0" w:line="16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177" w:lineRule="exact"/>
        <w:rPr>
          <w:rFonts w:ascii="Arial" w:cs="Arial" w:eastAsia="Arial" w:hAnsi="Arial"/>
          <w:sz w:val="18"/>
          <w:szCs w:val="18"/>
          <w:color w:val="auto"/>
        </w:rPr>
      </w:pPr>
    </w:p>
    <w:p>
      <w:pPr>
        <w:ind w:left="1740" w:hanging="248"/>
        <w:spacing w:after="0"/>
        <w:tabs>
          <w:tab w:leader="none" w:pos="174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23" w:lineRule="exact"/>
        <w:rPr>
          <w:rFonts w:ascii="MS PGothic" w:cs="MS PGothic" w:eastAsia="MS PGothic" w:hAnsi="MS PGothic"/>
          <w:sz w:val="18"/>
          <w:szCs w:val="18"/>
          <w:color w:val="auto"/>
        </w:rPr>
      </w:pPr>
    </w:p>
    <w:p>
      <w:pPr>
        <w:ind w:left="1740" w:hanging="248"/>
        <w:spacing w:after="0"/>
        <w:tabs>
          <w:tab w:leader="none" w:pos="174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LIBOR Loans, each with an initial Interest Period for a duration of:</w:t>
      </w:r>
    </w:p>
    <w:p>
      <w:pPr>
        <w:spacing w:after="0" w:line="165" w:lineRule="exact"/>
        <w:rPr>
          <w:sz w:val="20"/>
          <w:szCs w:val="20"/>
          <w:color w:val="auto"/>
        </w:rPr>
      </w:pPr>
    </w:p>
    <w:p>
      <w:pPr>
        <w:ind w:left="1500"/>
        <w:spacing w:after="0" w:line="207" w:lineRule="exact"/>
        <w:tabs>
          <w:tab w:leader="none" w:pos="3480" w:val="left"/>
        </w:tabs>
        <w:rPr>
          <w:sz w:val="20"/>
          <w:szCs w:val="20"/>
          <w:color w:val="auto"/>
        </w:rPr>
      </w:pPr>
      <w:r>
        <w:rPr>
          <w:rFonts w:ascii="Arial" w:cs="Arial" w:eastAsia="Arial" w:hAnsi="Arial"/>
          <w:sz w:val="18"/>
          <w:szCs w:val="18"/>
          <w:b w:val="1"/>
          <w:bCs w:val="1"/>
          <w:color w:val="auto"/>
        </w:rPr>
        <w:t xml:space="preserve">[Check one box only]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1 week</w:t>
      </w:r>
    </w:p>
    <w:p>
      <w:pPr>
        <w:spacing w:after="0" w:line="49" w:lineRule="exact"/>
        <w:rPr>
          <w:sz w:val="20"/>
          <w:szCs w:val="20"/>
          <w:color w:val="auto"/>
        </w:rPr>
      </w:pPr>
    </w:p>
    <w:p>
      <w:pPr>
        <w:ind w:left="3500" w:hanging="345"/>
        <w:spacing w:after="0"/>
        <w:tabs>
          <w:tab w:leader="none" w:pos="350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1 month</w:t>
      </w:r>
    </w:p>
    <w:p>
      <w:pPr>
        <w:spacing w:after="0" w:line="15"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2 months</w:t>
      </w:r>
    </w:p>
    <w:p>
      <w:pPr>
        <w:spacing w:after="0" w:line="9"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9"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9"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1 year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80" w:right="239" w:bottom="1440" w:gutter="0" w:footer="0" w:header="0"/>
        </w:sectPr>
      </w:pPr>
    </w:p>
    <w:bookmarkStart w:id="189" w:name="page190"/>
    <w:bookmarkEnd w:id="189"/>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proceeds of this borrowing of Revolving Loans will be used for the following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-13970</wp:posOffset>
            </wp:positionV>
            <wp:extent cx="11150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9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-17780</wp:posOffset>
            </wp:positionV>
            <wp:extent cx="52400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64" w:lineRule="exact"/>
        <w:rPr>
          <w:sz w:val="20"/>
          <w:szCs w:val="20"/>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requests that the proceeds of this borrowing of Revolving Loans be made available to the Borrower by</w:t>
      </w:r>
    </w:p>
    <w:p>
      <w:pPr>
        <w:spacing w:after="0" w:line="15"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5824855</wp:posOffset>
            </wp:positionH>
            <wp:positionV relativeFrom="paragraph">
              <wp:posOffset>-154940</wp:posOffset>
            </wp:positionV>
            <wp:extent cx="10871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8712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-17780</wp:posOffset>
            </wp:positionV>
            <wp:extent cx="8362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64"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The Borrower hereby certifies to the Agent and the Lenders that as of the date hereof and as of the date of the making of the requested Revolving Loans and after giving effect thereto, (a) no Default or Event of Default exists or shall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notice of the requested borrowing of Revolving Loans was previously given by telephone, this notice is to be considered the written confirmation of such telephone notice required by Section 2.1.(b)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Borrowing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-635</wp:posOffset>
            </wp:positionV>
            <wp:extent cx="23412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280" w:right="259" w:bottom="1440" w:gutter="0" w:footer="0" w:header="0"/>
        </w:sectPr>
      </w:pPr>
    </w:p>
    <w:bookmarkStart w:id="190" w:name="page191"/>
    <w:bookmarkEnd w:id="190"/>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NOTICE OF CONTINUATION</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Pursuant to Section 2.9. of the Credit Agreement, the Borrower hereby requests a Continuation of a borrowing of Loans under the Credit Agreement, and in that connection sets forth below the information relating to such Continuation as required by such Section of the Credit Agreement:</w:t>
      </w:r>
    </w:p>
    <w:tbl>
      <w:tblPr>
        <w:tblLayout w:type="fixed"/>
        <w:tblInd w:w="460" w:type="dxa"/>
        <w:tblCellMar>
          <w:top w:w="0" w:type="dxa"/>
          <w:left w:w="0" w:type="dxa"/>
          <w:bottom w:w="0" w:type="dxa"/>
          <w:right w:w="0" w:type="dxa"/>
        </w:tblCellMar>
      </w:tblPr>
      <w:tr>
        <w:trPr>
          <w:trHeight w:val="188"/>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18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88"/>
              </w:rPr>
              <w:t>The proposed date of such Continuation is</w:t>
            </w:r>
          </w:p>
        </w:tc>
        <w:tc>
          <w:tcPr>
            <w:tcW w:w="520" w:type="dxa"/>
            <w:vAlign w:val="bottom"/>
          </w:tcPr>
          <w:p>
            <w:pPr>
              <w:spacing w:after="0"/>
              <w:rPr>
                <w:sz w:val="16"/>
                <w:szCs w:val="16"/>
                <w:color w:val="auto"/>
              </w:rPr>
            </w:pPr>
          </w:p>
        </w:tc>
        <w:tc>
          <w:tcPr>
            <w:tcW w:w="1420" w:type="dxa"/>
            <w:vAlign w:val="bottom"/>
            <w:gridSpan w:val="3"/>
          </w:tcPr>
          <w:p>
            <w:pPr>
              <w:jc w:val="right"/>
              <w:ind w:right="940"/>
              <w:spacing w:after="0" w:line="189" w:lineRule="exact"/>
              <w:rPr>
                <w:sz w:val="20"/>
                <w:szCs w:val="20"/>
                <w:color w:val="auto"/>
              </w:rPr>
            </w:pPr>
            <w:r>
              <w:rPr>
                <w:rFonts w:ascii="Arial" w:cs="Arial" w:eastAsia="Arial" w:hAnsi="Arial"/>
                <w:sz w:val="18"/>
                <w:szCs w:val="18"/>
                <w:color w:val="auto"/>
              </w:rPr>
              <w:t>, 20  .</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540" w:type="dxa"/>
            <w:vAlign w:val="bottom"/>
            <w:gridSpan w:val="11"/>
          </w:tcPr>
          <w:p>
            <w:pPr>
              <w:ind w:left="160"/>
              <w:spacing w:after="0"/>
              <w:rPr>
                <w:sz w:val="20"/>
                <w:szCs w:val="20"/>
                <w:color w:val="auto"/>
              </w:rPr>
            </w:pPr>
            <w:r>
              <w:rPr>
                <w:rFonts w:ascii="Arial" w:cs="Arial" w:eastAsia="Arial" w:hAnsi="Arial"/>
                <w:sz w:val="18"/>
                <w:szCs w:val="18"/>
                <w:color w:val="auto"/>
                <w:w w:val="95"/>
              </w:rPr>
              <w:t>The aggregate principal amount of Loans subject to the requested Continuation is $</w:t>
            </w:r>
          </w:p>
        </w:tc>
        <w:tc>
          <w:tcPr>
            <w:tcW w:w="3520" w:type="dxa"/>
            <w:vAlign w:val="bottom"/>
            <w:gridSpan w:val="4"/>
          </w:tcPr>
          <w:p>
            <w:pPr>
              <w:jc w:val="right"/>
              <w:ind w:right="60"/>
              <w:spacing w:after="0"/>
              <w:rPr>
                <w:sz w:val="20"/>
                <w:szCs w:val="20"/>
                <w:color w:val="auto"/>
              </w:rPr>
            </w:pPr>
            <w:r>
              <w:rPr>
                <w:rFonts w:ascii="Arial" w:cs="Arial" w:eastAsia="Arial" w:hAnsi="Arial"/>
                <w:sz w:val="18"/>
                <w:szCs w:val="18"/>
                <w:color w:val="auto"/>
                <w:w w:val="90"/>
              </w:rPr>
              <w:t>and was originally borrowed by the Borrower 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80" w:type="dxa"/>
            <w:vAlign w:val="bottom"/>
          </w:tcPr>
          <w:p>
            <w:pPr>
              <w:spacing w:after="0"/>
              <w:rPr>
                <w:sz w:val="17"/>
                <w:szCs w:val="17"/>
                <w:color w:val="auto"/>
              </w:rPr>
            </w:pPr>
          </w:p>
        </w:tc>
        <w:tc>
          <w:tcPr>
            <w:tcW w:w="318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20  .</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5120" w:type="dxa"/>
            <w:vAlign w:val="bottom"/>
            <w:gridSpan w:val="7"/>
          </w:tcPr>
          <w:p>
            <w:pPr>
              <w:ind w:left="160"/>
              <w:spacing w:after="0"/>
              <w:rPr>
                <w:sz w:val="20"/>
                <w:szCs w:val="20"/>
                <w:color w:val="auto"/>
              </w:rPr>
            </w:pPr>
            <w:r>
              <w:rPr>
                <w:rFonts w:ascii="Arial" w:cs="Arial" w:eastAsia="Arial" w:hAnsi="Arial"/>
                <w:sz w:val="18"/>
                <w:szCs w:val="18"/>
                <w:color w:val="auto"/>
                <w:w w:val="88"/>
              </w:rPr>
              <w:t>The portion of such principal amount subject to such Continuation is $</w:t>
            </w:r>
          </w:p>
        </w:tc>
        <w:tc>
          <w:tcPr>
            <w:tcW w:w="520" w:type="dxa"/>
            <w:vAlign w:val="bottom"/>
            <w:tcBorders>
              <w:bottom w:val="single" w:sz="8" w:color="auto"/>
            </w:tcBorders>
          </w:tcPr>
          <w:p>
            <w:pPr>
              <w:spacing w:after="0"/>
              <w:rPr>
                <w:sz w:val="24"/>
                <w:szCs w:val="24"/>
                <w:color w:val="auto"/>
              </w:rPr>
            </w:pPr>
          </w:p>
        </w:tc>
        <w:tc>
          <w:tcPr>
            <w:tcW w:w="360" w:type="dxa"/>
            <w:vAlign w:val="bottom"/>
          </w:tcPr>
          <w:p>
            <w:pPr>
              <w:jc w:val="right"/>
              <w:ind w:right="271"/>
              <w:spacing w:after="0"/>
              <w:rPr>
                <w:sz w:val="20"/>
                <w:szCs w:val="20"/>
                <w:color w:val="auto"/>
              </w:rPr>
            </w:pPr>
            <w:r>
              <w:rPr>
                <w:rFonts w:ascii="Arial" w:cs="Arial" w:eastAsia="Arial" w:hAnsi="Arial"/>
                <w:sz w:val="10"/>
                <w:szCs w:val="10"/>
                <w:color w:val="auto"/>
                <w:w w:val="70"/>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6260" w:type="dxa"/>
            <w:vAlign w:val="bottom"/>
            <w:gridSpan w:val="10"/>
          </w:tcPr>
          <w:p>
            <w:pPr>
              <w:ind w:left="160"/>
              <w:spacing w:after="0"/>
              <w:rPr>
                <w:sz w:val="20"/>
                <w:szCs w:val="20"/>
                <w:color w:val="auto"/>
              </w:rPr>
            </w:pPr>
            <w:r>
              <w:rPr>
                <w:rFonts w:ascii="Arial" w:cs="Arial" w:eastAsia="Arial" w:hAnsi="Arial"/>
                <w:sz w:val="18"/>
                <w:szCs w:val="18"/>
                <w:color w:val="auto"/>
                <w:w w:val="88"/>
              </w:rPr>
              <w:t>The current Interest Period for each of the Loans subject to such Continuation ends on</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3"/>
          </w:tcPr>
          <w:p>
            <w:pPr>
              <w:jc w:val="right"/>
              <w:ind w:right="2800"/>
              <w:spacing w:after="0"/>
              <w:rPr>
                <w:sz w:val="20"/>
                <w:szCs w:val="20"/>
                <w:color w:val="auto"/>
              </w:rPr>
            </w:pPr>
            <w:r>
              <w:rPr>
                <w:rFonts w:ascii="Arial" w:cs="Arial" w:eastAsia="Arial" w:hAnsi="Arial"/>
                <w:sz w:val="18"/>
                <w:szCs w:val="18"/>
                <w:color w:val="auto"/>
              </w:rPr>
              <w:t>, 20  .</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0"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duration of the new Interest Period for each of such Loans or portion thereof subject to such Continuation is:</w:t>
      </w:r>
    </w:p>
    <w:p>
      <w:pPr>
        <w:spacing w:after="0" w:line="179" w:lineRule="exact"/>
        <w:rPr>
          <w:sz w:val="20"/>
          <w:szCs w:val="20"/>
          <w:color w:val="auto"/>
        </w:rPr>
      </w:pPr>
    </w:p>
    <w:p>
      <w:pPr>
        <w:ind w:left="1500"/>
        <w:spacing w:after="0" w:line="207" w:lineRule="exact"/>
        <w:tabs>
          <w:tab w:leader="none" w:pos="3480" w:val="left"/>
        </w:tabs>
        <w:rPr>
          <w:sz w:val="20"/>
          <w:szCs w:val="20"/>
          <w:color w:val="auto"/>
        </w:rPr>
      </w:pPr>
      <w:r>
        <w:rPr>
          <w:rFonts w:ascii="Arial" w:cs="Arial" w:eastAsia="Arial" w:hAnsi="Arial"/>
          <w:sz w:val="18"/>
          <w:szCs w:val="18"/>
          <w:b w:val="1"/>
          <w:bCs w:val="1"/>
          <w:color w:val="auto"/>
        </w:rPr>
        <w:t xml:space="preserve">[Check one box only]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1 week</w:t>
      </w:r>
    </w:p>
    <w:p>
      <w:pPr>
        <w:spacing w:after="0" w:line="49" w:lineRule="exact"/>
        <w:rPr>
          <w:sz w:val="20"/>
          <w:szCs w:val="20"/>
          <w:color w:val="auto"/>
        </w:rPr>
      </w:pPr>
    </w:p>
    <w:p>
      <w:pPr>
        <w:ind w:left="3500" w:hanging="345"/>
        <w:spacing w:after="0"/>
        <w:tabs>
          <w:tab w:leader="none" w:pos="350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1 month</w:t>
      </w:r>
    </w:p>
    <w:p>
      <w:pPr>
        <w:spacing w:after="0" w:line="15"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2 months</w:t>
      </w:r>
    </w:p>
    <w:p>
      <w:pPr>
        <w:spacing w:after="0" w:line="9"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9"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9"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1 year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80" w:right="239" w:bottom="1440" w:gutter="0" w:footer="0" w:header="0"/>
        </w:sectPr>
      </w:pPr>
    </w:p>
    <w:bookmarkStart w:id="191" w:name="page192"/>
    <w:bookmarkEnd w:id="191"/>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hereby certifies to the Agent and the Lenders that as of the date hereof, as of the proposed date of the requested Continuation, and after giving effect to such Continuation, no Event of Default exists or will exist.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notice of the requested Continuation was given previously by telephone, this notice is to be considered the written confirmation of such telephone notice required by Section 2.9.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Continuation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-635</wp:posOffset>
            </wp:positionV>
            <wp:extent cx="234124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40"/>
          </w:cols>
          <w:pgMar w:left="240" w:top="280" w:right="319" w:bottom="1440" w:gutter="0" w:footer="0" w:header="0"/>
        </w:sectPr>
      </w:pPr>
    </w:p>
    <w:bookmarkStart w:id="192" w:name="page193"/>
    <w:bookmarkEnd w:id="192"/>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FORM OF NOTICE OF CONVERSION</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Section 2.10. of the Credit Agreement, the Borrower hereby requests a Conversion of a borrowing of Loans of one Type into Loans of another Type under the Credit Agreement, and in that connection sets forth below the information relating to such Conversion as required by such Section of the Credit Agreement:</w:t>
      </w:r>
    </w:p>
    <w:p>
      <w:pPr>
        <w:spacing w:after="0" w:line="3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080" w:type="dxa"/>
            <w:vAlign w:val="bottom"/>
            <w:gridSpan w:val="4"/>
          </w:tcPr>
          <w:p>
            <w:pPr>
              <w:ind w:left="160"/>
              <w:spacing w:after="0"/>
              <w:rPr>
                <w:sz w:val="20"/>
                <w:szCs w:val="20"/>
                <w:color w:val="auto"/>
              </w:rPr>
            </w:pPr>
            <w:r>
              <w:rPr>
                <w:rFonts w:ascii="Arial" w:cs="Arial" w:eastAsia="Arial" w:hAnsi="Arial"/>
                <w:sz w:val="18"/>
                <w:szCs w:val="18"/>
                <w:color w:val="auto"/>
                <w:w w:val="88"/>
              </w:rPr>
              <w:t>The proposed date of such Conversion is</w:t>
            </w:r>
          </w:p>
        </w:tc>
        <w:tc>
          <w:tcPr>
            <w:tcW w:w="520" w:type="dxa"/>
            <w:vAlign w:val="bottom"/>
          </w:tcPr>
          <w:p>
            <w:pPr>
              <w:spacing w:after="0"/>
              <w:rPr>
                <w:sz w:val="17"/>
                <w:szCs w:val="17"/>
                <w:color w:val="auto"/>
              </w:rPr>
            </w:pPr>
          </w:p>
        </w:tc>
        <w:tc>
          <w:tcPr>
            <w:tcW w:w="1420" w:type="dxa"/>
            <w:vAlign w:val="bottom"/>
            <w:gridSpan w:val="3"/>
          </w:tcPr>
          <w:p>
            <w:pPr>
              <w:jc w:val="right"/>
              <w:ind w:right="852"/>
              <w:spacing w:after="0"/>
              <w:rPr>
                <w:sz w:val="20"/>
                <w:szCs w:val="20"/>
                <w:color w:val="auto"/>
              </w:rPr>
            </w:pPr>
            <w:r>
              <w:rPr>
                <w:rFonts w:ascii="Arial" w:cs="Arial" w:eastAsia="Arial" w:hAnsi="Arial"/>
                <w:sz w:val="18"/>
                <w:szCs w:val="18"/>
                <w:color w:val="auto"/>
              </w:rPr>
              <w:t>, 20  .</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5320" w:type="dxa"/>
            <w:vAlign w:val="bottom"/>
            <w:gridSpan w:val="9"/>
          </w:tcPr>
          <w:p>
            <w:pPr>
              <w:ind w:left="160"/>
              <w:spacing w:after="0"/>
              <w:rPr>
                <w:sz w:val="20"/>
                <w:szCs w:val="20"/>
                <w:color w:val="auto"/>
              </w:rPr>
            </w:pPr>
            <w:r>
              <w:rPr>
                <w:rFonts w:ascii="Arial" w:cs="Arial" w:eastAsia="Arial" w:hAnsi="Arial"/>
                <w:sz w:val="18"/>
                <w:szCs w:val="18"/>
                <w:color w:val="auto"/>
              </w:rPr>
              <w:t xml:space="preserve">The Loans to be Converted pursuant hereto are </w:t>
            </w:r>
            <w:r>
              <w:rPr>
                <w:rFonts w:ascii="Arial" w:cs="Arial" w:eastAsia="Arial" w:hAnsi="Arial"/>
                <w:sz w:val="18"/>
                <w:szCs w:val="18"/>
                <w:b w:val="1"/>
                <w:bCs w:val="1"/>
                <w:color w:val="auto"/>
              </w:rPr>
              <w:t>currently</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280" w:type="dxa"/>
            <w:vAlign w:val="bottom"/>
          </w:tcPr>
          <w:p>
            <w:pPr>
              <w:spacing w:after="0"/>
              <w:rPr>
                <w:sz w:val="24"/>
                <w:szCs w:val="24"/>
                <w:color w:val="auto"/>
              </w:rPr>
            </w:pPr>
          </w:p>
        </w:tc>
        <w:tc>
          <w:tcPr>
            <w:tcW w:w="2120" w:type="dxa"/>
            <w:vAlign w:val="bottom"/>
            <w:gridSpan w:val="3"/>
          </w:tcPr>
          <w:p>
            <w:pPr>
              <w:jc w:val="right"/>
              <w:ind w:right="12"/>
              <w:spacing w:after="0" w:line="207" w:lineRule="exact"/>
              <w:rPr>
                <w:sz w:val="20"/>
                <w:szCs w:val="20"/>
                <w:color w:val="auto"/>
              </w:rPr>
            </w:pPr>
            <w:r>
              <w:rPr>
                <w:rFonts w:ascii="Arial" w:cs="Arial" w:eastAsia="Arial" w:hAnsi="Arial"/>
                <w:sz w:val="18"/>
                <w:szCs w:val="18"/>
                <w:b w:val="1"/>
                <w:bCs w:val="1"/>
                <w:color w:val="auto"/>
                <w:w w:val="97"/>
              </w:rPr>
              <w:t xml:space="preserve">[Check one box only] </w:t>
            </w:r>
            <w:r>
              <w:rPr>
                <w:rFonts w:ascii="MS PGothic" w:cs="MS PGothic" w:eastAsia="MS PGothic" w:hAnsi="MS PGothic"/>
                <w:sz w:val="18"/>
                <w:szCs w:val="18"/>
                <w:color w:val="auto"/>
                <w:w w:val="97"/>
              </w:rPr>
              <w:t>☐</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w w:val="98"/>
              </w:rPr>
              <w:t>Base Rate Loans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5"/>
        </w:trPr>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ind w:right="12"/>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LIBOR Loans</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39"/>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6420" w:type="dxa"/>
            <w:vAlign w:val="bottom"/>
            <w:gridSpan w:val="12"/>
          </w:tcPr>
          <w:p>
            <w:pPr>
              <w:ind w:left="160"/>
              <w:spacing w:after="0"/>
              <w:rPr>
                <w:sz w:val="20"/>
                <w:szCs w:val="20"/>
                <w:color w:val="auto"/>
              </w:rPr>
            </w:pPr>
            <w:r>
              <w:rPr>
                <w:rFonts w:ascii="Arial" w:cs="Arial" w:eastAsia="Arial" w:hAnsi="Arial"/>
                <w:sz w:val="18"/>
                <w:szCs w:val="18"/>
                <w:color w:val="auto"/>
                <w:w w:val="95"/>
              </w:rPr>
              <w:t>The aggregate principal amount of Loans subject to the requested Conversion is $</w:t>
            </w:r>
          </w:p>
        </w:tc>
        <w:tc>
          <w:tcPr>
            <w:tcW w:w="3520" w:type="dxa"/>
            <w:vAlign w:val="bottom"/>
          </w:tcPr>
          <w:p>
            <w:pPr>
              <w:ind w:left="60"/>
              <w:spacing w:after="0"/>
              <w:rPr>
                <w:sz w:val="20"/>
                <w:szCs w:val="20"/>
                <w:color w:val="auto"/>
              </w:rPr>
            </w:pPr>
            <w:r>
              <w:rPr>
                <w:rFonts w:ascii="Arial" w:cs="Arial" w:eastAsia="Arial" w:hAnsi="Arial"/>
                <w:sz w:val="18"/>
                <w:szCs w:val="18"/>
                <w:color w:val="auto"/>
                <w:w w:val="90"/>
              </w:rPr>
              <w:t>and was originally borrowed by the Borrower 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80" w:type="dxa"/>
            <w:vAlign w:val="bottom"/>
          </w:tcPr>
          <w:p>
            <w:pPr>
              <w:spacing w:after="0"/>
              <w:rPr>
                <w:sz w:val="17"/>
                <w:szCs w:val="17"/>
                <w:color w:val="auto"/>
              </w:rPr>
            </w:pPr>
          </w:p>
        </w:tc>
        <w:tc>
          <w:tcPr>
            <w:tcW w:w="212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20  .</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5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5020" w:type="dxa"/>
            <w:vAlign w:val="bottom"/>
            <w:gridSpan w:val="8"/>
          </w:tcPr>
          <w:p>
            <w:pPr>
              <w:ind w:left="160"/>
              <w:spacing w:after="0"/>
              <w:rPr>
                <w:sz w:val="20"/>
                <w:szCs w:val="20"/>
                <w:color w:val="auto"/>
              </w:rPr>
            </w:pPr>
            <w:r>
              <w:rPr>
                <w:rFonts w:ascii="Arial" w:cs="Arial" w:eastAsia="Arial" w:hAnsi="Arial"/>
                <w:sz w:val="18"/>
                <w:szCs w:val="18"/>
                <w:color w:val="auto"/>
                <w:w w:val="88"/>
              </w:rPr>
              <w:t>The portion of such principal amount subject to such Conversion is $</w:t>
            </w:r>
          </w:p>
        </w:tc>
        <w:tc>
          <w:tcPr>
            <w:tcW w:w="30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3"/>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E-1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93" w:name="page194"/>
    <w:bookmarkEnd w:id="193"/>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such Loans to be so Converted is to be converted into Loans of the following Type:</w:t>
      </w:r>
    </w:p>
    <w:p>
      <w:pPr>
        <w:spacing w:after="0" w:line="16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177" w:lineRule="exact"/>
        <w:rPr>
          <w:rFonts w:ascii="Arial" w:cs="Arial" w:eastAsia="Arial" w:hAnsi="Arial"/>
          <w:sz w:val="18"/>
          <w:szCs w:val="18"/>
          <w:color w:val="auto"/>
        </w:rPr>
      </w:pPr>
    </w:p>
    <w:p>
      <w:pPr>
        <w:ind w:left="1740" w:hanging="248"/>
        <w:spacing w:after="0"/>
        <w:tabs>
          <w:tab w:leader="none" w:pos="1740" w:val="left"/>
        </w:tabs>
        <w:numPr>
          <w:ilvl w:val="1"/>
          <w:numId w:val="152"/>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23" w:lineRule="exact"/>
        <w:rPr>
          <w:rFonts w:ascii="MS PGothic" w:cs="MS PGothic" w:eastAsia="MS PGothic" w:hAnsi="MS PGothic"/>
          <w:sz w:val="18"/>
          <w:szCs w:val="18"/>
          <w:color w:val="auto"/>
        </w:rPr>
      </w:pPr>
    </w:p>
    <w:p>
      <w:pPr>
        <w:ind w:left="1740" w:hanging="248"/>
        <w:spacing w:after="0"/>
        <w:tabs>
          <w:tab w:leader="none" w:pos="1740" w:val="left"/>
        </w:tabs>
        <w:numPr>
          <w:ilvl w:val="1"/>
          <w:numId w:val="152"/>
        </w:numPr>
        <w:rPr>
          <w:rFonts w:ascii="MS PGothic" w:cs="MS PGothic" w:eastAsia="MS PGothic" w:hAnsi="MS PGothic"/>
          <w:sz w:val="18"/>
          <w:szCs w:val="18"/>
          <w:color w:val="auto"/>
        </w:rPr>
      </w:pPr>
      <w:r>
        <w:rPr>
          <w:rFonts w:ascii="Arial" w:cs="Arial" w:eastAsia="Arial" w:hAnsi="Arial"/>
          <w:sz w:val="18"/>
          <w:szCs w:val="18"/>
          <w:color w:val="auto"/>
        </w:rPr>
        <w:t>LIBOR Loans, each with an initial Interest Period for a duration of:</w:t>
      </w:r>
    </w:p>
    <w:p>
      <w:pPr>
        <w:spacing w:after="0" w:line="165" w:lineRule="exact"/>
        <w:rPr>
          <w:sz w:val="20"/>
          <w:szCs w:val="20"/>
          <w:color w:val="auto"/>
        </w:rPr>
      </w:pPr>
    </w:p>
    <w:p>
      <w:pPr>
        <w:ind w:left="1500"/>
        <w:spacing w:after="0" w:line="207" w:lineRule="exact"/>
        <w:tabs>
          <w:tab w:leader="none" w:pos="3480" w:val="left"/>
        </w:tabs>
        <w:rPr>
          <w:sz w:val="20"/>
          <w:szCs w:val="20"/>
          <w:color w:val="auto"/>
        </w:rPr>
      </w:pPr>
      <w:r>
        <w:rPr>
          <w:rFonts w:ascii="Arial" w:cs="Arial" w:eastAsia="Arial" w:hAnsi="Arial"/>
          <w:sz w:val="18"/>
          <w:szCs w:val="18"/>
          <w:b w:val="1"/>
          <w:bCs w:val="1"/>
          <w:color w:val="auto"/>
        </w:rPr>
        <w:t xml:space="preserve">[Check one box only]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1 week</w:t>
      </w:r>
    </w:p>
    <w:p>
      <w:pPr>
        <w:spacing w:after="0" w:line="49" w:lineRule="exact"/>
        <w:rPr>
          <w:sz w:val="20"/>
          <w:szCs w:val="20"/>
          <w:color w:val="auto"/>
        </w:rPr>
      </w:pPr>
    </w:p>
    <w:p>
      <w:pPr>
        <w:ind w:left="3500" w:hanging="345"/>
        <w:spacing w:after="0"/>
        <w:tabs>
          <w:tab w:leader="none" w:pos="3500" w:val="left"/>
        </w:tabs>
        <w:numPr>
          <w:ilvl w:val="0"/>
          <w:numId w:val="153"/>
        </w:numPr>
        <w:rPr>
          <w:rFonts w:ascii="MS PGothic" w:cs="MS PGothic" w:eastAsia="MS PGothic" w:hAnsi="MS PGothic"/>
          <w:sz w:val="18"/>
          <w:szCs w:val="18"/>
          <w:color w:val="auto"/>
        </w:rPr>
      </w:pPr>
      <w:r>
        <w:rPr>
          <w:rFonts w:ascii="Arial" w:cs="Arial" w:eastAsia="Arial" w:hAnsi="Arial"/>
          <w:sz w:val="18"/>
          <w:szCs w:val="18"/>
          <w:color w:val="auto"/>
        </w:rPr>
        <w:t>1 month</w:t>
      </w:r>
    </w:p>
    <w:p>
      <w:pPr>
        <w:spacing w:after="0" w:line="15"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53"/>
        </w:numPr>
        <w:rPr>
          <w:rFonts w:ascii="MS PGothic" w:cs="MS PGothic" w:eastAsia="MS PGothic" w:hAnsi="MS PGothic"/>
          <w:sz w:val="18"/>
          <w:szCs w:val="18"/>
          <w:color w:val="auto"/>
        </w:rPr>
      </w:pPr>
      <w:r>
        <w:rPr>
          <w:rFonts w:ascii="Arial" w:cs="Arial" w:eastAsia="Arial" w:hAnsi="Arial"/>
          <w:sz w:val="18"/>
          <w:szCs w:val="18"/>
          <w:color w:val="auto"/>
        </w:rPr>
        <w:t>2 months</w:t>
      </w:r>
    </w:p>
    <w:p>
      <w:pPr>
        <w:spacing w:after="0" w:line="9"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53"/>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9"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53"/>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9" w:lineRule="exact"/>
        <w:rPr>
          <w:rFonts w:ascii="MS PGothic" w:cs="MS PGothic" w:eastAsia="MS PGothic" w:hAnsi="MS PGothic"/>
          <w:sz w:val="18"/>
          <w:szCs w:val="18"/>
          <w:color w:val="auto"/>
        </w:rPr>
      </w:pPr>
    </w:p>
    <w:p>
      <w:pPr>
        <w:ind w:left="3500" w:hanging="345"/>
        <w:spacing w:after="0"/>
        <w:tabs>
          <w:tab w:leader="none" w:pos="3500" w:val="left"/>
        </w:tabs>
        <w:numPr>
          <w:ilvl w:val="0"/>
          <w:numId w:val="153"/>
        </w:numPr>
        <w:rPr>
          <w:rFonts w:ascii="MS PGothic" w:cs="MS PGothic" w:eastAsia="MS PGothic" w:hAnsi="MS PGothic"/>
          <w:sz w:val="18"/>
          <w:szCs w:val="18"/>
          <w:color w:val="auto"/>
        </w:rPr>
      </w:pPr>
      <w:r>
        <w:rPr>
          <w:rFonts w:ascii="Arial" w:cs="Arial" w:eastAsia="Arial" w:hAnsi="Arial"/>
          <w:sz w:val="18"/>
          <w:szCs w:val="18"/>
          <w:color w:val="auto"/>
        </w:rPr>
        <w:t>1 year</w:t>
      </w:r>
    </w:p>
    <w:p>
      <w:pPr>
        <w:spacing w:after="0" w:line="7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Other than a conversion to Base Rate Loans, the Borrower hereby certifies to the Agent and the Lenders that as of the date hereof and as of the date of the requested Conversion and after giving effect thereto, (a) no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notice of the requested Conversion was given previously by telephone, this notice is to be considered the written confirmation of such telephone notice required by Section 2.10.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Conversion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-635</wp:posOffset>
            </wp:positionV>
            <wp:extent cx="234124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340"/>
          </w:cols>
          <w:pgMar w:left="240" w:top="280" w:right="319" w:bottom="1440" w:gutter="0" w:footer="0" w:header="0"/>
        </w:sectPr>
      </w:pPr>
    </w:p>
    <w:bookmarkStart w:id="194" w:name="page195"/>
    <w:bookmarkEnd w:id="194"/>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FORM OF NOTICE OF SWINGLINE BORROWING</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32" w:lineRule="exact"/>
        <w:rPr>
          <w:sz w:val="20"/>
          <w:szCs w:val="20"/>
          <w:color w:val="auto"/>
        </w:rPr>
      </w:pPr>
    </w:p>
    <w:p>
      <w:pPr>
        <w:ind w:left="900" w:hanging="446"/>
        <w:spacing w:after="0"/>
        <w:tabs>
          <w:tab w:leader="none" w:pos="90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Pursuant to Section 2.3.(b) of the Credit Agreement, the Borrower hereby requests that the Swingline Lender make a Swingline Loan to the Borrower</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88"/>
              </w:rPr>
              <w:t>in a principal amount equal to $</w:t>
            </w:r>
          </w:p>
        </w:tc>
        <w:tc>
          <w:tcPr>
            <w:tcW w:w="3940" w:type="dxa"/>
            <w:vAlign w:val="bottom"/>
            <w:gridSpan w:val="2"/>
          </w:tcPr>
          <w:p>
            <w:pPr>
              <w:jc w:val="right"/>
              <w:ind w:right="3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w w:val="88"/>
              </w:rPr>
              <w:t>The Borrower requests that such Swingline Loan be made available to the Borrower on</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0"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proceeds of this Swingline Loan will be used for the following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-13970</wp:posOffset>
            </wp:positionV>
            <wp:extent cx="16998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ind w:left="9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-17780</wp:posOffset>
            </wp:positionV>
            <wp:extent cx="51282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64" w:lineRule="exact"/>
        <w:rPr>
          <w:sz w:val="20"/>
          <w:szCs w:val="20"/>
          <w:color w:val="auto"/>
        </w:rPr>
      </w:pPr>
    </w:p>
    <w:p>
      <w:pPr>
        <w:ind w:left="460"/>
        <w:spacing w:after="0"/>
        <w:tabs>
          <w:tab w:leader="none" w:pos="880" w:val="left"/>
          <w:tab w:leader="none" w:pos="112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The Borrower requests that the proceeds of such Swingline Loan be made available to the Borrower by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5199380</wp:posOffset>
            </wp:positionH>
            <wp:positionV relativeFrom="paragraph">
              <wp:posOffset>-13970</wp:posOffset>
            </wp:positionV>
            <wp:extent cx="19234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spacing w:after="0" w:line="1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Borrower hereby certifies to the Agent, the Swingline Lender and the Lenders that as of the date hereof, as of the date of the making of the requested Swingline Loan, and after making such Swingline Loan, (a) no Default or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80" w:right="239" w:bottom="1440" w:gutter="0" w:footer="0" w:header="0"/>
        </w:sectPr>
      </w:pPr>
    </w:p>
    <w:bookmarkStart w:id="195" w:name="page196"/>
    <w:bookmarkEnd w:id="19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notice of the requested borrowing of this Swingline Loan was previously given by telephone, this notice is to be considered the written confirmation of such telephone notice required by Section 2.3.(b) of the Credit Agreement.</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WITNESS WHEREOF, the undersigned has duly executed and delivered this Notice of Swingline Borrowing as of the date first written 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-635</wp:posOffset>
            </wp:positionV>
            <wp:extent cx="23412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240" w:top="280" w:right="41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SWINGLINE NOTE</w:t>
      </w:r>
    </w:p>
    <w:p>
      <w:pPr>
        <w:spacing w:after="0" w:line="212"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$25,000,000</w:t>
      </w:r>
      <w:r>
        <w:rPr>
          <w:sz w:val="20"/>
          <w:szCs w:val="20"/>
          <w:color w:val="auto"/>
        </w:rPr>
        <w:tab/>
      </w:r>
      <w:r>
        <w:rPr>
          <w:rFonts w:ascii="Arial" w:cs="Arial" w:eastAsia="Arial" w:hAnsi="Arial"/>
          <w:sz w:val="16"/>
          <w:szCs w:val="16"/>
          <w:color w:val="auto"/>
        </w:rPr>
        <w:t>July 28, 2006</w:t>
      </w:r>
    </w:p>
    <w:p>
      <w:pPr>
        <w:spacing w:after="0" w:line="17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FOR VALUE RECEIVED, the undersigned, FEDERAL REALTY INVESTMENT TRUST, a real estate investment trust formed under the laws of the State of Maryland (the “Borrower”), hereby promises to pay to the order of WACHOVIA BANK, NATIONAL ASSOCIATION (the “Swingline Lender”) at its address at One Wachovia Center, 301 South College Street, Charlotte, North Carolina 28288, or at such other address as may be specified in writing by the Swingline Lender to the Borrower, the principal sum of TWENTY-FIVE MILLION AND NO/100 DOLLARS ($25,000,000) (or such lesser amount as shall equal the aggregate unpaid principal amount of Swingline Loans made by the Swingline Lender to the Borrower under the Credit Agreement), on the dates and in the principal amounts provided in the Credit Agreement, and to pay interest on the unpaid principal amount owing hereunder, at the rates and on the dates provided in the Credit Agreement.</w:t>
      </w:r>
    </w:p>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The date, principal amount of each Swingline Loan, and each payment made on account of the principal thereof, shall be recorded by the Swingline Lender on its books and, prior to any transfer of this Note, endorsed by the Swingline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Swingline Lender to make any such recordation or endorsement shall not affect the obligations of the Borrower to make a payment when due of any amount owing under the Credit Agreement or hereunder in respect of the Swingline Loans.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This Note is the Swingline Note referred to in the Credit Agreement dated as of July 28, 2006 (as amended, restated, supplemented or otherwise modified from time to time, the “Credit Agreement”), by and among the Borrower, the financial institutions party thereto and their permitted assignees under Section 12.5. thereof (the “Lenders”), Wachovia Bank, National Association, as Agent, and the other parties thereto, and evidences Swingline Loans made to the Borrower thereunder. Terms used but not otherwise defined in this Note have the respective meanings assigned to them in the Credit Agreement.</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Swingline Loans upon the terms and conditions specified therein.</w:t>
      </w:r>
    </w:p>
    <w:p>
      <w:pPr>
        <w:spacing w:after="0" w:line="132"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280"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is of the essence for this Note.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executed and delivered this Swingline Note under seal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2540</wp:posOffset>
            </wp:positionV>
            <wp:extent cx="234124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-635</wp:posOffset>
            </wp:positionV>
            <wp:extent cx="234124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9759"/>
          </w:cols>
          <w:pgMar w:left="700" w:top="280" w:right="1440" w:bottom="1440" w:gutter="0" w:footer="0" w:header="0"/>
        </w:sectPr>
      </w:pPr>
    </w:p>
    <w:bookmarkStart w:id="198" w:name="page199"/>
    <w:bookmarkEnd w:id="198"/>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SWINGLINE LOANS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Note evidences Swingline Loans made under the within-described Credit Agreement to the Borrower, on the dates and in the principal amounts set forth below, subject to the payments and prepayments of principal set forth below:</w:t>
      </w:r>
    </w:p>
    <w:p>
      <w:pPr>
        <w:spacing w:after="0" w:line="156"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0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 Paid</w:t>
            </w:r>
          </w:p>
        </w:tc>
        <w:tc>
          <w:tcPr>
            <w:tcW w:w="1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2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Notation</w:t>
            </w:r>
          </w:p>
        </w:tc>
      </w:tr>
      <w:tr>
        <w:trPr>
          <w:trHeight w:val="168"/>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Date of Loan</w:t>
            </w:r>
          </w:p>
        </w:tc>
        <w:tc>
          <w:tcPr>
            <w:tcW w:w="9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10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or Prepaid</w:t>
            </w:r>
          </w:p>
        </w:tc>
        <w:tc>
          <w:tcPr>
            <w:tcW w:w="11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2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Made By</w:t>
            </w:r>
          </w:p>
        </w:tc>
      </w:tr>
    </w:tbl>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140"/>
          </w:cols>
          <w:pgMar w:left="240" w:top="280" w:right="519" w:bottom="1440" w:gutter="0" w:footer="0" w:header="0"/>
        </w:sectPr>
      </w:pPr>
    </w:p>
    <w:bookmarkStart w:id="199" w:name="page200"/>
    <w:bookmarkEnd w:id="199"/>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BID RATE QUOTE REQUEST</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32" w:lineRule="exact"/>
        <w:rPr>
          <w:sz w:val="20"/>
          <w:szCs w:val="20"/>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Borrower hereby requests Bid Rate Quotes for the following proposed Bid Rate Borrowings:</w:t>
      </w:r>
    </w:p>
    <w:p>
      <w:pPr>
        <w:spacing w:after="0" w:line="135" w:lineRule="exact"/>
        <w:rPr>
          <w:sz w:val="20"/>
          <w:szCs w:val="20"/>
          <w:color w:val="auto"/>
        </w:rPr>
      </w:pPr>
    </w:p>
    <w:p>
      <w:pPr>
        <w:ind w:left="2820"/>
        <w:spacing w:after="0"/>
        <w:tabs>
          <w:tab w:leader="none" w:pos="6220" w:val="left"/>
          <w:tab w:leader="none" w:pos="7920" w:val="left"/>
          <w:tab w:leader="none" w:pos="9260" w:val="left"/>
        </w:tabs>
        <w:rPr>
          <w:sz w:val="20"/>
          <w:szCs w:val="20"/>
          <w:color w:val="auto"/>
        </w:rPr>
      </w:pPr>
      <w:r>
        <w:rPr>
          <w:rFonts w:ascii="Arial" w:cs="Arial" w:eastAsia="Arial" w:hAnsi="Arial"/>
          <w:sz w:val="14"/>
          <w:szCs w:val="14"/>
          <w:b w:val="1"/>
          <w:bCs w:val="1"/>
          <w:u w:val="single" w:color="auto"/>
          <w:color w:val="auto"/>
        </w:rPr>
        <w:t>Borrowing Date</w:t>
      </w:r>
      <w:r>
        <w:rPr>
          <w:sz w:val="20"/>
          <w:szCs w:val="20"/>
          <w:color w:val="auto"/>
        </w:rPr>
        <w:tab/>
      </w:r>
      <w:r>
        <w:rPr>
          <w:rFonts w:ascii="Arial" w:cs="Arial" w:eastAsia="Arial" w:hAnsi="Arial"/>
          <w:sz w:val="14"/>
          <w:szCs w:val="14"/>
          <w:b w:val="1"/>
          <w:bCs w:val="1"/>
          <w:u w:val="single" w:color="auto"/>
          <w:color w:val="auto"/>
        </w:rPr>
        <w:t>Amount</w:t>
      </w:r>
      <w:r>
        <w:rPr>
          <w:rFonts w:ascii="Arial" w:cs="Arial" w:eastAsia="Arial" w:hAnsi="Arial"/>
          <w:sz w:val="22"/>
          <w:szCs w:val="22"/>
          <w:b w:val="1"/>
          <w:bCs w:val="1"/>
          <w:u w:val="single" w:color="auto"/>
          <w:color w:val="auto"/>
          <w:vertAlign w:val="superscript"/>
        </w:rPr>
        <w:t>1</w:t>
      </w:r>
      <w:r>
        <w:rPr>
          <w:sz w:val="20"/>
          <w:szCs w:val="20"/>
          <w:color w:val="auto"/>
        </w:rPr>
        <w:tab/>
      </w:r>
      <w:r>
        <w:rPr>
          <w:rFonts w:ascii="Arial" w:cs="Arial" w:eastAsia="Arial" w:hAnsi="Arial"/>
          <w:sz w:val="14"/>
          <w:szCs w:val="14"/>
          <w:b w:val="1"/>
          <w:bCs w:val="1"/>
          <w:u w:val="single" w:color="auto"/>
          <w:color w:val="auto"/>
        </w:rPr>
        <w:t>Type</w:t>
      </w:r>
      <w:r>
        <w:rPr>
          <w:rFonts w:ascii="Arial" w:cs="Arial" w:eastAsia="Arial" w:hAnsi="Arial"/>
          <w:sz w:val="22"/>
          <w:szCs w:val="22"/>
          <w:b w:val="1"/>
          <w:bCs w:val="1"/>
          <w:u w:val="single" w:color="auto"/>
          <w:color w:val="auto"/>
          <w:vertAlign w:val="superscript"/>
        </w:rPr>
        <w:t>2</w:t>
      </w:r>
      <w:r>
        <w:rPr>
          <w:sz w:val="20"/>
          <w:szCs w:val="20"/>
          <w:color w:val="auto"/>
        </w:rPr>
        <w:tab/>
      </w:r>
      <w:r>
        <w:rPr>
          <w:rFonts w:ascii="Arial" w:cs="Arial" w:eastAsia="Arial" w:hAnsi="Arial"/>
          <w:sz w:val="12"/>
          <w:szCs w:val="12"/>
          <w:b w:val="1"/>
          <w:bCs w:val="1"/>
          <w:u w:val="single" w:color="auto"/>
          <w:color w:val="auto"/>
        </w:rPr>
        <w:t>Interest Period</w:t>
      </w:r>
      <w:r>
        <w:rPr>
          <w:rFonts w:ascii="Arial" w:cs="Arial" w:eastAsia="Arial" w:hAnsi="Arial"/>
          <w:sz w:val="19"/>
          <w:szCs w:val="19"/>
          <w:b w:val="1"/>
          <w:bCs w:val="1"/>
          <w:u w:val="single" w:color="auto"/>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wp:posOffset>
            </wp:positionV>
            <wp:extent cx="6080125"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br w:type="column"/>
      </w:r>
    </w:p>
    <w:p>
      <w:pPr>
        <w:jc w:val="right"/>
        <w:ind w:right="1420"/>
        <w:spacing w:after="0"/>
        <w:tabs>
          <w:tab w:leader="none" w:pos="3780" w:val="left"/>
          <w:tab w:leader="none" w:pos="300" w:val="left"/>
        </w:tabs>
        <w:rPr>
          <w:sz w:val="20"/>
          <w:szCs w:val="20"/>
          <w:color w:val="auto"/>
        </w:rPr>
      </w:pP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days</w:t>
      </w:r>
    </w:p>
    <w:p>
      <w:pPr>
        <w:spacing w:after="0" w:line="198" w:lineRule="exact"/>
        <w:rPr>
          <w:sz w:val="20"/>
          <w:szCs w:val="20"/>
          <w:color w:val="auto"/>
        </w:rPr>
      </w:pPr>
    </w:p>
    <w:p>
      <w:pPr>
        <w:ind w:left="446" w:hanging="446"/>
        <w:spacing w:after="0"/>
        <w:tabs>
          <w:tab w:leader="none" w:pos="4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Borrower’s Credit Rating, as applicable, as of the date hereof is:</w:t>
      </w:r>
    </w:p>
    <w:p>
      <w:pPr>
        <w:spacing w:after="0" w:line="90" w:lineRule="exact"/>
        <w:rPr>
          <w:sz w:val="20"/>
          <w:szCs w:val="20"/>
          <w:color w:val="auto"/>
        </w:rPr>
      </w:pPr>
    </w:p>
    <w:p>
      <w:pPr>
        <w:ind w:left="926"/>
        <w:spacing w:after="0"/>
        <w:rPr>
          <w:sz w:val="20"/>
          <w:szCs w:val="20"/>
          <w:color w:val="auto"/>
        </w:rPr>
      </w:pPr>
      <w:r>
        <w:rPr>
          <w:rFonts w:ascii="Arial" w:cs="Arial" w:eastAsia="Arial" w:hAnsi="Arial"/>
          <w:sz w:val="18"/>
          <w:szCs w:val="18"/>
          <w:color w:val="auto"/>
        </w:rPr>
        <w:t>S&amp;P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2540</wp:posOffset>
            </wp:positionV>
            <wp:extent cx="4286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ind w:left="926"/>
        <w:spacing w:after="0"/>
        <w:rPr>
          <w:sz w:val="20"/>
          <w:szCs w:val="20"/>
          <w:color w:val="auto"/>
        </w:rPr>
      </w:pPr>
      <w:r>
        <w:rPr>
          <w:rFonts w:ascii="Arial" w:cs="Arial" w:eastAsia="Arial" w:hAnsi="Arial"/>
          <w:sz w:val="18"/>
          <w:szCs w:val="18"/>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-635</wp:posOffset>
            </wp:positionV>
            <wp:extent cx="4286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75565</wp:posOffset>
            </wp:positionV>
            <wp:extent cx="7289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Minimum amount of $5,000,000 or larger multiple of $1,000,000.</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Insert either Absolute Rate (for Absolute Rate Loan) or LIBOR Margin (for LIBOR Margin Loan).</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No less than 7 days and up to 180 days after the borrowing date and must end on a Business Day.</w:t>
      </w:r>
    </w:p>
    <w:p>
      <w:pPr>
        <w:spacing w:after="0" w:line="151" w:lineRule="exact"/>
        <w:rPr>
          <w:sz w:val="20"/>
          <w:szCs w:val="20"/>
          <w:color w:val="auto"/>
        </w:rPr>
      </w:pPr>
    </w:p>
    <w:p>
      <w:pPr>
        <w:jc w:val="center"/>
        <w:ind w:right="454"/>
        <w:spacing w:after="0"/>
        <w:rPr>
          <w:sz w:val="20"/>
          <w:szCs w:val="20"/>
          <w:color w:val="auto"/>
        </w:rPr>
      </w:pPr>
      <w:r>
        <w:rPr>
          <w:rFonts w:ascii="Arial" w:cs="Arial" w:eastAsia="Arial" w:hAnsi="Arial"/>
          <w:sz w:val="18"/>
          <w:szCs w:val="18"/>
          <w:color w:val="auto"/>
        </w:rPr>
        <w:t>H-1</w:t>
      </w:r>
    </w:p>
    <w:p>
      <w:pPr>
        <w:sectPr>
          <w:pgSz w:w="11900" w:h="16838" w:orient="portrait"/>
          <w:cols w:equalWidth="0" w:num="2">
            <w:col w:w="60" w:space="394"/>
            <w:col w:w="10966"/>
          </w:cols>
          <w:pgMar w:left="240" w:top="280" w:right="239" w:bottom="1440" w:gutter="0" w:footer="0" w:header="0"/>
          <w:type w:val="continuous"/>
        </w:sectPr>
      </w:pPr>
    </w:p>
    <w:bookmarkStart w:id="200" w:name="page201"/>
    <w:bookmarkEnd w:id="200"/>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proceeds of this Bid Rate borrowing will be used for the following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-13970</wp:posOffset>
            </wp:positionV>
            <wp:extent cx="147701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77010" cy="8890"/>
                    </a:xfrm>
                    <a:prstGeom prst="rect">
                      <a:avLst/>
                    </a:prstGeom>
                    <a:noFill/>
                  </pic:spPr>
                </pic:pic>
              </a:graphicData>
            </a:graphic>
          </wp:anchor>
        </w:drawing>
      </w:r>
    </w:p>
    <w:p>
      <w:pPr>
        <w:ind w:left="9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-17780</wp:posOffset>
            </wp:positionV>
            <wp:extent cx="52400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64" w:lineRule="exact"/>
        <w:rPr>
          <w:sz w:val="20"/>
          <w:szCs w:val="20"/>
          <w:color w:val="auto"/>
        </w:rPr>
      </w:pPr>
    </w:p>
    <w:p>
      <w:pPr>
        <w:ind w:left="460"/>
        <w:spacing w:after="0"/>
        <w:tabs>
          <w:tab w:leader="none" w:pos="880" w:val="left"/>
          <w:tab w:leader="none" w:pos="1000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After giving effect to the Bid Rate Borrowing requested herein, the total amount of Bid Rate Loans outstanding shall be $</w:t>
      </w:r>
      <w:r>
        <w:rPr>
          <w:sz w:val="20"/>
          <w:szCs w:val="20"/>
          <w:color w:val="auto"/>
        </w:rPr>
        <w:tab/>
      </w:r>
      <w:r>
        <w:rPr>
          <w:rFonts w:ascii="Arial" w:cs="Arial" w:eastAsia="Arial" w:hAnsi="Arial"/>
          <w:sz w:val="15"/>
          <w:szCs w:val="15"/>
          <w:color w:val="auto"/>
        </w:rPr>
        <w:t>.</w:t>
      </w: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5996305</wp:posOffset>
            </wp:positionH>
            <wp:positionV relativeFrom="paragraph">
              <wp:posOffset>0</wp:posOffset>
            </wp:positionV>
            <wp:extent cx="36258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17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Borrower hereby certifies to the Agent and the Lenders that as of the date hereof, as of the date of the making of the requested Bid Rate Loans, and after making such Bid Rate Loans, (a) no Default or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undersigned has duly executed and delivered this Bid Rate Quote Request as of the date first written 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-635</wp:posOffset>
            </wp:positionV>
            <wp:extent cx="234124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28" w:lineRule="exact"/>
        <w:rPr>
          <w:sz w:val="20"/>
          <w:szCs w:val="20"/>
          <w:color w:val="auto"/>
        </w:rPr>
      </w:pPr>
    </w:p>
    <w:p>
      <w:pPr>
        <w:jc w:val="center"/>
        <w:ind w:left="5580" w:right="740" w:hanging="5572"/>
        <w:spacing w:after="0" w:line="394" w:lineRule="auto"/>
        <w:tabs>
          <w:tab w:leader="none" w:pos="456" w:val="left"/>
        </w:tabs>
        <w:numPr>
          <w:ilvl w:val="0"/>
          <w:numId w:val="159"/>
        </w:numPr>
        <w:rPr>
          <w:rFonts w:ascii="Arial" w:cs="Arial" w:eastAsia="Arial" w:hAnsi="Arial"/>
          <w:sz w:val="22"/>
          <w:szCs w:val="22"/>
          <w:b w:val="1"/>
          <w:bCs w:val="1"/>
          <w:color w:val="auto"/>
          <w:vertAlign w:val="superscript"/>
        </w:rPr>
      </w:pPr>
      <w:r>
        <w:rPr>
          <w:rFonts w:ascii="Arial" w:cs="Arial" w:eastAsia="Arial" w:hAnsi="Arial"/>
          <w:sz w:val="18"/>
          <w:szCs w:val="18"/>
          <w:b w:val="1"/>
          <w:bCs w:val="1"/>
          <w:color w:val="auto"/>
        </w:rPr>
        <w:t xml:space="preserve">Must not be in excess of one-half of the aggregate amount of all existing Commitments except as otherwise permitted under Section 2.15. </w:t>
      </w: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89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bookmarkStart w:id="201" w:name="page202"/>
    <w:bookmarkEnd w:id="201"/>
    <w:p>
      <w:pPr>
        <w:ind w:left="5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FORM OF BID RATE QUOTE</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left="460"/>
        <w:spacing w:after="0"/>
        <w:tabs>
          <w:tab w:leader="none" w:pos="5000" w:val="left"/>
          <w:tab w:leader="none" w:pos="5440" w:val="left"/>
        </w:tabs>
        <w:rPr>
          <w:sz w:val="20"/>
          <w:szCs w:val="20"/>
          <w:color w:val="auto"/>
        </w:rPr>
      </w:pPr>
      <w:r>
        <w:rPr>
          <w:rFonts w:ascii="Arial" w:cs="Arial" w:eastAsia="Arial" w:hAnsi="Arial"/>
          <w:sz w:val="18"/>
          <w:szCs w:val="18"/>
          <w:color w:val="auto"/>
        </w:rPr>
        <w:t>In response to Borrower’s Bid Rate Quote Request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undersigned hereby makes the following Bid Rate Quote(s)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-13970</wp:posOffset>
            </wp:positionV>
            <wp:extent cx="33464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-13970</wp:posOffset>
            </wp:positionV>
            <wp:extent cx="1117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terms:</w:t>
      </w:r>
    </w:p>
    <w:p>
      <w:pPr>
        <w:spacing w:after="0" w:line="84" w:lineRule="exact"/>
        <w:rPr>
          <w:sz w:val="20"/>
          <w:szCs w:val="20"/>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Quoting Lender: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Person to contact at quoting Lender:</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undersigned offers to make Bid Rate Loan(s) in the following principal amount(s), for the following Interest Period(s) and at the following Bid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-553720</wp:posOffset>
            </wp:positionV>
            <wp:extent cx="13658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65885" cy="8890"/>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-364490</wp:posOffset>
            </wp:positionV>
            <wp:extent cx="20345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034540" cy="8890"/>
                    </a:xfrm>
                    <a:prstGeom prst="rect">
                      <a:avLst/>
                    </a:prstGeom>
                    <a:noFill/>
                  </pic:spPr>
                </pic:pic>
              </a:graphicData>
            </a:graphic>
          </wp:anchor>
        </w:drawing>
      </w:r>
    </w:p>
    <w:p>
      <w:pPr>
        <w:spacing w:after="0" w:line="136"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Absolute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9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Amount</w:t>
            </w:r>
            <w:r>
              <w:rPr>
                <w:rFonts w:ascii="Arial" w:cs="Arial" w:eastAsia="Arial" w:hAnsi="Arial"/>
                <w:sz w:val="22"/>
                <w:szCs w:val="22"/>
                <w:b w:val="1"/>
                <w:bCs w:val="1"/>
                <w:color w:val="auto"/>
                <w:vertAlign w:val="superscript"/>
              </w:rPr>
              <w:t>1</w:t>
            </w:r>
          </w:p>
        </w:tc>
        <w:tc>
          <w:tcPr>
            <w:tcW w:w="14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Type</w:t>
            </w:r>
            <w:r>
              <w:rPr>
                <w:rFonts w:ascii="Arial" w:cs="Arial" w:eastAsia="Arial" w:hAnsi="Arial"/>
                <w:sz w:val="22"/>
                <w:szCs w:val="22"/>
                <w:b w:val="1"/>
                <w:bCs w:val="1"/>
                <w:color w:val="auto"/>
                <w:vertAlign w:val="superscript"/>
              </w:rPr>
              <w:t>2</w:t>
            </w:r>
          </w:p>
        </w:tc>
        <w:tc>
          <w:tcPr>
            <w:tcW w:w="21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Interest Period</w:t>
            </w:r>
            <w:r>
              <w:rPr>
                <w:rFonts w:ascii="Arial" w:cs="Arial" w:eastAsia="Arial" w:hAnsi="Arial"/>
                <w:sz w:val="22"/>
                <w:szCs w:val="22"/>
                <w:b w:val="1"/>
                <w:bCs w:val="1"/>
                <w:color w:val="auto"/>
                <w:vertAlign w:val="superscript"/>
              </w:rPr>
              <w:t>3</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Rate/LIBOR</w:t>
            </w:r>
          </w:p>
        </w:tc>
        <w:tc>
          <w:tcPr>
            <w:tcW w:w="0" w:type="dxa"/>
            <w:vAlign w:val="bottom"/>
          </w:tcPr>
          <w:p>
            <w:pPr>
              <w:spacing w:after="0"/>
              <w:rPr>
                <w:sz w:val="1"/>
                <w:szCs w:val="1"/>
                <w:color w:val="auto"/>
              </w:rPr>
            </w:pPr>
          </w:p>
        </w:tc>
      </w:tr>
      <w:tr>
        <w:trPr>
          <w:trHeight w:val="161"/>
        </w:trPr>
        <w:tc>
          <w:tcPr>
            <w:tcW w:w="1760" w:type="dxa"/>
            <w:vAlign w:val="bottom"/>
          </w:tcPr>
          <w:p>
            <w:pPr>
              <w:spacing w:after="0"/>
              <w:rPr>
                <w:sz w:val="20"/>
                <w:szCs w:val="20"/>
                <w:color w:val="auto"/>
              </w:rPr>
            </w:pPr>
            <w:r>
              <w:rPr>
                <w:rFonts w:ascii="Arial" w:cs="Arial" w:eastAsia="Arial" w:hAnsi="Arial"/>
                <w:sz w:val="14"/>
                <w:szCs w:val="14"/>
                <w:b w:val="1"/>
                <w:bCs w:val="1"/>
                <w:color w:val="auto"/>
              </w:rPr>
              <w:t>Borrowing Date</w:t>
            </w:r>
          </w:p>
        </w:tc>
        <w:tc>
          <w:tcPr>
            <w:tcW w:w="19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Margin</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9"/>
        </w:trPr>
        <w:tc>
          <w:tcPr>
            <w:tcW w:w="10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6"/>
                <w:szCs w:val="16"/>
                <w:color w:val="auto"/>
                <w:w w:val="89"/>
              </w:rPr>
              <w:t>, 20</w:t>
            </w:r>
          </w:p>
        </w:tc>
        <w:tc>
          <w:tcPr>
            <w:tcW w:w="200" w:type="dxa"/>
            <w:vAlign w:val="bottom"/>
            <w:tcBorders>
              <w:right w:val="single" w:sz="8" w:color="CCEEFF"/>
            </w:tcBorders>
            <w:shd w:val="clear" w:color="auto" w:fill="CCEEFF"/>
          </w:tcPr>
          <w:p>
            <w:pPr>
              <w:spacing w:after="0"/>
              <w:rPr>
                <w:sz w:val="12"/>
                <w:szCs w:val="12"/>
                <w:color w:val="auto"/>
              </w:rPr>
            </w:pPr>
          </w:p>
        </w:tc>
        <w:tc>
          <w:tcPr>
            <w:tcW w:w="1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ind w:left="40"/>
              <w:spacing w:after="0" w:line="149" w:lineRule="exact"/>
              <w:rPr>
                <w:sz w:val="20"/>
                <w:szCs w:val="20"/>
                <w:color w:val="auto"/>
              </w:rPr>
            </w:pPr>
            <w:r>
              <w:rPr>
                <w:rFonts w:ascii="Arial" w:cs="Arial" w:eastAsia="Arial" w:hAnsi="Arial"/>
                <w:sz w:val="16"/>
                <w:szCs w:val="16"/>
                <w:color w:val="auto"/>
              </w:rPr>
              <w:t>days</w:t>
            </w:r>
          </w:p>
        </w:tc>
        <w:tc>
          <w:tcPr>
            <w:tcW w:w="9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6"/>
                <w:szCs w:val="16"/>
                <w:color w:val="auto"/>
              </w:rPr>
              <w:t>%</w:t>
            </w:r>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jc w:val="right"/>
              <w:spacing w:after="0" w:line="176" w:lineRule="exact"/>
              <w:rPr>
                <w:sz w:val="20"/>
                <w:szCs w:val="20"/>
                <w:color w:val="auto"/>
              </w:rPr>
            </w:pPr>
            <w:r>
              <w:rPr>
                <w:rFonts w:ascii="Arial" w:cs="Arial" w:eastAsia="Arial" w:hAnsi="Arial"/>
                <w:sz w:val="18"/>
                <w:szCs w:val="18"/>
                <w:color w:val="auto"/>
                <w:w w:val="79"/>
              </w:rPr>
              <w:t>, 20</w:t>
            </w:r>
          </w:p>
        </w:tc>
        <w:tc>
          <w:tcPr>
            <w:tcW w:w="200" w:type="dxa"/>
            <w:vAlign w:val="bottom"/>
          </w:tcPr>
          <w:p>
            <w:pPr>
              <w:spacing w:after="0"/>
              <w:rPr>
                <w:sz w:val="15"/>
                <w:szCs w:val="15"/>
                <w:color w:val="auto"/>
              </w:rPr>
            </w:pPr>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ind w:left="40"/>
              <w:spacing w:after="0" w:line="176" w:lineRule="exact"/>
              <w:rPr>
                <w:sz w:val="20"/>
                <w:szCs w:val="20"/>
                <w:color w:val="auto"/>
              </w:rPr>
            </w:pPr>
            <w:r>
              <w:rPr>
                <w:rFonts w:ascii="Arial" w:cs="Arial" w:eastAsia="Arial" w:hAnsi="Arial"/>
                <w:sz w:val="18"/>
                <w:szCs w:val="18"/>
                <w:color w:val="auto"/>
              </w:rPr>
              <w:t>days</w:t>
            </w:r>
          </w:p>
        </w:tc>
        <w:tc>
          <w:tcPr>
            <w:tcW w:w="980" w:type="dxa"/>
            <w:vAlign w:val="bottom"/>
          </w:tcPr>
          <w:p>
            <w:pPr>
              <w:spacing w:after="0"/>
              <w:rPr>
                <w:sz w:val="15"/>
                <w:szCs w:val="15"/>
                <w:color w:val="auto"/>
              </w:rPr>
            </w:pPr>
          </w:p>
        </w:tc>
        <w:tc>
          <w:tcPr>
            <w:tcW w:w="920" w:type="dxa"/>
            <w:vAlign w:val="bottom"/>
            <w:gridSpan w:val="2"/>
          </w:tcPr>
          <w:p>
            <w:pPr>
              <w:jc w:val="right"/>
              <w:ind w:right="600"/>
              <w:spacing w:after="0" w:line="176" w:lineRule="exact"/>
              <w:rPr>
                <w:sz w:val="20"/>
                <w:szCs w:val="20"/>
                <w:color w:val="auto"/>
              </w:rPr>
            </w:pPr>
            <w:r>
              <w:rPr>
                <w:rFonts w:ascii="Arial" w:cs="Arial" w:eastAsia="Arial" w:hAnsi="Arial"/>
                <w:sz w:val="18"/>
                <w:szCs w:val="18"/>
                <w:color w:val="auto"/>
              </w:rPr>
              <w:t>%</w:t>
            </w:r>
          </w:p>
        </w:tc>
      </w:tr>
      <w:tr>
        <w:trPr>
          <w:trHeight w:val="21"/>
        </w:trPr>
        <w:tc>
          <w:tcPr>
            <w:tcW w:w="10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6"/>
        </w:trPr>
        <w:tc>
          <w:tcPr>
            <w:tcW w:w="18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 20</w:t>
            </w:r>
          </w:p>
        </w:tc>
        <w:tc>
          <w:tcPr>
            <w:tcW w:w="200" w:type="dxa"/>
            <w:vAlign w:val="bottom"/>
            <w:tcBorders>
              <w:right w:val="single" w:sz="8" w:color="CCEEFF"/>
            </w:tcBorders>
            <w:shd w:val="clear" w:color="auto" w:fill="CCEEFF"/>
          </w:tcPr>
          <w:p>
            <w:pPr>
              <w:spacing w:after="0"/>
              <w:rPr>
                <w:sz w:val="15"/>
                <w:szCs w:val="15"/>
                <w:color w:val="auto"/>
              </w:rPr>
            </w:pPr>
          </w:p>
        </w:tc>
        <w:tc>
          <w:tcPr>
            <w:tcW w:w="170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days</w:t>
            </w:r>
          </w:p>
        </w:tc>
        <w:tc>
          <w:tcPr>
            <w:tcW w:w="1900" w:type="dxa"/>
            <w:vAlign w:val="bottom"/>
            <w:gridSpan w:val="3"/>
            <w:shd w:val="clear" w:color="auto" w:fill="CCEEFF"/>
          </w:tcPr>
          <w:p>
            <w:pPr>
              <w:jc w:val="right"/>
              <w:ind w:right="600"/>
              <w:spacing w:after="0" w:line="176" w:lineRule="exact"/>
              <w:rPr>
                <w:sz w:val="20"/>
                <w:szCs w:val="20"/>
                <w:color w:val="auto"/>
              </w:rPr>
            </w:pPr>
            <w:r>
              <w:rPr>
                <w:rFonts w:ascii="Arial" w:cs="Arial" w:eastAsia="Arial" w:hAnsi="Arial"/>
                <w:sz w:val="18"/>
                <w:szCs w:val="18"/>
                <w:color w:val="auto"/>
              </w:rPr>
              <w:t>%</w:t>
            </w:r>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68580</wp:posOffset>
            </wp:positionV>
            <wp:extent cx="7289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amount of $5,000,000 or larger multiple of $1,000,000.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either Absolute Rate (for Absolute Rate Loan) or LIBOR Margin (for LIBOR Margin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less than 7 days and up to 180 days after the borrowing date and must end on a Business Day.</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I-1</w:t>
      </w:r>
    </w:p>
    <w:p>
      <w:pPr>
        <w:sectPr>
          <w:pgSz w:w="11900" w:h="16838" w:orient="portrait"/>
          <w:cols w:equalWidth="0" w:num="2">
            <w:col w:w="60" w:space="400"/>
            <w:col w:w="10960"/>
          </w:cols>
          <w:pgMar w:left="240" w:top="280" w:right="239" w:bottom="1440" w:gutter="0" w:footer="0" w:header="0"/>
          <w:type w:val="continuous"/>
        </w:sectPr>
      </w:pPr>
    </w:p>
    <w:bookmarkStart w:id="202" w:name="page203"/>
    <w:bookmarkEnd w:id="202"/>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understands and agrees that the offer(s) set forth above, subject to satisfaction of the applicable conditions set forth in the Credit Agreement, irrevocably obligate[s] the undersigned to make the Bid Rate Loan(s) for which any offer(s) [is/are] accepted,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85090</wp:posOffset>
            </wp:positionV>
            <wp:extent cx="28987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15"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[Name of Quoting Lender]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-635</wp:posOffset>
            </wp:positionV>
            <wp:extent cx="23412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0680"/>
          </w:cols>
          <w:pgMar w:left="240" w:top="280" w:right="979" w:bottom="1440" w:gutter="0" w:footer="0" w:header="0"/>
        </w:sectPr>
      </w:pPr>
    </w:p>
    <w:bookmarkStart w:id="203" w:name="page204"/>
    <w:bookmarkEnd w:id="203"/>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J</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FORM OF BID RATE QUOTE ACCEPTANCE</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18"/>
          </w:tcPr>
          <w:p>
            <w:pPr>
              <w:ind w:left="460"/>
              <w:spacing w:after="0"/>
              <w:rPr>
                <w:sz w:val="20"/>
                <w:szCs w:val="20"/>
                <w:color w:val="auto"/>
              </w:rPr>
            </w:pPr>
            <w:r>
              <w:rPr>
                <w:rFonts w:ascii="Arial" w:cs="Arial" w:eastAsia="Arial" w:hAnsi="Arial"/>
                <w:sz w:val="18"/>
                <w:szCs w:val="18"/>
                <w:color w:val="auto"/>
                <w:w w:val="89"/>
              </w:rPr>
              <w:t>Borrower hereby accepts the following offer(s) of Bid Rate Quotes to be made available to the Borrower on</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20</w:t>
            </w:r>
          </w:p>
        </w:tc>
        <w:tc>
          <w:tcPr>
            <w:tcW w:w="138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59"/>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Absolute</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9"/>
        </w:trPr>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Rate/LIBOR</w:t>
            </w: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68"/>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5"/>
              </w:rPr>
              <w:t>Quote Date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Interest Period</w:t>
            </w:r>
          </w:p>
        </w:tc>
        <w:tc>
          <w:tcPr>
            <w:tcW w:w="1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Margin</w:t>
            </w:r>
          </w:p>
        </w:tc>
        <w:tc>
          <w:tcPr>
            <w:tcW w:w="1420" w:type="dxa"/>
            <w:vAlign w:val="bottom"/>
          </w:tcPr>
          <w:p>
            <w:pPr>
              <w:spacing w:after="0"/>
              <w:rPr>
                <w:sz w:val="14"/>
                <w:szCs w:val="14"/>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8"/>
              </w:rPr>
              <w:t>Quoting Lender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Accepted</w:t>
            </w:r>
          </w:p>
        </w:tc>
        <w:tc>
          <w:tcPr>
            <w:tcW w:w="640" w:type="dxa"/>
            <w:vAlign w:val="bottom"/>
            <w:gridSpan w:val="2"/>
          </w:tcPr>
          <w:p>
            <w:pPr>
              <w:spacing w:after="0"/>
              <w:rPr>
                <w:sz w:val="14"/>
                <w:szCs w:val="14"/>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gridSpan w:val="3"/>
            <w:shd w:val="clear" w:color="auto" w:fill="CCEEFF"/>
          </w:tcPr>
          <w:p>
            <w:pPr>
              <w:spacing w:after="0"/>
              <w:rPr>
                <w:sz w:val="17"/>
                <w:szCs w:val="17"/>
                <w:color w:val="auto"/>
              </w:rPr>
            </w:pPr>
          </w:p>
        </w:tc>
        <w:tc>
          <w:tcPr>
            <w:tcW w:w="280" w:type="dxa"/>
            <w:vAlign w:val="bottom"/>
            <w:tcBorders>
              <w:bottom w:val="single" w:sz="8" w:color="CCEEFF"/>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 20</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14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r>
      <w:tr>
        <w:trPr>
          <w:trHeight w:val="176"/>
        </w:trPr>
        <w:tc>
          <w:tcPr>
            <w:tcW w:w="1580" w:type="dxa"/>
            <w:vAlign w:val="bottom"/>
            <w:gridSpan w:val="7"/>
          </w:tcPr>
          <w:p>
            <w:pPr>
              <w:jc w:val="center"/>
              <w:ind w:left="1212"/>
              <w:spacing w:after="0" w:line="176" w:lineRule="exact"/>
              <w:rPr>
                <w:sz w:val="20"/>
                <w:szCs w:val="20"/>
                <w:color w:val="auto"/>
              </w:rPr>
            </w:pPr>
            <w:r>
              <w:rPr>
                <w:rFonts w:ascii="Arial" w:cs="Arial" w:eastAsia="Arial" w:hAnsi="Arial"/>
                <w:sz w:val="18"/>
                <w:szCs w:val="18"/>
                <w:color w:val="auto"/>
                <w:w w:val="93"/>
              </w:rPr>
              <w:t>, 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6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w:t>
            </w: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6"/>
        </w:trPr>
        <w:tc>
          <w:tcPr>
            <w:tcW w:w="1580" w:type="dxa"/>
            <w:vAlign w:val="bottom"/>
            <w:gridSpan w:val="7"/>
            <w:shd w:val="clear" w:color="auto" w:fill="CCEEFF"/>
          </w:tcPr>
          <w:p>
            <w:pPr>
              <w:jc w:val="center"/>
              <w:ind w:left="1192"/>
              <w:spacing w:after="0" w:line="176" w:lineRule="exact"/>
              <w:rPr>
                <w:sz w:val="20"/>
                <w:szCs w:val="20"/>
                <w:color w:val="auto"/>
              </w:rPr>
            </w:pPr>
            <w:r>
              <w:rPr>
                <w:rFonts w:ascii="Arial" w:cs="Arial" w:eastAsia="Arial" w:hAnsi="Arial"/>
                <w:sz w:val="18"/>
                <w:szCs w:val="18"/>
                <w:color w:val="auto"/>
                <w:w w:val="87"/>
              </w:rPr>
              <w:t>,20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16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Borrower hereby certifies to the Agent and the Lenders that as of the date hereof, as of the date of the making of the requested Bid Rate Loans, and after making such Bid Rate Loans, (a) no Default or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w:t>
      </w:r>
    </w:p>
    <w:p>
      <w:pPr>
        <w:sectPr>
          <w:pgSz w:w="11900" w:h="16838" w:orient="portrait"/>
          <w:cols w:equalWidth="0" w:num="1">
            <w:col w:w="11420"/>
          </w:cols>
          <w:pgMar w:left="240" w:top="280" w:right="239" w:bottom="1440" w:gutter="0" w:footer="0" w:header="0"/>
        </w:sectPr>
      </w:pPr>
    </w:p>
    <w:bookmarkStart w:id="204" w:name="page205"/>
    <w:bookmarkEnd w:id="20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duly executed and delivered this Bid Rate Quote Acceptance as of the date first written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10795</wp:posOffset>
            </wp:positionV>
            <wp:extent cx="254698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2540</wp:posOffset>
            </wp:positionV>
            <wp:extent cx="23412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-635</wp:posOffset>
            </wp:positionV>
            <wp:extent cx="23412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J-2</w:t>
      </w:r>
    </w:p>
    <w:p>
      <w:pPr>
        <w:sectPr>
          <w:pgSz w:w="11900" w:h="16838" w:orient="portrait"/>
          <w:cols w:equalWidth="0" w:num="1">
            <w:col w:w="10020"/>
          </w:cols>
          <w:pgMar w:left="700" w:top="280" w:right="117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REVOLVING NOTE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51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 20</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90"/>
        </w:trPr>
        <w:tc>
          <w:tcPr>
            <w:tcW w:w="100" w:type="dxa"/>
            <w:vAlign w:val="bottom"/>
          </w:tcPr>
          <w:p>
            <w:pPr>
              <w:spacing w:after="0"/>
              <w:rPr>
                <w:sz w:val="24"/>
                <w:szCs w:val="24"/>
                <w:color w:val="auto"/>
              </w:rPr>
            </w:pPr>
          </w:p>
        </w:tc>
        <w:tc>
          <w:tcPr>
            <w:tcW w:w="11320" w:type="dxa"/>
            <w:vAlign w:val="bottom"/>
            <w:gridSpan w:val="7"/>
          </w:tcPr>
          <w:p>
            <w:pPr>
              <w:jc w:val="right"/>
              <w:ind w:right="380"/>
              <w:spacing w:after="0"/>
              <w:rPr>
                <w:sz w:val="20"/>
                <w:szCs w:val="20"/>
                <w:color w:val="auto"/>
              </w:rPr>
            </w:pPr>
            <w:r>
              <w:rPr>
                <w:rFonts w:ascii="Arial" w:cs="Arial" w:eastAsia="Arial" w:hAnsi="Arial"/>
                <w:sz w:val="18"/>
                <w:szCs w:val="18"/>
                <w:color w:val="auto"/>
                <w:w w:val="93"/>
              </w:rPr>
              <w:t>FOR VALUE RECEIVED, the undersigned, FEDERAL REALTY INVESTMENT TRUST, a real estate investment trust formed under the laws of the</w:t>
            </w:r>
          </w:p>
        </w:tc>
      </w:tr>
      <w:tr>
        <w:trPr>
          <w:trHeight w:val="184"/>
        </w:trPr>
        <w:tc>
          <w:tcPr>
            <w:tcW w:w="5340" w:type="dxa"/>
            <w:vAlign w:val="bottom"/>
            <w:gridSpan w:val="3"/>
          </w:tcPr>
          <w:p>
            <w:pPr>
              <w:spacing w:after="0" w:line="184" w:lineRule="exact"/>
              <w:rPr>
                <w:sz w:val="20"/>
                <w:szCs w:val="20"/>
                <w:color w:val="auto"/>
              </w:rPr>
            </w:pPr>
            <w:r>
              <w:rPr>
                <w:rFonts w:ascii="Arial" w:cs="Arial" w:eastAsia="Arial" w:hAnsi="Arial"/>
                <w:sz w:val="18"/>
                <w:szCs w:val="18"/>
                <w:color w:val="auto"/>
                <w:w w:val="90"/>
              </w:rPr>
              <w:t>State of Maryland (the “Borrower”), hereby promises to pay to the order of</w:t>
            </w:r>
          </w:p>
        </w:tc>
        <w:tc>
          <w:tcPr>
            <w:tcW w:w="860" w:type="dxa"/>
            <w:vAlign w:val="bottom"/>
            <w:tcBorders>
              <w:bottom w:val="single" w:sz="8" w:color="auto"/>
            </w:tcBorders>
          </w:tcPr>
          <w:p>
            <w:pPr>
              <w:spacing w:after="0"/>
              <w:rPr>
                <w:sz w:val="15"/>
                <w:szCs w:val="15"/>
                <w:color w:val="auto"/>
              </w:rPr>
            </w:pPr>
          </w:p>
        </w:tc>
        <w:tc>
          <w:tcPr>
            <w:tcW w:w="5220" w:type="dxa"/>
            <w:vAlign w:val="bottom"/>
            <w:gridSpan w:val="4"/>
          </w:tcPr>
          <w:p>
            <w:pPr>
              <w:jc w:val="right"/>
              <w:ind w:right="440"/>
              <w:spacing w:after="0" w:line="184" w:lineRule="exact"/>
              <w:rPr>
                <w:sz w:val="20"/>
                <w:szCs w:val="20"/>
                <w:color w:val="auto"/>
              </w:rPr>
            </w:pPr>
            <w:r>
              <w:rPr>
                <w:rFonts w:ascii="Arial" w:cs="Arial" w:eastAsia="Arial" w:hAnsi="Arial"/>
                <w:sz w:val="18"/>
                <w:szCs w:val="18"/>
                <w:color w:val="auto"/>
                <w:w w:val="90"/>
              </w:rPr>
              <w:t>(the “Lender”), in care of Wachovia Bank, National Association, as</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Agent (the “Agent”) at Wachovia Bank, National Association, One Wachovia Center, 301 South College Street, Charlotte, North Carolina 28288, or at such other</w:t>
      </w:r>
    </w:p>
    <w:p>
      <w:pPr>
        <w:spacing w:after="0" w:line="38" w:lineRule="exact"/>
        <w:rPr>
          <w:sz w:val="20"/>
          <w:szCs w:val="20"/>
          <w:color w:val="auto"/>
        </w:rPr>
      </w:pPr>
    </w:p>
    <w:p>
      <w:pPr>
        <w:spacing w:after="0"/>
        <w:tabs>
          <w:tab w:leader="none" w:pos="7240" w:val="left"/>
          <w:tab w:leader="none" w:pos="8000" w:val="left"/>
          <w:tab w:leader="none" w:pos="9880" w:val="left"/>
        </w:tabs>
        <w:rPr>
          <w:sz w:val="20"/>
          <w:szCs w:val="20"/>
          <w:color w:val="auto"/>
        </w:rPr>
      </w:pPr>
      <w:r>
        <w:rPr>
          <w:rFonts w:ascii="Arial" w:cs="Arial" w:eastAsia="Arial" w:hAnsi="Arial"/>
          <w:sz w:val="18"/>
          <w:szCs w:val="18"/>
          <w:color w:val="auto"/>
        </w:rPr>
        <w:t>address as may be specified in writing by the Agent to the Borrower, the principal sum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/100 DOLLARS ($</w:t>
      </w:r>
      <w:r>
        <w:rPr>
          <w:sz w:val="20"/>
          <w:szCs w:val="20"/>
          <w:color w:val="auto"/>
        </w:rPr>
        <w:tab/>
      </w:r>
      <w:r>
        <w:rPr>
          <w:rFonts w:ascii="Arial" w:cs="Arial" w:eastAsia="Arial" w:hAnsi="Arial"/>
          <w:sz w:val="15"/>
          <w:szCs w:val="15"/>
          <w:color w:val="auto"/>
        </w:rPr>
        <w:t>) (or such lesser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4019550</wp:posOffset>
            </wp:positionH>
            <wp:positionV relativeFrom="paragraph">
              <wp:posOffset>-17780</wp:posOffset>
            </wp:positionV>
            <wp:extent cx="5575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-17780</wp:posOffset>
            </wp:positionV>
            <wp:extent cx="22288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5957570</wp:posOffset>
            </wp:positionH>
            <wp:positionV relativeFrom="paragraph">
              <wp:posOffset>-17780</wp:posOffset>
            </wp:positionV>
            <wp:extent cx="3346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80"/>
        <w:spacing w:after="0" w:line="255" w:lineRule="auto"/>
        <w:rPr>
          <w:sz w:val="20"/>
          <w:szCs w:val="20"/>
          <w:color w:val="auto"/>
        </w:rPr>
      </w:pPr>
      <w:r>
        <w:rPr>
          <w:rFonts w:ascii="Arial" w:cs="Arial" w:eastAsia="Arial" w:hAnsi="Arial"/>
          <w:sz w:val="18"/>
          <w:szCs w:val="18"/>
          <w:color w:val="auto"/>
        </w:rPr>
        <w:t>amount as shall equal the aggregate unpaid principal amount of Revolving Loans made by the Lender to the Borrower under the Credit Agreement (as herein defined)), on the dates and in the principal amounts provided in the Credit Agreement, and to pay interest on the unpaid principal amount owing hereunder, at the rates and on the dates provided in the Credit Agreement.</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date, amount of each Revolving Loan made by the Lender to the Borrower, and each payment made on account of the principal thereof, shall be recorded by the Lender on its books and, prior to any transfer of this Note, endorsed by the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Lender to make any such recordation or endorsement shall not affect the obligations of the Borrower to make a payment when due of any amount owing under the Credit Agreement or hereunder in respect of the Revolving Loans made by the Lender.</w:t>
      </w:r>
    </w:p>
    <w:p>
      <w:pPr>
        <w:spacing w:after="0" w:line="11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This Note is one of the Revolving Notes referred to in the Credit Agreement dated as of July 28, 2006 (as amended, restated, supplemented or otherwise modified from time to time, the “Credit Agreement”), by and among the Borrower, the financial institutions party thereto and their permitted assignees under Section 12.5. thereof (the “Lenders”), the Agent, and the other parties thereto. Capitalized terms used herein, and not otherwise defined herein, have their respective meanings given them in the Credit Agreement.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Loans upon the terms and conditions specified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permitted by Section 12.5.(d) of the Credit Agreement, this Note may not be assigned by the Lender to any other Person.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K-1</w:t>
      </w:r>
    </w:p>
    <w:p>
      <w:pPr>
        <w:sectPr>
          <w:pgSz w:w="11900" w:h="16838" w:orient="portrait"/>
          <w:cols w:equalWidth="0" w:num="1">
            <w:col w:w="11420"/>
          </w:cols>
          <w:pgMar w:left="240" w:top="280" w:right="239" w:bottom="1440" w:gutter="0" w:footer="0" w:header="0"/>
        </w:sectPr>
      </w:pPr>
    </w:p>
    <w:bookmarkStart w:id="206" w:name="page207"/>
    <w:bookmarkEnd w:id="206"/>
    <w:p>
      <w:pPr>
        <w:ind w:right="7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this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undersigned has executed and delivered this Revolving Note under seal as of the date first written 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-635</wp:posOffset>
            </wp:positionV>
            <wp:extent cx="23412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K-2</w:t>
      </w:r>
    </w:p>
    <w:p>
      <w:pPr>
        <w:sectPr>
          <w:pgSz w:w="11900" w:h="16838" w:orient="portrait"/>
          <w:cols w:equalWidth="0" w:num="1">
            <w:col w:w="11180"/>
          </w:cols>
          <w:pgMar w:left="240" w:top="280" w:right="479" w:bottom="1440" w:gutter="0" w:footer="0" w:header="0"/>
        </w:sectPr>
      </w:pPr>
    </w:p>
    <w:bookmarkStart w:id="207" w:name="page208"/>
    <w:bookmarkEnd w:id="207"/>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REVOLVING LOANS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Note evidences Revolving Loans made under the within-described Credit Agreement to the Borrower, on the dates and in the principal amounts set forth below, subject to the payments and prepayments of principal set forth below:</w:t>
      </w:r>
    </w:p>
    <w:p>
      <w:pPr>
        <w:spacing w:after="0" w:line="156"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2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3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1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Paid or</w:t>
            </w:r>
          </w:p>
        </w:tc>
        <w:tc>
          <w:tcPr>
            <w:tcW w:w="13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2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Notation</w:t>
            </w:r>
          </w:p>
        </w:tc>
      </w:tr>
      <w:tr>
        <w:trPr>
          <w:trHeight w:val="161"/>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1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1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Prepaid</w:t>
            </w:r>
          </w:p>
        </w:tc>
        <w:tc>
          <w:tcPr>
            <w:tcW w:w="13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2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Made By</w:t>
            </w:r>
          </w:p>
        </w:tc>
      </w:tr>
    </w:tbl>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K-3</w:t>
      </w:r>
    </w:p>
    <w:p>
      <w:pPr>
        <w:sectPr>
          <w:pgSz w:w="11900" w:h="16838" w:orient="portrait"/>
          <w:cols w:equalWidth="0" w:num="1">
            <w:col w:w="11160"/>
          </w:cols>
          <w:pgMar w:left="240" w:top="280" w:right="499" w:bottom="1440" w:gutter="0" w:footer="0" w:header="0"/>
        </w:sectPr>
      </w:pPr>
    </w:p>
    <w:bookmarkStart w:id="208" w:name="page209"/>
    <w:bookmarkEnd w:id="208"/>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L</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BID RATE NOTE</w:t>
      </w:r>
    </w:p>
    <w:p>
      <w:pPr>
        <w:spacing w:after="0" w:line="17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6638290</wp:posOffset>
            </wp:positionH>
            <wp:positionV relativeFrom="paragraph">
              <wp:posOffset>-13970</wp:posOffset>
            </wp:positionV>
            <wp:extent cx="3346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-13970</wp:posOffset>
            </wp:positionV>
            <wp:extent cx="1117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VALUE RECEIVED, the undersigned, FEDERAL REALTY INVESTMENT TRUST, a real estate investment trust formed under the laws of the</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State of Maryland (the “Borrower”), hereby promises to pay to the order of (the “Lender”), in care of Wachovia Bank, National Association, as Agent (the “Agent”) at Wachovia Bank, National Association, One Wachovia Center, 301 South College Street, Charlotte, North Carolina 28288, or at such other address as may be specified in writing by the Agent to the Borrower, the aggregate unpaid principal amount of Bid Rate Loans made by the Lender to the Borrower under the Credit Agreement, on the dates and in the principal amounts provided in the Credit Agreement, and to pay interest on the unpaid principal amount of each such Bid Rate Loan, at such office at the rates and on the dates provided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-597535</wp:posOffset>
            </wp:positionV>
            <wp:extent cx="4457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9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 xml:space="preserve">The date, amount, interest rate and maturity date of each Bid Rate Loan made by the Lender to the Borrower, and each payment made on account of the principal thereof, shall be recorded by the Lender on its books and, prior to any transfer of this Note, endorsed by the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Lender to make any such recordation or endorsement shall not affect the obligations of the Borrower to make a payment when due of any amount owing under the Credit Agreement or hereunder in respect of the Bid Rate Loans made by the Lender.</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Note is one of the Bid Rate Notes referred to in the Credit Agreement dated as of July 28, 2006 (as amended, restated, supplemented or otherwise modified from time to time, the “Credit Agreement”), by and among the Borrower, the financial institutions party thereto and their permitted assignees under Section 12.5. thereof (the “Lenders”), the Agent, and the other parties thereto, and evidences Bid Rate Loans made by the Lender thereunder. Terms used but not otherwise defined in this Note have the respective meanings assigned to them in the Credit Agreement.</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Bid Rate Loans upon the terms and conditions specified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permitted by Section 12.5. of the Credit Agreement, this Note may not be assigned by the Lender to any other Person.</w:t>
      </w:r>
    </w:p>
    <w:p>
      <w:pPr>
        <w:spacing w:after="0" w:line="17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L-1</w:t>
      </w:r>
    </w:p>
    <w:p>
      <w:pPr>
        <w:sectPr>
          <w:pgSz w:w="11900" w:h="16838" w:orient="portrait"/>
          <w:cols w:equalWidth="0" w:num="1">
            <w:col w:w="11300"/>
          </w:cols>
          <w:pgMar w:left="240" w:top="280" w:right="3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is of the essence for this Note.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executed and delivered this Bid Rate Note under seal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10795</wp:posOffset>
            </wp:positionV>
            <wp:extent cx="254698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2540</wp:posOffset>
            </wp:positionV>
            <wp:extent cx="23412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-635</wp:posOffset>
            </wp:positionV>
            <wp:extent cx="23412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L-2</w:t>
      </w:r>
    </w:p>
    <w:p>
      <w:pPr>
        <w:sectPr>
          <w:pgSz w:w="11900" w:h="16838" w:orient="portrait"/>
          <w:cols w:equalWidth="0" w:num="1">
            <w:col w:w="9759"/>
          </w:cols>
          <w:pgMar w:left="700" w:top="280" w:right="1440" w:bottom="1440" w:gutter="0" w:footer="0" w:header="0"/>
        </w:sectPr>
      </w:pPr>
    </w:p>
    <w:bookmarkStart w:id="210" w:name="page211"/>
    <w:bookmarkEnd w:id="210"/>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BID RATE LOANS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Note evidences Bid Rate Loans made under the within-described Credit Agreement to the Borrower, on the dates, in the principal amounts, bearing interest at the rates and maturing on the dates set forth below, subject to the payments and prepayments of principal set forth below:</w:t>
      </w:r>
    </w:p>
    <w:p>
      <w:pPr>
        <w:spacing w:after="0" w:line="10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7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6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7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8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7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Paid or</w:t>
            </w:r>
          </w:p>
        </w:tc>
        <w:tc>
          <w:tcPr>
            <w:tcW w:w="7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70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Notation</w:t>
            </w:r>
          </w:p>
        </w:tc>
      </w:tr>
      <w:tr>
        <w:trPr>
          <w:trHeight w:val="161"/>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6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7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8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7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Prepaid</w:t>
            </w:r>
          </w:p>
        </w:tc>
        <w:tc>
          <w:tcPr>
            <w:tcW w:w="7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Made By</w:t>
            </w:r>
          </w:p>
        </w:tc>
      </w:tr>
    </w:tbl>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L-3</w:t>
      </w:r>
    </w:p>
    <w:p>
      <w:pPr>
        <w:sectPr>
          <w:pgSz w:w="11900" w:h="16838" w:orient="portrait"/>
          <w:cols w:equalWidth="0" w:num="1">
            <w:col w:w="11160"/>
          </w:cols>
          <w:pgMar w:left="240" w:top="280" w:right="49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OPINION OF COUNSEL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July 28,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301 S. College Street,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Lenders party to the Credit Agreement referred to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color w:val="auto"/>
        </w:rPr>
        <w:t>We have acted as special counsel to Federal Realty Investment Trust, a Maryland real estate investment trust (the “</w:t>
      </w:r>
      <w:r>
        <w:rPr>
          <w:rFonts w:ascii="Arial" w:cs="Arial" w:eastAsia="Arial" w:hAnsi="Arial"/>
          <w:sz w:val="16"/>
          <w:szCs w:val="16"/>
          <w:b w:val="1"/>
          <w:bCs w:val="1"/>
          <w:color w:val="auto"/>
        </w:rPr>
        <w:t>Borrower</w:t>
      </w:r>
      <w:r>
        <w:rPr>
          <w:rFonts w:ascii="Arial" w:cs="Arial" w:eastAsia="Arial" w:hAnsi="Arial"/>
          <w:sz w:val="16"/>
          <w:szCs w:val="16"/>
          <w:color w:val="auto"/>
        </w:rPr>
        <w:t>”), in connection with the negotiation, execution and delivery of that certain Credit Agreement dated as of July 28, 2006 (the “</w:t>
      </w:r>
      <w:r>
        <w:rPr>
          <w:rFonts w:ascii="Arial" w:cs="Arial" w:eastAsia="Arial" w:hAnsi="Arial"/>
          <w:sz w:val="16"/>
          <w:szCs w:val="16"/>
          <w:b w:val="1"/>
          <w:bCs w:val="1"/>
          <w:color w:val="auto"/>
        </w:rPr>
        <w:t>Credit Agreement</w:t>
      </w:r>
      <w:r>
        <w:rPr>
          <w:rFonts w:ascii="Arial" w:cs="Arial" w:eastAsia="Arial" w:hAnsi="Arial"/>
          <w:sz w:val="16"/>
          <w:szCs w:val="16"/>
          <w:color w:val="auto"/>
        </w:rPr>
        <w:t>”), by and among the Borrower, the financial institutions party thereto (the “</w:t>
      </w:r>
      <w:r>
        <w:rPr>
          <w:rFonts w:ascii="Arial" w:cs="Arial" w:eastAsia="Arial" w:hAnsi="Arial"/>
          <w:sz w:val="16"/>
          <w:szCs w:val="16"/>
          <w:b w:val="1"/>
          <w:bCs w:val="1"/>
          <w:color w:val="auto"/>
        </w:rPr>
        <w:t>Lenders</w:t>
      </w:r>
      <w:r>
        <w:rPr>
          <w:rFonts w:ascii="Arial" w:cs="Arial" w:eastAsia="Arial" w:hAnsi="Arial"/>
          <w:sz w:val="16"/>
          <w:szCs w:val="16"/>
          <w:color w:val="auto"/>
        </w:rPr>
        <w:t>”), Wachovia Bank, National Association, as Agent (the “</w:t>
      </w:r>
      <w:r>
        <w:rPr>
          <w:rFonts w:ascii="Arial" w:cs="Arial" w:eastAsia="Arial" w:hAnsi="Arial"/>
          <w:sz w:val="16"/>
          <w:szCs w:val="16"/>
          <w:b w:val="1"/>
          <w:bCs w:val="1"/>
          <w:color w:val="auto"/>
        </w:rPr>
        <w:t>Agent</w:t>
      </w:r>
      <w:r>
        <w:rPr>
          <w:rFonts w:ascii="Arial" w:cs="Arial" w:eastAsia="Arial" w:hAnsi="Arial"/>
          <w:sz w:val="16"/>
          <w:szCs w:val="16"/>
          <w:color w:val="auto"/>
        </w:rPr>
        <w:t xml:space="preserve">”), and the other parties thereto. We have also acted as special counsel to each of the Guarantors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Guarantors</w:t>
      </w:r>
      <w:r>
        <w:rPr>
          <w:rFonts w:ascii="Arial" w:cs="Arial" w:eastAsia="Arial" w:hAnsi="Arial"/>
          <w:sz w:val="16"/>
          <w:szCs w:val="16"/>
          <w:color w:val="auto"/>
        </w:rPr>
        <w:t>,” and together with the Borrower, the “</w:t>
      </w:r>
      <w:r>
        <w:rPr>
          <w:rFonts w:ascii="Arial" w:cs="Arial" w:eastAsia="Arial" w:hAnsi="Arial"/>
          <w:sz w:val="16"/>
          <w:szCs w:val="16"/>
          <w:b w:val="1"/>
          <w:bCs w:val="1"/>
          <w:color w:val="auto"/>
        </w:rPr>
        <w:t>Loan Parties</w:t>
      </w:r>
      <w:r>
        <w:rPr>
          <w:rFonts w:ascii="Arial" w:cs="Arial" w:eastAsia="Arial" w:hAnsi="Arial"/>
          <w:sz w:val="16"/>
          <w:szCs w:val="16"/>
          <w:color w:val="auto"/>
        </w:rPr>
        <w:t>”), in connection with the Guaranty. Capitalized terms used herein but not defined shall have the meanings ascribed to them in the Credit Agreement.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these capacities, we have reviewed originals or copies of executed copies of the following:</w:t>
      </w:r>
    </w:p>
    <w:p>
      <w:pPr>
        <w:spacing w:after="0" w:line="90" w:lineRule="exact"/>
        <w:rPr>
          <w:sz w:val="20"/>
          <w:szCs w:val="20"/>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Notes;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Guaranty.</w:t>
      </w:r>
    </w:p>
    <w:p>
      <w:pPr>
        <w:spacing w:after="0" w:line="165"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 xml:space="preserve">The documents and instruments set forth in items (a) through (c) above are referred to herein collectively as the </w:t>
      </w:r>
      <w:r>
        <w:rPr>
          <w:rFonts w:ascii="Arial" w:cs="Arial" w:eastAsia="Arial" w:hAnsi="Arial"/>
          <w:sz w:val="16"/>
          <w:szCs w:val="16"/>
          <w:b w:val="1"/>
          <w:bCs w:val="1"/>
          <w:color w:val="auto"/>
        </w:rPr>
        <w:t>“Loan Documents.”</w:t>
      </w:r>
      <w:r>
        <w:rPr>
          <w:rFonts w:ascii="Arial" w:cs="Arial" w:eastAsia="Arial" w:hAnsi="Arial"/>
          <w:sz w:val="16"/>
          <w:szCs w:val="16"/>
          <w:color w:val="auto"/>
        </w:rPr>
        <w:t xml:space="preserve"> We have also examined the certificates of the Borrower and Guarantors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respectively (together, the “</w:t>
      </w:r>
      <w:r>
        <w:rPr>
          <w:rFonts w:ascii="Arial" w:cs="Arial" w:eastAsia="Arial" w:hAnsi="Arial"/>
          <w:sz w:val="16"/>
          <w:szCs w:val="16"/>
          <w:b w:val="1"/>
          <w:bCs w:val="1"/>
          <w:color w:val="auto"/>
        </w:rPr>
        <w:t>Client Certificates</w:t>
      </w:r>
      <w:r>
        <w:rPr>
          <w:rFonts w:ascii="Arial" w:cs="Arial" w:eastAsia="Arial" w:hAnsi="Arial"/>
          <w:sz w:val="16"/>
          <w:szCs w:val="16"/>
          <w:color w:val="auto"/>
        </w:rPr>
        <w:t>”).</w:t>
      </w:r>
    </w:p>
    <w:p>
      <w:pPr>
        <w:spacing w:after="0" w:line="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addition to the foregoing, we have reviewed, as to each Loan Party, (i) the articles of organization, certificate of incorporation, by-laws, declaration of trust, partnership agreement or limited liability company operating agreement, as applicable, (ii) certain resolutions of the managers, board of trustees or directors, or consents of the partners, as applicable, and (iii) originals or copies, certified or otherwise identified to our satisfaction, of certificates of public officials of those jurisdictions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as to the valid existence, good standing and qualification to transact business of each Loan Party (the “</w:t>
      </w:r>
      <w:r>
        <w:rPr>
          <w:rFonts w:ascii="Arial" w:cs="Arial" w:eastAsia="Arial" w:hAnsi="Arial"/>
          <w:sz w:val="18"/>
          <w:szCs w:val="18"/>
          <w:b w:val="1"/>
          <w:bCs w:val="1"/>
          <w:color w:val="auto"/>
        </w:rPr>
        <w:t>Good Standing</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Certificates</w:t>
      </w:r>
      <w:r>
        <w:rPr>
          <w:rFonts w:ascii="Arial" w:cs="Arial" w:eastAsia="Arial" w:hAnsi="Arial"/>
          <w:sz w:val="18"/>
          <w:szCs w:val="18"/>
          <w:color w:val="auto"/>
        </w:rPr>
        <w: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M-1</w:t>
      </w:r>
    </w:p>
    <w:p>
      <w:pPr>
        <w:sectPr>
          <w:pgSz w:w="11900" w:h="16838" w:orient="portrait"/>
          <w:cols w:equalWidth="0" w:num="1">
            <w:col w:w="11420"/>
          </w:cols>
          <w:pgMar w:left="240" w:top="280" w:right="239" w:bottom="1440" w:gutter="0" w:footer="0" w:header="0"/>
        </w:sectPr>
      </w:pPr>
    </w:p>
    <w:bookmarkStart w:id="212" w:name="page213"/>
    <w:bookmarkEnd w:id="212"/>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have reviewed such documents and given consideration to such matters of law and fact as we hive deemed an appropriate basis upon which to render the opinions set forth in this opinion letter, subject to any limitations on coverage set forth herein.</w:t>
      </w:r>
    </w:p>
    <w:p>
      <w:pPr>
        <w:spacing w:after="0" w:line="132"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In rendering this opinion letter, except as expressly described above (and not in limitation of the immediately preceding paragraph), we have not undertaken to review our files, to review the internal files or records of the Loan Parties or any other Person or entity to make any independent investigation to determine the accuracy of any such opinions or statements, or to communicate the details of this transaction to all members or employees of our firm who from time to time may have performed services for the Loan Parties or any other Person. No inference as to our knowledge of any matters bearing on the accuracy of such opinions or statements should be drawn from the fact of our representation of the Loan Parties in matters other than the execution or delivery of the Loan Documents.</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rendering this opinion letter, we also have assumed, without any independent investigation or verification: (i) the accuracy and completeness of all public records reviewed and the proper and timely recording, filing and indexing by appropriate officials, where appropriate, of each and every document and instrument where such recording is required or customary and the payment of all required charges and taxes; (ii) the legal competence and capacity of each natural person, including any person acting on behalf of any entity, signing and/or delivering one or more of the Loan Documents; (iii) the truth, completeness and due authorization of all written statements and certificates made by public officials; (iv) that the Loan Documents and the other documents contemplated therein have been entered into by the parties thereto voluntarily, and in the absence of any mistake or omission of fact, fraud, undue influence, duress, coercion or similar constraint; (v) the genuineness of all signatures, the authenticity of all documents submitted to us as originals, the conformity to original documents of all documents submitted to us as certified, photostatic or facsimile copies, and the authenticity of the originals of such latter documents and (vi) the regularity and completeness of the Loan Parties’ corporate or limited liability company minutes, stock books and other corporate records.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further assumed and relied on, without investigation, that (i) there are no oral or written modifications or amendments to any of the Loan Documents, and that there has been no modification or waiver of any of the provisions of any of the Loan Documents, by action or conduct of the parties or otherwise and (ii) for so much of our opinion as relates to provisions of the Loan Documents that choose the law of the State of New York as the governing law in accordance with which the respective Loan Documents is to be construed, that the choice of the law of the State of New York would not result in the violation of an important public policy of another state or country having greater contacts with the transactions contemplated by the Loan Documents than New York.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and subject to the foregoing and to the qualifications stated in this opinion letter, we are of the opinion that:</w:t>
      </w:r>
    </w:p>
    <w:p>
      <w:pPr>
        <w:spacing w:after="0" w:line="90" w:lineRule="exact"/>
        <w:rPr>
          <w:sz w:val="20"/>
          <w:szCs w:val="20"/>
          <w:color w:val="auto"/>
        </w:rPr>
      </w:pPr>
    </w:p>
    <w:p>
      <w:pPr>
        <w:ind w:left="460" w:right="60" w:firstLine="443"/>
        <w:spacing w:after="0" w:line="259" w:lineRule="auto"/>
        <w:tabs>
          <w:tab w:leader="none" w:pos="107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Based solely on the Good Standing Certificates of the Borrower, the Borrower is a real estate investment trust validly existing and in good standing under the laws of the State of Maryland and is qualified to transact business as a foreign real estate investment trust in the jurisdictions referred to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M-2</w:t>
      </w:r>
    </w:p>
    <w:p>
      <w:pPr>
        <w:sectPr>
          <w:pgSz w:w="11900" w:h="16838" w:orient="portrait"/>
          <w:cols w:equalWidth="0" w:num="1">
            <w:col w:w="11400"/>
          </w:cols>
          <w:pgMar w:left="240" w:top="280" w:right="259" w:bottom="1440" w:gutter="0" w:footer="0" w:header="0"/>
        </w:sectPr>
      </w:pPr>
    </w:p>
    <w:bookmarkStart w:id="213" w:name="page214"/>
    <w:bookmarkEnd w:id="213"/>
    <w:p>
      <w:pPr>
        <w:ind w:right="320" w:firstLine="443"/>
        <w:spacing w:after="0" w:line="256" w:lineRule="auto"/>
        <w:tabs>
          <w:tab w:leader="none" w:pos="614"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solely on the Good Standing Certificates of the Guarantors, each Guarantor is a corporation, partnership or limited liability company, as applicable, validly existing and in good standing under the laws of the State of its organization or formation, and is qualified to transact business as a foreign corporation, partnership or limited liability company, as applicable, in the respective jurisdictions covered by its respective Good Standing Certificates.</w:t>
      </w:r>
    </w:p>
    <w:p>
      <w:pPr>
        <w:spacing w:after="0" w:line="56" w:lineRule="exact"/>
        <w:rPr>
          <w:rFonts w:ascii="Arial" w:cs="Arial" w:eastAsia="Arial" w:hAnsi="Arial"/>
          <w:sz w:val="18"/>
          <w:szCs w:val="18"/>
          <w:color w:val="auto"/>
        </w:rPr>
      </w:pPr>
    </w:p>
    <w:p>
      <w:pPr>
        <w:ind w:firstLine="443"/>
        <w:spacing w:after="0" w:line="293" w:lineRule="auto"/>
        <w:tabs>
          <w:tab w:leader="none" w:pos="61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Except for the Loan Parties listed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Excepted Loan Parties</w:t>
      </w:r>
      <w:r>
        <w:rPr>
          <w:rFonts w:ascii="Arial" w:cs="Arial" w:eastAsia="Arial" w:hAnsi="Arial"/>
          <w:sz w:val="16"/>
          <w:szCs w:val="16"/>
          <w:color w:val="auto"/>
        </w:rPr>
        <w:t>”), as to which we render no opinion, each Loan Party has the requisite trust, corporate, partnership or limited liability company, as applicable, power and authority to execute, deliver and perform the Loan Documents to which it is a party, and to own and use its assets and to conduct its business as described in the Borrower’s Annual Report on Form 10-K for the year ended December 31, 2005, and has duly authorized (with respect to Borrower, subject to the limit set forth in the last sentence of this paragraph) the execution, delivery and performance by such Loan Party of the Loan Documents to which it is a party. Borrower is duly authorized to borrow up to an aggregate sum of Five Hundred Fifty Million Dollars ($550,000,000.00) from the Lenders pursuant to the Credit Agreement.</w:t>
      </w:r>
    </w:p>
    <w:p>
      <w:pPr>
        <w:spacing w:after="0" w:line="35" w:lineRule="exact"/>
        <w:rPr>
          <w:rFonts w:ascii="Arial" w:cs="Arial" w:eastAsia="Arial" w:hAnsi="Arial"/>
          <w:sz w:val="16"/>
          <w:szCs w:val="16"/>
          <w:color w:val="auto"/>
        </w:rPr>
      </w:pPr>
    </w:p>
    <w:p>
      <w:pPr>
        <w:ind w:left="620" w:hanging="177"/>
        <w:spacing w:after="0"/>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Each Loan Party has duly executed and delivered the Loan Documents to which it is a party.</w:t>
      </w:r>
    </w:p>
    <w:p>
      <w:pPr>
        <w:spacing w:after="0" w:line="90" w:lineRule="exact"/>
        <w:rPr>
          <w:rFonts w:ascii="Arial" w:cs="Arial" w:eastAsia="Arial" w:hAnsi="Arial"/>
          <w:sz w:val="18"/>
          <w:szCs w:val="18"/>
          <w:color w:val="auto"/>
        </w:rPr>
      </w:pPr>
    </w:p>
    <w:p>
      <w:pPr>
        <w:ind w:right="240" w:firstLine="443"/>
        <w:spacing w:after="0" w:line="268" w:lineRule="auto"/>
        <w:tabs>
          <w:tab w:leader="none" w:pos="61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Each Loan Document is a valid and binding obligation of each Loan Party which is a party thereto, enforceable against each such Loan Party in accordance with its terms.</w:t>
      </w:r>
    </w:p>
    <w:p>
      <w:pPr>
        <w:spacing w:after="0" w:line="50" w:lineRule="exact"/>
        <w:rPr>
          <w:rFonts w:ascii="Arial" w:cs="Arial" w:eastAsia="Arial" w:hAnsi="Arial"/>
          <w:sz w:val="18"/>
          <w:szCs w:val="18"/>
          <w:color w:val="auto"/>
        </w:rPr>
      </w:pPr>
    </w:p>
    <w:p>
      <w:pPr>
        <w:ind w:right="140" w:firstLine="443"/>
        <w:spacing w:after="0" w:line="268" w:lineRule="auto"/>
        <w:tabs>
          <w:tab w:leader="none" w:pos="61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execution and delivery by each Loan Party of the Loan Documents to which it is a party do not, and if each Loan Party were now to perform its obligations under such Loan Documents, such performance would not, result in any:</w:t>
      </w:r>
    </w:p>
    <w:p>
      <w:pPr>
        <w:spacing w:after="0" w:line="51" w:lineRule="exact"/>
        <w:rPr>
          <w:sz w:val="20"/>
          <w:szCs w:val="20"/>
          <w:color w:val="auto"/>
        </w:rPr>
      </w:pPr>
    </w:p>
    <w:p>
      <w:pPr>
        <w:ind w:left="680" w:hanging="237"/>
        <w:spacing w:after="0"/>
        <w:tabs>
          <w:tab w:leader="none" w:pos="6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Except for the Loan Parties listed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 violation of such Loan Party’s organizational documents;</w:t>
      </w:r>
    </w:p>
    <w:p>
      <w:pPr>
        <w:spacing w:after="0" w:line="84" w:lineRule="exact"/>
        <w:rPr>
          <w:rFonts w:ascii="Arial" w:cs="Arial" w:eastAsia="Arial" w:hAnsi="Arial"/>
          <w:sz w:val="18"/>
          <w:szCs w:val="18"/>
          <w:color w:val="auto"/>
        </w:rPr>
      </w:pPr>
    </w:p>
    <w:p>
      <w:pPr>
        <w:ind w:left="700" w:hanging="257"/>
        <w:spacing w:after="0"/>
        <w:tabs>
          <w:tab w:leader="none" w:pos="7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violation of any existing federal or Relevant State (as defined herein) constitution, statute, regulation, or law (collectively, “</w:t>
      </w:r>
      <w:r>
        <w:rPr>
          <w:rFonts w:ascii="Arial" w:cs="Arial" w:eastAsia="Arial" w:hAnsi="Arial"/>
          <w:sz w:val="16"/>
          <w:szCs w:val="16"/>
          <w:b w:val="1"/>
          <w:bCs w:val="1"/>
          <w:color w:val="auto"/>
        </w:rPr>
        <w:t>Laws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right="1040" w:firstLine="443"/>
        <w:spacing w:after="0" w:line="275" w:lineRule="auto"/>
        <w:tabs>
          <w:tab w:leader="none" w:pos="67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to our knowledge, breach or violation of or default under any of the documents listed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hereto (collectively,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 to which any of the Loan Parties is a party;</w:t>
      </w:r>
    </w:p>
    <w:p>
      <w:pPr>
        <w:spacing w:after="0" w:line="44" w:lineRule="exact"/>
        <w:rPr>
          <w:rFonts w:ascii="Arial" w:cs="Arial" w:eastAsia="Arial" w:hAnsi="Arial"/>
          <w:sz w:val="18"/>
          <w:szCs w:val="18"/>
          <w:color w:val="auto"/>
        </w:rPr>
      </w:pPr>
    </w:p>
    <w:p>
      <w:pPr>
        <w:ind w:left="700" w:hanging="257"/>
        <w:spacing w:after="0"/>
        <w:tabs>
          <w:tab w:leader="none" w:pos="7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creation or imposition of a lien or security interest in, on or against the assets of any Loan Party under any Material Agreement; or</w:t>
      </w:r>
    </w:p>
    <w:p>
      <w:pPr>
        <w:spacing w:after="0" w:line="113" w:lineRule="exact"/>
        <w:rPr>
          <w:rFonts w:ascii="Arial" w:cs="Arial" w:eastAsia="Arial" w:hAnsi="Arial"/>
          <w:sz w:val="16"/>
          <w:szCs w:val="16"/>
          <w:color w:val="auto"/>
        </w:rPr>
      </w:pPr>
    </w:p>
    <w:p>
      <w:pPr>
        <w:ind w:left="680" w:hanging="237"/>
        <w:spacing w:after="0"/>
        <w:tabs>
          <w:tab w:leader="none" w:pos="6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to our knowledge, violation of any judicial or administrative decree, writ, judgment or order binding on any Loan Party.</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M-3</w:t>
      </w:r>
    </w:p>
    <w:p>
      <w:pPr>
        <w:sectPr>
          <w:pgSz w:w="11900" w:h="16838" w:orient="portrait"/>
          <w:cols w:equalWidth="0" w:num="1">
            <w:col w:w="10940"/>
          </w:cols>
          <w:pgMar w:left="700" w:top="280" w:right="259" w:bottom="1440" w:gutter="0" w:footer="0" w:header="0"/>
        </w:sectPr>
      </w:pPr>
    </w:p>
    <w:bookmarkStart w:id="214" w:name="page215"/>
    <w:bookmarkEnd w:id="214"/>
    <w:p>
      <w:pPr>
        <w:ind w:left="460" w:right="240" w:firstLine="443"/>
        <w:spacing w:after="0" w:line="259" w:lineRule="auto"/>
        <w:tabs>
          <w:tab w:leader="none" w:pos="1074"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delivery and performance by each Loan Party of each Loan Document to which it is a party, and the consummation of the transactions thereunder, do not and will not require any registration with, consent or approval of, or notice to any Governmental Authority of the United States of America or of any Relevant State.</w:t>
      </w:r>
    </w:p>
    <w:p>
      <w:pPr>
        <w:spacing w:after="0" w:line="59" w:lineRule="exact"/>
        <w:rPr>
          <w:rFonts w:ascii="Arial" w:cs="Arial" w:eastAsia="Arial" w:hAnsi="Arial"/>
          <w:sz w:val="18"/>
          <w:szCs w:val="18"/>
          <w:color w:val="auto"/>
        </w:rPr>
      </w:pPr>
    </w:p>
    <w:p>
      <w:pPr>
        <w:ind w:left="460" w:firstLine="443"/>
        <w:spacing w:after="0" w:line="259" w:lineRule="auto"/>
        <w:tabs>
          <w:tab w:leader="none" w:pos="107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our knowledge, no judgments, litigation or other proceedings against any of the Loan Parties that are currently pending or have been threatened in writing received by a Loan Party could reasonably be expected to have a materially adverse effect on the validity or enforceability of any of the Loan Documents.</w:t>
      </w:r>
    </w:p>
    <w:p>
      <w:pPr>
        <w:spacing w:after="0" w:line="59" w:lineRule="exact"/>
        <w:rPr>
          <w:rFonts w:ascii="Arial" w:cs="Arial" w:eastAsia="Arial" w:hAnsi="Arial"/>
          <w:sz w:val="18"/>
          <w:szCs w:val="18"/>
          <w:color w:val="auto"/>
        </w:rPr>
      </w:pPr>
    </w:p>
    <w:p>
      <w:pPr>
        <w:jc w:val="both"/>
        <w:ind w:left="460" w:right="40" w:firstLine="443"/>
        <w:spacing w:after="0" w:line="259" w:lineRule="auto"/>
        <w:tabs>
          <w:tab w:leader="none" w:pos="107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the Client Certificates and to our knowledge, none of the Loan Parties is, or, after giving effect to any Loan will be, subject to regulation under the Federal Power Act or the Investment Company Act of 1940 or any federal or Relevant State statute or regulation of which we are aware limiting its ability to incur indebtedness for borrowed money.</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transfer, mortgage, or documentary stamp tax, tax on intangibles, or similar taxes are payable by the Agent or the Lenders to the Relevant States or any political subdivision thereof in connection with (a) the execution and delivery of the Loan Documents or (b) the creation of the Indebtedness and the other Obligations evidenced by any of the Loan Documents.</w:t>
      </w:r>
    </w:p>
    <w:p>
      <w:pPr>
        <w:spacing w:after="0" w:line="59" w:lineRule="exact"/>
        <w:rPr>
          <w:rFonts w:ascii="Arial" w:cs="Arial" w:eastAsia="Arial" w:hAnsi="Arial"/>
          <w:sz w:val="18"/>
          <w:szCs w:val="18"/>
          <w:color w:val="auto"/>
        </w:rPr>
      </w:pPr>
    </w:p>
    <w:p>
      <w:pPr>
        <w:ind w:left="460" w:right="180" w:firstLine="443"/>
        <w:spacing w:after="0" w:line="259" w:lineRule="auto"/>
        <w:tabs>
          <w:tab w:leader="none" w:pos="11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Assuming that the Borrower applies the proceeds of the Loans as provided in the Credit Agreement, the transactions contemplated by the Loan Documents do not violate the provisions of Regulations T, U or X of the Board of Governors of the Federal Reserve System of the United States of America.</w:t>
      </w:r>
    </w:p>
    <w:p>
      <w:pPr>
        <w:spacing w:after="0" w:line="59" w:lineRule="exact"/>
        <w:rPr>
          <w:rFonts w:ascii="Arial" w:cs="Arial" w:eastAsia="Arial" w:hAnsi="Arial"/>
          <w:sz w:val="18"/>
          <w:szCs w:val="18"/>
          <w:color w:val="auto"/>
        </w:rPr>
      </w:pPr>
    </w:p>
    <w:p>
      <w:pPr>
        <w:ind w:left="460" w:right="20" w:firstLine="443"/>
        <w:spacing w:after="0" w:line="268" w:lineRule="auto"/>
        <w:tabs>
          <w:tab w:leader="none" w:pos="11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Interest payable at the stated rate provided in the Credit Agreement and the Notes does not violate the usury laws of the State of New York or the State of Maryland.</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any other provision of this opinion letter, in addition to any other qualifications set forth in this opinion letter, the opinions set forth in this opinion letter are subject to the following qualifications:</w:t>
      </w:r>
    </w:p>
    <w:p>
      <w:pPr>
        <w:spacing w:after="0" w:line="51"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A. Except to the extent expressly set forth above, (i) in rendering the opinions set forth in this opinion letter, we have relied upon the assumptions set forth in Section 4 of the Third-Party Legal Opinion Report, including the Legal Opinion Accord (the “Accord”), of the Section of Business Law of the American Bar Association, dated 1991, (ii) the opinion in paragraph 5 of this opinion letter is subject to the General Qualifications as defined in Section 11 of the Accord, and (iii) this opinion letter does not address the legal issues set forth in Section 19 of the Accord. We have no knowledge that any assumptions described in Section 4 of the Accord are false.</w:t>
      </w:r>
    </w:p>
    <w:p>
      <w:pPr>
        <w:spacing w:after="0" w:line="62"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B. For purposes of this opinion letter, in addition to any other assumptions set forth herein, we have assumed and relied on, without investigation, the Client Certificate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M-4</w:t>
      </w:r>
    </w:p>
    <w:p>
      <w:pPr>
        <w:sectPr>
          <w:pgSz w:w="11900" w:h="16838" w:orient="portrait"/>
          <w:cols w:equalWidth="0" w:num="1">
            <w:col w:w="11380"/>
          </w:cols>
          <w:pgMar w:left="240" w:top="280" w:right="279" w:bottom="1440" w:gutter="0" w:footer="0" w:header="0"/>
        </w:sectPr>
      </w:pPr>
    </w:p>
    <w:bookmarkStart w:id="215" w:name="page216"/>
    <w:bookmarkEnd w:id="215"/>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related to factual matters and that the representations and warranties of the Loan Parties in the Loan Documents are true and complete to the extent related to factual matters. We have no knowledge that any assumptions in this Paragraph B are false.</w:t>
      </w:r>
    </w:p>
    <w:p>
      <w:pPr>
        <w:spacing w:after="0" w:line="51" w:lineRule="exact"/>
        <w:rPr>
          <w:sz w:val="20"/>
          <w:szCs w:val="20"/>
          <w:color w:val="auto"/>
        </w:rPr>
      </w:pPr>
    </w:p>
    <w:p>
      <w:pPr>
        <w:ind w:right="40" w:firstLine="438"/>
        <w:spacing w:after="0" w:line="283" w:lineRule="auto"/>
        <w:rPr>
          <w:sz w:val="20"/>
          <w:szCs w:val="20"/>
          <w:color w:val="auto"/>
        </w:rPr>
      </w:pPr>
      <w:r>
        <w:rPr>
          <w:rFonts w:ascii="Arial" w:cs="Arial" w:eastAsia="Arial" w:hAnsi="Arial"/>
          <w:sz w:val="16"/>
          <w:szCs w:val="16"/>
          <w:color w:val="auto"/>
        </w:rPr>
        <w:t>C. We do not express any opinion as to the enforceability of, or effect on the Loan Documents of, any provisions contained in the Loan Documents that (i) purport to excuse a party for liability for its own acts, (ii) purport to make void any act done in contravention thereof, (iii) purport to authorize a party to act in its sole discretion, (iv) require waivers or amendments to be made only in writing, (v) purport to effect waivers of constitutional, statutory or equitable rights or the effect of applicable laws to the extent that such waivers may be found to be unenforceable, (vi) impose penalties or forfeiture, or</w:t>
      </w:r>
    </w:p>
    <w:p>
      <w:pPr>
        <w:spacing w:after="0" w:line="3" w:lineRule="exact"/>
        <w:rPr>
          <w:sz w:val="20"/>
          <w:szCs w:val="20"/>
          <w:color w:val="auto"/>
        </w:rPr>
      </w:pPr>
    </w:p>
    <w:p>
      <w:pPr>
        <w:ind w:right="120" w:firstLine="4"/>
        <w:spacing w:after="0" w:line="261" w:lineRule="auto"/>
        <w:tabs>
          <w:tab w:leader="none" w:pos="34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purport to indemnify a party for its own negligence or willful misconduct. Indemnification provisions in the Loan Documents are subject to and may be rendered unenforceable by applicable law or public policy, including applicable securities law.</w:t>
      </w:r>
    </w:p>
    <w:p>
      <w:pPr>
        <w:spacing w:after="0" w:line="56" w:lineRule="exact"/>
        <w:rPr>
          <w:rFonts w:ascii="Arial" w:cs="Arial" w:eastAsia="Arial" w:hAnsi="Arial"/>
          <w:sz w:val="18"/>
          <w:szCs w:val="18"/>
          <w:color w:val="auto"/>
        </w:rPr>
      </w:pPr>
    </w:p>
    <w:p>
      <w:pPr>
        <w:ind w:right="20" w:firstLine="443"/>
        <w:spacing w:after="0" w:line="259" w:lineRule="auto"/>
        <w:tabs>
          <w:tab w:leader="none" w:pos="65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We do not express any opinion as to the enforceability of any provisions contained in the Loan Documents purporting to require a party thereto to pay or reimburse attorneys’ fees incurred by another party, or to indemnify another party therefor, which provisions may be limited by applicable statutes and decisions relating to the collection and award of attorneys’ fees.</w:t>
      </w:r>
    </w:p>
    <w:p>
      <w:pPr>
        <w:spacing w:after="0" w:line="59" w:lineRule="exact"/>
        <w:rPr>
          <w:rFonts w:ascii="Arial" w:cs="Arial" w:eastAsia="Arial" w:hAnsi="Arial"/>
          <w:sz w:val="18"/>
          <w:szCs w:val="18"/>
          <w:color w:val="auto"/>
        </w:rPr>
      </w:pPr>
    </w:p>
    <w:p>
      <w:pPr>
        <w:ind w:right="80" w:firstLine="443"/>
        <w:spacing w:after="0" w:line="294" w:lineRule="auto"/>
        <w:tabs>
          <w:tab w:leader="none" w:pos="633" w:val="left"/>
        </w:tabs>
        <w:numPr>
          <w:ilvl w:val="1"/>
          <w:numId w:val="166"/>
        </w:numPr>
        <w:rPr>
          <w:rFonts w:ascii="Arial" w:cs="Arial" w:eastAsia="Arial" w:hAnsi="Arial"/>
          <w:sz w:val="16"/>
          <w:szCs w:val="16"/>
          <w:color w:val="auto"/>
        </w:rPr>
      </w:pPr>
      <w:r>
        <w:rPr>
          <w:rFonts w:ascii="Arial" w:cs="Arial" w:eastAsia="Arial" w:hAnsi="Arial"/>
          <w:sz w:val="16"/>
          <w:szCs w:val="16"/>
          <w:color w:val="auto"/>
        </w:rPr>
        <w:t>We do not express any opinion as to (i) whether a Federal or state court outside the State of New York would give effect to the choice of New York law provided for in the Loan Documents, (ii) Section 12.4(b) of the Credit Agreement and Section 17(b) of the Guaranty, insofar as such Sections relate to the subject matter jurisdiction of the United States District Court for the Southern District of New York, (iii) the waiver of inconvenient forum contained in Section 12.4(b) of the Credit Agreement and Section 17(b) of the Guaranty with respect to proceedings in the United States District Court for the Southern District of New York and (iv) provisions relating to means of service of process.</w:t>
      </w:r>
    </w:p>
    <w:p>
      <w:pPr>
        <w:spacing w:after="0" w:line="34" w:lineRule="exact"/>
        <w:rPr>
          <w:rFonts w:ascii="Arial" w:cs="Arial" w:eastAsia="Arial" w:hAnsi="Arial"/>
          <w:sz w:val="16"/>
          <w:szCs w:val="16"/>
          <w:color w:val="auto"/>
        </w:rPr>
      </w:pPr>
    </w:p>
    <w:p>
      <w:pPr>
        <w:ind w:firstLine="443"/>
        <w:spacing w:after="0" w:line="268" w:lineRule="auto"/>
        <w:tabs>
          <w:tab w:leader="none" w:pos="61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We do not express any opinion as to the enforceability of any provisions contained in the Loan Documents purporting to reconstitute or change the terms thereof, or providing for rebates or credits, as necessary to avoid a claim or defense of usury.</w:t>
      </w:r>
    </w:p>
    <w:p>
      <w:pPr>
        <w:spacing w:after="0" w:line="50" w:lineRule="exact"/>
        <w:rPr>
          <w:rFonts w:ascii="Arial" w:cs="Arial" w:eastAsia="Arial" w:hAnsi="Arial"/>
          <w:sz w:val="18"/>
          <w:szCs w:val="18"/>
          <w:color w:val="auto"/>
        </w:rPr>
      </w:pPr>
    </w:p>
    <w:p>
      <w:pPr>
        <w:ind w:right="80" w:firstLine="443"/>
        <w:spacing w:after="0" w:line="335" w:lineRule="auto"/>
        <w:tabs>
          <w:tab w:leader="none" w:pos="653" w:val="left"/>
        </w:tabs>
        <w:numPr>
          <w:ilvl w:val="1"/>
          <w:numId w:val="166"/>
        </w:numPr>
        <w:rPr>
          <w:rFonts w:ascii="Arial" w:cs="Arial" w:eastAsia="Arial" w:hAnsi="Arial"/>
          <w:sz w:val="15"/>
          <w:szCs w:val="15"/>
          <w:color w:val="auto"/>
        </w:rPr>
      </w:pPr>
      <w:r>
        <w:rPr>
          <w:rFonts w:ascii="Arial" w:cs="Arial" w:eastAsia="Arial" w:hAnsi="Arial"/>
          <w:sz w:val="15"/>
          <w:szCs w:val="15"/>
          <w:color w:val="auto"/>
        </w:rPr>
        <w:t>We assume that the “prime” rate of interest, as prescribed in the Loan Documents, is a readily ascertainable rate of interest and that the Borrower would be able to ascertain the rates so described at all times during the term of the Loan. We do not express any opinion as to the enforceability of any provisions contained in the Loan Documents whereby the Borrower appoints any Lender or other party as a trustee, an agent or an attorney-in-fact.</w:t>
      </w:r>
    </w:p>
    <w:p>
      <w:pPr>
        <w:spacing w:after="0" w:line="7" w:lineRule="exact"/>
        <w:rPr>
          <w:sz w:val="20"/>
          <w:szCs w:val="20"/>
          <w:color w:val="auto"/>
        </w:rPr>
      </w:pPr>
    </w:p>
    <w:p>
      <w:pPr>
        <w:ind w:right="180" w:firstLine="438"/>
        <w:spacing w:after="0" w:line="332" w:lineRule="auto"/>
        <w:rPr>
          <w:sz w:val="20"/>
          <w:szCs w:val="20"/>
          <w:color w:val="auto"/>
        </w:rPr>
      </w:pPr>
      <w:r>
        <w:rPr>
          <w:rFonts w:ascii="Arial" w:cs="Arial" w:eastAsia="Arial" w:hAnsi="Arial"/>
          <w:sz w:val="16"/>
          <w:szCs w:val="16"/>
          <w:color w:val="auto"/>
        </w:rPr>
        <w:t>I. We have not been employed by the Borrower to handle environmental law matters. We have made no examination of the Borrower’s property to determine whether or not any hazardous or toxic materials are legally or illegally present or contained in, under, on or about the subject properties.</w:t>
      </w:r>
    </w:p>
    <w:p>
      <w:pPr>
        <w:spacing w:after="0" w:line="4" w:lineRule="exact"/>
        <w:rPr>
          <w:sz w:val="20"/>
          <w:szCs w:val="20"/>
          <w:color w:val="auto"/>
        </w:rPr>
      </w:pPr>
    </w:p>
    <w:p>
      <w:pPr>
        <w:ind w:right="580" w:firstLine="438"/>
        <w:spacing w:after="0" w:line="268" w:lineRule="auto"/>
        <w:rPr>
          <w:sz w:val="20"/>
          <w:szCs w:val="20"/>
          <w:color w:val="auto"/>
        </w:rPr>
      </w:pPr>
      <w:r>
        <w:rPr>
          <w:rFonts w:ascii="Arial" w:cs="Arial" w:eastAsia="Arial" w:hAnsi="Arial"/>
          <w:sz w:val="18"/>
          <w:szCs w:val="18"/>
          <w:color w:val="auto"/>
        </w:rPr>
        <w:t>J. Any provision in the Loan Documents purporting to make the Borrower liable for any tax that may be imposed upon the Lender, any Loan Document or any</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M-5</w:t>
      </w:r>
    </w:p>
    <w:p>
      <w:pPr>
        <w:sectPr>
          <w:pgSz w:w="11900" w:h="16838" w:orient="portrait"/>
          <w:cols w:equalWidth="0" w:num="1">
            <w:col w:w="10920"/>
          </w:cols>
          <w:pgMar w:left="700" w:top="280" w:right="279" w:bottom="1440" w:gutter="0" w:footer="0" w:header="0"/>
        </w:sectPr>
      </w:pPr>
    </w:p>
    <w:bookmarkStart w:id="216" w:name="page217"/>
    <w:bookmarkEnd w:id="216"/>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collateral, or allowing indebtedness secured thereby to be declared due and payable as a result of such tax, may not be enforceable as it may be deemed to be in violation of public policy.</w:t>
      </w:r>
    </w:p>
    <w:p>
      <w:pPr>
        <w:spacing w:after="0" w:line="51" w:lineRule="exact"/>
        <w:rPr>
          <w:sz w:val="20"/>
          <w:szCs w:val="20"/>
          <w:color w:val="auto"/>
        </w:rPr>
      </w:pPr>
    </w:p>
    <w:p>
      <w:pPr>
        <w:ind w:left="460" w:right="40" w:firstLine="438"/>
        <w:spacing w:after="0" w:line="283" w:lineRule="auto"/>
        <w:rPr>
          <w:sz w:val="20"/>
          <w:szCs w:val="20"/>
          <w:color w:val="auto"/>
        </w:rPr>
      </w:pPr>
      <w:r>
        <w:rPr>
          <w:rFonts w:ascii="Arial" w:cs="Arial" w:eastAsia="Arial" w:hAnsi="Arial"/>
          <w:sz w:val="16"/>
          <w:szCs w:val="16"/>
          <w:color w:val="auto"/>
        </w:rPr>
        <w:t>K. We do not express any opinion as to the enforceability of any provision in the Loan Documents that (i) purports to allow interest to be paid on any amount which may represent interest, (ii) provides for interest at the “Default Rate,” which rate is higher than the rate otherwise stipulated in the Loan Documents, to the extent such Default Rate may constitute a penalty, (iii) purports to allow a Lender to set off and apply any Loan Party’s deposit to the Obligations under the Loan Documents without prior notice having been given to such Loan Party or to exercise any other remedial right without notice,</w:t>
      </w:r>
    </w:p>
    <w:p>
      <w:pPr>
        <w:spacing w:after="0" w:line="3" w:lineRule="exact"/>
        <w:rPr>
          <w:sz w:val="20"/>
          <w:szCs w:val="20"/>
          <w:color w:val="auto"/>
        </w:rPr>
      </w:pPr>
    </w:p>
    <w:p>
      <w:pPr>
        <w:ind w:left="760" w:hanging="296"/>
        <w:spacing w:after="0"/>
        <w:tabs>
          <w:tab w:leader="none" w:pos="7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waives notice of demand or (v) purports to establish evidentiary standards.</w:t>
      </w:r>
    </w:p>
    <w:p>
      <w:pPr>
        <w:spacing w:after="0" w:line="83" w:lineRule="exact"/>
        <w:rPr>
          <w:rFonts w:ascii="Arial" w:cs="Arial" w:eastAsia="Arial" w:hAnsi="Arial"/>
          <w:sz w:val="18"/>
          <w:szCs w:val="18"/>
          <w:color w:val="auto"/>
        </w:rPr>
      </w:pPr>
    </w:p>
    <w:p>
      <w:pPr>
        <w:ind w:left="460" w:right="260" w:firstLine="443"/>
        <w:spacing w:after="0" w:line="259" w:lineRule="auto"/>
        <w:tabs>
          <w:tab w:leader="none" w:pos="109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opinions expressed in this opinion letter concern only the effect of the laws (excluding the principles of conflict of laws) expressly covered hereby as presently in effect, and are based upon our knowledge of relevant facts. We assume no obligation to supplement this opinion letter if any applicable laws or facts, or our knowledge of applicable facts, changes in any manner.</w:t>
      </w:r>
    </w:p>
    <w:p>
      <w:pPr>
        <w:spacing w:after="0" w:line="59" w:lineRule="exact"/>
        <w:rPr>
          <w:rFonts w:ascii="Arial" w:cs="Arial" w:eastAsia="Arial" w:hAnsi="Arial"/>
          <w:sz w:val="18"/>
          <w:szCs w:val="18"/>
          <w:color w:val="auto"/>
        </w:rPr>
      </w:pPr>
    </w:p>
    <w:p>
      <w:pPr>
        <w:ind w:left="460" w:right="60" w:firstLine="443"/>
        <w:spacing w:after="0" w:line="291" w:lineRule="auto"/>
        <w:tabs>
          <w:tab w:leader="none" w:pos="1142"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Any opinions or statements in this opinion letter which use the words “our knowledge,” “of which we are aware” or words to similar effect signify that those attorneys in our firm who both have performed substantive legal services in connection with the Loan Documents and have specific knowledge of the substance of this opinion letter do not have current conscious awareness that any such opinions or statements are not accurate. In rendering this opinion letter, except as expressly described above, we have not undertaken to review our files, to review the internal files or records of the Loan Parties or any other Person or entity, or to communicate the details of this transaction to all members or employees of our firm who from time to time may have performed services for the Loan Parties or any other Person.</w:t>
      </w:r>
    </w:p>
    <w:p>
      <w:pPr>
        <w:spacing w:after="0" w:line="39" w:lineRule="exact"/>
        <w:rPr>
          <w:rFonts w:ascii="Arial" w:cs="Arial" w:eastAsia="Arial" w:hAnsi="Arial"/>
          <w:sz w:val="16"/>
          <w:szCs w:val="16"/>
          <w:color w:val="auto"/>
        </w:rPr>
      </w:pPr>
    </w:p>
    <w:p>
      <w:pPr>
        <w:ind w:left="460" w:right="540" w:firstLine="443"/>
        <w:spacing w:after="0" w:line="268" w:lineRule="auto"/>
        <w:tabs>
          <w:tab w:leader="none" w:pos="111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opinions expressed in this opinion letter are limited to the matters set forth in this opinion letter, and no other opinions may be inferred beyond the matters expressly stated.</w:t>
      </w:r>
    </w:p>
    <w:p>
      <w:pPr>
        <w:spacing w:after="0" w:line="12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opinion is limited to (a) the laws of the States of Maryland and New York and of the Commonwealth of Virginia (the “</w:t>
      </w:r>
      <w:r>
        <w:rPr>
          <w:rFonts w:ascii="Arial" w:cs="Arial" w:eastAsia="Arial" w:hAnsi="Arial"/>
          <w:sz w:val="18"/>
          <w:szCs w:val="18"/>
          <w:b w:val="1"/>
          <w:bCs w:val="1"/>
          <w:color w:val="auto"/>
        </w:rPr>
        <w:t>Relevant States</w:t>
      </w:r>
      <w:r>
        <w:rPr>
          <w:rFonts w:ascii="Arial" w:cs="Arial" w:eastAsia="Arial" w:hAnsi="Arial"/>
          <w:sz w:val="18"/>
          <w:szCs w:val="18"/>
          <w:color w:val="auto"/>
        </w:rPr>
        <w:t>”), (b) the federal laws of the United States of America, (c) the General Corporation Law, the Limited Liability Company Act and the Revised Uniform Limited Partnership Act of the State of Delaware (with respect to paragraphs 1, 2, 3 and 6(a) only), and (d) the Beverly-Killea Limited Liability Company Act of the State of California (with respect to paragraphs 1, 2, 3 and 6(a) only), and we express no opinions with respect to the law of any other jurisdiction. The opinions given with respect to the Beverly-Killea Limited Liability Company Act of the State of California in paragraphs 3 and 6(a) are given by lawyers in this firm who are licensed to practice in the State of California.</w:t>
      </w:r>
    </w:p>
    <w:p>
      <w:pPr>
        <w:spacing w:after="0" w:line="1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opinions expressed in this opinion letter are solely for your benefit in connection with the consummation of the transactions contemplated by the Credit Agreement. Without our prior written consent, this opinion letter may not be used or relied upon by any Person for any other purpose whatsoever, or by any other Person (other than an Assignee of a Lender) for any purpose whatsoever, except for the use of this opinion letter (i) in connection with review by a regulatory agency having supervisory authority over the Agent or a Lender for the purpose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M-6</w:t>
      </w:r>
    </w:p>
    <w:p>
      <w:pPr>
        <w:sectPr>
          <w:pgSz w:w="11900" w:h="16838" w:orient="portrait"/>
          <w:cols w:equalWidth="0" w:num="1">
            <w:col w:w="11420"/>
          </w:cols>
          <w:pgMar w:left="240" w:top="280" w:right="239" w:bottom="1440" w:gutter="0" w:footer="0" w:header="0"/>
        </w:sectPr>
      </w:pPr>
    </w:p>
    <w:bookmarkStart w:id="217" w:name="page218"/>
    <w:bookmarkEnd w:id="21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confirming the existence of this opinion letter, (ii) in connection with the assertion of a defense as to which this opinion letter is relevant and necessary, or (iii) as required by a court order.</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M-7</w:t>
      </w:r>
    </w:p>
    <w:p>
      <w:pPr>
        <w:sectPr>
          <w:pgSz w:w="11900" w:h="16838" w:orient="portrait"/>
          <w:cols w:equalWidth="0" w:num="1">
            <w:col w:w="11320"/>
          </w:cols>
          <w:pgMar w:left="240" w:top="280" w:right="3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LIST OF EXHIBITS AND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Schedule 1 – Guarantors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Schedule 2 – Good Standing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 – Qualification to do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 – Excepted Loan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 – Material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A – Client Certificate of Borrower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 Client Certificate of Guarantors</w:t>
      </w:r>
    </w:p>
    <w:p>
      <w:pPr>
        <w:spacing w:after="0" w:line="15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M-8</w:t>
      </w:r>
    </w:p>
    <w:p>
      <w:pPr>
        <w:sectPr>
          <w:pgSz w:w="11900" w:h="16838" w:orient="portrait"/>
          <w:cols w:equalWidth="0" w:num="1">
            <w:col w:w="10219"/>
          </w:cols>
          <w:pgMar w:left="240" w:top="280" w:right="1440" w:bottom="1440" w:gutter="0" w:footer="0" w:header="0"/>
        </w:sectPr>
      </w:pPr>
    </w:p>
    <w:bookmarkStart w:id="219" w:name="page220"/>
    <w:bookmarkEnd w:id="219"/>
    <w:p>
      <w:pPr>
        <w:ind w:left="51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ectPr>
          <w:pgSz w:w="11900" w:h="16838" w:orient="portrait"/>
          <w:cols w:equalWidth="0" w:num="1">
            <w:col w:w="10219"/>
          </w:cols>
          <w:pgMar w:left="240" w:top="274" w:right="1440"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FR Associates Limited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Berman Enterprises II Limited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Governor Plaza Associates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Andorra Associates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Shopping Center Associates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 Pike 7 Limited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FRIT Leasing &amp; Development Services,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FRIT Santana Row TRS,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 Sturtevant Street,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 Sturtevant Street,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 Assembly Square,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 Westgate Mall,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 Westgate Mall,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Street Retail,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FRIT San Jose Town And Country Village,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San Jose Residential,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Street Retail Forest Hills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Street Retail Forest Hills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SRI Old Town,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Partners,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Partners L.P.</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MD</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 PA general partnership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PA limited partnership</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PA limited partnership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58" w:lineRule="exact"/>
        <w:rPr>
          <w:sz w:val="20"/>
          <w:szCs w:val="20"/>
          <w:color w:val="auto"/>
        </w:rPr>
      </w:pPr>
    </w:p>
    <w:p>
      <w:pPr>
        <w:sectPr>
          <w:pgSz w:w="11900" w:h="16838" w:orient="portrait"/>
          <w:cols w:equalWidth="0" w:num="2">
            <w:col w:w="4200" w:space="720"/>
            <w:col w:w="5299"/>
          </w:cols>
          <w:pgMar w:left="240" w:top="274" w:right="1440" w:bottom="1440" w:gutter="0" w:footer="0" w:header="0"/>
          <w:type w:val="continuous"/>
        </w:sectPr>
      </w:pPr>
    </w:p>
    <w:p>
      <w:pPr>
        <w:ind w:left="5560"/>
        <w:spacing w:after="0"/>
        <w:rPr>
          <w:sz w:val="20"/>
          <w:szCs w:val="20"/>
          <w:color w:val="auto"/>
        </w:rPr>
      </w:pPr>
      <w:r>
        <w:rPr>
          <w:rFonts w:ascii="Arial" w:cs="Arial" w:eastAsia="Arial" w:hAnsi="Arial"/>
          <w:sz w:val="16"/>
          <w:szCs w:val="16"/>
          <w:color w:val="auto"/>
        </w:rPr>
        <w:t>M-9</w:t>
      </w:r>
    </w:p>
    <w:p>
      <w:pPr>
        <w:sectPr>
          <w:pgSz w:w="11900" w:h="16838" w:orient="portrait"/>
          <w:cols w:equalWidth="0" w:num="1">
            <w:col w:w="10219"/>
          </w:cols>
          <w:pgMar w:left="240" w:top="274" w:right="1440" w:bottom="1440" w:gutter="0" w:footer="0" w:header="0"/>
          <w:type w:val="continuous"/>
        </w:sectPr>
      </w:pPr>
    </w:p>
    <w:bookmarkStart w:id="220" w:name="page221"/>
    <w:bookmarkEnd w:id="220"/>
    <w:p>
      <w:pPr>
        <w:spacing w:after="0"/>
        <w:rPr>
          <w:sz w:val="20"/>
          <w:szCs w:val="20"/>
          <w:color w:val="auto"/>
        </w:rPr>
      </w:pPr>
      <w:r>
        <w:rPr>
          <w:rFonts w:ascii="Arial" w:cs="Arial" w:eastAsia="Arial" w:hAnsi="Arial"/>
          <w:sz w:val="18"/>
          <w:szCs w:val="18"/>
          <w:color w:val="auto"/>
        </w:rPr>
        <w:t>FRLP,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GP,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I, L.P.</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Street Retail West II, L.P. Street Retail West 3, L.P.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6,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10,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SRI San Antonio, Inc. (f/k/a Dim Sum,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Street Retail San Antonio,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SRI Texas,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-288290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MD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MD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w:t>
      </w:r>
    </w:p>
    <w:p>
      <w:pPr>
        <w:spacing w:after="0" w:line="158" w:lineRule="exact"/>
        <w:rPr>
          <w:sz w:val="20"/>
          <w:szCs w:val="20"/>
          <w:color w:val="auto"/>
        </w:rPr>
      </w:pPr>
    </w:p>
    <w:p>
      <w:pPr>
        <w:sectPr>
          <w:pgSz w:w="11900" w:h="16838" w:orient="portrait"/>
          <w:cols w:equalWidth="0" w:num="2">
            <w:col w:w="4200" w:space="720"/>
            <w:col w:w="5299"/>
          </w:cols>
          <w:pgMar w:left="240" w:top="388" w:right="1440" w:bottom="1440" w:gutter="0" w:footer="0" w:header="0"/>
        </w:sectPr>
      </w:pPr>
    </w:p>
    <w:p>
      <w:pPr>
        <w:jc w:val="right"/>
        <w:ind w:right="4319"/>
        <w:spacing w:after="0"/>
        <w:rPr>
          <w:sz w:val="20"/>
          <w:szCs w:val="20"/>
          <w:color w:val="auto"/>
        </w:rPr>
      </w:pPr>
      <w:r>
        <w:rPr>
          <w:rFonts w:ascii="Arial" w:cs="Arial" w:eastAsia="Arial" w:hAnsi="Arial"/>
          <w:sz w:val="16"/>
          <w:szCs w:val="16"/>
          <w:color w:val="auto"/>
        </w:rPr>
        <w:t>M-10</w:t>
      </w:r>
    </w:p>
    <w:p>
      <w:pPr>
        <w:sectPr>
          <w:pgSz w:w="11900" w:h="16838" w:orient="portrait"/>
          <w:cols w:equalWidth="0" w:num="1">
            <w:col w:w="10219"/>
          </w:cols>
          <w:pgMar w:left="240" w:top="388" w:right="1440" w:bottom="1440" w:gutter="0" w:footer="0" w:header="0"/>
          <w:type w:val="continuous"/>
        </w:sectPr>
      </w:pPr>
    </w:p>
    <w:bookmarkStart w:id="221" w:name="page222"/>
    <w:bookmarkEnd w:id="221"/>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20" w:type="dxa"/>
            <w:vAlign w:val="bottom"/>
            <w:gridSpan w:val="3"/>
          </w:tcPr>
          <w:p>
            <w:pPr>
              <w:jc w:val="center"/>
              <w:ind w:right="4512"/>
              <w:spacing w:after="0"/>
              <w:rPr>
                <w:sz w:val="20"/>
                <w:szCs w:val="20"/>
                <w:color w:val="auto"/>
              </w:rPr>
            </w:pPr>
            <w:r>
              <w:rPr>
                <w:rFonts w:ascii="Arial" w:cs="Arial" w:eastAsia="Arial" w:hAnsi="Arial"/>
                <w:sz w:val="18"/>
                <w:szCs w:val="18"/>
                <w:b w:val="1"/>
                <w:bCs w:val="1"/>
                <w:color w:val="auto"/>
                <w:w w:val="96"/>
              </w:rPr>
              <w:t>SCHEDULE 2</w:t>
            </w:r>
          </w:p>
        </w:tc>
      </w:tr>
      <w:tr>
        <w:trPr>
          <w:trHeight w:val="353"/>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Loan Party</w:t>
            </w:r>
          </w:p>
        </w:tc>
        <w:tc>
          <w:tcPr>
            <w:tcW w:w="286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State of Formation</w:t>
            </w:r>
          </w:p>
        </w:tc>
        <w:tc>
          <w:tcPr>
            <w:tcW w:w="1480" w:type="dxa"/>
            <w:vAlign w:val="bottom"/>
          </w:tcPr>
          <w:p>
            <w:pPr>
              <w:spacing w:after="0"/>
              <w:rPr>
                <w:sz w:val="24"/>
                <w:szCs w:val="24"/>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State(s) of Qualification</w:t>
            </w:r>
          </w:p>
        </w:tc>
        <w:tc>
          <w:tcPr>
            <w:tcW w:w="3680" w:type="dxa"/>
            <w:vAlign w:val="bottom"/>
          </w:tcPr>
          <w:p>
            <w:pPr>
              <w:spacing w:after="0"/>
              <w:rPr>
                <w:sz w:val="24"/>
                <w:szCs w:val="24"/>
                <w:color w:val="auto"/>
              </w:rPr>
            </w:pPr>
          </w:p>
        </w:tc>
      </w:tr>
      <w:tr>
        <w:trPr>
          <w:trHeight w:val="201"/>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Federal Realty Investment Trust</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Maryland</w:t>
            </w:r>
          </w:p>
        </w:tc>
        <w:tc>
          <w:tcPr>
            <w:tcW w:w="1480" w:type="dxa"/>
            <w:vAlign w:val="bottom"/>
          </w:tcPr>
          <w:p>
            <w:pPr>
              <w:spacing w:after="0"/>
              <w:rPr>
                <w:sz w:val="17"/>
                <w:szCs w:val="17"/>
                <w:color w:val="auto"/>
              </w:rPr>
            </w:pPr>
          </w:p>
        </w:tc>
        <w:tc>
          <w:tcPr>
            <w:tcW w:w="1460" w:type="dxa"/>
            <w:vAlign w:val="bottom"/>
          </w:tcPr>
          <w:p>
            <w:pPr>
              <w:spacing w:after="0" w:line="201" w:lineRule="exact"/>
              <w:rPr>
                <w:sz w:val="20"/>
                <w:szCs w:val="20"/>
                <w:color w:val="auto"/>
              </w:rPr>
            </w:pPr>
            <w:r>
              <w:rPr>
                <w:rFonts w:ascii="Arial" w:cs="Arial" w:eastAsia="Arial" w:hAnsi="Arial"/>
                <w:sz w:val="18"/>
                <w:szCs w:val="18"/>
                <w:color w:val="auto"/>
                <w:w w:val="87"/>
              </w:rPr>
              <w:t>Maryland, California,</w:t>
            </w:r>
          </w:p>
        </w:tc>
        <w:tc>
          <w:tcPr>
            <w:tcW w:w="3680" w:type="dxa"/>
            <w:vAlign w:val="bottom"/>
          </w:tcPr>
          <w:p>
            <w:pPr>
              <w:ind w:left="120"/>
              <w:spacing w:after="0" w:line="201" w:lineRule="exact"/>
              <w:rPr>
                <w:sz w:val="20"/>
                <w:szCs w:val="20"/>
                <w:color w:val="auto"/>
              </w:rPr>
            </w:pPr>
            <w:r>
              <w:rPr>
                <w:rFonts w:ascii="Arial" w:cs="Arial" w:eastAsia="Arial" w:hAnsi="Arial"/>
                <w:sz w:val="18"/>
                <w:szCs w:val="18"/>
                <w:color w:val="auto"/>
                <w:w w:val="88"/>
              </w:rPr>
              <w:t>Connecticut, Massachusetts, Michigan, New York,</w:t>
            </w:r>
          </w:p>
        </w:tc>
      </w:tr>
      <w:tr>
        <w:trPr>
          <w:trHeight w:val="222"/>
        </w:trPr>
        <w:tc>
          <w:tcPr>
            <w:tcW w:w="7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Pennsylvania, Virginia</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FR Associates Limited Partnership</w:t>
            </w:r>
          </w:p>
        </w:tc>
        <w:tc>
          <w:tcPr>
            <w:tcW w:w="1140" w:type="dxa"/>
            <w:vAlign w:val="bottom"/>
          </w:tcPr>
          <w:p>
            <w:pPr>
              <w:spacing w:after="0"/>
              <w:rPr>
                <w:sz w:val="20"/>
                <w:szCs w:val="20"/>
                <w:color w:val="auto"/>
              </w:rPr>
            </w:pPr>
            <w:r>
              <w:rPr>
                <w:rFonts w:ascii="Arial" w:cs="Arial" w:eastAsia="Arial" w:hAnsi="Arial"/>
                <w:sz w:val="18"/>
                <w:szCs w:val="18"/>
                <w:color w:val="auto"/>
              </w:rPr>
              <w:t>Maryland</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Maryland, New Jersey, Pennsylvania</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Berman Enterprises II Limited Partnership</w:t>
            </w:r>
          </w:p>
        </w:tc>
        <w:tc>
          <w:tcPr>
            <w:tcW w:w="1140" w:type="dxa"/>
            <w:vAlign w:val="bottom"/>
          </w:tcPr>
          <w:p>
            <w:pPr>
              <w:spacing w:after="0"/>
              <w:rPr>
                <w:sz w:val="20"/>
                <w:szCs w:val="20"/>
                <w:color w:val="auto"/>
              </w:rPr>
            </w:pPr>
            <w:r>
              <w:rPr>
                <w:rFonts w:ascii="Arial" w:cs="Arial" w:eastAsia="Arial" w:hAnsi="Arial"/>
                <w:sz w:val="18"/>
                <w:szCs w:val="18"/>
                <w:color w:val="auto"/>
              </w:rPr>
              <w:t>Maryland</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Governor Plaza Associates</w:t>
            </w:r>
          </w:p>
        </w:tc>
        <w:tc>
          <w:tcPr>
            <w:tcW w:w="1140" w:type="dxa"/>
            <w:vAlign w:val="bottom"/>
          </w:tcPr>
          <w:p>
            <w:pPr>
              <w:spacing w:after="0"/>
              <w:rPr>
                <w:sz w:val="20"/>
                <w:szCs w:val="20"/>
                <w:color w:val="auto"/>
              </w:rPr>
            </w:pPr>
            <w:r>
              <w:rPr>
                <w:rFonts w:ascii="Arial" w:cs="Arial" w:eastAsia="Arial" w:hAnsi="Arial"/>
                <w:sz w:val="18"/>
                <w:szCs w:val="18"/>
                <w:color w:val="auto"/>
              </w:rPr>
              <w:t>Pennsylvania</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N/A</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Andorra Associates</w:t>
            </w:r>
          </w:p>
        </w:tc>
        <w:tc>
          <w:tcPr>
            <w:tcW w:w="1140" w:type="dxa"/>
            <w:vAlign w:val="bottom"/>
          </w:tcPr>
          <w:p>
            <w:pPr>
              <w:spacing w:after="0"/>
              <w:rPr>
                <w:sz w:val="20"/>
                <w:szCs w:val="20"/>
                <w:color w:val="auto"/>
              </w:rPr>
            </w:pPr>
            <w:r>
              <w:rPr>
                <w:rFonts w:ascii="Arial" w:cs="Arial" w:eastAsia="Arial" w:hAnsi="Arial"/>
                <w:sz w:val="18"/>
                <w:szCs w:val="18"/>
                <w:color w:val="auto"/>
              </w:rPr>
              <w:t>Pennsylvania</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Shopping Center Associates</w:t>
            </w:r>
          </w:p>
        </w:tc>
        <w:tc>
          <w:tcPr>
            <w:tcW w:w="1140" w:type="dxa"/>
            <w:vAlign w:val="bottom"/>
          </w:tcPr>
          <w:p>
            <w:pPr>
              <w:spacing w:after="0"/>
              <w:rPr>
                <w:sz w:val="20"/>
                <w:szCs w:val="20"/>
                <w:color w:val="auto"/>
              </w:rPr>
            </w:pPr>
            <w:r>
              <w:rPr>
                <w:rFonts w:ascii="Arial" w:cs="Arial" w:eastAsia="Arial" w:hAnsi="Arial"/>
                <w:sz w:val="18"/>
                <w:szCs w:val="18"/>
                <w:color w:val="auto"/>
              </w:rPr>
              <w:t>Pennsylvania</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FR Pike 7 Limited Partnership</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 Virginia</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FRIT Leasing &amp; Development Services,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FRIT Santana Row TRS,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 California</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FR Sturtevant Street,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 Massachusetts</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FR Sturtevant Street, LLC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 Massachusetts</w:t>
            </w:r>
          </w:p>
        </w:tc>
      </w:tr>
      <w:tr>
        <w:trPr>
          <w:trHeight w:val="318"/>
        </w:trPr>
        <w:tc>
          <w:tcPr>
            <w:tcW w:w="3560" w:type="dxa"/>
            <w:vAlign w:val="bottom"/>
            <w:gridSpan w:val="2"/>
          </w:tcPr>
          <w:p>
            <w:pPr>
              <w:spacing w:after="0"/>
              <w:rPr>
                <w:sz w:val="20"/>
                <w:szCs w:val="20"/>
                <w:color w:val="auto"/>
              </w:rPr>
            </w:pPr>
            <w:r>
              <w:rPr>
                <w:rFonts w:ascii="Arial" w:cs="Arial" w:eastAsia="Arial" w:hAnsi="Arial"/>
                <w:sz w:val="18"/>
                <w:szCs w:val="18"/>
                <w:color w:val="auto"/>
              </w:rPr>
              <w:t>Street Retail, Inc.</w:t>
            </w:r>
          </w:p>
        </w:tc>
        <w:tc>
          <w:tcPr>
            <w:tcW w:w="1140" w:type="dxa"/>
            <w:vAlign w:val="bottom"/>
          </w:tcPr>
          <w:p>
            <w:pPr>
              <w:spacing w:after="0"/>
              <w:rPr>
                <w:sz w:val="20"/>
                <w:szCs w:val="20"/>
                <w:color w:val="auto"/>
              </w:rPr>
            </w:pPr>
            <w:r>
              <w:rPr>
                <w:rFonts w:ascii="Arial" w:cs="Arial" w:eastAsia="Arial" w:hAnsi="Arial"/>
                <w:sz w:val="18"/>
                <w:szCs w:val="18"/>
                <w:color w:val="auto"/>
              </w:rPr>
              <w:t>Maryland</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1"/>
              </w:rPr>
              <w:t>Maryland, District of Columbia, Virginia, Pennsylvania, Massachusetts,</w:t>
            </w:r>
          </w:p>
        </w:tc>
      </w:tr>
      <w:tr>
        <w:trPr>
          <w:trHeight w:val="222"/>
        </w:trPr>
        <w:tc>
          <w:tcPr>
            <w:tcW w:w="7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Connecticut, New Jersey, New York, California, Arizona</w:t>
            </w:r>
          </w:p>
        </w:tc>
      </w:tr>
      <w:tr>
        <w:trPr>
          <w:trHeight w:val="318"/>
        </w:trPr>
        <w:tc>
          <w:tcPr>
            <w:tcW w:w="3560" w:type="dxa"/>
            <w:vAlign w:val="bottom"/>
            <w:gridSpan w:val="2"/>
          </w:tcPr>
          <w:p>
            <w:pPr>
              <w:spacing w:after="0"/>
              <w:rPr>
                <w:sz w:val="20"/>
                <w:szCs w:val="20"/>
                <w:color w:val="auto"/>
              </w:rPr>
            </w:pPr>
            <w:r>
              <w:rPr>
                <w:rFonts w:ascii="Arial" w:cs="Arial" w:eastAsia="Arial" w:hAnsi="Arial"/>
                <w:sz w:val="18"/>
                <w:szCs w:val="18"/>
                <w:color w:val="auto"/>
              </w:rPr>
              <w:t>FRIT San Jose Town And Country Village,</w:t>
            </w:r>
          </w:p>
        </w:tc>
        <w:tc>
          <w:tcPr>
            <w:tcW w:w="1140" w:type="dxa"/>
            <w:vAlign w:val="bottom"/>
          </w:tcPr>
          <w:p>
            <w:pPr>
              <w:spacing w:after="0"/>
              <w:rPr>
                <w:sz w:val="20"/>
                <w:szCs w:val="20"/>
                <w:color w:val="auto"/>
              </w:rPr>
            </w:pPr>
            <w:r>
              <w:rPr>
                <w:rFonts w:ascii="Arial" w:cs="Arial" w:eastAsia="Arial" w:hAnsi="Arial"/>
                <w:sz w:val="18"/>
                <w:szCs w:val="18"/>
                <w:color w:val="auto"/>
              </w:rPr>
              <w:t>California</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LLC</w:t>
            </w: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San Jose Residential, Inc.</w:t>
            </w:r>
          </w:p>
        </w:tc>
        <w:tc>
          <w:tcPr>
            <w:tcW w:w="1140" w:type="dxa"/>
            <w:vAlign w:val="bottom"/>
          </w:tcPr>
          <w:p>
            <w:pPr>
              <w:spacing w:after="0"/>
              <w:rPr>
                <w:sz w:val="20"/>
                <w:szCs w:val="20"/>
                <w:color w:val="auto"/>
              </w:rPr>
            </w:pPr>
            <w:r>
              <w:rPr>
                <w:rFonts w:ascii="Arial" w:cs="Arial" w:eastAsia="Arial" w:hAnsi="Arial"/>
                <w:sz w:val="18"/>
                <w:szCs w:val="18"/>
                <w:color w:val="auto"/>
              </w:rPr>
              <w:t>Maryland</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Maryland, California</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Street Retail Forest Hills I, LLC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 New York</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Street Retail Forest Hills II, LLC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 New York</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SRI Old Town, LLC</w:t>
            </w:r>
          </w:p>
        </w:tc>
        <w:tc>
          <w:tcPr>
            <w:tcW w:w="1140" w:type="dxa"/>
            <w:vAlign w:val="bottom"/>
          </w:tcPr>
          <w:p>
            <w:pPr>
              <w:spacing w:after="0"/>
              <w:rPr>
                <w:sz w:val="20"/>
                <w:szCs w:val="20"/>
                <w:color w:val="auto"/>
              </w:rPr>
            </w:pPr>
            <w:r>
              <w:rPr>
                <w:rFonts w:ascii="Arial" w:cs="Arial" w:eastAsia="Arial" w:hAnsi="Arial"/>
                <w:sz w:val="18"/>
                <w:szCs w:val="18"/>
                <w:color w:val="auto"/>
              </w:rPr>
              <w:t>California</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Federal Realty Partners,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 Maryland, California, Virginia</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Federal Realty Partners L.P.</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 Maryland, Virginia</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FRLP,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Street Retail West GP, Inc.</w:t>
            </w:r>
          </w:p>
        </w:tc>
        <w:tc>
          <w:tcPr>
            <w:tcW w:w="1140" w:type="dxa"/>
            <w:vAlign w:val="bottom"/>
          </w:tcPr>
          <w:p>
            <w:pPr>
              <w:spacing w:after="0"/>
              <w:rPr>
                <w:sz w:val="20"/>
                <w:szCs w:val="20"/>
                <w:color w:val="auto"/>
              </w:rPr>
            </w:pPr>
            <w:r>
              <w:rPr>
                <w:rFonts w:ascii="Arial" w:cs="Arial" w:eastAsia="Arial" w:hAnsi="Arial"/>
                <w:sz w:val="18"/>
                <w:szCs w:val="18"/>
                <w:color w:val="auto"/>
              </w:rPr>
              <w:t>Maryland</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Maryland, California</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Street Retail West I, L.P.</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65"/>
        </w:trPr>
        <w:tc>
          <w:tcPr>
            <w:tcW w:w="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20" w:type="dxa"/>
            <w:vAlign w:val="bottom"/>
            <w:gridSpan w:val="3"/>
          </w:tcPr>
          <w:p>
            <w:pPr>
              <w:jc w:val="center"/>
              <w:ind w:right="4512"/>
              <w:spacing w:after="0"/>
              <w:rPr>
                <w:sz w:val="20"/>
                <w:szCs w:val="20"/>
                <w:color w:val="auto"/>
              </w:rPr>
            </w:pPr>
            <w:r>
              <w:rPr>
                <w:rFonts w:ascii="Arial" w:cs="Arial" w:eastAsia="Arial" w:hAnsi="Arial"/>
                <w:sz w:val="18"/>
                <w:szCs w:val="18"/>
                <w:color w:val="auto"/>
                <w:w w:val="92"/>
              </w:rPr>
              <w:t>M-11</w:t>
            </w:r>
          </w:p>
        </w:tc>
      </w:tr>
    </w:tbl>
    <w:p>
      <w:pPr>
        <w:jc w:val="center"/>
        <w:ind w:right="4512"/>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2" w:name="page223"/>
    <w:bookmarkEnd w:id="222"/>
    <w:tbl>
      <w:tblPr>
        <w:tblLayout w:type="fixed"/>
        <w:tblInd w:w="0" w:type="dxa"/>
        <w:tblCellMar>
          <w:top w:w="0" w:type="dxa"/>
          <w:left w:w="0" w:type="dxa"/>
          <w:bottom w:w="0" w:type="dxa"/>
          <w:right w:w="0" w:type="dxa"/>
        </w:tblCellMar>
      </w:tblP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Street Retail West II, L.P.</w:t>
            </w:r>
          </w:p>
        </w:tc>
        <w:tc>
          <w:tcPr>
            <w:tcW w:w="2040" w:type="dxa"/>
            <w:vAlign w:val="bottom"/>
          </w:tcPr>
          <w:p>
            <w:pPr>
              <w:ind w:left="720"/>
              <w:spacing w:after="0"/>
              <w:rPr>
                <w:sz w:val="20"/>
                <w:szCs w:val="20"/>
                <w:color w:val="auto"/>
              </w:rPr>
            </w:pPr>
            <w:r>
              <w:rPr>
                <w:rFonts w:ascii="Arial" w:cs="Arial" w:eastAsia="Arial" w:hAnsi="Arial"/>
                <w:sz w:val="18"/>
                <w:szCs w:val="18"/>
                <w:color w:val="auto"/>
              </w:rPr>
              <w:t>Delaware</w:t>
            </w:r>
          </w:p>
        </w:tc>
        <w:tc>
          <w:tcPr>
            <w:tcW w:w="308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Street Retail West 3, L.P.</w:t>
            </w:r>
          </w:p>
        </w:tc>
        <w:tc>
          <w:tcPr>
            <w:tcW w:w="2040" w:type="dxa"/>
            <w:vAlign w:val="bottom"/>
          </w:tcPr>
          <w:p>
            <w:pPr>
              <w:ind w:left="720"/>
              <w:spacing w:after="0"/>
              <w:rPr>
                <w:sz w:val="20"/>
                <w:szCs w:val="20"/>
                <w:color w:val="auto"/>
              </w:rPr>
            </w:pPr>
            <w:r>
              <w:rPr>
                <w:rFonts w:ascii="Arial" w:cs="Arial" w:eastAsia="Arial" w:hAnsi="Arial"/>
                <w:sz w:val="18"/>
                <w:szCs w:val="18"/>
                <w:color w:val="auto"/>
              </w:rPr>
              <w:t>Delaware</w:t>
            </w:r>
          </w:p>
        </w:tc>
        <w:tc>
          <w:tcPr>
            <w:tcW w:w="308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Street Retail West 6, L.P.</w:t>
            </w:r>
          </w:p>
        </w:tc>
        <w:tc>
          <w:tcPr>
            <w:tcW w:w="2040" w:type="dxa"/>
            <w:vAlign w:val="bottom"/>
          </w:tcPr>
          <w:p>
            <w:pPr>
              <w:ind w:left="720"/>
              <w:spacing w:after="0"/>
              <w:rPr>
                <w:sz w:val="20"/>
                <w:szCs w:val="20"/>
                <w:color w:val="auto"/>
              </w:rPr>
            </w:pPr>
            <w:r>
              <w:rPr>
                <w:rFonts w:ascii="Arial" w:cs="Arial" w:eastAsia="Arial" w:hAnsi="Arial"/>
                <w:sz w:val="18"/>
                <w:szCs w:val="18"/>
                <w:color w:val="auto"/>
              </w:rPr>
              <w:t>Delaware</w:t>
            </w:r>
          </w:p>
        </w:tc>
        <w:tc>
          <w:tcPr>
            <w:tcW w:w="308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Street Retail West 10, L.P.</w:t>
            </w:r>
          </w:p>
        </w:tc>
        <w:tc>
          <w:tcPr>
            <w:tcW w:w="2040" w:type="dxa"/>
            <w:vAlign w:val="bottom"/>
          </w:tcPr>
          <w:p>
            <w:pPr>
              <w:ind w:left="720"/>
              <w:spacing w:after="0"/>
              <w:rPr>
                <w:sz w:val="20"/>
                <w:szCs w:val="20"/>
                <w:color w:val="auto"/>
              </w:rPr>
            </w:pPr>
            <w:r>
              <w:rPr>
                <w:rFonts w:ascii="Arial" w:cs="Arial" w:eastAsia="Arial" w:hAnsi="Arial"/>
                <w:sz w:val="18"/>
                <w:szCs w:val="18"/>
                <w:color w:val="auto"/>
              </w:rPr>
              <w:t>Delaware</w:t>
            </w:r>
          </w:p>
        </w:tc>
        <w:tc>
          <w:tcPr>
            <w:tcW w:w="308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FR Westgate Mall, LLC</w:t>
            </w:r>
          </w:p>
        </w:tc>
        <w:tc>
          <w:tcPr>
            <w:tcW w:w="2040" w:type="dxa"/>
            <w:vAlign w:val="bottom"/>
          </w:tcPr>
          <w:p>
            <w:pPr>
              <w:ind w:left="720"/>
              <w:spacing w:after="0"/>
              <w:rPr>
                <w:sz w:val="20"/>
                <w:szCs w:val="20"/>
                <w:color w:val="auto"/>
              </w:rPr>
            </w:pPr>
            <w:r>
              <w:rPr>
                <w:rFonts w:ascii="Arial" w:cs="Arial" w:eastAsia="Arial" w:hAnsi="Arial"/>
                <w:sz w:val="18"/>
                <w:szCs w:val="18"/>
                <w:color w:val="auto"/>
              </w:rPr>
              <w:t>Delaware</w:t>
            </w:r>
          </w:p>
        </w:tc>
        <w:tc>
          <w:tcPr>
            <w:tcW w:w="308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FR Assembly Square, LLC</w:t>
            </w:r>
          </w:p>
        </w:tc>
        <w:tc>
          <w:tcPr>
            <w:tcW w:w="2040" w:type="dxa"/>
            <w:vAlign w:val="bottom"/>
          </w:tcPr>
          <w:p>
            <w:pPr>
              <w:ind w:left="720"/>
              <w:spacing w:after="0"/>
              <w:rPr>
                <w:sz w:val="20"/>
                <w:szCs w:val="20"/>
                <w:color w:val="auto"/>
              </w:rPr>
            </w:pPr>
            <w:r>
              <w:rPr>
                <w:rFonts w:ascii="Arial" w:cs="Arial" w:eastAsia="Arial" w:hAnsi="Arial"/>
                <w:sz w:val="18"/>
                <w:szCs w:val="18"/>
                <w:color w:val="auto"/>
              </w:rPr>
              <w:t>Delaware</w:t>
            </w:r>
          </w:p>
        </w:tc>
        <w:tc>
          <w:tcPr>
            <w:tcW w:w="3080" w:type="dxa"/>
            <w:vAlign w:val="bottom"/>
          </w:tcPr>
          <w:p>
            <w:pPr>
              <w:ind w:left="1300"/>
              <w:spacing w:after="0"/>
              <w:rPr>
                <w:sz w:val="20"/>
                <w:szCs w:val="20"/>
                <w:color w:val="auto"/>
              </w:rPr>
            </w:pPr>
            <w:r>
              <w:rPr>
                <w:rFonts w:ascii="Arial" w:cs="Arial" w:eastAsia="Arial" w:hAnsi="Arial"/>
                <w:sz w:val="18"/>
                <w:szCs w:val="18"/>
                <w:color w:val="auto"/>
                <w:w w:val="85"/>
              </w:rPr>
              <w:t>Delaware, Massachusetts</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FR Westgate Mall, Inc.</w:t>
            </w:r>
          </w:p>
        </w:tc>
        <w:tc>
          <w:tcPr>
            <w:tcW w:w="2040" w:type="dxa"/>
            <w:vAlign w:val="bottom"/>
          </w:tcPr>
          <w:p>
            <w:pPr>
              <w:ind w:left="720"/>
              <w:spacing w:after="0"/>
              <w:rPr>
                <w:sz w:val="20"/>
                <w:szCs w:val="20"/>
                <w:color w:val="auto"/>
              </w:rPr>
            </w:pPr>
            <w:r>
              <w:rPr>
                <w:rFonts w:ascii="Arial" w:cs="Arial" w:eastAsia="Arial" w:hAnsi="Arial"/>
                <w:sz w:val="18"/>
                <w:szCs w:val="18"/>
                <w:color w:val="auto"/>
              </w:rPr>
              <w:t>Delaware</w:t>
            </w:r>
          </w:p>
        </w:tc>
        <w:tc>
          <w:tcPr>
            <w:tcW w:w="3080" w:type="dxa"/>
            <w:vAlign w:val="bottom"/>
          </w:tcPr>
          <w:p>
            <w:pPr>
              <w:ind w:left="1300"/>
              <w:spacing w:after="0"/>
              <w:rPr>
                <w:sz w:val="20"/>
                <w:szCs w:val="20"/>
                <w:color w:val="auto"/>
              </w:rPr>
            </w:pPr>
            <w:r>
              <w:rPr>
                <w:rFonts w:ascii="Arial" w:cs="Arial" w:eastAsia="Arial" w:hAnsi="Arial"/>
                <w:sz w:val="18"/>
                <w:szCs w:val="18"/>
                <w:color w:val="auto"/>
              </w:rPr>
              <w:t>Delaware, California</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SRI San Antonio, Inc.</w:t>
            </w:r>
          </w:p>
        </w:tc>
        <w:tc>
          <w:tcPr>
            <w:tcW w:w="2040" w:type="dxa"/>
            <w:vAlign w:val="bottom"/>
          </w:tcPr>
          <w:p>
            <w:pPr>
              <w:ind w:left="720"/>
              <w:spacing w:after="0"/>
              <w:rPr>
                <w:sz w:val="20"/>
                <w:szCs w:val="20"/>
                <w:color w:val="auto"/>
              </w:rPr>
            </w:pPr>
            <w:r>
              <w:rPr>
                <w:rFonts w:ascii="Arial" w:cs="Arial" w:eastAsia="Arial" w:hAnsi="Arial"/>
                <w:sz w:val="18"/>
                <w:szCs w:val="18"/>
                <w:color w:val="auto"/>
              </w:rPr>
              <w:t>Maryland</w:t>
            </w:r>
          </w:p>
        </w:tc>
        <w:tc>
          <w:tcPr>
            <w:tcW w:w="3080" w:type="dxa"/>
            <w:vAlign w:val="bottom"/>
          </w:tcPr>
          <w:p>
            <w:pPr>
              <w:ind w:left="1300"/>
              <w:spacing w:after="0"/>
              <w:rPr>
                <w:sz w:val="20"/>
                <w:szCs w:val="20"/>
                <w:color w:val="auto"/>
              </w:rPr>
            </w:pPr>
            <w:r>
              <w:rPr>
                <w:rFonts w:ascii="Arial" w:cs="Arial" w:eastAsia="Arial" w:hAnsi="Arial"/>
                <w:sz w:val="18"/>
                <w:szCs w:val="18"/>
                <w:color w:val="auto"/>
              </w:rPr>
              <w:t>Maryland, Texas</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Street Retail San Antonio, LP</w:t>
            </w:r>
          </w:p>
        </w:tc>
        <w:tc>
          <w:tcPr>
            <w:tcW w:w="2040" w:type="dxa"/>
            <w:vAlign w:val="bottom"/>
          </w:tcPr>
          <w:p>
            <w:pPr>
              <w:ind w:left="720"/>
              <w:spacing w:after="0"/>
              <w:rPr>
                <w:sz w:val="20"/>
                <w:szCs w:val="20"/>
                <w:color w:val="auto"/>
              </w:rPr>
            </w:pPr>
            <w:r>
              <w:rPr>
                <w:rFonts w:ascii="Arial" w:cs="Arial" w:eastAsia="Arial" w:hAnsi="Arial"/>
                <w:sz w:val="18"/>
                <w:szCs w:val="18"/>
                <w:color w:val="auto"/>
              </w:rPr>
              <w:t>Delaware</w:t>
            </w:r>
          </w:p>
        </w:tc>
        <w:tc>
          <w:tcPr>
            <w:tcW w:w="3080" w:type="dxa"/>
            <w:vAlign w:val="bottom"/>
          </w:tcPr>
          <w:p>
            <w:pPr>
              <w:ind w:left="1300"/>
              <w:spacing w:after="0"/>
              <w:rPr>
                <w:sz w:val="20"/>
                <w:szCs w:val="20"/>
                <w:color w:val="auto"/>
              </w:rPr>
            </w:pPr>
            <w:r>
              <w:rPr>
                <w:rFonts w:ascii="Arial" w:cs="Arial" w:eastAsia="Arial" w:hAnsi="Arial"/>
                <w:sz w:val="18"/>
                <w:szCs w:val="18"/>
                <w:color w:val="auto"/>
              </w:rPr>
              <w:t>Delaware, Texas</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SRI Texas, Inc.</w:t>
            </w:r>
          </w:p>
        </w:tc>
        <w:tc>
          <w:tcPr>
            <w:tcW w:w="2040" w:type="dxa"/>
            <w:vAlign w:val="bottom"/>
          </w:tcPr>
          <w:p>
            <w:pPr>
              <w:ind w:left="720"/>
              <w:spacing w:after="0"/>
              <w:rPr>
                <w:sz w:val="20"/>
                <w:szCs w:val="20"/>
                <w:color w:val="auto"/>
              </w:rPr>
            </w:pPr>
            <w:r>
              <w:rPr>
                <w:rFonts w:ascii="Arial" w:cs="Arial" w:eastAsia="Arial" w:hAnsi="Arial"/>
                <w:sz w:val="18"/>
                <w:szCs w:val="18"/>
                <w:color w:val="auto"/>
              </w:rPr>
              <w:t>Delaware</w:t>
            </w:r>
          </w:p>
        </w:tc>
        <w:tc>
          <w:tcPr>
            <w:tcW w:w="308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365"/>
        </w:trPr>
        <w:tc>
          <w:tcPr>
            <w:tcW w:w="2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80" w:type="dxa"/>
            <w:vAlign w:val="bottom"/>
          </w:tcPr>
          <w:p>
            <w:pPr>
              <w:ind w:left="640"/>
              <w:spacing w:after="0"/>
              <w:rPr>
                <w:sz w:val="20"/>
                <w:szCs w:val="20"/>
                <w:color w:val="auto"/>
              </w:rPr>
            </w:pPr>
            <w:r>
              <w:rPr>
                <w:rFonts w:ascii="Arial" w:cs="Arial" w:eastAsia="Arial" w:hAnsi="Arial"/>
                <w:sz w:val="18"/>
                <w:szCs w:val="18"/>
                <w:color w:val="auto"/>
              </w:rPr>
              <w:t>M-12</w:t>
            </w:r>
          </w:p>
        </w:tc>
      </w:tr>
    </w:tbl>
    <w:p>
      <w:pPr>
        <w:ind w:left="640"/>
        <w:spacing w:after="0"/>
        <w:rPr>
          <w:sz w:val="20"/>
          <w:szCs w:val="20"/>
          <w:color w:val="auto"/>
        </w:rPr>
        <w:sectPr>
          <w:pgSz w:w="11900" w:h="16838" w:orient="portrait"/>
          <w:cols w:equalWidth="0" w:num="1">
            <w:col w:w="10219"/>
          </w:cols>
          <w:pgMar w:left="240" w:top="388"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3" w:name="page224"/>
    <w:bookmarkEnd w:id="223"/>
    <w:p>
      <w:pPr>
        <w:jc w:val="right"/>
        <w:ind w:right="39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15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M-13</w:t>
      </w:r>
    </w:p>
    <w:p>
      <w:pPr>
        <w:sectPr>
          <w:pgSz w:w="11900" w:h="16838" w:orient="portrait"/>
          <w:cols w:equalWidth="0" w:num="1">
            <w:col w:w="10219"/>
          </w:cols>
          <w:pgMar w:left="240" w:top="274" w:right="1440" w:bottom="1440" w:gutter="0" w:footer="0" w:header="0"/>
        </w:sectPr>
      </w:pPr>
    </w:p>
    <w:bookmarkStart w:id="224" w:name="page225"/>
    <w:bookmarkEnd w:id="224"/>
    <w:p>
      <w:pPr>
        <w:jc w:val="right"/>
        <w:ind w:right="39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w:t>
      </w:r>
    </w:p>
    <w:p>
      <w:pPr>
        <w:sectPr>
          <w:pgSz w:w="11900" w:h="16838" w:orient="portrait"/>
          <w:cols w:equalWidth="0" w:num="1">
            <w:col w:w="9639"/>
          </w:cols>
          <w:pgMar w:left="820" w:top="274" w:right="1440"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Governor Plaza Associates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 PA general partnership</w:t>
      </w:r>
    </w:p>
    <w:p>
      <w:pPr>
        <w:spacing w:after="0" w:line="152" w:lineRule="exact"/>
        <w:rPr>
          <w:sz w:val="20"/>
          <w:szCs w:val="20"/>
          <w:color w:val="auto"/>
        </w:rPr>
      </w:pPr>
    </w:p>
    <w:p>
      <w:pPr>
        <w:sectPr>
          <w:pgSz w:w="11900" w:h="16838" w:orient="portrait"/>
          <w:cols w:equalWidth="0" w:num="2">
            <w:col w:w="1900" w:space="660"/>
            <w:col w:w="7079"/>
          </w:cols>
          <w:pgMar w:left="820" w:top="274" w:right="1440" w:bottom="1440" w:gutter="0" w:footer="0" w:header="0"/>
          <w:type w:val="continuous"/>
        </w:sectPr>
      </w:pPr>
    </w:p>
    <w:p>
      <w:pPr>
        <w:spacing w:after="0"/>
        <w:rPr>
          <w:sz w:val="20"/>
          <w:szCs w:val="20"/>
          <w:color w:val="auto"/>
        </w:rPr>
      </w:pPr>
      <w:r>
        <w:rPr>
          <w:rFonts w:ascii="Arial" w:cs="Arial" w:eastAsia="Arial" w:hAnsi="Arial"/>
          <w:sz w:val="15"/>
          <w:szCs w:val="15"/>
          <w:color w:val="auto"/>
        </w:rPr>
        <w:t>Andorra Associates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PA limited partnership</w:t>
      </w:r>
    </w:p>
    <w:p>
      <w:pPr>
        <w:spacing w:after="0" w:line="140" w:lineRule="exact"/>
        <w:rPr>
          <w:sz w:val="20"/>
          <w:szCs w:val="20"/>
          <w:color w:val="auto"/>
        </w:rPr>
      </w:pPr>
    </w:p>
    <w:p>
      <w:pPr>
        <w:sectPr>
          <w:pgSz w:w="11900" w:h="16838" w:orient="portrait"/>
          <w:cols w:equalWidth="0" w:num="2">
            <w:col w:w="1840" w:space="720"/>
            <w:col w:w="7079"/>
          </w:cols>
          <w:pgMar w:left="820" w:top="274" w:right="1440" w:bottom="1440" w:gutter="0" w:footer="0" w:header="0"/>
          <w:type w:val="continuous"/>
        </w:sectPr>
      </w:pPr>
    </w:p>
    <w:p>
      <w:pPr>
        <w:spacing w:after="0"/>
        <w:rPr>
          <w:sz w:val="20"/>
          <w:szCs w:val="20"/>
          <w:color w:val="auto"/>
        </w:rPr>
      </w:pPr>
      <w:r>
        <w:rPr>
          <w:rFonts w:ascii="Arial" w:cs="Arial" w:eastAsia="Arial" w:hAnsi="Arial"/>
          <w:sz w:val="15"/>
          <w:szCs w:val="15"/>
          <w:color w:val="auto"/>
        </w:rPr>
        <w:t>Shopping Center Associates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PA limited partnership</w:t>
      </w:r>
    </w:p>
    <w:p>
      <w:pPr>
        <w:spacing w:after="0" w:line="181" w:lineRule="exact"/>
        <w:rPr>
          <w:sz w:val="20"/>
          <w:szCs w:val="20"/>
          <w:color w:val="auto"/>
        </w:rPr>
      </w:pPr>
    </w:p>
    <w:p>
      <w:pPr>
        <w:sectPr>
          <w:pgSz w:w="11900" w:h="16838" w:orient="portrait"/>
          <w:cols w:equalWidth="0" w:num="2">
            <w:col w:w="1980" w:space="580"/>
            <w:col w:w="7079"/>
          </w:cols>
          <w:pgMar w:left="820" w:top="274" w:right="1440" w:bottom="1440" w:gutter="0" w:footer="0" w:header="0"/>
          <w:type w:val="continuous"/>
        </w:sectPr>
      </w:pPr>
    </w:p>
    <w:p>
      <w:pPr>
        <w:ind w:left="4940"/>
        <w:spacing w:after="0"/>
        <w:rPr>
          <w:sz w:val="20"/>
          <w:szCs w:val="20"/>
          <w:color w:val="auto"/>
        </w:rPr>
      </w:pPr>
      <w:r>
        <w:rPr>
          <w:rFonts w:ascii="Arial" w:cs="Arial" w:eastAsia="Arial" w:hAnsi="Arial"/>
          <w:sz w:val="16"/>
          <w:szCs w:val="16"/>
          <w:color w:val="auto"/>
        </w:rPr>
        <w:t>M-14</w:t>
      </w:r>
    </w:p>
    <w:p>
      <w:pPr>
        <w:sectPr>
          <w:pgSz w:w="11900" w:h="16838" w:orient="portrait"/>
          <w:cols w:equalWidth="0" w:num="1">
            <w:col w:w="9639"/>
          </w:cols>
          <w:pgMar w:left="820" w:top="274" w:right="1440" w:bottom="1440" w:gutter="0" w:footer="0" w:header="0"/>
          <w:type w:val="continuous"/>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Indenture, dated December 13, 1993, related to the Company’s 7.48% Debentures due August 15, 2026; 8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Notes due January 15, 2000; 8% Notes due April 21, 2002;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due 2005; 6.82% Medium Term Notes due August 1, 2027; 6.74% Medium Term Notes due March 10, 2004; and 6.99% Medium Term Notes due March 10, 2006, filed with the Commission on December 13, 1993 as Exhibit 4(a) to the Company’s Registration Statement on Form S-3 (File No. 33-51029).</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Indenture, dated September 1,1998 related to the Company’s 6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due November 15, 2007 and 8.75% Notes due December 1,2009 filed as Exhibit 4(a) to the Company’s Registration Statement on Form S-3 (File No. 333-63619).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M-15</w:t>
      </w:r>
    </w:p>
    <w:p>
      <w:pPr>
        <w:sectPr>
          <w:pgSz w:w="11900" w:h="16838" w:orient="portrait"/>
          <w:cols w:equalWidth="0" w:num="1">
            <w:col w:w="11400"/>
          </w:cols>
          <w:pgMar w:left="240" w:top="274" w:right="25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Client Certificate of Federal Realty Investment Trust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Client Certificate is being executed and delivered in connection with, and is attached to, a legal opinion letter being rendered by Pillsbury Winthrop Shaw Pittman LLP in connection with a Credit Agreement (the “</w:t>
      </w:r>
      <w:r>
        <w:rPr>
          <w:rFonts w:ascii="Arial" w:cs="Arial" w:eastAsia="Arial" w:hAnsi="Arial"/>
          <w:sz w:val="16"/>
          <w:szCs w:val="16"/>
          <w:b w:val="1"/>
          <w:bCs w:val="1"/>
          <w:color w:val="auto"/>
        </w:rPr>
        <w:t>Credit Agreement</w:t>
      </w:r>
      <w:r>
        <w:rPr>
          <w:rFonts w:ascii="Arial" w:cs="Arial" w:eastAsia="Arial" w:hAnsi="Arial"/>
          <w:sz w:val="16"/>
          <w:szCs w:val="16"/>
          <w:color w:val="auto"/>
        </w:rPr>
        <w:t>”) dated as of July 28, 2006, by and among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the financial institutions party thereto (the “</w:t>
      </w:r>
      <w:r>
        <w:rPr>
          <w:rFonts w:ascii="Arial" w:cs="Arial" w:eastAsia="Arial" w:hAnsi="Arial"/>
          <w:sz w:val="16"/>
          <w:szCs w:val="16"/>
          <w:b w:val="1"/>
          <w:bCs w:val="1"/>
          <w:color w:val="auto"/>
        </w:rPr>
        <w:t>Lenders</w:t>
      </w:r>
      <w:r>
        <w:rPr>
          <w:rFonts w:ascii="Arial" w:cs="Arial" w:eastAsia="Arial" w:hAnsi="Arial"/>
          <w:sz w:val="16"/>
          <w:szCs w:val="16"/>
          <w:color w:val="auto"/>
        </w:rPr>
        <w:t>”), Wachovia Bank, National Association, as Agent (the “</w:t>
      </w:r>
      <w:r>
        <w:rPr>
          <w:rFonts w:ascii="Arial" w:cs="Arial" w:eastAsia="Arial" w:hAnsi="Arial"/>
          <w:sz w:val="16"/>
          <w:szCs w:val="16"/>
          <w:b w:val="1"/>
          <w:bCs w:val="1"/>
          <w:color w:val="auto"/>
        </w:rPr>
        <w:t>Agent</w:t>
      </w:r>
      <w:r>
        <w:rPr>
          <w:rFonts w:ascii="Arial" w:cs="Arial" w:eastAsia="Arial" w:hAnsi="Arial"/>
          <w:sz w:val="16"/>
          <w:szCs w:val="16"/>
          <w:color w:val="auto"/>
        </w:rPr>
        <w:t xml:space="preserve">”), and the other parties thereto, and guaranteed by the entities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(collectively, “</w:t>
      </w:r>
      <w:r>
        <w:rPr>
          <w:rFonts w:ascii="Arial" w:cs="Arial" w:eastAsia="Arial" w:hAnsi="Arial"/>
          <w:sz w:val="16"/>
          <w:szCs w:val="16"/>
          <w:b w:val="1"/>
          <w:bCs w:val="1"/>
          <w:color w:val="auto"/>
        </w:rPr>
        <w:t>Guarantors</w:t>
      </w:r>
      <w:r>
        <w:rPr>
          <w:rFonts w:ascii="Arial" w:cs="Arial" w:eastAsia="Arial" w:hAnsi="Arial"/>
          <w:sz w:val="16"/>
          <w:szCs w:val="16"/>
          <w:color w:val="auto"/>
        </w:rPr>
        <w:t>”). Terms used herein but not defined shall have the meanings ascribed to them in the Loan Documents (as defined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certifies that:</w:t>
      </w:r>
    </w:p>
    <w:p>
      <w:pPr>
        <w:spacing w:after="0" w:line="165" w:lineRule="exact"/>
        <w:rPr>
          <w:sz w:val="20"/>
          <w:szCs w:val="20"/>
          <w:color w:val="auto"/>
        </w:rPr>
      </w:pPr>
    </w:p>
    <w:p>
      <w:pPr>
        <w:ind w:right="20" w:firstLine="464"/>
        <w:spacing w:after="0" w:line="262" w:lineRule="auto"/>
        <w:tabs>
          <w:tab w:leader="none" w:pos="6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Attached as Exhibit B to that certain Officer’s Certificate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Officer’s Certificate</w:t>
      </w:r>
      <w:r>
        <w:rPr>
          <w:rFonts w:ascii="Arial" w:cs="Arial" w:eastAsia="Arial" w:hAnsi="Arial"/>
          <w:sz w:val="18"/>
          <w:szCs w:val="18"/>
          <w:color w:val="auto"/>
        </w:rPr>
        <w:t>”) is a true and correct copy of the Company’s Declaration of Trust, certified as of a recent date by the State Department of Assessments and Taxation of the State of Maryland, which has been in full force and effect since May 5,1999, and remains in full force and effect on the date hereof.</w:t>
      </w:r>
    </w:p>
    <w:p>
      <w:pPr>
        <w:spacing w:after="0" w:line="138" w:lineRule="exact"/>
        <w:rPr>
          <w:rFonts w:ascii="Arial" w:cs="Arial" w:eastAsia="Arial" w:hAnsi="Arial"/>
          <w:sz w:val="18"/>
          <w:szCs w:val="18"/>
          <w:color w:val="auto"/>
        </w:rPr>
      </w:pPr>
    </w:p>
    <w:p>
      <w:pPr>
        <w:ind w:right="100" w:firstLine="464"/>
        <w:spacing w:after="0" w:line="332" w:lineRule="auto"/>
        <w:tabs>
          <w:tab w:leader="none" w:pos="63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No amendment or modification has been authorized or filed by the Company, and no steps have been taken by the Board of Trustees of the Company to authorize or effect any such amendment or modification except for those amendments or modifications included in the Officer’s Certificate.</w:t>
      </w:r>
    </w:p>
    <w:p>
      <w:pPr>
        <w:spacing w:after="0" w:line="85" w:lineRule="exact"/>
        <w:rPr>
          <w:rFonts w:ascii="Arial" w:cs="Arial" w:eastAsia="Arial" w:hAnsi="Arial"/>
          <w:sz w:val="16"/>
          <w:szCs w:val="16"/>
          <w:color w:val="auto"/>
        </w:rPr>
      </w:pPr>
    </w:p>
    <w:p>
      <w:pPr>
        <w:ind w:right="20" w:firstLine="464"/>
        <w:spacing w:after="0" w:line="332" w:lineRule="auto"/>
        <w:tabs>
          <w:tab w:leader="none" w:pos="63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Attached as Exhibit C to the Officer’s Certificate is a true and correct copy of the By-Laws of the Company, including all amendments to date, which are in full force and effect on the date hereof, which By-Laws have not been amended except as reflected in Exhibit C to the Officer’s Certificate.</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Company is duly authorized to transact business and is in good standing in the jurisdictions listed in Paragraph 6 of the Officer’s Certificate.</w:t>
      </w:r>
    </w:p>
    <w:p>
      <w:pPr>
        <w:spacing w:after="0" w:line="194" w:lineRule="exact"/>
        <w:rPr>
          <w:rFonts w:ascii="Arial" w:cs="Arial" w:eastAsia="Arial" w:hAnsi="Arial"/>
          <w:sz w:val="16"/>
          <w:szCs w:val="16"/>
          <w:color w:val="auto"/>
        </w:rPr>
      </w:pPr>
    </w:p>
    <w:p>
      <w:pPr>
        <w:ind w:right="80" w:firstLine="464"/>
        <w:spacing w:after="0" w:line="259" w:lineRule="auto"/>
        <w:tabs>
          <w:tab w:leader="none" w:pos="6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proceedings looking toward bankruptcy, liquidation, dissolution, merger, consolidation or sale of all or substantially all of the assets or businesses of the Company have been taken or are pending, nor has the Board of Trustees or shareholders of the Company taken any steps to authorize or effect any of the foregoing proceedings.</w:t>
      </w:r>
    </w:p>
    <w:p>
      <w:pPr>
        <w:spacing w:after="0" w:line="140" w:lineRule="exact"/>
        <w:rPr>
          <w:rFonts w:ascii="Arial" w:cs="Arial" w:eastAsia="Arial" w:hAnsi="Arial"/>
          <w:sz w:val="18"/>
          <w:szCs w:val="18"/>
          <w:color w:val="auto"/>
        </w:rPr>
      </w:pPr>
    </w:p>
    <w:p>
      <w:pPr>
        <w:jc w:val="both"/>
        <w:ind w:firstLine="464"/>
        <w:spacing w:after="0" w:line="256" w:lineRule="auto"/>
        <w:tabs>
          <w:tab w:leader="none" w:pos="6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minute books and records relating to proceedings of the Board of Trustees (including any committees thereof) and shareholders of the Company and its subsidiaries made available to Pillsbury Winthrop Shaw Pittman LLP are true and complete and constitute records of all such proceedings held through May 3, 2006, except for minutes of the Board of Trustees and Audit Committee of the Board of Trustees for meetings held from and after May 2, 2006 which minutes are in draft form only.</w:t>
      </w:r>
    </w:p>
    <w:p>
      <w:pPr>
        <w:spacing w:after="0" w:line="143"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resolutions included in Paragraph 2 of the Officer’s Certificate are true and correct copies of resolutions duly adopted by the Board of Trustees of the Company on May 3, 2006 (the “</w:t>
      </w:r>
      <w:r>
        <w:rPr>
          <w:rFonts w:ascii="Arial" w:cs="Arial" w:eastAsia="Arial" w:hAnsi="Arial"/>
          <w:sz w:val="18"/>
          <w:szCs w:val="18"/>
          <w:b w:val="1"/>
          <w:bCs w:val="1"/>
          <w:color w:val="auto"/>
        </w:rPr>
        <w:t>Board Resolutions</w:t>
      </w:r>
      <w:r>
        <w:rPr>
          <w:rFonts w:ascii="Arial" w:cs="Arial" w:eastAsia="Arial" w:hAnsi="Arial"/>
          <w:sz w:val="18"/>
          <w:szCs w:val="18"/>
          <w:color w:val="auto"/>
        </w:rPr>
        <w:t>”). The resolutions attached as Exhibit A to the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M-16</w:t>
      </w:r>
    </w:p>
    <w:p>
      <w:pPr>
        <w:sectPr>
          <w:pgSz w:w="11900" w:h="16838" w:orient="portrait"/>
          <w:cols w:equalWidth="0" w:num="1">
            <w:col w:w="11400"/>
          </w:cols>
          <w:pgMar w:left="240" w:top="274" w:right="259" w:bottom="1440" w:gutter="0" w:footer="0" w:header="0"/>
        </w:sectPr>
      </w:pPr>
    </w:p>
    <w:bookmarkStart w:id="227" w:name="page228"/>
    <w:bookmarkEnd w:id="227"/>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are true and correct copies of resolutions duly adopted by a duly authorized committee (the “</w:t>
      </w:r>
      <w:r>
        <w:rPr>
          <w:rFonts w:ascii="Arial" w:cs="Arial" w:eastAsia="Arial" w:hAnsi="Arial"/>
          <w:sz w:val="16"/>
          <w:szCs w:val="16"/>
          <w:b w:val="1"/>
          <w:bCs w:val="1"/>
          <w:color w:val="auto"/>
        </w:rPr>
        <w:t>Financing Committee</w:t>
      </w:r>
      <w:r>
        <w:rPr>
          <w:rFonts w:ascii="Arial" w:cs="Arial" w:eastAsia="Arial" w:hAnsi="Arial"/>
          <w:sz w:val="16"/>
          <w:szCs w:val="16"/>
          <w:color w:val="auto"/>
        </w:rPr>
        <w:t>”) on July 20, 2006 (“Financing Committee Resolutions: collectively with the Board Resolutions, the “</w:t>
      </w:r>
      <w:r>
        <w:rPr>
          <w:rFonts w:ascii="Arial" w:cs="Arial" w:eastAsia="Arial" w:hAnsi="Arial"/>
          <w:sz w:val="16"/>
          <w:szCs w:val="16"/>
          <w:b w:val="1"/>
          <w:bCs w:val="1"/>
          <w:color w:val="auto"/>
        </w:rPr>
        <w:t>Resolutions</w:t>
      </w:r>
      <w:r>
        <w:rPr>
          <w:rFonts w:ascii="Arial" w:cs="Arial" w:eastAsia="Arial" w:hAnsi="Arial"/>
          <w:sz w:val="16"/>
          <w:szCs w:val="16"/>
          <w:color w:val="auto"/>
        </w:rPr>
        <w:t>”); the Resolutions constitute all resolutions of the Board of Trustees, any committee of the Board of Trustees or any officers of the Company adopted with respect to the Credit Agreement, Notes and Guaranty (the “</w:t>
      </w:r>
      <w:r>
        <w:rPr>
          <w:rFonts w:ascii="Arial" w:cs="Arial" w:eastAsia="Arial" w:hAnsi="Arial"/>
          <w:sz w:val="16"/>
          <w:szCs w:val="16"/>
          <w:b w:val="1"/>
          <w:bCs w:val="1"/>
          <w:color w:val="auto"/>
        </w:rPr>
        <w:t>Loan Documents</w:t>
      </w:r>
      <w:r>
        <w:rPr>
          <w:rFonts w:ascii="Arial" w:cs="Arial" w:eastAsia="Arial" w:hAnsi="Arial"/>
          <w:sz w:val="16"/>
          <w:szCs w:val="16"/>
          <w:color w:val="auto"/>
        </w:rPr>
        <w:t>”). All members of the Financing Committee are duly elected, qualified and acting Executive Officers of the Company.</w:t>
      </w:r>
    </w:p>
    <w:p>
      <w:pPr>
        <w:spacing w:after="0" w:line="109" w:lineRule="exact"/>
        <w:rPr>
          <w:sz w:val="20"/>
          <w:szCs w:val="20"/>
          <w:color w:val="auto"/>
        </w:rPr>
      </w:pPr>
    </w:p>
    <w:p>
      <w:pPr>
        <w:ind w:right="160" w:firstLine="464"/>
        <w:spacing w:after="0" w:line="298" w:lineRule="auto"/>
        <w:tabs>
          <w:tab w:leader="none" w:pos="63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person who, as a trustee or officer of the Company signed (i) the Credit Agreement, (ii) the Notes, (iii) the Guaranty or (iv) any other instrument, agreement or document delivered prior hereto or on the date hereof in connection with the transactions contemplated by the Loan Documents was, at the respective times of such signing and delivery, and is now, duly elected or appointed, qualified and acting as such trustee or officer, and the signatures of such persons appearing on such instruments, agreements or documents are their genuine signatures.</w:t>
      </w:r>
    </w:p>
    <w:p>
      <w:pPr>
        <w:spacing w:after="0" w:line="112" w:lineRule="exact"/>
        <w:rPr>
          <w:rFonts w:ascii="Arial" w:cs="Arial" w:eastAsia="Arial" w:hAnsi="Arial"/>
          <w:sz w:val="16"/>
          <w:szCs w:val="16"/>
          <w:color w:val="auto"/>
        </w:rPr>
      </w:pPr>
    </w:p>
    <w:p>
      <w:pPr>
        <w:ind w:firstLine="464"/>
        <w:spacing w:after="0" w:line="268" w:lineRule="auto"/>
        <w:tabs>
          <w:tab w:leader="none" w:pos="63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There are no agreements or understandings of the Company, written or oral, and there is no usage of trade or course of prior dealing of the Company that would, in either case, define, supplement, modify, limit or qualify the terms of the Loan Documents.</w:t>
      </w:r>
    </w:p>
    <w:p>
      <w:pPr>
        <w:spacing w:after="0" w:line="131" w:lineRule="exact"/>
        <w:rPr>
          <w:rFonts w:ascii="Arial" w:cs="Arial" w:eastAsia="Arial" w:hAnsi="Arial"/>
          <w:sz w:val="18"/>
          <w:szCs w:val="18"/>
          <w:color w:val="auto"/>
        </w:rPr>
      </w:pPr>
    </w:p>
    <w:p>
      <w:pPr>
        <w:ind w:right="540" w:firstLine="464"/>
        <w:spacing w:after="0" w:line="268" w:lineRule="auto"/>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as disclosed in the Loan Documents or as otherwise communicated in writing to Lender, execution and delivery by the Company of, and performance of its agreements in, the Loan Documents: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do not violate the organizational documents of the Company;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do not violate any existing federal or Relevant State constitution, statute, regulation, rule, order or law;</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do not breach or violate or constitute a default under any agreement to which the Company is a party;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do not create or impose a lien or security interest in, on or against the assets of the Company.</w:t>
      </w:r>
    </w:p>
    <w:p>
      <w:pPr>
        <w:spacing w:after="0" w:line="171" w:lineRule="exact"/>
        <w:rPr>
          <w:rFonts w:ascii="Arial" w:cs="Arial" w:eastAsia="Arial" w:hAnsi="Arial"/>
          <w:sz w:val="18"/>
          <w:szCs w:val="18"/>
          <w:color w:val="auto"/>
        </w:rPr>
      </w:pPr>
    </w:p>
    <w:p>
      <w:pPr>
        <w:ind w:right="140" w:firstLine="464"/>
        <w:spacing w:after="0" w:line="306" w:lineRule="auto"/>
        <w:tabs>
          <w:tab w:leader="none" w:pos="71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There are no actions, proceedings or investigations pending or threatened against the Company before any court or any governmental authority which could reasonably be expected to have a Material Adverse Effect (as defined in the Credit Agreement) on the validity or enforceability of any of me Loan Documents.</w:t>
      </w:r>
    </w:p>
    <w:p>
      <w:pPr>
        <w:spacing w:after="0" w:line="106" w:lineRule="exact"/>
        <w:rPr>
          <w:rFonts w:ascii="Arial" w:cs="Arial" w:eastAsia="Arial" w:hAnsi="Arial"/>
          <w:sz w:val="16"/>
          <w:szCs w:val="16"/>
          <w:color w:val="auto"/>
        </w:rPr>
      </w:pPr>
    </w:p>
    <w:p>
      <w:pPr>
        <w:jc w:val="both"/>
        <w:ind w:right="440" w:firstLine="464"/>
        <w:spacing w:after="0" w:line="259" w:lineRule="auto"/>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is not, and, after giving effect to any Loan Documents, will not be, engaged in any activity which is subject to regulation under the Federal Power Act or the Investment Company Act of 1940 or to any other federal or state statute or regulation limiting its ability to incur indebtedness for borrowed money.</w:t>
      </w:r>
    </w:p>
    <w:p>
      <w:pPr>
        <w:spacing w:after="0" w:line="140" w:lineRule="exact"/>
        <w:rPr>
          <w:rFonts w:ascii="Arial" w:cs="Arial" w:eastAsia="Arial" w:hAnsi="Arial"/>
          <w:sz w:val="18"/>
          <w:szCs w:val="18"/>
          <w:color w:val="auto"/>
        </w:rPr>
      </w:pPr>
    </w:p>
    <w:p>
      <w:pPr>
        <w:ind w:firstLine="464"/>
        <w:spacing w:after="0" w:line="256" w:lineRule="auto"/>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None of the proceeds of the Loan will be used for personal, family, household or agricultural use, and such proceeds shall be used solely for the general corporate purposes of the Company. No part of the proceeds of any Loan or Letter of Credit will be used for the purpose of buying or carrying “margin stock” within the meaning of Regulation U of the Board of Governors of the Federal Reserve System or to extend credit to others for the purpose of purchasing or carrying any such margin stock.</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This certificate may be relied upon by Pillsbury Winthrop Shaw Pittman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M-17</w:t>
      </w:r>
    </w:p>
    <w:p>
      <w:pPr>
        <w:sectPr>
          <w:pgSz w:w="11900" w:h="16838" w:orient="portrait"/>
          <w:cols w:equalWidth="0" w:num="1">
            <w:col w:w="11380"/>
          </w:cols>
          <w:pgMar w:left="240" w:top="274" w:right="27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FOLLOWS]</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M-18</w:t>
      </w:r>
    </w:p>
    <w:p>
      <w:pPr>
        <w:sectPr>
          <w:pgSz w:w="11900" w:h="16838" w:orient="portrait"/>
          <w:cols w:equalWidth="0" w:num="1">
            <w:col w:w="9019"/>
          </w:cols>
          <w:pgMar w:left="1440" w:top="280" w:right="1440" w:bottom="1440" w:gutter="0" w:footer="0" w:header="0"/>
          <w:type w:val="continuous"/>
        </w:sectPr>
      </w:pPr>
    </w:p>
    <w:bookmarkStart w:id="229" w:name="page230"/>
    <w:bookmarkEnd w:id="2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signed her name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431165</wp:posOffset>
            </wp:positionV>
            <wp:extent cx="289877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As Executive Vice President-General Counsel &amp; Secretary of</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Trust</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 Jeffrey S. Berkes, hereby certify that I am now the duly elected, qualified and acting Executive Vice President-Chief Investment Officer of the Trust, that the person executing and delivering the foregoing Certificate is the duly elected, qualified and acting Executive Vice President-General Counsel and Secretary of the Trust, and the signature set forth above such person's name is such person</w:t>
      </w:r>
      <w:r>
        <w:rPr>
          <w:rFonts w:ascii="Arial" w:cs="Arial" w:eastAsia="Arial" w:hAnsi="Arial"/>
          <w:sz w:val="16"/>
          <w:szCs w:val="16"/>
          <w:b w:val="1"/>
          <w:bCs w:val="1"/>
          <w:i w:val="1"/>
          <w:iCs w:val="1"/>
          <w:color w:val="auto"/>
        </w:rPr>
        <w:t>’</w:t>
      </w:r>
      <w:r>
        <w:rPr>
          <w:rFonts w:ascii="Arial" w:cs="Arial" w:eastAsia="Arial" w:hAnsi="Arial"/>
          <w:sz w:val="16"/>
          <w:szCs w:val="16"/>
          <w:color w:val="auto"/>
        </w:rPr>
        <w:t>s correct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390525</wp:posOffset>
            </wp:positionV>
            <wp:extent cx="28987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S. Berkes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As Executive Vice President-Chief Investment Officer of the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M-19</w:t>
      </w:r>
    </w:p>
    <w:p>
      <w:pPr>
        <w:sectPr>
          <w:pgSz w:w="11900" w:h="16838" w:orient="portrait"/>
          <w:cols w:equalWidth="0" w:num="1">
            <w:col w:w="11360"/>
          </w:cols>
          <w:pgMar w:left="240" w:top="280" w:right="299" w:bottom="1440" w:gutter="0" w:footer="0" w:header="0"/>
        </w:sectPr>
      </w:pPr>
    </w:p>
    <w:bookmarkStart w:id="230" w:name="page231"/>
    <w:bookmarkEnd w:id="230"/>
    <w:p>
      <w:pPr>
        <w:jc w:val="center"/>
        <w:ind w:right="-1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to Client Certificate of Borrower</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Guarantors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FR Associates Limited Partnership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Berman Enterprises II Limited Partnership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Governor Plaza Associates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Andorra Associates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Shopping Center Associates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 Pike 7 Limited Partnership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FRIT Leasing &amp; Development Services,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FRIT Santana Row TRS,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 Sturtevant Street,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 Sturtevant Street,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 Assembly Square,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 Westgate Mall,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 Westgate Mall,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Street Retail,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Jose Residential,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Street Retail Forest Hills I,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Street Retail Forest Hills II,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SRI Old Town,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Partners,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Partners L.P.</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M-20</w:t>
      </w:r>
    </w:p>
    <w:p>
      <w:pPr>
        <w:sectPr>
          <w:pgSz w:w="11900" w:h="16838" w:orient="portrait"/>
          <w:cols w:equalWidth="0" w:num="1">
            <w:col w:w="10219"/>
          </w:cols>
          <w:pgMar w:left="240" w:top="274" w:right="1440"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FRLP,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GP,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I,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II,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3,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6,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10,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SRI San Antonio, Inc. (f/k/a Dim Sum,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Street Retail San Antonio,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SRI Texas, Inc.</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M-21</w:t>
      </w:r>
    </w:p>
    <w:p>
      <w:pPr>
        <w:sectPr>
          <w:pgSz w:w="11900" w:h="16838" w:orient="portrait"/>
          <w:cols w:equalWidth="0" w:num="1">
            <w:col w:w="10219"/>
          </w:cols>
          <w:pgMar w:left="240" w:top="280" w:right="1440" w:bottom="1440" w:gutter="0" w:footer="0" w:header="0"/>
        </w:sectPr>
      </w:pPr>
    </w:p>
    <w:bookmarkStart w:id="232" w:name="page233"/>
    <w:bookmarkEnd w:id="232"/>
    <w:p>
      <w:pPr>
        <w:jc w:val="center"/>
        <w:ind w:right="-1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to Client Certificate of Borrower</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M-22</w:t>
      </w:r>
    </w:p>
    <w:p>
      <w:pPr>
        <w:sectPr>
          <w:pgSz w:w="11900" w:h="16838" w:orient="portrait"/>
          <w:cols w:equalWidth="0" w:num="1">
            <w:col w:w="10219"/>
          </w:cols>
          <w:pgMar w:left="240" w:top="274" w:right="1440" w:bottom="1440" w:gutter="0" w:footer="0" w:header="0"/>
        </w:sectPr>
      </w:pPr>
    </w:p>
    <w:bookmarkStart w:id="233" w:name="page234"/>
    <w:bookmarkEnd w:id="2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Client Certificate of Guarantors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This Client Certificate is being executed and delivered in connection with, and is attached to, a legal opinion letter being rendered by Pillsbury Winthrop Shaw Pittman LLP in connection with a Credit Agreement (the </w:t>
      </w:r>
      <w:r>
        <w:rPr>
          <w:rFonts w:ascii="Arial" w:cs="Arial" w:eastAsia="Arial" w:hAnsi="Arial"/>
          <w:sz w:val="16"/>
          <w:szCs w:val="16"/>
          <w:b w:val="1"/>
          <w:bCs w:val="1"/>
          <w:color w:val="auto"/>
        </w:rPr>
        <w:t>“Credit Agreement”</w:t>
      </w:r>
      <w:r>
        <w:rPr>
          <w:rFonts w:ascii="Arial" w:cs="Arial" w:eastAsia="Arial" w:hAnsi="Arial"/>
          <w:sz w:val="16"/>
          <w:szCs w:val="16"/>
          <w:color w:val="auto"/>
        </w:rPr>
        <w:t xml:space="preserve">) dated as of July 28, 2006, by and among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the financial institutions party thereto (the </w:t>
      </w:r>
      <w:r>
        <w:rPr>
          <w:rFonts w:ascii="Arial" w:cs="Arial" w:eastAsia="Arial" w:hAnsi="Arial"/>
          <w:sz w:val="16"/>
          <w:szCs w:val="16"/>
          <w:b w:val="1"/>
          <w:bCs w:val="1"/>
          <w:color w:val="auto"/>
        </w:rPr>
        <w:t>“Lenders”</w:t>
      </w:r>
      <w:r>
        <w:rPr>
          <w:rFonts w:ascii="Arial" w:cs="Arial" w:eastAsia="Arial" w:hAnsi="Arial"/>
          <w:sz w:val="16"/>
          <w:szCs w:val="16"/>
          <w:color w:val="auto"/>
        </w:rPr>
        <w:t xml:space="preserve">), Wachovia Bank, National Association, as Agent (the </w:t>
      </w:r>
      <w:r>
        <w:rPr>
          <w:rFonts w:ascii="Arial" w:cs="Arial" w:eastAsia="Arial" w:hAnsi="Arial"/>
          <w:sz w:val="16"/>
          <w:szCs w:val="16"/>
          <w:b w:val="1"/>
          <w:bCs w:val="1"/>
          <w:color w:val="auto"/>
        </w:rPr>
        <w:t>“Agent”</w:t>
      </w:r>
      <w:r>
        <w:rPr>
          <w:rFonts w:ascii="Arial" w:cs="Arial" w:eastAsia="Arial" w:hAnsi="Arial"/>
          <w:sz w:val="16"/>
          <w:szCs w:val="16"/>
          <w:color w:val="auto"/>
        </w:rPr>
        <w:t xml:space="preserve">), and the other parties thereto, and guaranteed by the entities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(collectively, </w:t>
      </w:r>
      <w:r>
        <w:rPr>
          <w:rFonts w:ascii="Arial" w:cs="Arial" w:eastAsia="Arial" w:hAnsi="Arial"/>
          <w:sz w:val="16"/>
          <w:szCs w:val="16"/>
          <w:b w:val="1"/>
          <w:bCs w:val="1"/>
          <w:color w:val="auto"/>
        </w:rPr>
        <w:t>“Guarantors”</w:t>
      </w:r>
      <w:r>
        <w:rPr>
          <w:rFonts w:ascii="Arial" w:cs="Arial" w:eastAsia="Arial" w:hAnsi="Arial"/>
          <w:sz w:val="16"/>
          <w:szCs w:val="16"/>
          <w:color w:val="auto"/>
        </w:rPr>
        <w:t>). Terms used herein but not defined shall have the meanings ascribed to them in the Loan Documents (as defined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certify that:</w:t>
      </w:r>
    </w:p>
    <w:p>
      <w:pPr>
        <w:spacing w:after="0" w:line="165" w:lineRule="exact"/>
        <w:rPr>
          <w:sz w:val="20"/>
          <w:szCs w:val="20"/>
          <w:color w:val="auto"/>
        </w:rPr>
      </w:pPr>
    </w:p>
    <w:p>
      <w:pPr>
        <w:ind w:right="20" w:firstLine="464"/>
        <w:spacing w:after="0" w:line="256" w:lineRule="auto"/>
        <w:tabs>
          <w:tab w:leader="none" w:pos="63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The documents attached to the certificates from the Guarantors (the </w:t>
      </w:r>
      <w:r>
        <w:rPr>
          <w:rFonts w:ascii="Arial" w:cs="Arial" w:eastAsia="Arial" w:hAnsi="Arial"/>
          <w:sz w:val="18"/>
          <w:szCs w:val="18"/>
          <w:b w:val="1"/>
          <w:bCs w:val="1"/>
          <w:color w:val="auto"/>
        </w:rPr>
        <w:t>“Guarantor Certificates”</w:t>
      </w:r>
      <w:r>
        <w:rPr>
          <w:rFonts w:ascii="Arial" w:cs="Arial" w:eastAsia="Arial" w:hAnsi="Arial"/>
          <w:sz w:val="18"/>
          <w:szCs w:val="18"/>
          <w:color w:val="auto"/>
        </w:rPr>
        <w:t xml:space="preserve">) which were delivered to Pillsbury Winthrop Shaw Pittman in connection with closing the Credit Agreement (collectively, the </w:t>
      </w:r>
      <w:r>
        <w:rPr>
          <w:rFonts w:ascii="Arial" w:cs="Arial" w:eastAsia="Arial" w:hAnsi="Arial"/>
          <w:sz w:val="18"/>
          <w:szCs w:val="18"/>
          <w:b w:val="1"/>
          <w:bCs w:val="1"/>
          <w:color w:val="auto"/>
        </w:rPr>
        <w:t>“Charter Documents”</w:t>
      </w:r>
      <w:r>
        <w:rPr>
          <w:rFonts w:ascii="Arial" w:cs="Arial" w:eastAsia="Arial" w:hAnsi="Arial"/>
          <w:sz w:val="18"/>
          <w:szCs w:val="18"/>
          <w:color w:val="auto"/>
        </w:rPr>
        <w:t>) are all of the organizational documents of the Guarantors, and each such document (i) has been in full force and effect since the date such document was certified by its respective state of organization and (ii) remains in full force and effect on the date hereof. True and complete copies of all of the Charter Documents, including any amendments thereto, have been delivered to Pillsbury Winthrop Shaw Pittman LLP by the Guarantors.</w:t>
      </w:r>
    </w:p>
    <w:p>
      <w:pPr>
        <w:spacing w:after="0" w:line="144" w:lineRule="exact"/>
        <w:rPr>
          <w:rFonts w:ascii="Arial" w:cs="Arial" w:eastAsia="Arial" w:hAnsi="Arial"/>
          <w:sz w:val="18"/>
          <w:szCs w:val="18"/>
          <w:color w:val="auto"/>
        </w:rPr>
      </w:pPr>
    </w:p>
    <w:p>
      <w:pPr>
        <w:ind w:firstLine="464"/>
        <w:spacing w:after="0" w:line="259" w:lineRule="auto"/>
        <w:tabs>
          <w:tab w:leader="none" w:pos="63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amendment or modification has been authorized or filed by the Guarantors affecting the Charter Documents, and no steps have been taken by the officers, directors, managers, members or shareholders of the Guarantors to authorize or effect any such amendment or modification except for those amendments or modifications included in the Charter Documents.</w:t>
      </w:r>
    </w:p>
    <w:p>
      <w:pPr>
        <w:spacing w:after="0" w:line="140"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of the Guarantors are duly authorized to transact business and are in good standing in the jurisdictions in which the Guarantors are organized and/or transact business.</w:t>
      </w:r>
    </w:p>
    <w:p>
      <w:pPr>
        <w:spacing w:after="0" w:line="131" w:lineRule="exact"/>
        <w:rPr>
          <w:rFonts w:ascii="Arial" w:cs="Arial" w:eastAsia="Arial" w:hAnsi="Arial"/>
          <w:sz w:val="18"/>
          <w:szCs w:val="18"/>
          <w:color w:val="auto"/>
        </w:rPr>
      </w:pPr>
    </w:p>
    <w:p>
      <w:pPr>
        <w:ind w:firstLine="464"/>
        <w:spacing w:after="0" w:line="259" w:lineRule="auto"/>
        <w:tabs>
          <w:tab w:leader="none" w:pos="63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proceedings looking toward bankruptcy, liquidation, dissolution, merger, consolidation or sale of all or substantially all of the assets or businesses of the Guarantors have been taken or are pending, nor have the officers, directors, managers, members or shareholders of the Guarantors taken any steps to authorize or effect any of the foregoing proceedings.</w:t>
      </w:r>
    </w:p>
    <w:p>
      <w:pPr>
        <w:spacing w:after="0" w:line="140" w:lineRule="exact"/>
        <w:rPr>
          <w:rFonts w:ascii="Arial" w:cs="Arial" w:eastAsia="Arial" w:hAnsi="Arial"/>
          <w:sz w:val="18"/>
          <w:szCs w:val="18"/>
          <w:color w:val="auto"/>
        </w:rPr>
      </w:pPr>
    </w:p>
    <w:p>
      <w:pPr>
        <w:ind w:right="80" w:firstLine="464"/>
        <w:spacing w:after="0" w:line="259" w:lineRule="auto"/>
        <w:tabs>
          <w:tab w:leader="none" w:pos="63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minute books and records relating to proceedings of the board of directors (including any committees thereof, shareholders, partners or members of the Guarantors and their subsidiaries) and shareholders of the Guarantors and their subsidiaries, where appropriate, made available to Pillsbury Winthrop Shaw Pittman LLP are true and complete and constitute records of all such proceedings held to date.</w:t>
      </w:r>
    </w:p>
    <w:p>
      <w:pPr>
        <w:spacing w:after="0" w:line="140" w:lineRule="exact"/>
        <w:rPr>
          <w:rFonts w:ascii="Arial" w:cs="Arial" w:eastAsia="Arial" w:hAnsi="Arial"/>
          <w:sz w:val="18"/>
          <w:szCs w:val="18"/>
          <w:color w:val="auto"/>
        </w:rPr>
      </w:pPr>
    </w:p>
    <w:p>
      <w:pPr>
        <w:ind w:right="340" w:firstLine="464"/>
        <w:spacing w:after="0" w:line="259" w:lineRule="auto"/>
        <w:tabs>
          <w:tab w:leader="none" w:pos="63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Attached to the Guarantor Certificates are the resolutions or consents, as applicable, of the general partners, managers or boards of directors of the Guarantors dated July 20, 2006 (collectively, the </w:t>
      </w:r>
      <w:r>
        <w:rPr>
          <w:rFonts w:ascii="Arial" w:cs="Arial" w:eastAsia="Arial" w:hAnsi="Arial"/>
          <w:sz w:val="18"/>
          <w:szCs w:val="18"/>
          <w:b w:val="1"/>
          <w:bCs w:val="1"/>
          <w:color w:val="auto"/>
        </w:rPr>
        <w:t>“Resolutions”</w:t>
      </w:r>
      <w:r>
        <w:rPr>
          <w:rFonts w:ascii="Arial" w:cs="Arial" w:eastAsia="Arial" w:hAnsi="Arial"/>
          <w:sz w:val="18"/>
          <w:szCs w:val="18"/>
          <w:color w:val="auto"/>
        </w:rPr>
        <w:t>); the Resolutions constitute all resolutions or consents, as applicable, of the general partners, managers or boards of directors of the Guarantors adopted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M-23</w:t>
      </w:r>
    </w:p>
    <w:p>
      <w:pPr>
        <w:sectPr>
          <w:pgSz w:w="11900" w:h="16838" w:orient="portrait"/>
          <w:cols w:equalWidth="0" w:num="1">
            <w:col w:w="11400"/>
          </w:cols>
          <w:pgMar w:left="240" w:top="274" w:right="259" w:bottom="1440" w:gutter="0" w:footer="0" w:header="0"/>
        </w:sectPr>
      </w:pPr>
    </w:p>
    <w:bookmarkStart w:id="234" w:name="page235"/>
    <w:bookmarkEnd w:id="234"/>
    <w:p>
      <w:pPr>
        <w:ind w:right="1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the Credit Agreement, Notes and Guaranty (the “</w:t>
      </w:r>
      <w:r>
        <w:rPr>
          <w:rFonts w:ascii="Arial" w:cs="Arial" w:eastAsia="Arial" w:hAnsi="Arial"/>
          <w:sz w:val="18"/>
          <w:szCs w:val="18"/>
          <w:b w:val="1"/>
          <w:bCs w:val="1"/>
          <w:color w:val="auto"/>
        </w:rPr>
        <w:t>Loan Documents</w:t>
      </w:r>
      <w:r>
        <w:rPr>
          <w:rFonts w:ascii="Arial" w:cs="Arial" w:eastAsia="Arial" w:hAnsi="Arial"/>
          <w:sz w:val="18"/>
          <w:szCs w:val="18"/>
          <w:color w:val="auto"/>
        </w:rPr>
        <w:t>”). True and complete copies of all of the Resolutions have been delivered to Pillsbury Winthrop Shaw Pittman LLP by the Guarantors.</w:t>
      </w:r>
    </w:p>
    <w:p>
      <w:pPr>
        <w:spacing w:after="0" w:line="126" w:lineRule="exact"/>
        <w:rPr>
          <w:sz w:val="20"/>
          <w:szCs w:val="20"/>
          <w:color w:val="auto"/>
        </w:rPr>
      </w:pPr>
    </w:p>
    <w:p>
      <w:pPr>
        <w:ind w:right="40" w:firstLine="464"/>
        <w:spacing w:after="0" w:line="298" w:lineRule="auto"/>
        <w:tabs>
          <w:tab w:leader="none" w:pos="63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Each person who, as a director or officer of the Guarantors or attorney-in-fact of such director or officer, signed the Loan Documents or any other instrument, agreement or document delivered prior hereto or on the date hereof in connection with the transactions contemplated by the Loan Documents was, at the respective times of such signing and delivery, and is now, duly elected or appointed, qualified and acting as such director or officer or duly appointed and acting as such attorney-in-fact, and the signatures of such persons appearing on such instruments, agreements or documents are their genuine signatures.</w:t>
      </w:r>
    </w:p>
    <w:p>
      <w:pPr>
        <w:spacing w:after="0" w:line="112" w:lineRule="exact"/>
        <w:rPr>
          <w:rFonts w:ascii="Arial" w:cs="Arial" w:eastAsia="Arial" w:hAnsi="Arial"/>
          <w:sz w:val="16"/>
          <w:szCs w:val="16"/>
          <w:color w:val="auto"/>
        </w:rPr>
      </w:pPr>
    </w:p>
    <w:p>
      <w:pPr>
        <w:ind w:right="60" w:firstLine="464"/>
        <w:spacing w:after="0" w:line="268" w:lineRule="auto"/>
        <w:tabs>
          <w:tab w:leader="none" w:pos="63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There are no agreements or understandings of the Guarantors, written or oral, and there is no usage of trade or course of prior dealing of the Guarantors that would, in either case, define, supplement, modify, limit or qualify the terms of the Loan Documents.</w:t>
      </w:r>
    </w:p>
    <w:p>
      <w:pPr>
        <w:spacing w:after="0" w:line="131" w:lineRule="exact"/>
        <w:rPr>
          <w:rFonts w:ascii="Arial" w:cs="Arial" w:eastAsia="Arial" w:hAnsi="Arial"/>
          <w:sz w:val="18"/>
          <w:szCs w:val="18"/>
          <w:color w:val="auto"/>
        </w:rPr>
      </w:pPr>
    </w:p>
    <w:p>
      <w:pPr>
        <w:ind w:right="480" w:firstLine="464"/>
        <w:spacing w:after="0" w:line="268" w:lineRule="auto"/>
        <w:tabs>
          <w:tab w:leader="none" w:pos="63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Except as disclosed in the Loan Documents or as otherwise communicated in writing to Lender, execution and delivery by the Guarantors of, and performance of their agreements in, the Loan Documents: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do not violate the organizational documents of the Guarantors;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do not violate any existing federal or Relevant State constitution, statute, regulation, rule, order or law;</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do not breach or violate or constitute a default under any agreement to which the Company is a party;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do not create or impose a lien or security interest in, on or against the assets of the Company.</w:t>
      </w:r>
    </w:p>
    <w:p>
      <w:pPr>
        <w:spacing w:after="0" w:line="171" w:lineRule="exact"/>
        <w:rPr>
          <w:rFonts w:ascii="Arial" w:cs="Arial" w:eastAsia="Arial" w:hAnsi="Arial"/>
          <w:sz w:val="18"/>
          <w:szCs w:val="18"/>
          <w:color w:val="auto"/>
        </w:rPr>
      </w:pPr>
    </w:p>
    <w:p>
      <w:pPr>
        <w:ind w:firstLine="464"/>
        <w:spacing w:after="0" w:line="259" w:lineRule="auto"/>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There are no actions, proceedings or investigations pending or threatened against the Guarantors before any court or any governmental authority which could reasonably be expected to have a Material Adverse Effect (as defined in the Credit Agreement) on the validity or enforceability of any of the Loan Documents.</w:t>
      </w:r>
    </w:p>
    <w:p>
      <w:pPr>
        <w:spacing w:after="0" w:line="140" w:lineRule="exact"/>
        <w:rPr>
          <w:rFonts w:ascii="Arial" w:cs="Arial" w:eastAsia="Arial" w:hAnsi="Arial"/>
          <w:sz w:val="18"/>
          <w:szCs w:val="18"/>
          <w:color w:val="auto"/>
        </w:rPr>
      </w:pPr>
    </w:p>
    <w:p>
      <w:pPr>
        <w:ind w:right="220" w:firstLine="464"/>
        <w:spacing w:after="0" w:line="306" w:lineRule="auto"/>
        <w:tabs>
          <w:tab w:leader="none" w:pos="71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Guarantors are not, and, after giving effect to any Loan Documents, will not be, engaged in any activity which is subject to regulation under the Federal Power Act or the Investment Company Act of 1940 or to any other federal or state statute or regulation limiting its ability to incur indebtedness for borrowed money or to guarantee the Obligations pursuant to the Guaranty.</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This certificate may be relied upon by Pillsbury Winthrop Shaw Pittman LLP.</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M-24</w:t>
      </w:r>
    </w:p>
    <w:p>
      <w:pPr>
        <w:sectPr>
          <w:pgSz w:w="11900" w:h="16838" w:orient="portrait"/>
          <w:cols w:equalWidth="0" w:num="1">
            <w:col w:w="11340"/>
          </w:cols>
          <w:pgMar w:left="240" w:top="274" w:right="319" w:bottom="1440" w:gutter="0" w:footer="0" w:header="0"/>
        </w:sectPr>
      </w:pPr>
    </w:p>
    <w:bookmarkStart w:id="235" w:name="page236"/>
    <w:bookmarkEnd w:id="23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signed her name as of the date first above written.</w:t>
      </w:r>
    </w:p>
    <w:p>
      <w:pPr>
        <w:sectPr>
          <w:pgSz w:w="11900" w:h="16838" w:orient="portrait"/>
          <w:cols w:equalWidth="0" w:num="1">
            <w:col w:w="9759"/>
          </w:cols>
          <w:pgMar w:left="700" w:top="280" w:right="1440" w:bottom="1440" w:gutter="0" w:footer="0" w:header="0"/>
        </w:sectPr>
      </w:pPr>
    </w:p>
    <w:p>
      <w:pPr>
        <w:spacing w:after="0" w:line="24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STREET RETAIL, INC.</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STREET RETAIL WEST GP,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FRLP,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FEDERAL REALTY PARTNERS,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SAN JOSE RESIDENTIAL,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FR STURTEVANT STREET,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FRIT SANTANA ROW TRS,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FRIT LEASING &amp; DEVELOPMENT SERVICES,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FR WESTGATE MALL,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SRI SAN ANTONIO,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SRI TEXAS, INC.</w:t>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FEDERAL REALTY PARTNERS L.P.</w:t>
      </w:r>
    </w:p>
    <w:p>
      <w:pPr>
        <w:spacing w:after="0" w:line="21" w:lineRule="exact"/>
        <w:rPr>
          <w:sz w:val="20"/>
          <w:szCs w:val="20"/>
          <w:color w:val="auto"/>
        </w:rPr>
      </w:pPr>
    </w:p>
    <w:p>
      <w:pPr>
        <w:ind w:left="1920"/>
        <w:spacing w:after="0"/>
        <w:tabs>
          <w:tab w:leader="none" w:pos="2380" w:val="left"/>
        </w:tabs>
        <w:rPr>
          <w:sz w:val="20"/>
          <w:szCs w:val="20"/>
          <w:color w:val="auto"/>
        </w:rPr>
      </w:pPr>
      <w:r>
        <w:rPr>
          <w:rFonts w:ascii="Arial" w:cs="Arial" w:eastAsia="Arial" w:hAnsi="Arial"/>
          <w:sz w:val="16"/>
          <w:szCs w:val="16"/>
          <w:color w:val="auto"/>
        </w:rPr>
        <w:t>By:</w:t>
        <w:tab/>
        <w:t>Federal Realty Partners, Inc., as sole general partner</w:t>
      </w:r>
    </w:p>
    <w:p>
      <w:pPr>
        <w:spacing w:after="0" w:line="23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FRIT SAN JOSE TOWN AND COUNTRY VILLAGE, LLC</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STREET RETAIL FOREST HILLS I,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STREET RETAIL FOREST HILLS II,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SRI OLD TOWN, LLC</w:t>
      </w:r>
    </w:p>
    <w:p>
      <w:pPr>
        <w:spacing w:after="0" w:line="9" w:lineRule="exact"/>
        <w:rPr>
          <w:sz w:val="20"/>
          <w:szCs w:val="20"/>
          <w:color w:val="auto"/>
        </w:rPr>
      </w:pPr>
    </w:p>
    <w:p>
      <w:pPr>
        <w:ind w:left="1920"/>
        <w:spacing w:after="0"/>
        <w:tabs>
          <w:tab w:leader="none" w:pos="2380" w:val="left"/>
        </w:tabs>
        <w:rPr>
          <w:sz w:val="20"/>
          <w:szCs w:val="20"/>
          <w:color w:val="auto"/>
        </w:rPr>
      </w:pPr>
      <w:r>
        <w:rPr>
          <w:rFonts w:ascii="Arial" w:cs="Arial" w:eastAsia="Arial" w:hAnsi="Arial"/>
          <w:sz w:val="18"/>
          <w:szCs w:val="18"/>
          <w:b w:val="1"/>
          <w:bCs w:val="1"/>
          <w:color w:val="auto"/>
        </w:rPr>
        <w:t>By:</w:t>
        <w:tab/>
        <w:t>Street Retail, Inc., as sole member</w:t>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STREET RETAIL WEST I, L.P.</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STREET RETAIL WEST II, L.P.</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STREET RETAIL WEST 3, L.P.</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STREET RETAIL WEST 6, L.P.</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STREET RETAIL WEST 10, L.P.</w:t>
      </w:r>
    </w:p>
    <w:p>
      <w:pPr>
        <w:spacing w:after="0" w:line="9"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By:</w:t>
        <w:tab/>
        <w:t>Street Retail West GP, Inc., as majority general partner</w:t>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FR STURTEVANT STREET, LLC</w:t>
      </w:r>
    </w:p>
    <w:p>
      <w:pPr>
        <w:spacing w:after="0" w:line="21"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By:</w:t>
        <w:tab/>
        <w:t>FR Sturtevant Street, Inc., as sole member</w:t>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FR WESTGATE MALL, LLC</w:t>
      </w:r>
    </w:p>
    <w:p>
      <w:pPr>
        <w:spacing w:after="0" w:line="21"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By:</w:t>
        <w:tab/>
        <w:t>FR Westgate Mall, Inc., as sole member</w:t>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STREET RETAIL SAN ANTONIO, LP</w:t>
      </w:r>
    </w:p>
    <w:p>
      <w:pPr>
        <w:spacing w:after="0" w:line="21"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By:</w:t>
        <w:tab/>
        <w:t>SRI San Antonio, Inc., as sole general partner</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10795</wp:posOffset>
            </wp:positionV>
            <wp:extent cx="295021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ind w:left="1780"/>
        <w:spacing w:after="0"/>
        <w:tabs>
          <w:tab w:leader="none" w:pos="2320" w:val="left"/>
        </w:tabs>
        <w:rPr>
          <w:sz w:val="20"/>
          <w:szCs w:val="20"/>
          <w:color w:val="auto"/>
        </w:rPr>
      </w:pPr>
      <w:r>
        <w:rPr>
          <w:rFonts w:ascii="Arial" w:cs="Arial" w:eastAsia="Arial" w:hAnsi="Arial"/>
          <w:sz w:val="15"/>
          <w:szCs w:val="15"/>
          <w:color w:val="auto"/>
        </w:rPr>
        <w:t>Title:</w:t>
        <w:tab/>
        <w:t>Executive Vice President-General Counsel and Secretary</w:t>
      </w:r>
    </w:p>
    <w:p>
      <w:pPr>
        <w:spacing w:after="0" w:line="18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M-25</w:t>
      </w:r>
    </w:p>
    <w:p>
      <w:pPr>
        <w:sectPr>
          <w:pgSz w:w="11900" w:h="16838" w:orient="portrait"/>
          <w:cols w:equalWidth="0" w:num="1">
            <w:col w:w="9759"/>
          </w:cols>
          <w:pgMar w:left="700" w:top="280" w:right="1440" w:bottom="1440" w:gutter="0" w:footer="0" w:header="0"/>
          <w:type w:val="continuous"/>
        </w:sectPr>
      </w:pPr>
    </w:p>
    <w:bookmarkStart w:id="236" w:name="page237"/>
    <w:bookmarkEnd w:id="236"/>
    <w:p>
      <w:pPr>
        <w:ind w:left="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 ASSOCIATES LIMITED PARTNERSHIP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BERMAN ENTERPRISES II LIMITED PARTNERSHIP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ANDORRA ASSOCIATES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SHOPPING CENTER ASSOCIATES</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FR PIKE 7 LIMITED PARTNERSHIP</w:t>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By: Federal Realty Investment Trust, as sole general partner</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GOVERNOR PLAZA ASSOCIATES</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By: Federal Realty Investment Trust, as majority general partner</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FR ASSEMBLY SQUARE, LLC</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By: Federal Realty Investment Trust, as sole member</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10795</wp:posOffset>
            </wp:positionV>
            <wp:extent cx="30956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6"/>
          <w:szCs w:val="16"/>
          <w:color w:val="auto"/>
        </w:rPr>
        <w:t>Title:</w:t>
        <w:tab/>
        <w:t>Executive Vice President-General Counsel and Secretary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M-26</w:t>
      </w:r>
    </w:p>
    <w:p>
      <w:pPr>
        <w:sectPr>
          <w:pgSz w:w="11900" w:h="16838" w:orient="portrait"/>
          <w:cols w:equalWidth="0" w:num="1">
            <w:col w:w="9019"/>
          </w:cols>
          <w:pgMar w:left="1440" w:top="274" w:right="1440" w:bottom="1440" w:gutter="0" w:footer="0" w:header="0"/>
        </w:sectPr>
      </w:pPr>
    </w:p>
    <w:bookmarkStart w:id="237" w:name="page238"/>
    <w:bookmarkEnd w:id="237"/>
    <w:p>
      <w:pPr>
        <w:jc w:val="center"/>
        <w:ind w:right="-1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Client Certificate of Guarantors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Guarantors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FR Associates Limited Partnership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Berman Enterprises II Limited Partnership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Governor Plaza Associates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Andorra Associates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Shopping Center Associates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 Pike 7 Limited Partnership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FRIT Leasing &amp; Development Services,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FRIT Santana Row TRS,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 Sturtevant Street,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 Sturtevant Street,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 Assembly Square,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 Westgate Mall,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 Westgate Mall,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Street Retail,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Residential,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Street Retail Forest Hills 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Street Retail Forest Hills 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SRI Old Town,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Partners, Inc.</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M-27</w:t>
      </w:r>
    </w:p>
    <w:p>
      <w:pPr>
        <w:sectPr>
          <w:pgSz w:w="11900" w:h="16838" w:orient="portrait"/>
          <w:cols w:equalWidth="0" w:num="1">
            <w:col w:w="10219"/>
          </w:cols>
          <w:pgMar w:left="240" w:top="274" w:right="1440"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Partners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FRLP,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GP,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I,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II,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3,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6,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10,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SRI San Antonio, Inc. (f/k/a Dim Sum,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Street Retail San Antonio,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SRI Texas, Inc.</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M-28</w:t>
      </w:r>
    </w:p>
    <w:p>
      <w:pPr>
        <w:sectPr>
          <w:pgSz w:w="11900" w:h="16838" w:orient="portrait"/>
          <w:cols w:equalWidth="0" w:num="1">
            <w:col w:w="10219"/>
          </w:cols>
          <w:pgMar w:left="240" w:top="280" w:right="1440" w:bottom="1440" w:gutter="0" w:footer="0" w:header="0"/>
        </w:sectPr>
      </w:pPr>
    </w:p>
    <w:bookmarkStart w:id="239" w:name="page240"/>
    <w:bookmarkEnd w:id="239"/>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N</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COMPLIANCE CERTIFICATE</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Each of the Lenders Party to the Credit Agreement referred to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8.3. of the Credit Agreement, the undersigned hereby certifies to the Agent and the Lenders, in his or her capacity as an officer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and not in his or her individual capacity, as follows:</w:t>
      </w:r>
    </w:p>
    <w:p>
      <w:pPr>
        <w:spacing w:after="0" w:line="165"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color w:val="auto"/>
        </w:rPr>
        <w:t>(1) The undersigned is the</w:t>
      </w:r>
      <w:r>
        <w:rPr>
          <w:sz w:val="20"/>
          <w:szCs w:val="20"/>
          <w:color w:val="auto"/>
        </w:rPr>
        <w:tab/>
      </w:r>
      <w:r>
        <w:rPr>
          <w:rFonts w:ascii="Arial" w:cs="Arial" w:eastAsia="Arial" w:hAnsi="Arial"/>
          <w:sz w:val="16"/>
          <w:szCs w:val="16"/>
          <w:color w:val="auto"/>
        </w:rPr>
        <w:t>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-13970</wp:posOffset>
            </wp:positionV>
            <wp:extent cx="12541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151" w:lineRule="exact"/>
        <w:rPr>
          <w:sz w:val="20"/>
          <w:szCs w:val="20"/>
          <w:color w:val="auto"/>
        </w:rPr>
      </w:pPr>
    </w:p>
    <w:p>
      <w:pPr>
        <w:ind w:right="120" w:firstLine="464"/>
        <w:spacing w:after="0" w:line="268" w:lineRule="auto"/>
        <w:tabs>
          <w:tab w:leader="none" w:pos="7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undersigned has examined the books and records of the Borrower and has conducted such other examinations and investigations as are reasonably necessary to provide this Compliance Certificate.</w:t>
      </w:r>
    </w:p>
    <w:p>
      <w:pPr>
        <w:spacing w:after="0" w:line="131" w:lineRule="exact"/>
        <w:rPr>
          <w:rFonts w:ascii="Arial" w:cs="Arial" w:eastAsia="Arial" w:hAnsi="Arial"/>
          <w:sz w:val="18"/>
          <w:szCs w:val="18"/>
          <w:color w:val="auto"/>
        </w:rPr>
      </w:pPr>
    </w:p>
    <w:p>
      <w:pPr>
        <w:ind w:right="220" w:firstLine="464"/>
        <w:spacing w:after="0" w:line="259" w:lineRule="auto"/>
        <w:tabs>
          <w:tab w:leader="none" w:pos="70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To the best of the undersigned’s knowledge, information and belief after due inquiry, no Default or Event of Default exists </w:t>
      </w:r>
      <w:r>
        <w:rPr>
          <w:rFonts w:ascii="Arial" w:cs="Arial" w:eastAsia="Arial" w:hAnsi="Arial"/>
          <w:sz w:val="18"/>
          <w:szCs w:val="18"/>
          <w:i w:val="1"/>
          <w:iCs w:val="1"/>
          <w:color w:val="auto"/>
        </w:rPr>
        <w:t>[if such is not the case,</w:t>
      </w:r>
      <w:r>
        <w:rPr>
          <w:rFonts w:ascii="Arial" w:cs="Arial" w:eastAsia="Arial" w:hAnsi="Arial"/>
          <w:sz w:val="18"/>
          <w:szCs w:val="18"/>
          <w:color w:val="auto"/>
        </w:rPr>
        <w:t xml:space="preserve"> </w:t>
      </w:r>
      <w:r>
        <w:rPr>
          <w:rFonts w:ascii="Arial" w:cs="Arial" w:eastAsia="Arial" w:hAnsi="Arial"/>
          <w:sz w:val="18"/>
          <w:szCs w:val="18"/>
          <w:i w:val="1"/>
          <w:iCs w:val="1"/>
          <w:color w:val="auto"/>
        </w:rPr>
        <w:t>specify such Default or Event of Default and its nature, when it occurred and whether it is continuing and the steps being taken by the Borrower with respect to such event, condition or failure].</w:t>
      </w:r>
    </w:p>
    <w:p>
      <w:pPr>
        <w:spacing w:after="0" w:line="140" w:lineRule="exact"/>
        <w:rPr>
          <w:rFonts w:ascii="Arial" w:cs="Arial" w:eastAsia="Arial" w:hAnsi="Arial"/>
          <w:sz w:val="18"/>
          <w:szCs w:val="18"/>
          <w:color w:val="auto"/>
        </w:rPr>
      </w:pPr>
    </w:p>
    <w:p>
      <w:pPr>
        <w:jc w:val="both"/>
        <w:ind w:right="180" w:firstLine="464"/>
        <w:spacing w:after="0" w:line="335" w:lineRule="auto"/>
        <w:tabs>
          <w:tab w:leader="none" w:pos="705"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representations and warranties made or deemed made by the Borrower and the other Loan Parties in the Loan Documents to which any is a party, are true and correct in all material respects on and as of the date hereof except to the extent that such representations and warranties expressly relate solely to an earlier date (in which case such representations and warranties shall have been true and correct in all material respects on and as of such earlier date)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N-1</w:t>
      </w:r>
    </w:p>
    <w:p>
      <w:pPr>
        <w:sectPr>
          <w:pgSz w:w="11900" w:h="16838" w:orient="portrait"/>
          <w:cols w:equalWidth="0" w:num="1">
            <w:col w:w="11420"/>
          </w:cols>
          <w:pgMar w:left="240" w:top="280" w:right="239" w:bottom="1440" w:gutter="0" w:footer="0" w:header="0"/>
        </w:sectPr>
      </w:pPr>
    </w:p>
    <w:bookmarkStart w:id="240" w:name="page241"/>
    <w:bookmarkEnd w:id="24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except for changes in factual circumstances not prohibited under the Loan Documents </w:t>
      </w:r>
      <w:r>
        <w:rPr>
          <w:rFonts w:ascii="Arial" w:cs="Arial" w:eastAsia="Arial" w:hAnsi="Arial"/>
          <w:sz w:val="18"/>
          <w:szCs w:val="18"/>
          <w:i w:val="1"/>
          <w:iCs w:val="1"/>
          <w:color w:val="auto"/>
        </w:rPr>
        <w:t>[if such is not the case, specify which representation or warranty is not</w:t>
      </w:r>
      <w:r>
        <w:rPr>
          <w:rFonts w:ascii="Arial" w:cs="Arial" w:eastAsia="Arial" w:hAnsi="Arial"/>
          <w:sz w:val="18"/>
          <w:szCs w:val="18"/>
          <w:color w:val="auto"/>
        </w:rPr>
        <w:t xml:space="preserve"> </w:t>
      </w:r>
      <w:r>
        <w:rPr>
          <w:rFonts w:ascii="Arial" w:cs="Arial" w:eastAsia="Arial" w:hAnsi="Arial"/>
          <w:sz w:val="18"/>
          <w:szCs w:val="18"/>
          <w:i w:val="1"/>
          <w:iCs w:val="1"/>
          <w:color w:val="auto"/>
        </w:rPr>
        <w:t>true or correct and describe why that is the case].</w:t>
      </w:r>
    </w:p>
    <w:p>
      <w:pPr>
        <w:spacing w:after="0" w:line="132" w:lineRule="exact"/>
        <w:rPr>
          <w:sz w:val="20"/>
          <w:szCs w:val="20"/>
          <w:color w:val="auto"/>
        </w:rPr>
      </w:pPr>
    </w:p>
    <w:p>
      <w:pPr>
        <w:ind w:right="240" w:firstLine="464"/>
        <w:spacing w:after="0" w:line="268" w:lineRule="auto"/>
        <w:tabs>
          <w:tab w:leader="none" w:pos="70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Attached hereto as Schedule 1 are reasonably detailed calculations establishing whether or not the Borrower and its Subsidiaries were in compliance with the covenants contained in Sections 9.1. and 9.4.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certificate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2540</wp:posOffset>
            </wp:positionV>
            <wp:extent cx="254698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-635</wp:posOffset>
            </wp:positionV>
            <wp:extent cx="25469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N-2</w:t>
      </w:r>
    </w:p>
    <w:p>
      <w:pPr>
        <w:sectPr>
          <w:pgSz w:w="11900" w:h="16838" w:orient="portrait"/>
          <w:cols w:equalWidth="0" w:num="1">
            <w:col w:w="11380"/>
          </w:cols>
          <w:pgMar w:left="240" w:top="280" w:right="27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[Calculations to be Attached]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N-3</w:t>
      </w:r>
    </w:p>
    <w:p>
      <w:pPr>
        <w:sectPr>
          <w:pgSz w:w="11900" w:h="16838" w:orient="portrait"/>
          <w:cols w:equalWidth="0" w:num="1">
            <w:col w:w="9019"/>
          </w:cols>
          <w:pgMar w:left="1440" w:top="274" w:right="1440" w:bottom="1440" w:gutter="0" w:footer="0" w:header="0"/>
        </w:sectPr>
      </w:pPr>
    </w:p>
    <w:bookmarkStart w:id="242" w:name="page243"/>
    <w:bookmarkEnd w:id="24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GUARANTY</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GUARANTY dated as of July 28, 2006, executed and delivered by each of the undersigned and the other Persons from time to time party hereto pursuant to the execution and delivery of an Accession Agreement in the form of Annex I hereto (all of the undersigned, together with such other Persons each a “Guarantor” and collectively, the “Guarantors”) in favor of (a) WACHOVIA BANK, NATIONAL ASSOCIATION, in its capacity as Agent (the “Agent”) for the Lenders under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 and the Swingline Lender.</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pursuant to the Credit Agreement, the Agent, the Lenders and the Swingline Lender have agreed to make available to the Borrower certain financial accommodations on the terms and conditions set forth in the Credit Agreement;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Borrower and each of the Guarantors, though separate legal entities, are mutually dependent on each other in the conduct of their respective businesses as an integrated operation and have determined it to be in their mutual best interests to obtain financing from the Agent, the Lenders and the Swingline Lender through their collective efforts;</w:t>
      </w:r>
    </w:p>
    <w:p>
      <w:pPr>
        <w:spacing w:after="0" w:line="14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WHEREAS, each Guarantor acknowledges that it will receive direct and indirect benefits from the Agent, the Lenders and the Swingline Lender making such financial accommodations available to the Borrower under the Credit Agreement and, accordingly, each Guarantor is willing to guarantee the Borrower’s obligations to the Agent, the Lenders and the Swingline Lender on the terms and conditions contained herein; and</w:t>
      </w:r>
    </w:p>
    <w:p>
      <w:pPr>
        <w:spacing w:after="0" w:line="107"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WHEREAS, each Guarantor’s execution and delivery of this Guaranty is a condition to the Agent and the Lenders making, and continuing to make, such financial accommodations to the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by each Guarantor,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agrees as follows:</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Guaranty</w:t>
      </w:r>
      <w:r>
        <w:rPr>
          <w:rFonts w:ascii="Arial" w:cs="Arial" w:eastAsia="Arial" w:hAnsi="Arial"/>
          <w:sz w:val="18"/>
          <w:szCs w:val="18"/>
          <w:color w:val="auto"/>
        </w:rPr>
        <w:t>. Each Guarantor hereby absolutely, irrevocably and unconditionally guaranties the due and punctual payment and performance when due, whether at stated maturity, by acceleration or otherwise, of all of the following, whether now existing or hereafter arising, (collectively referred to as the “Guarantied Obligations”): (a) all indebtedness and obligations owing by the Borrower to any Lender, the Swingline Lender or the Agent under or in connection with the Credit Agreement and any other Loan Document, including without limitation, the repayment of all principal of the Revolving Loans, Bid Rate Loans, Swingline Loans and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O-1</w:t>
      </w:r>
    </w:p>
    <w:p>
      <w:pPr>
        <w:sectPr>
          <w:pgSz w:w="11900" w:h="16838" w:orient="portrait"/>
          <w:cols w:equalWidth="0" w:num="1">
            <w:col w:w="11380"/>
          </w:cols>
          <w:pgMar w:left="240" w:top="280" w:right="279" w:bottom="1440" w:gutter="0" w:footer="0" w:header="0"/>
        </w:sectPr>
      </w:pPr>
    </w:p>
    <w:bookmarkStart w:id="243" w:name="page244"/>
    <w:bookmarkEnd w:id="24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Reimbursement Obligations, and the payment of all interest, Fees, charges, attorneys’ fees and other amounts payable to any Lender or the Agent thereunder or in connection therewith; (b) any and all extensions, renewals, modifications, amendments or substitutions of the foregoing; (c) all expenses, including, without limitation, reasonable attorneys’ fees and disbursements, that are incurred by the Lenders and the Agent in the enforcement of any of the foregoing or any obligation of such Guarantor hereunder; and (d) all other Obligations.</w:t>
      </w:r>
    </w:p>
    <w:p>
      <w:pPr>
        <w:spacing w:after="0" w:line="14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Guaranty of Payment and Not of Collection</w:t>
      </w:r>
      <w:r>
        <w:rPr>
          <w:rFonts w:ascii="Arial" w:cs="Arial" w:eastAsia="Arial" w:hAnsi="Arial"/>
          <w:sz w:val="15"/>
          <w:szCs w:val="15"/>
          <w:color w:val="auto"/>
        </w:rPr>
        <w:t>. This Guaranty is a guaranty of payment, and not of collection, and a debt of each Guarantor for its own account. Accordingly, none of the Lenders, the Swingline Lender or the Agent shall be obligated or required before enforcing this Guaranty against any Guarantor: (a) to pursue any right or remedy any of them may have against the Borrower, any other Guarantor or any other Person or commence any suit or other proceeding against the Borrower, any other Guarantor or any other Person in any court or other tribunal; (b) to make any claim in a liquidation or bankruptcy of the Borrower, any other Guarantor or any other Person; or (c) to make demand of the Borrower, any other Guarantor or any other Person or to enforce or seek to enforce or realize upon any collateral security held by the Lenders, the Swingline Lender or the Agent which may secure any of the Guarantied Obligations.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Guaranty Absolute</w:t>
      </w:r>
      <w:r>
        <w:rPr>
          <w:rFonts w:ascii="Arial" w:cs="Arial" w:eastAsia="Arial" w:hAnsi="Arial"/>
          <w:sz w:val="18"/>
          <w:szCs w:val="18"/>
          <w:color w:val="auto"/>
        </w:rPr>
        <w:t>. Each Guarantor guarantees that the Guarantied Obligations will be paid strictly in accordance with the terms of the documents evidencing the same, regardless of any Applicable Law now or hereafter in effect in any jurisdiction affecting any of such terms or the rights of the Agent, the Lenders or the Swingline Lender with respect thereto.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including without limitation, the following (whether or not such Guarantor consents thereto or has notice thereof):</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(a)(i) any change in the amount, interest rate or due date or other term of any of the Guarantied Obligations, (ii) any change in the time, place or manner of payment of all or any portion of the Guarantied Obligations, (iii) any amendment or waiver of, or consent to the departure from or other indulgence with respect to, the Credit Agreement, any other Loan Document, or any other document or instrument evidencing or relating to any Guarantied Obligations, or (iv) any waiver, renewal, extension, addition, or supplement to, or deletion from, or any other action or inaction under or in respect of, the Credit Agreement, any of the other Loan Documents,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20" w:lineRule="exact"/>
        <w:rPr>
          <w:sz w:val="20"/>
          <w:szCs w:val="20"/>
          <w:color w:val="auto"/>
        </w:rPr>
      </w:pPr>
    </w:p>
    <w:p>
      <w:pPr>
        <w:ind w:right="420" w:firstLine="464"/>
        <w:spacing w:after="0" w:line="332" w:lineRule="auto"/>
        <w:tabs>
          <w:tab w:leader="none" w:pos="70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any lack of validity or enforceability of the Credit Agreement, any of the other Loan Documents, or any other document, instrument or agreement referred to therein or evidencing any Guarantied Obligations or any assignment or transfer of any of the foregoing;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O-2</w:t>
      </w:r>
    </w:p>
    <w:p>
      <w:pPr>
        <w:sectPr>
          <w:pgSz w:w="11900" w:h="16838" w:orient="portrait"/>
          <w:cols w:equalWidth="0" w:num="1">
            <w:col w:w="11380"/>
          </w:cols>
          <w:pgMar w:left="240" w:top="280" w:right="279" w:bottom="1440" w:gutter="0" w:footer="0" w:header="0"/>
        </w:sectPr>
      </w:pPr>
    </w:p>
    <w:bookmarkStart w:id="244" w:name="page245"/>
    <w:bookmarkEnd w:id="244"/>
    <w:p>
      <w:pPr>
        <w:ind w:right="380" w:firstLine="464"/>
        <w:spacing w:after="0" w:line="268"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furnishing to the Agent, the Lenders or the Swingline Lender of any security for the Guarantied Obligations, or any sale, exchange, release or surrender of, or realization on, any collateral securing any of the Obligations;</w:t>
      </w:r>
    </w:p>
    <w:p>
      <w:pPr>
        <w:spacing w:after="0" w:line="131" w:lineRule="exact"/>
        <w:rPr>
          <w:rFonts w:ascii="Arial" w:cs="Arial" w:eastAsia="Arial" w:hAnsi="Arial"/>
          <w:sz w:val="18"/>
          <w:szCs w:val="18"/>
          <w:color w:val="auto"/>
        </w:rPr>
      </w:pPr>
    </w:p>
    <w:p>
      <w:pPr>
        <w:ind w:right="260" w:firstLine="464"/>
        <w:spacing w:after="0" w:line="259" w:lineRule="auto"/>
        <w:tabs>
          <w:tab w:leader="none" w:pos="7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settlement or compromise of any of the Guarantied Obligations, any security therefor, or any liability of any other party with respect to the Guarantied Obligations, or any subordination of the payment of the Guarantied Obligations to the payment of any other liability of the Borrower or any other Loan Party;</w:t>
      </w:r>
    </w:p>
    <w:p>
      <w:pPr>
        <w:spacing w:after="0" w:line="140" w:lineRule="exact"/>
        <w:rPr>
          <w:rFonts w:ascii="Arial" w:cs="Arial" w:eastAsia="Arial" w:hAnsi="Arial"/>
          <w:sz w:val="18"/>
          <w:szCs w:val="18"/>
          <w:color w:val="auto"/>
        </w:rPr>
      </w:pPr>
    </w:p>
    <w:p>
      <w:pPr>
        <w:ind w:right="180" w:firstLine="464"/>
        <w:spacing w:after="0" w:line="259"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bankruptcy, insolvency, reorganization, composition, adjustment, dissolution, liquidation or other like proceeding relating to such Guarantor, the Borrower, any other Loan Party or any other Person, or any action taken with respect to this Guaranty by any trustee or receiver, or by any court, in any such proceeding;</w:t>
      </w:r>
    </w:p>
    <w:p>
      <w:pPr>
        <w:spacing w:after="0" w:line="140" w:lineRule="exact"/>
        <w:rPr>
          <w:rFonts w:ascii="Arial" w:cs="Arial" w:eastAsia="Arial" w:hAnsi="Arial"/>
          <w:sz w:val="18"/>
          <w:szCs w:val="18"/>
          <w:color w:val="auto"/>
        </w:rPr>
      </w:pPr>
    </w:p>
    <w:p>
      <w:pPr>
        <w:ind w:right="120" w:firstLine="464"/>
        <w:spacing w:after="0" w:line="268" w:lineRule="auto"/>
        <w:tabs>
          <w:tab w:leader="none" w:pos="67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act or failure to act by the Borrower, any other Loan Party or any other Person which may adversely affect such Guarantor’s subrogation rights, if any, against the Borrower to recover payments made under this Guaranty;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nonperfection or impairment of any security interest or other Lien on any collateral, if any, securing in any way any of the Obligations;</w:t>
      </w:r>
    </w:p>
    <w:p>
      <w:pPr>
        <w:spacing w:after="0" w:line="194" w:lineRule="exact"/>
        <w:rPr>
          <w:rFonts w:ascii="Arial" w:cs="Arial" w:eastAsia="Arial" w:hAnsi="Arial"/>
          <w:sz w:val="16"/>
          <w:szCs w:val="16"/>
          <w:color w:val="auto"/>
        </w:rPr>
      </w:pPr>
    </w:p>
    <w:p>
      <w:pPr>
        <w:ind w:right="80" w:firstLine="464"/>
        <w:spacing w:after="0" w:line="268" w:lineRule="auto"/>
        <w:tabs>
          <w:tab w:leader="none" w:pos="7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application of sums paid by the Borrower, any other Guarantor or any other Person with respect to the liabilities of the Borrower to the Agent, the Lenders or the Swingline Lender, regardless of what liabilities of the Borrower remain unpaid;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defect, limitation or insufficiency in the borrowing powers of the Borrower orin the exercise thereof; or</w:t>
      </w:r>
    </w:p>
    <w:p>
      <w:pPr>
        <w:spacing w:after="0" w:line="171" w:lineRule="exact"/>
        <w:rPr>
          <w:rFonts w:ascii="Arial" w:cs="Arial" w:eastAsia="Arial" w:hAnsi="Arial"/>
          <w:sz w:val="18"/>
          <w:szCs w:val="18"/>
          <w:color w:val="auto"/>
        </w:rPr>
      </w:pPr>
    </w:p>
    <w:p>
      <w:pPr>
        <w:ind w:right="460" w:firstLine="464"/>
        <w:spacing w:after="0" w:line="268" w:lineRule="auto"/>
        <w:tabs>
          <w:tab w:leader="none" w:pos="66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a Guarantor hereunder (other than indefeasible payment and performance in full).</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Action with Respect to Guarantied Obligations</w:t>
      </w:r>
      <w:r>
        <w:rPr>
          <w:rFonts w:ascii="Arial" w:cs="Arial" w:eastAsia="Arial" w:hAnsi="Arial"/>
          <w:sz w:val="16"/>
          <w:szCs w:val="16"/>
          <w:color w:val="auto"/>
        </w:rPr>
        <w:t>. The Lenders and the Agent may, at any time and from time to time, without the consent of, or notice to, any Guarantor, and without discharging any Guarantor from its obligations hereunder, take any and all actions described in Section 3 and may otherwise: (a) amend, modify, alter or supplement the terms of any of the Guarantied Obligations, including, but not limited to, extending or shortening the time of payment of any of the Guarantied Obligations or changing the interest rate that may accrue on any of the Guarantied Obligations; (b) amend, modify, alter or supplement the Credit Agreement or any other Loan Document (other than this Guaranty, as to which each Guarantor’s Agreement is required); (c) sell, exchange, release or otherwise deal with all, or any part, of any collateral securing any of the Obligations; (d) release any other Loan Party or other Person liable in any manner for the payment or collection of the Guarantied Obligations; (e) exercise, or refrain from exercising, any rights against the Borrower, any other Guarantor or any other Person; and (f) apply any sum, by whomsoever paid or however realized, to the Guarantied Obligations in such order as the Lenders shall elect.</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O-3</w:t>
      </w:r>
    </w:p>
    <w:p>
      <w:pPr>
        <w:sectPr>
          <w:pgSz w:w="11900" w:h="16838" w:orient="portrait"/>
          <w:cols w:equalWidth="0" w:num="1">
            <w:col w:w="11320"/>
          </w:cols>
          <w:pgMar w:left="240" w:top="280" w:right="339" w:bottom="1440" w:gutter="0" w:footer="0" w:header="0"/>
        </w:sectPr>
      </w:pPr>
    </w:p>
    <w:bookmarkStart w:id="245" w:name="page246"/>
    <w:bookmarkEnd w:id="245"/>
    <w:p>
      <w:pPr>
        <w:jc w:val="both"/>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Guarantor hereby severally with respect to itself only makes to the Agent, the Lenders and the Swingline Lender all of the representations and warranties made by the Borrower with respect to or in any way relating to such Guarantor in the Credit Agreement and the other Loan Documents, as if the same were set forth herein in full.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Covenants</w:t>
      </w:r>
      <w:r>
        <w:rPr>
          <w:rFonts w:ascii="Arial" w:cs="Arial" w:eastAsia="Arial" w:hAnsi="Arial"/>
          <w:sz w:val="18"/>
          <w:szCs w:val="18"/>
          <w:color w:val="auto"/>
        </w:rPr>
        <w:t>. Each Guarantor will comply with all covenants which the Borrower is to cause such Guarantor to comply with under the terms of the Credit Agreement or any of the other Loan Documents.</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Waiver</w:t>
      </w:r>
      <w:r>
        <w:rPr>
          <w:rFonts w:ascii="Arial" w:cs="Arial" w:eastAsia="Arial" w:hAnsi="Arial"/>
          <w:sz w:val="16"/>
          <w:szCs w:val="16"/>
          <w:color w:val="auto"/>
        </w:rPr>
        <w:t>. Each Guarantor, to the fullest extent permitted by Applicable Law,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Inability to Accelerate Loan</w:t>
      </w:r>
      <w:r>
        <w:rPr>
          <w:rFonts w:ascii="Arial" w:cs="Arial" w:eastAsia="Arial" w:hAnsi="Arial"/>
          <w:sz w:val="18"/>
          <w:szCs w:val="18"/>
          <w:color w:val="auto"/>
        </w:rPr>
        <w:t>. If the Agent, the Swingline Lender and/or the Lenders are prevented under Applicable Law or otherwise from demanding or accelerating payment of any of the Guarantied Obligations by reason of any automatic stay or otherwise, the Agent, the Swingline Lender and/or the Lenders shall be entitled to receive from each Guarantor, upon demand therefor, the sums which otherwise would have been due had such demand or acceleration occurred.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Reinstatement of Guarantied Obligations</w:t>
      </w:r>
      <w:r>
        <w:rPr>
          <w:rFonts w:ascii="Arial" w:cs="Arial" w:eastAsia="Arial" w:hAnsi="Arial"/>
          <w:sz w:val="16"/>
          <w:szCs w:val="16"/>
          <w:color w:val="auto"/>
        </w:rPr>
        <w:t>. If claim is ever made on the Agent, any Lender or the Swingline Lender for repayment or recovery of any amount or amounts received in payment or on account of any of the Guarantied Obligations, and the Agent, such Lender or the Swingline Lender repays all or part of said amount by reason of (a) any judgment, decree or order of any court or administrative body of competent jurisdiction, or (b) any settlement or compromise of any such claim effected by the Agent, such Lender or the Swingline Lender with any such claimant (including the Borrower or a trustee in bankruptcy for the Borrower), then and in such event each Guarantor agrees that any such judgment, decree, order, settlement or compromise shall be binding on it, notwithstanding any revocation hereof or the cancellation of the Credit Agreement, any of the other Loan Documents, or any other instrument evidencing any liability of the Borrower, and such Guarantor shall be and remain liable to the Agent, such Lender or the Swingline Lender for the amounts so repaid or recovered to the same extent as if such amount had never originally been paid to the Agent, such Lender or the Swingline Lender.</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Subrogation</w:t>
      </w:r>
      <w:r>
        <w:rPr>
          <w:rFonts w:ascii="Arial" w:cs="Arial" w:eastAsia="Arial" w:hAnsi="Arial"/>
          <w:sz w:val="18"/>
          <w:szCs w:val="18"/>
          <w:color w:val="auto"/>
        </w:rPr>
        <w:t xml:space="preserve">. Upon the making by any Guarantor of any payment hereunder for the account of the Borrower, such Guarantor shall be subrogated to the rights of the payee against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Guarantor shall not enforce any right or receive any payment by way of subrogation or otherwise take any action in respect of any other claim or cause of action such Guarantor may have against the Borrower arising by reason of any payment or performance by such Guarantor pursuant to this Guaranty, unless and until all of the Guarantied Obligations have been indefeasibly paid and performed in full. If any amount shall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O-4</w:t>
      </w:r>
    </w:p>
    <w:p>
      <w:pPr>
        <w:sectPr>
          <w:pgSz w:w="11900" w:h="16838" w:orient="portrait"/>
          <w:cols w:equalWidth="0" w:num="1">
            <w:col w:w="11400"/>
          </w:cols>
          <w:pgMar w:left="240" w:top="280" w:right="259" w:bottom="1440" w:gutter="0" w:footer="0" w:header="0"/>
        </w:sectPr>
      </w:pPr>
    </w:p>
    <w:bookmarkStart w:id="246" w:name="page247"/>
    <w:bookmarkEnd w:id="246"/>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paid to such Guarantor on account of or in respect of such subrogation rights or other claims or causes of action, such Guarantor shall hold such amount in trust for the benefit of the Agent, the Lenders and the Swingline Lender and shall forthwith pay such amount to the Agent to be credited and applied against the Guarantied Obligations, whether matured or unmatured, in accordance with the terms of the Credit Agreement or to be held by the Agent as collateral security for any Guarantied Obligations existing.</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Payments Free and Clear</w:t>
      </w:r>
      <w:r>
        <w:rPr>
          <w:rFonts w:ascii="Arial" w:cs="Arial" w:eastAsia="Arial" w:hAnsi="Arial"/>
          <w:sz w:val="18"/>
          <w:szCs w:val="18"/>
          <w:color w:val="auto"/>
        </w:rPr>
        <w:t>. All sums payable by each Guarantor hereunder, whether of principal, interest, Fees, expenses, premiums or otherwise, shall be paid in full, without set-off or counterclaim or any deduction or withholding whatsoever (including any Taxes, subject to Section 3.12. of the Credit Agreement), and if any Guarantor is required by Applicable Law or by a Governmental Authority to make any such deduction or withholding, such Guarantor shall, subject to Section 3.12. of the Credit Agreement, pay to the Agent, the Lenders and the Swingline Lender such additional amount as will result in the receipt by the Agent, the Lenders and the Swingline Lender of the full amount payable hereunder had such deduction or withholding not occurred or been required.</w:t>
      </w:r>
    </w:p>
    <w:p>
      <w:pPr>
        <w:spacing w:after="0" w:line="144"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Set-off</w:t>
      </w:r>
      <w:r>
        <w:rPr>
          <w:rFonts w:ascii="Arial" w:cs="Arial" w:eastAsia="Arial" w:hAnsi="Arial"/>
          <w:sz w:val="15"/>
          <w:szCs w:val="15"/>
          <w:color w:val="auto"/>
        </w:rPr>
        <w:t>. In addition to any rights now or hereafter granted under any of the other Loan Documents or Applicable Law and not by way of limitation of any such rights, each Guarantor hereby authorizes the Agent, each Lender and each affiliate of the Agent or any Lender, at any time during the continuance of an Event of Default, without any prior notice to such Guarantor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affiliate of the Agent or such Lender, to or for the credit or the account of such Guarantor against and on account of any of the Guarantied Obligations, although such obligations shall be contingent or unmatured.</w:t>
      </w:r>
    </w:p>
    <w:p>
      <w:pPr>
        <w:spacing w:after="0" w:line="10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Subordination</w:t>
      </w:r>
      <w:r>
        <w:rPr>
          <w:rFonts w:ascii="Arial" w:cs="Arial" w:eastAsia="Arial" w:hAnsi="Arial"/>
          <w:sz w:val="16"/>
          <w:szCs w:val="16"/>
          <w:color w:val="auto"/>
        </w:rPr>
        <w:t>. Each Guarantor hereby expressly covenants and agrees for the benefit of the Agent, the Lenders and the Swingline Lender that all obligations and liabilities of the Borrower to such Guarantor of whatever description, including without limitation, all intercompany receivables of such Guarantor from the Borrower (collectively, the “Junior Claims”) shall be subordinate and junior in right of payment to all Guarantied Obligations. If an Event of Default shall exist, then no Guarantor shall accept any direct or indirect payment (in cash, property or securities, by setoff or otherwise) from the Borrower on account of or in any manner in respect of any Junior Claim until all of the Guarantied Obligations have been indefeasibly paid in full.</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Avoidance Provisions</w:t>
      </w:r>
      <w:r>
        <w:rPr>
          <w:rFonts w:ascii="Arial" w:cs="Arial" w:eastAsia="Arial" w:hAnsi="Arial"/>
          <w:sz w:val="18"/>
          <w:szCs w:val="18"/>
          <w:color w:val="auto"/>
        </w:rPr>
        <w:t>. It is the intent of each Guarantor, the Agent, the Lenders and the Swingline Lender that in any Proceeding, such Guarantor’s maximum obligation hereunder shall equal, but not exceed, the maximum amount which would not otherwise cause the obligations of such Guarantor hereunder (or any other obligations of such Guarantor to the Agent, the Lenders and the Swingline Lender) to be avoidable or unenforceable against such Guarantor in such Proceeding as a result of Applicable Law, including without limitation,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O-5</w:t>
      </w:r>
    </w:p>
    <w:p>
      <w:pPr>
        <w:sectPr>
          <w:pgSz w:w="11900" w:h="16838" w:orient="portrait"/>
          <w:cols w:equalWidth="0" w:num="1">
            <w:col w:w="11420"/>
          </w:cols>
          <w:pgMar w:left="240" w:top="280" w:right="239" w:bottom="1440" w:gutter="0" w:footer="0" w:header="0"/>
        </w:sectPr>
      </w:pPr>
    </w:p>
    <w:bookmarkStart w:id="247" w:name="page248"/>
    <w:bookmarkEnd w:id="247"/>
    <w:p>
      <w:pPr>
        <w:ind w:firstLine="8"/>
        <w:spacing w:after="0" w:line="286" w:lineRule="auto"/>
        <w:tabs>
          <w:tab w:leader="none" w:pos="239" w:val="left"/>
        </w:tabs>
        <w:numPr>
          <w:ilvl w:val="0"/>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548 of the Bankruptcy Code of 1978, as amended (the “Bankruptcy Code”) and (b) any state fraudulent transfer or fraudulent conveyance act or statute applied in such Proceeding, whether by virtue of Section 544 of the Bankruptcy Code or otherwise. The Applicable Laws under which the possible avoidance or unenforceability of the obligations of such Guarantor hereunder (or any other obligations of such Guarantor to the Agent, the Lenders and the Swingline Lender) shall be determined in any such Proceeding are referred to as the “Avoidance Provisions”.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such Guarantor hereunder (or any other obligations of such Guarantor to the Agent, the Lenders and the Swingline Lender), to be subject to avoidance under the Avoidance Provisions. This Section is intended solely to preserve the rights of the Agent, the Lenders and the Swingline Lender hereunder to the maximum extent that would not cause the obligations of any Guarantor hereunder to be subject to avoidance under the Avoidance Provisions, and no Guarantor or any other Person shall have any right or claim under this Section as against the Agent, the Lenders and the Swingline Lender that would not otherwise be available to such Person under the Avoidance Provisions.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Information</w:t>
      </w:r>
      <w:r>
        <w:rPr>
          <w:rFonts w:ascii="Arial" w:cs="Arial" w:eastAsia="Arial" w:hAnsi="Arial"/>
          <w:sz w:val="16"/>
          <w:szCs w:val="16"/>
          <w:color w:val="auto"/>
        </w:rPr>
        <w:t>. Each Guarantor assumes all responsibility for being and keeping itself informed of the financial condition of the Borrower and the other Guarantors, and of all other circumstances bearing upon the risk of nonpayment of any of the Guarantied Obligations and the nature, scope and extent of the risks that such Guarantor assumes and incurs hereunder, and agrees that none of the Agent, the Lenders or the Swingline Lender shall have any duty whatsoever to advise any Guarantor of information regarding such circumstances or risks.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WAIVER OF JURY TRIAL, ETC</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53"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EACH PARTY HERETO ACKNOWLEDGES THAT ANY DISPUTE OR CONTROVERSY BETWEEN OR AMONG ANY GUARANTOR, THE AGENT OR ANY OF THE LENDERS WOULD BE BASED ON DIFFICULT AND COMPLEX ISSUES OF LAW AND FACT AND WOULD RESULT IN DELAY AND EXPENSE TO THE PARTIES. ACCORDINGLY, TO THE EXTENT PERMITTED BY APPLICABLE LAW, EACH OF THE LENDERS, THE AGENT AND THE GUARANTORS HEREBY WAIVES ITS RIGHT TO A TRIAL BY JURY IN ANY ACTION OR PROCEEDING OF ANY KIND OR NATURE IN ANY COURT OR TRIBUNAL IN WHICH AN ACTION MAY BE COMMENCED BY OR AGAINST ANY PARTY HERETO ARISING OUT OF THIS GUARANTY OR ANY OTHER LOAN DOCUMENT OR BY REASON OF ANY OTHER SUIT, CAUSE OF ACTION OR DISPUTE WHATSOEVER BETWEEN OR AMONG THE GUARANTORS, THE AGENT OR ANY OF THE LENDERS OF ANY KIND OR NATURE RELATING TO ANY OF THE LOAN DOCUMENTS.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O-6</w:t>
      </w:r>
    </w:p>
    <w:p>
      <w:pPr>
        <w:sectPr>
          <w:pgSz w:w="11900" w:h="16838" w:orient="portrait"/>
          <w:cols w:equalWidth="0" w:num="1">
            <w:col w:w="11400"/>
          </w:cols>
          <w:pgMar w:left="240" w:top="280" w:right="259" w:bottom="1440" w:gutter="0" w:footer="0" w:header="0"/>
        </w:sectPr>
      </w:pPr>
    </w:p>
    <w:bookmarkStart w:id="248" w:name="page249"/>
    <w:bookmarkEnd w:id="248"/>
    <w:p>
      <w:pPr>
        <w:ind w:firstLine="464"/>
        <w:spacing w:after="0" w:line="286" w:lineRule="auto"/>
        <w:tabs>
          <w:tab w:leader="none" w:pos="7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GUARANTORS, THE AGENT AND EACH LENDER HEREBY AGREES THAT THE FEDERAL DISTRICT COURT FOR THE SOUTHERN DISTRICT OF NEW YORK AND ANY STATE COURT LOCATED IN THE BOROUGH OF MANHATTAN OF NEW YORK, NEW YORK, SHALL HAVE JURISDICTION TO HEAR AND DETERMINE ANY CLAIMS OR DISPUTES BETWEEN OR AMONG THE GUARANTORS, THE AGENT OR ANY OF THE LENDERS PERTAINING DIRECTLY OR INDIRECTLY TO THIS GUARANTY OR ANY OTHER LOAN DOCUMENT OR TO ANY MATTER ARISING HEREFROM OR THEREFROM. EACH GUARANTOR AND EACH OF THE LENDERS EXPRESSLY SUBMITS AND CONSENTS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27" w:lineRule="exact"/>
        <w:rPr>
          <w:rFonts w:ascii="Arial" w:cs="Arial" w:eastAsia="Arial" w:hAnsi="Arial"/>
          <w:sz w:val="16"/>
          <w:szCs w:val="16"/>
          <w:color w:val="auto"/>
        </w:rPr>
      </w:pPr>
    </w:p>
    <w:p>
      <w:pPr>
        <w:ind w:right="40" w:firstLine="464"/>
        <w:spacing w:after="0" w:line="256" w:lineRule="auto"/>
        <w:tabs>
          <w:tab w:leader="none" w:pos="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GUARANTY.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Loan Accounts</w:t>
      </w:r>
      <w:r>
        <w:rPr>
          <w:rFonts w:ascii="Arial" w:cs="Arial" w:eastAsia="Arial" w:hAnsi="Arial"/>
          <w:sz w:val="16"/>
          <w:szCs w:val="16"/>
          <w:color w:val="auto"/>
        </w:rPr>
        <w:t>. The Agent, each Lender and the Swingline Lender may maintain books and accounts setting forth the amounts of principal, interest and other sums paid and payable with respect to the Guarantied Obligations, and in the case of any dispute relating to any of the outstanding amount, payment or receipt of any of the Guarantied Obligations or otherwise, the entries in such books and accounts shall be deemed conclusive evidence of the amounts and other matters set forth herein, absent manifest error. The failure of the Agent, any Lender or the Swingline Lender to maintain such books and accounts shall not in any way relieve or discharge any Guarantor of any of its obligations hereunder.</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Waiver of Remedies</w:t>
      </w:r>
      <w:r>
        <w:rPr>
          <w:rFonts w:ascii="Arial" w:cs="Arial" w:eastAsia="Arial" w:hAnsi="Arial"/>
          <w:sz w:val="16"/>
          <w:szCs w:val="16"/>
          <w:color w:val="auto"/>
        </w:rPr>
        <w:t>. No delay or failure on the part of the Agent, any Lender or the Swingline Lender in the exercise of any right or remedy it may have against any Guarantor hereunder or otherwise shall operate as a waiver thereof, and no single or partial exercise by the Agent, any Lender or the Swingline Lender of any such right or remedy shall preclude any other or further exercise thereof or the exercise of any other such right or remedy.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O-7</w:t>
      </w:r>
    </w:p>
    <w:p>
      <w:pPr>
        <w:sectPr>
          <w:pgSz w:w="11900" w:h="16838" w:orient="portrait"/>
          <w:cols w:equalWidth="0" w:num="1">
            <w:col w:w="11380"/>
          </w:cols>
          <w:pgMar w:left="240" w:top="280" w:right="279" w:bottom="1440" w:gutter="0" w:footer="0" w:header="0"/>
        </w:sectPr>
      </w:pPr>
    </w:p>
    <w:bookmarkStart w:id="249" w:name="page250"/>
    <w:bookmarkEnd w:id="249"/>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 </w:t>
      </w:r>
      <w:r>
        <w:rPr>
          <w:rFonts w:ascii="Arial" w:cs="Arial" w:eastAsia="Arial" w:hAnsi="Arial"/>
          <w:sz w:val="18"/>
          <w:szCs w:val="18"/>
          <w:u w:val="single" w:color="auto"/>
          <w:color w:val="auto"/>
        </w:rPr>
        <w:t>Termination</w:t>
      </w:r>
      <w:r>
        <w:rPr>
          <w:rFonts w:ascii="Arial" w:cs="Arial" w:eastAsia="Arial" w:hAnsi="Arial"/>
          <w:sz w:val="18"/>
          <w:szCs w:val="18"/>
          <w:color w:val="auto"/>
        </w:rPr>
        <w:t>. This Guaranty shall remain in full force and effect until indefeasible payment in full of the Guarantied Obligations and the other Obligations and the termination or cancellation of the Credit Agreement in accordance with its terms.</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Each reference herein to the Agent or the Lenders shall be deemed to include such Person’s respective successors and assigns (including, but not limited to, any holder of the Guarantied Obligations) in whose favor the provisions of this Guaranty also shall inure, and each reference herein to each Guarantor shall be deemed to include such Guarantor’s successors and assigns, upon whom this Guaranty also shall be binding. The Lenders and the Swingline Lender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Subject to Section 12.8. of the Credit Agreement, each Guarantor hereby consents to the delivery by the Agent or any Lender to any Assignee or Participant (or any prospective Assignee or Participant) of any financial or other information regarding the Borrower or any Guarantor. No Guarantor may assign or transfer its obligations hereunder to any Person without the prior written consent of all Lenders and any such assignment or other transfer to which all of the Lenders have not so consented shall be null and void.</w:t>
      </w:r>
    </w:p>
    <w:p>
      <w:pPr>
        <w:spacing w:after="0" w:line="120"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JOINT AND SEVERAL OBLIGATIONS</w:t>
      </w:r>
      <w:r>
        <w:rPr>
          <w:rFonts w:ascii="Arial" w:cs="Arial" w:eastAsia="Arial" w:hAnsi="Arial"/>
          <w:sz w:val="16"/>
          <w:szCs w:val="16"/>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Amendments</w:t>
      </w:r>
      <w:r>
        <w:rPr>
          <w:rFonts w:ascii="Arial" w:cs="Arial" w:eastAsia="Arial" w:hAnsi="Arial"/>
          <w:sz w:val="18"/>
          <w:szCs w:val="18"/>
          <w:color w:val="auto"/>
        </w:rPr>
        <w:t>. This Guaranty may not be amended except in writing signed by the Requisite Lenders (or all of the Lenders if required under the terms of the Credit Agreement), the Agent and each Guarantor.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Payments</w:t>
      </w:r>
      <w:r>
        <w:rPr>
          <w:rFonts w:ascii="Arial" w:cs="Arial" w:eastAsia="Arial" w:hAnsi="Arial"/>
          <w:sz w:val="18"/>
          <w:szCs w:val="18"/>
          <w:color w:val="auto"/>
        </w:rPr>
        <w:t>. All payments to be made by any Guarantor pursuant to this Guaranty shall be made in Dollars, in immediately available funds to the Agent at the Principal Office, not later than 2:00 p.m. on the date of demand therefor.</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and other communications hereunder shall be in writing (including facsimile transmission or similar writing) and shall be given (a) to each Guarantor at its address set forth below its signature hereto, (b) to the Agent, any Lender or the Swingline Lender at its respective address for notices provided for in the Credit Agreement, or (c) as to each such party at such other address as such party shall designate in a written notice to the other parties. Each such notice, request or other communication shall be effective (i) if mailed, when received; (ii) if telecopied, when transmitted; or (iii) if hand delivered, when delivered;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notice of a change of address for notices shall not be effective until received.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O-8</w:t>
      </w:r>
    </w:p>
    <w:p>
      <w:pPr>
        <w:sectPr>
          <w:pgSz w:w="11900" w:h="16838" w:orient="portrait"/>
          <w:cols w:equalWidth="0" w:num="1">
            <w:col w:w="11380"/>
          </w:cols>
          <w:pgMar w:left="240" w:top="280" w:right="279" w:bottom="1440" w:gutter="0" w:footer="0" w:header="0"/>
        </w:sectPr>
      </w:pPr>
    </w:p>
    <w:bookmarkStart w:id="250" w:name="page251"/>
    <w:bookmarkEnd w:id="250"/>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used in this Guaranty are for convenience only and shall not affect the construction of this Guaranty.</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Neither the Agent nor any Lender, nor any affiliate, officer, director, employee, attorney, or agent of the Agent or any Lender, shall have any liability with respect to, and each Guarantor hereby waives, releases, and agrees not to sue any of them upon, any claim for any special, indirect, incidental, or consequential damages suffered or incurred by a Guarantor in connection with, arising out of, or in any way related to, this Guaranty or any of the other Loan Documents, or any of the transactions contemplated by this Guaranty, the Credit Agreement or any of the other Loan Documents. Each Guarantor hereby waives, releases, and agrees not to sue the Agent or any Lender or any of the Agent’s or any Lender’s affiliates, officers, directors, employees, attorneys, or agents for punitive damages in respect of any claim in connection with, arising out of, or in any way related to, this Guaranty, the Credit Agreement or any of the other Loan Documents, or any of the transactions contemplated by Credit Agreement or financed thereby.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Definitions</w:t>
      </w:r>
      <w:r>
        <w:rPr>
          <w:rFonts w:ascii="Arial" w:cs="Arial" w:eastAsia="Arial" w:hAnsi="Arial"/>
          <w:sz w:val="18"/>
          <w:szCs w:val="18"/>
          <w:color w:val="auto"/>
        </w:rPr>
        <w:t>. (a) For the purposes of this Guaranty:</w:t>
      </w:r>
    </w:p>
    <w:p>
      <w:pPr>
        <w:spacing w:after="0" w:line="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of the following: (i) a voluntary or involuntary case concerning any Guarantor shall be commenced under the Bankruptcy Code of 1978, as amended; (ii) a custodian (as defined in such Bankruptcy Code or any other applicable bankruptcy laws) is appointed for, or takes charge of, all or any substantial part of the property of any Guarantor; (iii) any other proceeding under any Applicable Law, domestic or foreign, relating to bankruptcy, insolvency, reorganization, winding-up or composition for adjustment of debts, whether now or hereafter in effect, is commenced relating to any Guarantor; (iv) any Guarantor is adjudicated insolvent or bankrupt; (v) any order of relief or other order approving any such case or proceeding is entered by a court of competent jurisdiction; (vi) any Guarantor makes a general assignment for the benefit of creditors; (vii) any Guarantor shall fail to pay, or shall state that it is unable to pay, or shall be unable to pay, its debts generally as they become due; (viii) any Guarantor shall call a meeting of its creditors with a view to arranging a composition or adjustment of its debts; (ix) any Guarantor shall by any act or failure to act indicate its consent to, approval of or acquiescence in any of the foregoing; or</w:t>
      </w:r>
    </w:p>
    <w:p>
      <w:pPr>
        <w:spacing w:after="0" w:line="6" w:lineRule="exact"/>
        <w:rPr>
          <w:sz w:val="20"/>
          <w:szCs w:val="20"/>
          <w:color w:val="auto"/>
        </w:rPr>
      </w:pPr>
    </w:p>
    <w:p>
      <w:pPr>
        <w:ind w:left="260" w:hanging="252"/>
        <w:spacing w:after="0"/>
        <w:tabs>
          <w:tab w:leader="none" w:pos="2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corporate action shall be taken by any Guarantor for the purpose of effecting any of the foregoing.</w:t>
      </w:r>
    </w:p>
    <w:p>
      <w:pPr>
        <w:spacing w:after="0" w:line="164" w:lineRule="exact"/>
        <w:rPr>
          <w:rFonts w:ascii="Arial" w:cs="Arial" w:eastAsia="Arial" w:hAnsi="Arial"/>
          <w:sz w:val="18"/>
          <w:szCs w:val="18"/>
          <w:color w:val="auto"/>
        </w:rPr>
      </w:pPr>
    </w:p>
    <w:p>
      <w:pPr>
        <w:ind w:left="4820" w:right="2400" w:hanging="4356"/>
        <w:spacing w:after="0" w:line="430" w:lineRule="auto"/>
        <w:tabs>
          <w:tab w:leader="none" w:pos="709"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Terms not otherwise defined herein are used herein with the respective meanings given them in the Credit Agreement. [Signature on Next Page]</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O-9</w:t>
      </w:r>
    </w:p>
    <w:p>
      <w:pPr>
        <w:sectPr>
          <w:pgSz w:w="11900" w:h="16838" w:orient="portrait"/>
          <w:cols w:equalWidth="0" w:num="1">
            <w:col w:w="11400"/>
          </w:cols>
          <w:pgMar w:left="240" w:top="280" w:right="259" w:bottom="1440" w:gutter="0" w:footer="0" w:header="0"/>
        </w:sectPr>
      </w:pPr>
    </w:p>
    <w:bookmarkStart w:id="251" w:name="page252"/>
    <w:bookmarkEnd w:id="25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Guarantor has duly executed and delivered this Guaranty as of the date and year first written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2540</wp:posOffset>
            </wp:positionV>
            <wp:extent cx="2735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6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-635</wp:posOffset>
            </wp:positionV>
            <wp:extent cx="24098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ind w:left="6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-635</wp:posOffset>
            </wp:positionV>
            <wp:extent cx="24098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8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 for Notices:</w:t>
      </w:r>
    </w:p>
    <w:p>
      <w:pPr>
        <w:spacing w:after="0" w:line="2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400"/>
        <w:spacing w:after="0"/>
        <w:tabs>
          <w:tab w:leader="none" w:pos="7340" w:val="left"/>
        </w:tabs>
        <w:rPr>
          <w:sz w:val="20"/>
          <w:szCs w:val="20"/>
          <w:color w:val="auto"/>
        </w:rPr>
      </w:pPr>
      <w:r>
        <w:rPr>
          <w:rFonts w:ascii="Arial" w:cs="Arial" w:eastAsia="Arial" w:hAnsi="Arial"/>
          <w:sz w:val="18"/>
          <w:szCs w:val="18"/>
          <w:color w:val="auto"/>
        </w:rPr>
        <w:t>Telephone:</w:t>
        <w:tab/>
        <w:t>(301)998-8100</w:t>
      </w:r>
    </w:p>
    <w:p>
      <w:pPr>
        <w:spacing w:after="0" w:line="9" w:lineRule="exact"/>
        <w:rPr>
          <w:sz w:val="20"/>
          <w:szCs w:val="20"/>
          <w:color w:val="auto"/>
        </w:rPr>
      </w:pPr>
    </w:p>
    <w:p>
      <w:pPr>
        <w:ind w:left="6400"/>
        <w:spacing w:after="0"/>
        <w:tabs>
          <w:tab w:leader="none" w:pos="734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(301)998-3715</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O-10</w:t>
      </w:r>
    </w:p>
    <w:p>
      <w:pPr>
        <w:sectPr>
          <w:pgSz w:w="11900" w:h="16838" w:orient="portrait"/>
          <w:cols w:equalWidth="0" w:num="1">
            <w:col w:w="9759"/>
          </w:cols>
          <w:pgMar w:left="700" w:top="280" w:right="1440" w:bottom="1440" w:gutter="0" w:footer="0" w:header="0"/>
        </w:sectPr>
      </w:pPr>
    </w:p>
    <w:bookmarkStart w:id="252" w:name="page253"/>
    <w:bookmarkEnd w:id="25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ACCESSION AGREEMENT</w:t>
      </w:r>
    </w:p>
    <w:p>
      <w:pPr>
        <w:spacing w:after="0" w:line="171" w:lineRule="exact"/>
        <w:rPr>
          <w:sz w:val="20"/>
          <w:szCs w:val="20"/>
          <w:color w:val="auto"/>
        </w:rPr>
      </w:pPr>
    </w:p>
    <w:p>
      <w:pPr>
        <w:ind w:left="460"/>
        <w:spacing w:after="0"/>
        <w:tabs>
          <w:tab w:leader="none" w:pos="4360" w:val="left"/>
          <w:tab w:leader="none" w:pos="4800" w:val="left"/>
          <w:tab w:leader="none" w:pos="7640" w:val="left"/>
          <w:tab w:leader="none" w:pos="8420" w:val="left"/>
        </w:tabs>
        <w:rPr>
          <w:sz w:val="20"/>
          <w:szCs w:val="20"/>
          <w:color w:val="auto"/>
        </w:rPr>
      </w:pPr>
      <w:r>
        <w:rPr>
          <w:rFonts w:ascii="Arial" w:cs="Arial" w:eastAsia="Arial" w:hAnsi="Arial"/>
          <w:sz w:val="18"/>
          <w:szCs w:val="18"/>
          <w:color w:val="auto"/>
        </w:rPr>
        <w:t>THIS ACCESSION AGREEMENT dated as of</w:t>
      </w:r>
      <w:r>
        <w:rPr>
          <w:sz w:val="20"/>
          <w:szCs w:val="20"/>
          <w:color w:val="auto"/>
        </w:rPr>
        <w:tab/>
      </w:r>
      <w:r>
        <w:rPr>
          <w:rFonts w:ascii="Arial" w:cs="Arial" w:eastAsia="Arial" w:hAnsi="Arial"/>
          <w:sz w:val="18"/>
          <w:szCs w:val="18"/>
          <w:color w:val="auto"/>
        </w:rPr>
        <w:t>, 20</w:t>
        <w:tab/>
        <w:t>, executed and delivered by</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“New Guarantor”), in favor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-13970</wp:posOffset>
            </wp:positionV>
            <wp:extent cx="33464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-13970</wp:posOffset>
            </wp:positionV>
            <wp:extent cx="1117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4279900</wp:posOffset>
            </wp:positionH>
            <wp:positionV relativeFrom="paragraph">
              <wp:posOffset>-13970</wp:posOffset>
            </wp:positionV>
            <wp:extent cx="105283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right="80"/>
        <w:spacing w:after="0" w:line="254" w:lineRule="auto"/>
        <w:rPr>
          <w:sz w:val="20"/>
          <w:szCs w:val="20"/>
          <w:color w:val="auto"/>
        </w:rPr>
      </w:pPr>
      <w:r>
        <w:rPr>
          <w:rFonts w:ascii="Arial" w:cs="Arial" w:eastAsia="Arial" w:hAnsi="Arial"/>
          <w:sz w:val="18"/>
          <w:szCs w:val="18"/>
          <w:color w:val="auto"/>
        </w:rPr>
        <w:t>WACHOVIA BANK, NATIONAL ASSOCIATION, in its capacity as Agent (the “Agent”) for the Lenders under that certain Credit Agreement dated as of July 28, 2006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 and the Swingline Lender.</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pursuant to the Credit Agreement, the Agent, the Lenders and the Swingline Lender have agreed to make available to the Borrower certain financial accommodations on the terms and conditions set forth in the Credit Agreement;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Borrower, the New Guarantor, and the existing Guarantors, though separate legal entities, are mutually dependent on each other in the conduct of their respective businesses as an integrated operation and have determined it to be in their mutual best interests to obtain financing from the Agent, the Lenders and the Swingline Lender through their collective efforts;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WHEREAS, the New Guarantor acknowledges that it will receive direct and indirect benefits from the Agent, the Lenders and the Swingline Lender making such financial accommodations available to the Borrower under the Credit Agreement and, accordingly, the New Guarantor is willing to guarantee the Borrower’s obligations to the Agent, the Lenders and the Swingline Lender on the terms and conditions contained herein; and</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New Guarantor’s execution and delivery of this Agreement is a condition to the Agent, the Lenders and the Swingline Lender continuing to make such financial accommodations to the Borrower.</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New Guarantor, the New Guarantor agrees as follows: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Accession to Guaranty</w:t>
      </w:r>
      <w:r>
        <w:rPr>
          <w:rFonts w:ascii="Arial" w:cs="Arial" w:eastAsia="Arial" w:hAnsi="Arial"/>
          <w:sz w:val="16"/>
          <w:szCs w:val="16"/>
          <w:color w:val="auto"/>
        </w:rPr>
        <w:t>. The New Guarantor hereby agrees that it is a “Guarantor” under that certain Guaranty dated as of July 28, 2006 (as amended, supplemented, restated or otherwise modified from time to time, the “Guaranty”), made by each Subsidiary of the Borrower a party thereto in favor of the Agent, the Lenders and the Swingline Lender and assumes all obligations of a “Guarantor” thereunder and agrees to be bound thereby, all as if the New Guarantor had been an original signatory to the Guaranty. Without limiting the generality of the foregoing, the New Guarantor hereby:</w:t>
      </w:r>
    </w:p>
    <w:p>
      <w:pPr>
        <w:spacing w:after="0" w:line="113" w:lineRule="exact"/>
        <w:rPr>
          <w:sz w:val="20"/>
          <w:szCs w:val="20"/>
          <w:color w:val="auto"/>
        </w:rPr>
      </w:pPr>
    </w:p>
    <w:p>
      <w:pPr>
        <w:ind w:right="280" w:firstLine="464"/>
        <w:spacing w:after="0" w:line="268" w:lineRule="auto"/>
        <w:tabs>
          <w:tab w:leader="none" w:pos="6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irrevocably and unconditionally guarantees the due and punctual payment and performance when due, whether at stated maturity, by acceleration or otherwise, of all Guarantied Obligations (as defined in the Guaranty);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O-11</w:t>
      </w:r>
    </w:p>
    <w:p>
      <w:pPr>
        <w:sectPr>
          <w:pgSz w:w="11900" w:h="16838" w:orient="portrait"/>
          <w:cols w:equalWidth="0" w:num="1">
            <w:col w:w="11380"/>
          </w:cols>
          <w:pgMar w:left="240" w:top="280" w:right="279" w:bottom="1440" w:gutter="0" w:footer="0" w:header="0"/>
        </w:sectPr>
      </w:pPr>
    </w:p>
    <w:bookmarkStart w:id="253" w:name="page254"/>
    <w:bookmarkEnd w:id="253"/>
    <w:p>
      <w:pPr>
        <w:ind w:right="60" w:firstLine="464"/>
        <w:spacing w:after="0" w:line="332" w:lineRule="auto"/>
        <w:tabs>
          <w:tab w:leader="none" w:pos="705"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makes to the Agent, the Lenders and the Swingline Lender as of the date hereof each of the representations and warranties contained in Section 5 of the Guaranty with respect to itself and agrees to be bound by each of the covenants contained in Section 6 of the Guaranty; and</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consents and agrees to each provision set forth in the Guaranty.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NEW YORK APPLICABLE TO CONTRACTS EXECUTED, AND TO BE FULLY PERFORMED, IN SUCH STATE.</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and not otherwise defined herein shall have their respective defined meanings given them in the Credit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O-12</w:t>
      </w:r>
    </w:p>
    <w:p>
      <w:pPr>
        <w:sectPr>
          <w:pgSz w:w="11900" w:h="16838" w:orient="portrait"/>
          <w:cols w:equalWidth="0" w:num="1">
            <w:col w:w="11420"/>
          </w:cols>
          <w:pgMar w:left="240" w:top="280" w:right="239" w:bottom="1440" w:gutter="0" w:footer="0" w:header="0"/>
        </w:sectPr>
      </w:pPr>
    </w:p>
    <w:bookmarkStart w:id="254" w:name="page255"/>
    <w:bookmarkEnd w:id="25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New Guarantor has caused this Accession Agreement to be duly executed and delivered under seal by its duly authorized officers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2540</wp:posOffset>
            </wp:positionV>
            <wp:extent cx="234124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-635</wp:posOffset>
            </wp:positionV>
            <wp:extent cx="234124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860"/>
        <w:spacing w:after="0"/>
        <w:tabs>
          <w:tab w:leader="none" w:pos="7840" w:val="left"/>
        </w:tabs>
        <w:rPr>
          <w:sz w:val="20"/>
          <w:szCs w:val="20"/>
          <w:color w:val="auto"/>
        </w:rPr>
      </w:pPr>
      <w:r>
        <w:rPr>
          <w:rFonts w:ascii="Arial" w:cs="Arial" w:eastAsia="Arial" w:hAnsi="Arial"/>
          <w:sz w:val="18"/>
          <w:szCs w:val="18"/>
          <w:color w:val="auto"/>
        </w:rPr>
        <w:t>Telephone:</w:t>
        <w:tab/>
        <w:t>(301)998-8100</w:t>
      </w:r>
    </w:p>
    <w:p>
      <w:pPr>
        <w:spacing w:after="0" w:line="9" w:lineRule="exact"/>
        <w:rPr>
          <w:sz w:val="20"/>
          <w:szCs w:val="20"/>
          <w:color w:val="auto"/>
        </w:rPr>
      </w:pPr>
    </w:p>
    <w:p>
      <w:pPr>
        <w:ind w:left="6860"/>
        <w:spacing w:after="0"/>
        <w:tabs>
          <w:tab w:leader="none" w:pos="784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(301)998-3715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62445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2540</wp:posOffset>
            </wp:positionV>
            <wp:extent cx="23241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-635</wp:posOffset>
            </wp:positionV>
            <wp:extent cx="23241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O-13</w:t>
      </w:r>
    </w:p>
    <w:p>
      <w:pPr>
        <w:sectPr>
          <w:pgSz w:w="11900" w:h="16838" w:orient="portrait"/>
          <w:cols w:equalWidth="0" w:num="1">
            <w:col w:w="11200"/>
          </w:cols>
          <w:pgMar w:left="240" w:top="280" w:right="45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191135</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November 9, 2007</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Sole Lead Arranger</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Sole Book Manager,</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Agent,</w:t>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Each of</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 Documentation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Each of</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CITICORP NORTH AMERICA,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REGIONS BANK,</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 Managing Agent,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left="1900" w:right="3080"/>
        <w:spacing w:after="0" w:line="259" w:lineRule="auto"/>
        <w:rPr>
          <w:sz w:val="20"/>
          <w:szCs w:val="20"/>
          <w:color w:val="auto"/>
        </w:rPr>
      </w:pPr>
      <w:r>
        <w:rPr>
          <w:rFonts w:ascii="Arial" w:cs="Arial" w:eastAsia="Arial" w:hAnsi="Arial"/>
          <w:sz w:val="18"/>
          <w:szCs w:val="18"/>
          <w:color w:val="auto"/>
        </w:rPr>
        <w:t>THE FINANCIAL INSTITUTIONS INITIALLY SIGNATORY HERETO AND THEIR ASSIGNEES PURSUANT TO SECTION 12.5.(d), 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146050</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22"/>
        </w:trPr>
        <w:tc>
          <w:tcPr>
            <w:tcW w:w="8920" w:type="dxa"/>
            <w:vAlign w:val="bottom"/>
          </w:tcPr>
          <w:p>
            <w:pPr>
              <w:ind w:left="4820"/>
              <w:spacing w:after="0"/>
              <w:rPr>
                <w:sz w:val="20"/>
                <w:szCs w:val="20"/>
                <w:color w:val="auto"/>
              </w:rPr>
            </w:pPr>
            <w:r>
              <w:rPr>
                <w:rFonts w:ascii="Arial" w:cs="Arial" w:eastAsia="Arial" w:hAnsi="Arial"/>
                <w:sz w:val="18"/>
                <w:szCs w:val="18"/>
                <w:color w:val="auto"/>
              </w:rPr>
              <w:t>TABLE OF CONTENTS</w:t>
            </w:r>
          </w:p>
        </w:tc>
        <w:tc>
          <w:tcPr>
            <w:tcW w:w="2500" w:type="dxa"/>
            <w:vAlign w:val="bottom"/>
          </w:tcPr>
          <w:p>
            <w:pPr>
              <w:spacing w:after="0"/>
              <w:rPr>
                <w:sz w:val="19"/>
                <w:szCs w:val="19"/>
                <w:color w:val="auto"/>
              </w:rPr>
            </w:pPr>
          </w:p>
        </w:tc>
      </w:tr>
      <w:tr>
        <w:trPr>
          <w:trHeight w:val="419"/>
        </w:trPr>
        <w:tc>
          <w:tcPr>
            <w:tcW w:w="8920" w:type="dxa"/>
            <w:vAlign w:val="bottom"/>
          </w:tcPr>
          <w:p>
            <w:pPr>
              <w:spacing w:after="0"/>
              <w:rPr>
                <w:sz w:val="20"/>
                <w:szCs w:val="20"/>
                <w:color w:val="auto"/>
              </w:rPr>
            </w:pPr>
            <w:r>
              <w:rPr>
                <w:rFonts w:ascii="Arial" w:cs="Arial" w:eastAsia="Arial" w:hAnsi="Arial"/>
                <w:sz w:val="18"/>
                <w:szCs w:val="18"/>
                <w:color w:val="auto"/>
              </w:rPr>
              <w:t>Article I. 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8920" w:type="dxa"/>
            <w:vAlign w:val="bottom"/>
          </w:tcPr>
          <w:p>
            <w:pPr>
              <w:ind w:left="440"/>
              <w:spacing w:after="0"/>
              <w:rPr>
                <w:sz w:val="20"/>
                <w:szCs w:val="20"/>
                <w:color w:val="auto"/>
              </w:rPr>
            </w:pPr>
            <w:r>
              <w:rPr>
                <w:rFonts w:ascii="Arial" w:cs="Arial" w:eastAsia="Arial" w:hAnsi="Arial"/>
                <w:sz w:val="18"/>
                <w:szCs w:val="18"/>
                <w:color w:val="auto"/>
              </w:rPr>
              <w:t>Section 1.1. 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1.2. General; References to Times.</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Section 1.3. Financial Attributes of Non-Wholly Owned Subsidiaries.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II. Credit Facility</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8920" w:type="dxa"/>
            <w:vAlign w:val="bottom"/>
          </w:tcPr>
          <w:p>
            <w:pPr>
              <w:ind w:left="440"/>
              <w:spacing w:after="0"/>
              <w:rPr>
                <w:sz w:val="20"/>
                <w:szCs w:val="20"/>
                <w:color w:val="auto"/>
              </w:rPr>
            </w:pPr>
            <w:r>
              <w:rPr>
                <w:rFonts w:ascii="Arial" w:cs="Arial" w:eastAsia="Arial" w:hAnsi="Arial"/>
                <w:sz w:val="18"/>
                <w:szCs w:val="18"/>
                <w:color w:val="auto"/>
              </w:rPr>
              <w:t>Section 2.1.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2.2. Rates and Payment of Interest on Loan.</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2.3. Number of Interest Periods.</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2.4. Repayment of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2.5. Prepayments.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2.6. Continuation.</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2.7. Conversion.</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2.8. Notes.</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Section 2.9. Extension of Termination Date.</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III. Payments, Fees and Other General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8920" w:type="dxa"/>
            <w:vAlign w:val="bottom"/>
          </w:tcPr>
          <w:p>
            <w:pPr>
              <w:ind w:left="440"/>
              <w:spacing w:after="0"/>
              <w:rPr>
                <w:sz w:val="20"/>
                <w:szCs w:val="20"/>
                <w:color w:val="auto"/>
              </w:rPr>
            </w:pPr>
            <w:r>
              <w:rPr>
                <w:rFonts w:ascii="Arial" w:cs="Arial" w:eastAsia="Arial" w:hAnsi="Arial"/>
                <w:sz w:val="18"/>
                <w:szCs w:val="18"/>
                <w:color w:val="auto"/>
              </w:rPr>
              <w:t>Section 3.1.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3.2. Pro Rata Treatment.</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3.3. Sharing of Payments, Etc.</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3.4. Several Obligations.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3.5. Minimum Amounts.</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3.6. Fees.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3.7. Computations.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3.8. Usury.</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3.9. Agreement Regarding Interest and Charges.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3.10. Statements of Account.</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3.11. Defaulting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Section 3.12. Taxes.</w:t>
            </w:r>
          </w:p>
        </w:tc>
        <w:tc>
          <w:tcPr>
            <w:tcW w:w="2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IV. Yield Protection, Etc.</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8920" w:type="dxa"/>
            <w:vAlign w:val="bottom"/>
          </w:tcPr>
          <w:p>
            <w:pPr>
              <w:ind w:left="440"/>
              <w:spacing w:after="0"/>
              <w:rPr>
                <w:sz w:val="20"/>
                <w:szCs w:val="20"/>
                <w:color w:val="auto"/>
              </w:rPr>
            </w:pPr>
            <w:r>
              <w:rPr>
                <w:rFonts w:ascii="Arial" w:cs="Arial" w:eastAsia="Arial" w:hAnsi="Arial"/>
                <w:sz w:val="18"/>
                <w:szCs w:val="18"/>
                <w:color w:val="auto"/>
              </w:rPr>
              <w:t>Section 4.1. Additional Costs; Capital Adequacy.</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4.2. Suspension of LIBOR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4.3. Illegality.</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4.4. Compensation.</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4.5. Treatment of Affected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4.6. Change of Lending Office.</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Section 4.7. Assumptions Concerning Funding of LIBOR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Section 4.8. Affected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V. 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920" w:type="dxa"/>
            <w:vAlign w:val="bottom"/>
          </w:tcPr>
          <w:p>
            <w:pPr>
              <w:ind w:left="440"/>
              <w:spacing w:after="0"/>
              <w:rPr>
                <w:sz w:val="20"/>
                <w:szCs w:val="20"/>
                <w:color w:val="auto"/>
              </w:rPr>
            </w:pPr>
            <w:r>
              <w:rPr>
                <w:rFonts w:ascii="Arial" w:cs="Arial" w:eastAsia="Arial" w:hAnsi="Arial"/>
                <w:sz w:val="18"/>
                <w:szCs w:val="18"/>
                <w:color w:val="auto"/>
              </w:rPr>
              <w:t>Section 5.1. Initial 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65"/>
        </w:trPr>
        <w:tc>
          <w:tcPr>
            <w:tcW w:w="8920" w:type="dxa"/>
            <w:vAlign w:val="bottom"/>
          </w:tcPr>
          <w:p>
            <w:pPr>
              <w:ind w:left="5680"/>
              <w:spacing w:after="0"/>
              <w:rPr>
                <w:sz w:val="20"/>
                <w:szCs w:val="20"/>
                <w:color w:val="auto"/>
              </w:rPr>
            </w:pPr>
            <w:r>
              <w:rPr>
                <w:rFonts w:ascii="Arial" w:cs="Arial" w:eastAsia="Arial" w:hAnsi="Arial"/>
                <w:sz w:val="18"/>
                <w:szCs w:val="18"/>
                <w:color w:val="auto"/>
              </w:rPr>
              <w:t>i</w:t>
            </w:r>
          </w:p>
        </w:tc>
        <w:tc>
          <w:tcPr>
            <w:tcW w:w="2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7" w:name="page258"/>
    <w:bookmarkEnd w:id="257"/>
    <w:tbl>
      <w:tblPr>
        <w:tblLayout w:type="fixed"/>
        <w:tblInd w:w="0" w:type="dxa"/>
        <w:tblCellMar>
          <w:top w:w="0" w:type="dxa"/>
          <w:left w:w="0" w:type="dxa"/>
          <w:bottom w:w="0" w:type="dxa"/>
          <w:right w:w="0" w:type="dxa"/>
        </w:tblCellMar>
      </w:tblP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Article VI. Representations and Warranties</w:t>
            </w:r>
          </w:p>
        </w:tc>
        <w:tc>
          <w:tcPr>
            <w:tcW w:w="2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8560" w:type="dxa"/>
            <w:vAlign w:val="bottom"/>
          </w:tcPr>
          <w:p>
            <w:pPr>
              <w:ind w:left="440"/>
              <w:spacing w:after="0"/>
              <w:rPr>
                <w:sz w:val="20"/>
                <w:szCs w:val="20"/>
                <w:color w:val="auto"/>
              </w:rPr>
            </w:pPr>
            <w:r>
              <w:rPr>
                <w:rFonts w:ascii="Arial" w:cs="Arial" w:eastAsia="Arial" w:hAnsi="Arial"/>
                <w:sz w:val="18"/>
                <w:szCs w:val="18"/>
                <w:color w:val="auto"/>
              </w:rPr>
              <w:t>Section 6.1. Representations and Warranties.</w:t>
            </w:r>
          </w:p>
        </w:tc>
        <w:tc>
          <w:tcPr>
            <w:tcW w:w="2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8560" w:type="dxa"/>
            <w:vAlign w:val="bottom"/>
          </w:tcPr>
          <w:p>
            <w:pPr>
              <w:ind w:left="440"/>
              <w:spacing w:after="0"/>
              <w:rPr>
                <w:sz w:val="20"/>
                <w:szCs w:val="20"/>
                <w:color w:val="auto"/>
              </w:rPr>
            </w:pPr>
            <w:r>
              <w:rPr>
                <w:rFonts w:ascii="Arial" w:cs="Arial" w:eastAsia="Arial" w:hAnsi="Arial"/>
                <w:sz w:val="18"/>
                <w:szCs w:val="18"/>
                <w:color w:val="auto"/>
              </w:rPr>
              <w:t>Section 6.2. Survival of Representations and Warranties, Etc.</w:t>
            </w:r>
          </w:p>
        </w:tc>
        <w:tc>
          <w:tcPr>
            <w:tcW w:w="2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Article VII. Affirmative Covenants</w:t>
            </w:r>
          </w:p>
        </w:tc>
        <w:tc>
          <w:tcPr>
            <w:tcW w:w="2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8560" w:type="dxa"/>
            <w:vAlign w:val="bottom"/>
          </w:tcPr>
          <w:p>
            <w:pPr>
              <w:ind w:left="440"/>
              <w:spacing w:after="0"/>
              <w:rPr>
                <w:sz w:val="20"/>
                <w:szCs w:val="20"/>
                <w:color w:val="auto"/>
              </w:rPr>
            </w:pPr>
            <w:r>
              <w:rPr>
                <w:rFonts w:ascii="Arial" w:cs="Arial" w:eastAsia="Arial" w:hAnsi="Arial"/>
                <w:sz w:val="18"/>
                <w:szCs w:val="18"/>
                <w:color w:val="auto"/>
              </w:rPr>
              <w:t>Section 7.1. Preservation of Existence and Similar Matters.</w:t>
            </w:r>
          </w:p>
        </w:tc>
        <w:tc>
          <w:tcPr>
            <w:tcW w:w="2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7.2. Compliance with Applicable Law and Material Contracts.</w:t>
            </w:r>
          </w:p>
        </w:tc>
        <w:tc>
          <w:tcPr>
            <w:tcW w:w="2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7.3. Maintenance of Property.</w:t>
            </w:r>
          </w:p>
        </w:tc>
        <w:tc>
          <w:tcPr>
            <w:tcW w:w="2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7.4. Conduct of Business.</w:t>
            </w:r>
          </w:p>
        </w:tc>
        <w:tc>
          <w:tcPr>
            <w:tcW w:w="2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7.5. Insurance.</w:t>
            </w:r>
          </w:p>
        </w:tc>
        <w:tc>
          <w:tcPr>
            <w:tcW w:w="2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7.6. Payment of Taxes and Claims.</w:t>
            </w:r>
          </w:p>
        </w:tc>
        <w:tc>
          <w:tcPr>
            <w:tcW w:w="2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7.7. Visits and Inspections.</w:t>
            </w:r>
          </w:p>
        </w:tc>
        <w:tc>
          <w:tcPr>
            <w:tcW w:w="2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7.8. Use of Proceeds.</w:t>
            </w:r>
          </w:p>
        </w:tc>
        <w:tc>
          <w:tcPr>
            <w:tcW w:w="2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7.9. Environmental Matters.</w:t>
            </w:r>
          </w:p>
        </w:tc>
        <w:tc>
          <w:tcPr>
            <w:tcW w:w="2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7.10. Books and Records.</w:t>
            </w:r>
          </w:p>
        </w:tc>
        <w:tc>
          <w:tcPr>
            <w:tcW w:w="2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7.11. Further Assurances.</w:t>
            </w:r>
          </w:p>
        </w:tc>
        <w:tc>
          <w:tcPr>
            <w:tcW w:w="2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7.12. New Subsidiaries/Guarantors.</w:t>
            </w:r>
          </w:p>
        </w:tc>
        <w:tc>
          <w:tcPr>
            <w:tcW w:w="2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7.13. REIT Status.</w:t>
            </w:r>
          </w:p>
        </w:tc>
        <w:tc>
          <w:tcPr>
            <w:tcW w:w="2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8560" w:type="dxa"/>
            <w:vAlign w:val="bottom"/>
          </w:tcPr>
          <w:p>
            <w:pPr>
              <w:ind w:left="440"/>
              <w:spacing w:after="0"/>
              <w:rPr>
                <w:sz w:val="20"/>
                <w:szCs w:val="20"/>
                <w:color w:val="auto"/>
              </w:rPr>
            </w:pPr>
            <w:r>
              <w:rPr>
                <w:rFonts w:ascii="Arial" w:cs="Arial" w:eastAsia="Arial" w:hAnsi="Arial"/>
                <w:sz w:val="18"/>
                <w:szCs w:val="18"/>
                <w:color w:val="auto"/>
              </w:rPr>
              <w:t>Section 7.14. Exchange Listing.</w:t>
            </w:r>
          </w:p>
        </w:tc>
        <w:tc>
          <w:tcPr>
            <w:tcW w:w="2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Article VIII. Information</w:t>
            </w:r>
          </w:p>
        </w:tc>
        <w:tc>
          <w:tcPr>
            <w:tcW w:w="2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8"/>
        </w:trPr>
        <w:tc>
          <w:tcPr>
            <w:tcW w:w="8560" w:type="dxa"/>
            <w:vAlign w:val="bottom"/>
          </w:tcPr>
          <w:p>
            <w:pPr>
              <w:ind w:left="440"/>
              <w:spacing w:after="0"/>
              <w:rPr>
                <w:sz w:val="20"/>
                <w:szCs w:val="20"/>
                <w:color w:val="auto"/>
              </w:rPr>
            </w:pPr>
            <w:r>
              <w:rPr>
                <w:rFonts w:ascii="Arial" w:cs="Arial" w:eastAsia="Arial" w:hAnsi="Arial"/>
                <w:sz w:val="18"/>
                <w:szCs w:val="18"/>
                <w:color w:val="auto"/>
              </w:rPr>
              <w:t>Section 8.1. Quarterly Financial Statements.</w:t>
            </w:r>
          </w:p>
        </w:tc>
        <w:tc>
          <w:tcPr>
            <w:tcW w:w="2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8.2. Year-End Statements.</w:t>
            </w:r>
          </w:p>
        </w:tc>
        <w:tc>
          <w:tcPr>
            <w:tcW w:w="2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8.3. Compliance Certificate.</w:t>
            </w:r>
          </w:p>
        </w:tc>
        <w:tc>
          <w:tcPr>
            <w:tcW w:w="2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8.4. Other Information.</w:t>
            </w:r>
          </w:p>
        </w:tc>
        <w:tc>
          <w:tcPr>
            <w:tcW w:w="2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8560" w:type="dxa"/>
            <w:vAlign w:val="bottom"/>
          </w:tcPr>
          <w:p>
            <w:pPr>
              <w:ind w:left="440"/>
              <w:spacing w:after="0"/>
              <w:rPr>
                <w:sz w:val="20"/>
                <w:szCs w:val="20"/>
                <w:color w:val="auto"/>
              </w:rPr>
            </w:pPr>
            <w:r>
              <w:rPr>
                <w:rFonts w:ascii="Arial" w:cs="Arial" w:eastAsia="Arial" w:hAnsi="Arial"/>
                <w:sz w:val="18"/>
                <w:szCs w:val="18"/>
                <w:color w:val="auto"/>
              </w:rPr>
              <w:t>Section 8.5. Electronic Delivery of Certain Information.</w:t>
            </w:r>
          </w:p>
        </w:tc>
        <w:tc>
          <w:tcPr>
            <w:tcW w:w="28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Article IX. Negative Covenants</w:t>
            </w:r>
          </w:p>
        </w:tc>
        <w:tc>
          <w:tcPr>
            <w:tcW w:w="2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8560" w:type="dxa"/>
            <w:vAlign w:val="bottom"/>
          </w:tcPr>
          <w:p>
            <w:pPr>
              <w:ind w:left="440"/>
              <w:spacing w:after="0"/>
              <w:rPr>
                <w:sz w:val="20"/>
                <w:szCs w:val="20"/>
                <w:color w:val="auto"/>
              </w:rPr>
            </w:pPr>
            <w:r>
              <w:rPr>
                <w:rFonts w:ascii="Arial" w:cs="Arial" w:eastAsia="Arial" w:hAnsi="Arial"/>
                <w:sz w:val="18"/>
                <w:szCs w:val="18"/>
                <w:color w:val="auto"/>
              </w:rPr>
              <w:t>Section 9.1. Financial Covenants.</w:t>
            </w:r>
          </w:p>
        </w:tc>
        <w:tc>
          <w:tcPr>
            <w:tcW w:w="2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9.2. Restricted Payments.</w:t>
            </w:r>
          </w:p>
        </w:tc>
        <w:tc>
          <w:tcPr>
            <w:tcW w:w="2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9.3. Indebtedness.</w:t>
            </w:r>
          </w:p>
        </w:tc>
        <w:tc>
          <w:tcPr>
            <w:tcW w:w="2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9.4. Certain Permitted Investments.</w:t>
            </w:r>
          </w:p>
        </w:tc>
        <w:tc>
          <w:tcPr>
            <w:tcW w:w="2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9.5. Investments Generally.</w:t>
            </w:r>
          </w:p>
        </w:tc>
        <w:tc>
          <w:tcPr>
            <w:tcW w:w="2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9.6. Liens; Negative Pledges; Other Matters.</w:t>
            </w:r>
          </w:p>
        </w:tc>
        <w:tc>
          <w:tcPr>
            <w:tcW w:w="2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9.7. Merger, Consolidation, Sales of Assets and Other Arrangements.</w:t>
            </w:r>
          </w:p>
        </w:tc>
        <w:tc>
          <w:tcPr>
            <w:tcW w:w="2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9.8. Fiscal Year.</w:t>
            </w:r>
          </w:p>
        </w:tc>
        <w:tc>
          <w:tcPr>
            <w:tcW w:w="2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9.9. Modifications of Organizational Documents.</w:t>
            </w:r>
          </w:p>
        </w:tc>
        <w:tc>
          <w:tcPr>
            <w:tcW w:w="2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9.10. Transactions with Affiliates.</w:t>
            </w:r>
          </w:p>
        </w:tc>
        <w:tc>
          <w:tcPr>
            <w:tcW w:w="2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9.11. ERISA Exemptions.</w:t>
            </w:r>
          </w:p>
        </w:tc>
        <w:tc>
          <w:tcPr>
            <w:tcW w:w="2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8560" w:type="dxa"/>
            <w:vAlign w:val="bottom"/>
          </w:tcPr>
          <w:p>
            <w:pPr>
              <w:ind w:left="440"/>
              <w:spacing w:after="0"/>
              <w:rPr>
                <w:sz w:val="20"/>
                <w:szCs w:val="20"/>
                <w:color w:val="auto"/>
              </w:rPr>
            </w:pPr>
            <w:r>
              <w:rPr>
                <w:rFonts w:ascii="Arial" w:cs="Arial" w:eastAsia="Arial" w:hAnsi="Arial"/>
                <w:sz w:val="18"/>
                <w:szCs w:val="18"/>
                <w:color w:val="auto"/>
              </w:rPr>
              <w:t>Section 9.12. Non-Controlled Properties.</w:t>
            </w:r>
          </w:p>
        </w:tc>
        <w:tc>
          <w:tcPr>
            <w:tcW w:w="2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Article X. Default</w:t>
            </w:r>
          </w:p>
        </w:tc>
        <w:tc>
          <w:tcPr>
            <w:tcW w:w="2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8560" w:type="dxa"/>
            <w:vAlign w:val="bottom"/>
          </w:tcPr>
          <w:p>
            <w:pPr>
              <w:ind w:left="440"/>
              <w:spacing w:after="0"/>
              <w:rPr>
                <w:sz w:val="20"/>
                <w:szCs w:val="20"/>
                <w:color w:val="auto"/>
              </w:rPr>
            </w:pPr>
            <w:r>
              <w:rPr>
                <w:rFonts w:ascii="Arial" w:cs="Arial" w:eastAsia="Arial" w:hAnsi="Arial"/>
                <w:sz w:val="18"/>
                <w:szCs w:val="18"/>
                <w:color w:val="auto"/>
              </w:rPr>
              <w:t>Section 10.1. Events of Default.</w:t>
            </w:r>
          </w:p>
        </w:tc>
        <w:tc>
          <w:tcPr>
            <w:tcW w:w="2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10.2. Remedies Upon Event of Default.</w:t>
            </w:r>
          </w:p>
        </w:tc>
        <w:tc>
          <w:tcPr>
            <w:tcW w:w="2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560" w:type="dxa"/>
            <w:vAlign w:val="bottom"/>
          </w:tcPr>
          <w:p>
            <w:pPr>
              <w:ind w:left="440"/>
              <w:spacing w:after="0"/>
              <w:rPr>
                <w:sz w:val="20"/>
                <w:szCs w:val="20"/>
                <w:color w:val="auto"/>
              </w:rPr>
            </w:pPr>
            <w:r>
              <w:rPr>
                <w:rFonts w:ascii="Arial" w:cs="Arial" w:eastAsia="Arial" w:hAnsi="Arial"/>
                <w:sz w:val="18"/>
                <w:szCs w:val="18"/>
                <w:color w:val="auto"/>
              </w:rPr>
              <w:t>Section 10.3. Allocation of Proceeds.</w:t>
            </w:r>
          </w:p>
        </w:tc>
        <w:tc>
          <w:tcPr>
            <w:tcW w:w="2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8560" w:type="dxa"/>
            <w:vAlign w:val="bottom"/>
          </w:tcPr>
          <w:p>
            <w:pPr>
              <w:ind w:left="440"/>
              <w:spacing w:after="0"/>
              <w:rPr>
                <w:sz w:val="20"/>
                <w:szCs w:val="20"/>
                <w:color w:val="auto"/>
              </w:rPr>
            </w:pPr>
            <w:r>
              <w:rPr>
                <w:rFonts w:ascii="Arial" w:cs="Arial" w:eastAsia="Arial" w:hAnsi="Arial"/>
                <w:sz w:val="18"/>
                <w:szCs w:val="18"/>
                <w:color w:val="auto"/>
              </w:rPr>
              <w:t>Section 10.4. Performance by Agent.</w:t>
            </w:r>
          </w:p>
        </w:tc>
        <w:tc>
          <w:tcPr>
            <w:tcW w:w="286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22"/>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10.5. Rights Cumulative.</w:t>
            </w:r>
          </w:p>
        </w:tc>
        <w:tc>
          <w:tcPr>
            <w:tcW w:w="3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2040" w:type="dxa"/>
            <w:vAlign w:val="bottom"/>
          </w:tcPr>
          <w:p>
            <w:pPr>
              <w:spacing w:after="0"/>
              <w:rPr>
                <w:sz w:val="20"/>
                <w:szCs w:val="20"/>
                <w:color w:val="auto"/>
              </w:rPr>
            </w:pPr>
            <w:r>
              <w:rPr>
                <w:rFonts w:ascii="Arial" w:cs="Arial" w:eastAsia="Arial" w:hAnsi="Arial"/>
                <w:sz w:val="18"/>
                <w:szCs w:val="18"/>
                <w:color w:val="auto"/>
              </w:rPr>
              <w:t>Article XI. The Agent</w:t>
            </w:r>
          </w:p>
        </w:tc>
        <w:tc>
          <w:tcPr>
            <w:tcW w:w="63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11.1. Authorization and Action.</w:t>
            </w:r>
          </w:p>
        </w:tc>
        <w:tc>
          <w:tcPr>
            <w:tcW w:w="3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11.2. Agent’s Reliance, Etc.</w:t>
            </w:r>
          </w:p>
        </w:tc>
        <w:tc>
          <w:tcPr>
            <w:tcW w:w="3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11.3. Notice of Defaults.</w:t>
            </w:r>
          </w:p>
        </w:tc>
        <w:tc>
          <w:tcPr>
            <w:tcW w:w="3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11.4. Wachovia as Lender.</w:t>
            </w:r>
          </w:p>
        </w:tc>
        <w:tc>
          <w:tcPr>
            <w:tcW w:w="3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11.5. Approvals of Lenders.</w:t>
            </w:r>
          </w:p>
        </w:tc>
        <w:tc>
          <w:tcPr>
            <w:tcW w:w="3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11.6. Lender Credit Decision, Etc.</w:t>
            </w:r>
          </w:p>
        </w:tc>
        <w:tc>
          <w:tcPr>
            <w:tcW w:w="3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11.7. Indemnification of Agent.</w:t>
            </w:r>
          </w:p>
        </w:tc>
        <w:tc>
          <w:tcPr>
            <w:tcW w:w="3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11.8. Successor Agent.</w:t>
            </w:r>
          </w:p>
        </w:tc>
        <w:tc>
          <w:tcPr>
            <w:tcW w:w="3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2"/>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11.9. Titled Agents.</w:t>
            </w:r>
          </w:p>
        </w:tc>
        <w:tc>
          <w:tcPr>
            <w:tcW w:w="3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2040" w:type="dxa"/>
            <w:vAlign w:val="bottom"/>
          </w:tcPr>
          <w:p>
            <w:pPr>
              <w:spacing w:after="0"/>
              <w:rPr>
                <w:sz w:val="20"/>
                <w:szCs w:val="20"/>
                <w:color w:val="auto"/>
              </w:rPr>
            </w:pPr>
            <w:r>
              <w:rPr>
                <w:rFonts w:ascii="Arial" w:cs="Arial" w:eastAsia="Arial" w:hAnsi="Arial"/>
                <w:sz w:val="18"/>
                <w:szCs w:val="18"/>
                <w:color w:val="auto"/>
              </w:rPr>
              <w:t>Article XII. Miscellaneous</w:t>
            </w:r>
          </w:p>
        </w:tc>
        <w:tc>
          <w:tcPr>
            <w:tcW w:w="63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2040" w:type="dxa"/>
            <w:vAlign w:val="bottom"/>
          </w:tcPr>
          <w:p>
            <w:pPr>
              <w:ind w:left="440"/>
              <w:spacing w:after="0"/>
              <w:rPr>
                <w:sz w:val="20"/>
                <w:szCs w:val="20"/>
                <w:color w:val="auto"/>
              </w:rPr>
            </w:pPr>
            <w:r>
              <w:rPr>
                <w:rFonts w:ascii="Arial" w:cs="Arial" w:eastAsia="Arial" w:hAnsi="Arial"/>
                <w:sz w:val="18"/>
                <w:szCs w:val="18"/>
                <w:color w:val="auto"/>
                <w:w w:val="90"/>
              </w:rPr>
              <w:t>Section 12.1. Notices.</w:t>
            </w:r>
          </w:p>
        </w:tc>
        <w:tc>
          <w:tcPr>
            <w:tcW w:w="63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12.2. Expenses.</w:t>
            </w:r>
          </w:p>
        </w:tc>
        <w:tc>
          <w:tcPr>
            <w:tcW w:w="3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40" w:type="dxa"/>
            <w:vAlign w:val="bottom"/>
          </w:tcPr>
          <w:p>
            <w:pPr>
              <w:ind w:left="440"/>
              <w:spacing w:after="0"/>
              <w:rPr>
                <w:sz w:val="20"/>
                <w:szCs w:val="20"/>
                <w:color w:val="auto"/>
              </w:rPr>
            </w:pPr>
            <w:r>
              <w:rPr>
                <w:rFonts w:ascii="Arial" w:cs="Arial" w:eastAsia="Arial" w:hAnsi="Arial"/>
                <w:sz w:val="18"/>
                <w:szCs w:val="18"/>
                <w:color w:val="auto"/>
                <w:w w:val="97"/>
              </w:rPr>
              <w:t>Section 12.3. Setoff.</w:t>
            </w:r>
          </w:p>
        </w:tc>
        <w:tc>
          <w:tcPr>
            <w:tcW w:w="6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12.4. Litigation; Jurisdiction; Other Matters; Waivers.</w:t>
            </w:r>
          </w:p>
        </w:tc>
        <w:tc>
          <w:tcPr>
            <w:tcW w:w="30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12.5. Successors and Assigns.</w:t>
            </w:r>
          </w:p>
        </w:tc>
        <w:tc>
          <w:tcPr>
            <w:tcW w:w="3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12.6. Amendments.</w:t>
            </w:r>
          </w:p>
        </w:tc>
        <w:tc>
          <w:tcPr>
            <w:tcW w:w="3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12.7. Nonliability of Agent and Lenders.</w:t>
            </w:r>
          </w:p>
        </w:tc>
        <w:tc>
          <w:tcPr>
            <w:tcW w:w="3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12.8. Confidentiality.</w:t>
            </w:r>
          </w:p>
        </w:tc>
        <w:tc>
          <w:tcPr>
            <w:tcW w:w="3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12.9. Indemnification.</w:t>
            </w:r>
          </w:p>
        </w:tc>
        <w:tc>
          <w:tcPr>
            <w:tcW w:w="3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12.10. Termination; Survival.</w:t>
            </w:r>
          </w:p>
        </w:tc>
        <w:tc>
          <w:tcPr>
            <w:tcW w:w="30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12.11. Severability of Provisions.</w:t>
            </w:r>
          </w:p>
        </w:tc>
        <w:tc>
          <w:tcPr>
            <w:tcW w:w="30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12.12. GOVERNING LAW.</w:t>
            </w:r>
          </w:p>
        </w:tc>
        <w:tc>
          <w:tcPr>
            <w:tcW w:w="30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12.13. Patriot Act.</w:t>
            </w:r>
          </w:p>
        </w:tc>
        <w:tc>
          <w:tcPr>
            <w:tcW w:w="3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12.14. Counterparts.</w:t>
            </w:r>
          </w:p>
        </w:tc>
        <w:tc>
          <w:tcPr>
            <w:tcW w:w="3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12.15. Obligations with Respect to Loan Parties.</w:t>
            </w:r>
          </w:p>
        </w:tc>
        <w:tc>
          <w:tcPr>
            <w:tcW w:w="3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12.16. Limitation of Liability.</w:t>
            </w:r>
          </w:p>
        </w:tc>
        <w:tc>
          <w:tcPr>
            <w:tcW w:w="3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12.17. Entire Agreement.</w:t>
            </w:r>
          </w:p>
        </w:tc>
        <w:tc>
          <w:tcPr>
            <w:tcW w:w="3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12.18. Construction.</w:t>
            </w:r>
          </w:p>
        </w:tc>
        <w:tc>
          <w:tcPr>
            <w:tcW w:w="3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8380" w:type="dxa"/>
            <w:vAlign w:val="bottom"/>
            <w:gridSpan w:val="2"/>
          </w:tcPr>
          <w:p>
            <w:pPr>
              <w:ind w:left="440"/>
              <w:spacing w:after="0"/>
              <w:rPr>
                <w:sz w:val="20"/>
                <w:szCs w:val="20"/>
                <w:color w:val="auto"/>
              </w:rPr>
            </w:pPr>
            <w:r>
              <w:rPr>
                <w:rFonts w:ascii="Arial" w:cs="Arial" w:eastAsia="Arial" w:hAnsi="Arial"/>
                <w:sz w:val="18"/>
                <w:szCs w:val="18"/>
                <w:color w:val="auto"/>
              </w:rPr>
              <w:t>Section 12.19. Limitation of Liability of Trustees, Etc.</w:t>
            </w:r>
          </w:p>
        </w:tc>
        <w:tc>
          <w:tcPr>
            <w:tcW w:w="3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12"/>
        </w:trPr>
        <w:tc>
          <w:tcPr>
            <w:tcW w:w="2040" w:type="dxa"/>
            <w:vAlign w:val="bottom"/>
          </w:tcPr>
          <w:p>
            <w:pPr>
              <w:spacing w:after="0"/>
              <w:rPr>
                <w:sz w:val="20"/>
                <w:szCs w:val="20"/>
                <w:color w:val="auto"/>
              </w:rPr>
            </w:pPr>
            <w:r>
              <w:rPr>
                <w:rFonts w:ascii="Arial" w:cs="Arial" w:eastAsia="Arial" w:hAnsi="Arial"/>
                <w:sz w:val="18"/>
                <w:szCs w:val="18"/>
                <w:color w:val="auto"/>
              </w:rPr>
              <w:t>SCHEDULE 1</w:t>
            </w:r>
          </w:p>
        </w:tc>
        <w:tc>
          <w:tcPr>
            <w:tcW w:w="6340" w:type="dxa"/>
            <w:vAlign w:val="bottom"/>
          </w:tcPr>
          <w:p>
            <w:pPr>
              <w:ind w:left="40"/>
              <w:spacing w:after="0"/>
              <w:rPr>
                <w:sz w:val="20"/>
                <w:szCs w:val="20"/>
                <w:color w:val="auto"/>
              </w:rPr>
            </w:pPr>
            <w:r>
              <w:rPr>
                <w:rFonts w:ascii="Arial" w:cs="Arial" w:eastAsia="Arial" w:hAnsi="Arial"/>
                <w:sz w:val="18"/>
                <w:szCs w:val="18"/>
                <w:color w:val="auto"/>
              </w:rPr>
              <w:t>Commitments</w:t>
            </w:r>
          </w:p>
        </w:tc>
        <w:tc>
          <w:tcPr>
            <w:tcW w:w="3040" w:type="dxa"/>
            <w:vAlign w:val="bottom"/>
          </w:tcPr>
          <w:p>
            <w:pPr>
              <w:spacing w:after="0"/>
              <w:rPr>
                <w:sz w:val="24"/>
                <w:szCs w:val="24"/>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SCHEDULE 1.1(A)</w:t>
            </w:r>
          </w:p>
        </w:tc>
        <w:tc>
          <w:tcPr>
            <w:tcW w:w="6340" w:type="dxa"/>
            <w:vAlign w:val="bottom"/>
          </w:tcPr>
          <w:p>
            <w:pPr>
              <w:ind w:left="40"/>
              <w:spacing w:after="0"/>
              <w:rPr>
                <w:sz w:val="20"/>
                <w:szCs w:val="20"/>
                <w:color w:val="auto"/>
              </w:rPr>
            </w:pPr>
            <w:r>
              <w:rPr>
                <w:rFonts w:ascii="Arial" w:cs="Arial" w:eastAsia="Arial" w:hAnsi="Arial"/>
                <w:sz w:val="18"/>
                <w:szCs w:val="18"/>
                <w:color w:val="auto"/>
              </w:rPr>
              <w:t>List of Loan Parties</w:t>
            </w:r>
          </w:p>
        </w:tc>
        <w:tc>
          <w:tcPr>
            <w:tcW w:w="304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SCHEDULE 6.1.(b)</w:t>
            </w:r>
          </w:p>
        </w:tc>
        <w:tc>
          <w:tcPr>
            <w:tcW w:w="6340" w:type="dxa"/>
            <w:vAlign w:val="bottom"/>
          </w:tcPr>
          <w:p>
            <w:pPr>
              <w:ind w:left="40"/>
              <w:spacing w:after="0"/>
              <w:rPr>
                <w:sz w:val="20"/>
                <w:szCs w:val="20"/>
                <w:color w:val="auto"/>
              </w:rPr>
            </w:pPr>
            <w:r>
              <w:rPr>
                <w:rFonts w:ascii="Arial" w:cs="Arial" w:eastAsia="Arial" w:hAnsi="Arial"/>
                <w:sz w:val="18"/>
                <w:szCs w:val="18"/>
                <w:color w:val="auto"/>
              </w:rPr>
              <w:t>Ownership Structure</w:t>
            </w:r>
          </w:p>
        </w:tc>
        <w:tc>
          <w:tcPr>
            <w:tcW w:w="304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SCHEDULE 6.1.(f)</w:t>
            </w:r>
          </w:p>
        </w:tc>
        <w:tc>
          <w:tcPr>
            <w:tcW w:w="6340" w:type="dxa"/>
            <w:vAlign w:val="bottom"/>
          </w:tcPr>
          <w:p>
            <w:pPr>
              <w:ind w:left="40"/>
              <w:spacing w:after="0"/>
              <w:rPr>
                <w:sz w:val="20"/>
                <w:szCs w:val="20"/>
                <w:color w:val="auto"/>
              </w:rPr>
            </w:pPr>
            <w:r>
              <w:rPr>
                <w:rFonts w:ascii="Arial" w:cs="Arial" w:eastAsia="Arial" w:hAnsi="Arial"/>
                <w:sz w:val="18"/>
                <w:szCs w:val="18"/>
                <w:color w:val="auto"/>
              </w:rPr>
              <w:t>Title to Properties; Liens</w:t>
            </w:r>
          </w:p>
        </w:tc>
        <w:tc>
          <w:tcPr>
            <w:tcW w:w="304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SCHEDULE 6.1.(g)</w:t>
            </w:r>
          </w:p>
        </w:tc>
        <w:tc>
          <w:tcPr>
            <w:tcW w:w="6340" w:type="dxa"/>
            <w:vAlign w:val="bottom"/>
          </w:tcPr>
          <w:p>
            <w:pPr>
              <w:ind w:left="40"/>
              <w:spacing w:after="0"/>
              <w:rPr>
                <w:sz w:val="20"/>
                <w:szCs w:val="20"/>
                <w:color w:val="auto"/>
              </w:rPr>
            </w:pPr>
            <w:r>
              <w:rPr>
                <w:rFonts w:ascii="Arial" w:cs="Arial" w:eastAsia="Arial" w:hAnsi="Arial"/>
                <w:sz w:val="18"/>
                <w:szCs w:val="18"/>
                <w:color w:val="auto"/>
              </w:rPr>
              <w:t>Indebtedness and Guaranties</w:t>
            </w:r>
          </w:p>
        </w:tc>
        <w:tc>
          <w:tcPr>
            <w:tcW w:w="304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SCHEDULE 6.1.(h)</w:t>
            </w:r>
          </w:p>
        </w:tc>
        <w:tc>
          <w:tcPr>
            <w:tcW w:w="634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3040" w:type="dxa"/>
            <w:vAlign w:val="bottom"/>
          </w:tcPr>
          <w:p>
            <w:pPr>
              <w:spacing w:after="0"/>
              <w:rPr>
                <w:sz w:val="18"/>
                <w:szCs w:val="18"/>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SCHEDULE 6.1.(x)</w:t>
            </w:r>
          </w:p>
        </w:tc>
        <w:tc>
          <w:tcPr>
            <w:tcW w:w="6340" w:type="dxa"/>
            <w:vAlign w:val="bottom"/>
          </w:tcPr>
          <w:p>
            <w:pPr>
              <w:ind w:left="40"/>
              <w:spacing w:after="0"/>
              <w:rPr>
                <w:sz w:val="20"/>
                <w:szCs w:val="20"/>
                <w:color w:val="auto"/>
              </w:rPr>
            </w:pPr>
            <w:r>
              <w:rPr>
                <w:rFonts w:ascii="Arial" w:cs="Arial" w:eastAsia="Arial" w:hAnsi="Arial"/>
                <w:sz w:val="18"/>
                <w:szCs w:val="18"/>
                <w:color w:val="auto"/>
              </w:rPr>
              <w:t>Unencumbered Assets</w:t>
            </w:r>
          </w:p>
        </w:tc>
        <w:tc>
          <w:tcPr>
            <w:tcW w:w="3040" w:type="dxa"/>
            <w:vAlign w:val="bottom"/>
          </w:tcPr>
          <w:p>
            <w:pPr>
              <w:spacing w:after="0"/>
              <w:rPr>
                <w:sz w:val="19"/>
                <w:szCs w:val="19"/>
                <w:color w:val="auto"/>
              </w:rPr>
            </w:pPr>
          </w:p>
        </w:tc>
      </w:tr>
      <w:tr>
        <w:trPr>
          <w:trHeight w:val="412"/>
        </w:trPr>
        <w:tc>
          <w:tcPr>
            <w:tcW w:w="2040" w:type="dxa"/>
            <w:vAlign w:val="bottom"/>
          </w:tcPr>
          <w:p>
            <w:pPr>
              <w:spacing w:after="0"/>
              <w:rPr>
                <w:sz w:val="20"/>
                <w:szCs w:val="20"/>
                <w:color w:val="auto"/>
              </w:rPr>
            </w:pPr>
            <w:r>
              <w:rPr>
                <w:rFonts w:ascii="Arial" w:cs="Arial" w:eastAsia="Arial" w:hAnsi="Arial"/>
                <w:sz w:val="18"/>
                <w:szCs w:val="18"/>
                <w:color w:val="auto"/>
              </w:rPr>
              <w:t>EXHIBIT A</w:t>
            </w:r>
          </w:p>
        </w:tc>
        <w:tc>
          <w:tcPr>
            <w:tcW w:w="6340" w:type="dxa"/>
            <w:vAlign w:val="bottom"/>
          </w:tcPr>
          <w:p>
            <w:pPr>
              <w:ind w:left="40"/>
              <w:spacing w:after="0"/>
              <w:rPr>
                <w:sz w:val="20"/>
                <w:szCs w:val="20"/>
                <w:color w:val="auto"/>
              </w:rPr>
            </w:pPr>
            <w:r>
              <w:rPr>
                <w:rFonts w:ascii="Arial" w:cs="Arial" w:eastAsia="Arial" w:hAnsi="Arial"/>
                <w:sz w:val="18"/>
                <w:szCs w:val="18"/>
                <w:color w:val="auto"/>
              </w:rPr>
              <w:t>Form of Assignment and Acceptance Agreement</w:t>
            </w:r>
          </w:p>
        </w:tc>
        <w:tc>
          <w:tcPr>
            <w:tcW w:w="3040" w:type="dxa"/>
            <w:vAlign w:val="bottom"/>
          </w:tcPr>
          <w:p>
            <w:pPr>
              <w:spacing w:after="0"/>
              <w:rPr>
                <w:sz w:val="24"/>
                <w:szCs w:val="24"/>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EXHIBIT B</w:t>
            </w:r>
          </w:p>
        </w:tc>
        <w:tc>
          <w:tcPr>
            <w:tcW w:w="6340" w:type="dxa"/>
            <w:vAlign w:val="bottom"/>
          </w:tcPr>
          <w:p>
            <w:pPr>
              <w:ind w:left="40"/>
              <w:spacing w:after="0"/>
              <w:rPr>
                <w:sz w:val="20"/>
                <w:szCs w:val="20"/>
                <w:color w:val="auto"/>
              </w:rPr>
            </w:pPr>
            <w:r>
              <w:rPr>
                <w:rFonts w:ascii="Arial" w:cs="Arial" w:eastAsia="Arial" w:hAnsi="Arial"/>
                <w:sz w:val="18"/>
                <w:szCs w:val="18"/>
                <w:color w:val="auto"/>
              </w:rPr>
              <w:t>Form of Notice of Borrowing</w:t>
            </w:r>
          </w:p>
        </w:tc>
        <w:tc>
          <w:tcPr>
            <w:tcW w:w="3040" w:type="dxa"/>
            <w:vAlign w:val="bottom"/>
          </w:tcPr>
          <w:p>
            <w:pPr>
              <w:spacing w:after="0"/>
              <w:rPr>
                <w:sz w:val="18"/>
                <w:szCs w:val="18"/>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EXHIBIT C</w:t>
            </w:r>
          </w:p>
        </w:tc>
        <w:tc>
          <w:tcPr>
            <w:tcW w:w="6340" w:type="dxa"/>
            <w:vAlign w:val="bottom"/>
          </w:tcPr>
          <w:p>
            <w:pPr>
              <w:ind w:left="40"/>
              <w:spacing w:after="0"/>
              <w:rPr>
                <w:sz w:val="20"/>
                <w:szCs w:val="20"/>
                <w:color w:val="auto"/>
              </w:rPr>
            </w:pPr>
            <w:r>
              <w:rPr>
                <w:rFonts w:ascii="Arial" w:cs="Arial" w:eastAsia="Arial" w:hAnsi="Arial"/>
                <w:sz w:val="18"/>
                <w:szCs w:val="18"/>
                <w:color w:val="auto"/>
              </w:rPr>
              <w:t>Form of Notice of Continuation</w:t>
            </w:r>
          </w:p>
        </w:tc>
        <w:tc>
          <w:tcPr>
            <w:tcW w:w="304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259" w:name="page260"/>
    <w:bookmarkEnd w:id="259"/>
    <w:p>
      <w:pPr>
        <w:spacing w:after="0"/>
        <w:rPr>
          <w:sz w:val="20"/>
          <w:szCs w:val="20"/>
          <w:color w:val="auto"/>
        </w:rPr>
      </w:pPr>
      <w:r>
        <w:rPr>
          <w:rFonts w:ascii="Arial" w:cs="Arial" w:eastAsia="Arial" w:hAnsi="Arial"/>
          <w:sz w:val="16"/>
          <w:szCs w:val="16"/>
          <w:color w:val="auto"/>
        </w:rPr>
        <w:t>EXHIBIT 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Notice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-205105</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Compliance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Guaranty</w:t>
      </w:r>
    </w:p>
    <w:p>
      <w:pPr>
        <w:spacing w:after="0" w:line="151" w:lineRule="exact"/>
        <w:rPr>
          <w:sz w:val="20"/>
          <w:szCs w:val="20"/>
          <w:color w:val="auto"/>
        </w:rPr>
      </w:pPr>
    </w:p>
    <w:p>
      <w:pPr>
        <w:sectPr>
          <w:pgSz w:w="11900" w:h="16838" w:orient="portrait"/>
          <w:cols w:equalWidth="0" w:num="2">
            <w:col w:w="1360" w:space="720"/>
            <w:col w:w="8139"/>
          </w:cols>
          <w:pgMar w:left="240" w:top="280" w:right="1440" w:bottom="1440" w:gutter="0" w:footer="0" w:header="0"/>
        </w:sectPr>
      </w:pP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80" w:right="1440" w:bottom="1440" w:gutter="0" w:footer="0" w:header="0"/>
          <w:type w:val="continuous"/>
        </w:sectPr>
      </w:pPr>
    </w:p>
    <w:bookmarkStart w:id="260" w:name="page261"/>
    <w:bookmarkEnd w:id="260"/>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CREDIT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November 9, 2007, by and among FEDERAL REALTY INVESTMENT TRUST, a real estate investment trust formed under the laws of the State of Maryland (the “</w:t>
      </w:r>
      <w:r>
        <w:rPr>
          <w:rFonts w:ascii="Arial" w:cs="Arial" w:eastAsia="Arial" w:hAnsi="Arial"/>
          <w:sz w:val="16"/>
          <w:szCs w:val="16"/>
          <w:b w:val="1"/>
          <w:bCs w:val="1"/>
          <w:color w:val="auto"/>
        </w:rPr>
        <w:t>Borrower</w:t>
      </w:r>
      <w:r>
        <w:rPr>
          <w:rFonts w:ascii="Arial" w:cs="Arial" w:eastAsia="Arial" w:hAnsi="Arial"/>
          <w:sz w:val="16"/>
          <w:szCs w:val="16"/>
          <w:color w:val="auto"/>
        </w:rPr>
        <w:t>”), each of the financial institutions initially a signatory hereto together with their assignees pursuant to Section 12.5.(d), WACHOVIA CAPITAL MARKETS, LLC, as Sole Lead Arranger and Sole Book Manager (the “</w:t>
      </w:r>
      <w:r>
        <w:rPr>
          <w:rFonts w:ascii="Arial" w:cs="Arial" w:eastAsia="Arial" w:hAnsi="Arial"/>
          <w:sz w:val="16"/>
          <w:szCs w:val="16"/>
          <w:b w:val="1"/>
          <w:bCs w:val="1"/>
          <w:color w:val="auto"/>
        </w:rPr>
        <w:t>Arranger</w:t>
      </w:r>
      <w:r>
        <w:rPr>
          <w:rFonts w:ascii="Arial" w:cs="Arial" w:eastAsia="Arial" w:hAnsi="Arial"/>
          <w:sz w:val="16"/>
          <w:szCs w:val="16"/>
          <w:color w:val="auto"/>
        </w:rPr>
        <w:t>”), WACHOVIA BANK, NATIONAL ASSOCIATION, as Agent, each of BANK OF AMERICA, N.A., JPMORGAN CHASE BANK, N.A., SUNTRUST BANK and U.S. BANK NATIONAL ASSOCIATION, as a Documentation Agent (each a “</w:t>
      </w:r>
      <w:r>
        <w:rPr>
          <w:rFonts w:ascii="Arial" w:cs="Arial" w:eastAsia="Arial" w:hAnsi="Arial"/>
          <w:sz w:val="16"/>
          <w:szCs w:val="16"/>
          <w:b w:val="1"/>
          <w:bCs w:val="1"/>
          <w:color w:val="auto"/>
        </w:rPr>
        <w:t>Documentation Agent</w:t>
      </w:r>
      <w:r>
        <w:rPr>
          <w:rFonts w:ascii="Arial" w:cs="Arial" w:eastAsia="Arial" w:hAnsi="Arial"/>
          <w:sz w:val="16"/>
          <w:szCs w:val="16"/>
          <w:color w:val="auto"/>
        </w:rPr>
        <w:t>”), and each of CITICORP NORTH AMERICA, INC. and REGIONS BANK, as a Managing Agent (each a “</w:t>
      </w:r>
      <w:r>
        <w:rPr>
          <w:rFonts w:ascii="Arial" w:cs="Arial" w:eastAsia="Arial" w:hAnsi="Arial"/>
          <w:sz w:val="16"/>
          <w:szCs w:val="16"/>
          <w:b w:val="1"/>
          <w:bCs w:val="1"/>
          <w:color w:val="auto"/>
        </w:rPr>
        <w:t>Managing Agent</w:t>
      </w:r>
      <w:r>
        <w:rPr>
          <w:rFonts w:ascii="Arial" w:cs="Arial" w:eastAsia="Arial" w:hAnsi="Arial"/>
          <w:sz w:val="16"/>
          <w:szCs w:val="16"/>
          <w:color w:val="auto"/>
        </w:rPr>
        <w:t>”).</w:t>
      </w:r>
    </w:p>
    <w:p>
      <w:pPr>
        <w:spacing w:after="0" w:line="11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Lenders desire to make available to the Borrower a term loan facility in the aggregate principal amount of $200,000,000, all on the terms and conditions contained herein.</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 D</w:t>
      </w:r>
      <w:r>
        <w:rPr>
          <w:rFonts w:ascii="Arial" w:cs="Arial" w:eastAsia="Arial" w:hAnsi="Arial"/>
          <w:sz w:val="14"/>
          <w:szCs w:val="14"/>
          <w:b w:val="1"/>
          <w:bCs w:val="1"/>
          <w:color w:val="auto"/>
        </w:rPr>
        <w:t>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terms defined elsewhere herein, the following terms shall have the following meanings for the purposes of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Agreement</w:t>
      </w:r>
      <w:r>
        <w:rPr>
          <w:rFonts w:ascii="Arial" w:cs="Arial" w:eastAsia="Arial" w:hAnsi="Arial"/>
          <w:sz w:val="18"/>
          <w:szCs w:val="18"/>
          <w:color w:val="auto"/>
        </w:rPr>
        <w:t>” means an Accession Agreement substantially in the form of Annex I to the Guaranty.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has the meaning given that term in Section 4.1.</w:t>
      </w:r>
    </w:p>
    <w:p>
      <w:pPr>
        <w:spacing w:after="0" w:line="171"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means, for any given period, (a) the EBITDA of the Borrower and its Subsidiaries determined on a consolidated basis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Capital Reserves.</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Eurodollar Rate</w:t>
      </w:r>
      <w:r>
        <w:rPr>
          <w:rFonts w:ascii="Arial" w:cs="Arial" w:eastAsia="Arial" w:hAnsi="Arial"/>
          <w:sz w:val="18"/>
          <w:szCs w:val="18"/>
          <w:color w:val="auto"/>
        </w:rPr>
        <w:t>” means, with respect to each Interest Period for any LIBOR Loan, the rate obtained by dividing (a) LIBOR for such Interest Period by (b) a percentage equal to 1 minus the stated maximum rate (stated as a decimal) of all reserves, if any, required to be maintained with respect to Eurocurrency funding (currently as referred to “Eurocurrency liabilities”) as specified in Regulation D of the Board of Governors of the Federal Reserve System (or against any other category of liabilities which includes deposits by reference to which the interest rate on LIBOR Loans is determined or any applicable category of extensions of credit or other assets which includes loans by an office of any Lender outside of the United States of America to residents of the United States of America). Any change in such maximum rate shall result in a change in the Adjusted Eurodollar Rate on the date on which such change in such maximum rate becomes effective.</w:t>
      </w:r>
    </w:p>
    <w:p>
      <w:pPr>
        <w:sectPr>
          <w:pgSz w:w="11900" w:h="16838" w:orient="portrait"/>
          <w:cols w:equalWidth="0" w:num="1">
            <w:col w:w="11360"/>
          </w:cols>
          <w:pgMar w:left="240" w:top="274" w:right="299" w:bottom="1440" w:gutter="0" w:footer="0" w:header="0"/>
        </w:sectPr>
      </w:pPr>
    </w:p>
    <w:bookmarkStart w:id="261" w:name="page262"/>
    <w:bookmarkEnd w:id="261"/>
    <w:p>
      <w:pPr>
        <w:ind w:right="2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Adjusted Total Asset Value</w:t>
      </w:r>
      <w:r>
        <w:rPr>
          <w:rFonts w:ascii="Arial" w:cs="Arial" w:eastAsia="Arial" w:hAnsi="Arial"/>
          <w:sz w:val="18"/>
          <w:szCs w:val="18"/>
          <w:color w:val="auto"/>
        </w:rPr>
        <w:t>” means Total Asset Value determined exclusive of assets that are owned by (a) Excluded Subsidiaries, (b) Unconsolidated Affiliates and (c) the Specified Non-Wholly Owned Subsidiaries.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the Agent to the Lenders from time to time.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Person (other than the Agent or any Lender): (a) directly or indirectly controlling, controlled by, or under common control with, the Borrower; (b) directly or indirectly owning or holding 10.0% or more (or 12.0% or more in the case of Morgan Stanley and its affiliates) of any Equity Interest in the Borrower; or (c) 10.0% or more (or 12.0% or more in the case of Morgan Stanley and its affiliates) of whose voting stock or other Equity Interest is directly or indirectly owned or held by the Borrower. For purposes of this definition, “control” (including with correlative meanings, the terms “controlling,” “controlled by” and “under common control with”) means the possession directly or indirectly of the power to direct or cause the direction of the management and policies of a Person, whether through the ownership of voting securities or by contract or otherwise. The Affiliates of a Person shall include any officer or director of such Person. In no event shall the Agent or any Lender be deemed to be an Affiliate of the Borrower.</w:t>
      </w:r>
    </w:p>
    <w:p>
      <w:pPr>
        <w:spacing w:after="0" w:line="113"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Wachovia Bank, National Association, as contractual representative for the Lenders under the terms of this Agreement, and any of its successors.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means the date as of which this Agreement is dated.</w:t>
      </w:r>
    </w:p>
    <w:p>
      <w:pPr>
        <w:spacing w:after="0" w:line="17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all applicable provisions of constitutions, statutes, rules, regulations and orders of all governmental bodies and all orders and decrees of all courts, tribunals and arbitrators.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means the percentage per annum determined, at any time, based on the range into which the Borrower’s Credit Rating then falls, in accordance with the levels in the table set forth below (each a “</w:t>
      </w:r>
      <w:r>
        <w:rPr>
          <w:rFonts w:ascii="Arial" w:cs="Arial" w:eastAsia="Arial" w:hAnsi="Arial"/>
          <w:sz w:val="16"/>
          <w:szCs w:val="16"/>
          <w:b w:val="1"/>
          <w:bCs w:val="1"/>
          <w:color w:val="auto"/>
        </w:rPr>
        <w:t>Level</w:t>
      </w:r>
      <w:r>
        <w:rPr>
          <w:rFonts w:ascii="Arial" w:cs="Arial" w:eastAsia="Arial" w:hAnsi="Arial"/>
          <w:sz w:val="16"/>
          <w:szCs w:val="16"/>
          <w:color w:val="auto"/>
        </w:rPr>
        <w:t>”). Any change in the Borrower’s Credit Rating which would cause it to move to a different Level in such table shall effect a change in the Applicable Margin on the Business Day on which such change occurs. During any period that the Borrower has received Credit Ratings that are not equivalent, the Applicable Margin shall be determined by the higher of such two Credit Ratings. During any period for which the Borrower has received a Credit Rating from only one Rating Agency, then the Applicable Margin shall be determined based on such Credit Rating. During any period for which the Borrower has not received a Credit Rating from either Rating Agency, then the Applicable Margin shall be determined based on Level 5. As of the Agreement Date, and thereafter until changed as provided above, the Applicable Margin is determined based on Level 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62" w:name="page263"/>
    <w:bookmarkEnd w:id="262"/>
    <w:tbl>
      <w:tblPr>
        <w:tblLayout w:type="fixed"/>
        <w:tblInd w:w="9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b w:val="1"/>
                <w:bCs w:val="1"/>
                <w:color w:val="auto"/>
                <w:w w:val="91"/>
              </w:rPr>
              <w:t>Borrower’s Credit</w:t>
            </w: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0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Rating</w:t>
            </w:r>
          </w:p>
        </w:tc>
        <w:tc>
          <w:tcPr>
            <w:tcW w:w="920" w:type="dxa"/>
            <w:vAlign w:val="bottom"/>
          </w:tcPr>
          <w:p>
            <w:pPr>
              <w:spacing w:after="0"/>
              <w:rPr>
                <w:sz w:val="12"/>
                <w:szCs w:val="12"/>
                <w:color w:val="auto"/>
              </w:rPr>
            </w:pPr>
          </w:p>
        </w:tc>
        <w:tc>
          <w:tcPr>
            <w:tcW w:w="240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0"/>
              </w:rPr>
              <w:t>Applicable Margin for</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Applicable Margin for</w:t>
            </w:r>
          </w:p>
        </w:tc>
      </w:t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Level</w:t>
            </w:r>
          </w:p>
        </w:tc>
        <w:tc>
          <w:tcPr>
            <w:tcW w:w="3300" w:type="dxa"/>
            <w:vAlign w:val="bottom"/>
          </w:tcPr>
          <w:p>
            <w:pPr>
              <w:spacing w:after="0"/>
              <w:rPr>
                <w:sz w:val="14"/>
                <w:szCs w:val="1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9"/>
              </w:rPr>
              <w:t>(S&amp;P/Moody’s)</w:t>
            </w:r>
          </w:p>
        </w:tc>
        <w:tc>
          <w:tcPr>
            <w:tcW w:w="9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LIBOR Loans</w:t>
            </w:r>
          </w:p>
        </w:tc>
        <w:tc>
          <w:tcPr>
            <w:tcW w:w="1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Base Rate Loans</w:t>
            </w:r>
          </w:p>
        </w:tc>
        <w:tc>
          <w:tcPr>
            <w:tcW w:w="200" w:type="dxa"/>
            <w:vAlign w:val="bottom"/>
          </w:tcPr>
          <w:p>
            <w:pPr>
              <w:spacing w:after="0"/>
              <w:rPr>
                <w:sz w:val="14"/>
                <w:szCs w:val="14"/>
                <w:color w:val="auto"/>
              </w:rPr>
            </w:pPr>
          </w:p>
        </w:tc>
      </w:tr>
      <w:tr>
        <w:trPr>
          <w:trHeight w:val="21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A-/A3</w:t>
            </w:r>
          </w:p>
        </w:tc>
        <w:tc>
          <w:tcPr>
            <w:tcW w:w="33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0.500%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33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BBB+/Baa1</w:t>
            </w:r>
          </w:p>
        </w:tc>
        <w:tc>
          <w:tcPr>
            <w:tcW w:w="3320" w:type="dxa"/>
            <w:vAlign w:val="bottom"/>
            <w:gridSpan w:val="3"/>
          </w:tcPr>
          <w:p>
            <w:pPr>
              <w:jc w:val="right"/>
              <w:ind w:right="960"/>
              <w:spacing w:after="0"/>
              <w:rPr>
                <w:sz w:val="20"/>
                <w:szCs w:val="20"/>
                <w:color w:val="auto"/>
              </w:rPr>
            </w:pPr>
            <w:r>
              <w:rPr>
                <w:rFonts w:ascii="Arial" w:cs="Arial" w:eastAsia="Arial" w:hAnsi="Arial"/>
                <w:sz w:val="18"/>
                <w:szCs w:val="18"/>
                <w:color w:val="auto"/>
              </w:rPr>
              <w:t>0.575%</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BBB/Baa2</w:t>
            </w:r>
          </w:p>
        </w:tc>
        <w:tc>
          <w:tcPr>
            <w:tcW w:w="33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0.750%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33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BBB-/Baa3</w:t>
            </w:r>
          </w:p>
        </w:tc>
        <w:tc>
          <w:tcPr>
            <w:tcW w:w="3320" w:type="dxa"/>
            <w:vAlign w:val="bottom"/>
            <w:gridSpan w:val="3"/>
          </w:tcPr>
          <w:p>
            <w:pPr>
              <w:jc w:val="right"/>
              <w:ind w:right="960"/>
              <w:spacing w:after="0"/>
              <w:rPr>
                <w:sz w:val="20"/>
                <w:szCs w:val="20"/>
                <w:color w:val="auto"/>
              </w:rPr>
            </w:pPr>
            <w:r>
              <w:rPr>
                <w:rFonts w:ascii="Arial" w:cs="Arial" w:eastAsia="Arial" w:hAnsi="Arial"/>
                <w:sz w:val="18"/>
                <w:szCs w:val="18"/>
                <w:color w:val="auto"/>
              </w:rPr>
              <w:t>0.950%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&lt; BBB-/Baa3</w:t>
            </w:r>
          </w:p>
        </w:tc>
        <w:tc>
          <w:tcPr>
            <w:tcW w:w="33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1.250%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 means Wachovia Capital Markets, LLC, together with its successors and permitted assigns.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w:t>
      </w:r>
      <w:r>
        <w:rPr>
          <w:rFonts w:ascii="Arial" w:cs="Arial" w:eastAsia="Arial" w:hAnsi="Arial"/>
          <w:sz w:val="18"/>
          <w:szCs w:val="18"/>
          <w:color w:val="auto"/>
        </w:rPr>
        <w:t>” has the meaning given that term in Section 12.5.(d).</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 Agreement</w:t>
      </w:r>
      <w:r>
        <w:rPr>
          <w:rFonts w:ascii="Arial" w:cs="Arial" w:eastAsia="Arial" w:hAnsi="Arial"/>
          <w:sz w:val="18"/>
          <w:szCs w:val="18"/>
          <w:color w:val="auto"/>
        </w:rPr>
        <w:t>” means an Assignment and Acceptance Agreement among a Lender, an Assignee and the Agent, substantially in the form of Exhibit 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means the per annum rate of interest equal to the greater of (a) the Prime Rate or (b) the Federal Funds Rate plus one-half of one percent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(0.5%). Any change in the Base Rate resulting from a change in the Prime Rate or the Federal Funds Rate shall become effective as of 12:01 a.m. on the Business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Day on which each such change occurs. The Base Rate is a reference rate used by the Lender acting as the Agent in determining interest rates on certain loans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is not intended to be the lowest rate of interest charged by the Lender acting as the Agent or any other Lender on any extension of credit to any debtor.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Loan bearing interest at a rate based on the Base Rate.</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Arrangement</w:t>
      </w:r>
      <w:r>
        <w:rPr>
          <w:rFonts w:ascii="Arial" w:cs="Arial" w:eastAsia="Arial" w:hAnsi="Arial"/>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has the meaning set forth in the introductory paragraph hereof and shall include the Borrower’s successors and permitted assigns.</w:t>
      </w:r>
    </w:p>
    <w:p>
      <w:pPr>
        <w:spacing w:after="0" w:line="19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any day other than a Saturday, Sunday or other day on which banks in Charlotte, North Carolina or New York, New York are authorized or required to close and (b) with reference to a LIBOR Loan, any such day that is also a day on which dealings in Dollar deposits are carried out in the London interbank market.</w:t>
      </w:r>
    </w:p>
    <w:p>
      <w:pPr>
        <w:spacing w:after="0" w:line="132"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Reserves</w:t>
      </w:r>
      <w:r>
        <w:rPr>
          <w:rFonts w:ascii="Arial" w:cs="Arial" w:eastAsia="Arial" w:hAnsi="Arial"/>
          <w:sz w:val="16"/>
          <w:szCs w:val="16"/>
          <w:color w:val="auto"/>
        </w:rPr>
        <w:t>” means, for any period and with respect to any: (a) portion of a Property developed with improvements utilized for the retail sale of goods or services, office space or other use (other than residential apartments), an amount equal to (i) $0.15 per square foot times (ii)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or</w:t>
      </w:r>
    </w:p>
    <w:p>
      <w:pPr>
        <w:spacing w:after="0" w:line="3" w:lineRule="exact"/>
        <w:rPr>
          <w:sz w:val="20"/>
          <w:szCs w:val="20"/>
          <w:color w:val="auto"/>
        </w:rPr>
      </w:pPr>
    </w:p>
    <w:p>
      <w:pPr>
        <w:ind w:right="80" w:firstLine="8"/>
        <w:spacing w:after="0" w:line="261" w:lineRule="auto"/>
        <w:tabs>
          <w:tab w:leader="none" w:pos="24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Multifamily Property, an amount equal to (i) $200 per apartment unit in such Multifamily Property times (ii) a fraction, the numerator of which is the number of days in such period and the denominator of which is</w:t>
      </w:r>
    </w:p>
    <w:p>
      <w:pPr>
        <w:spacing w:after="0" w:line="124" w:lineRule="exact"/>
        <w:rPr>
          <w:rFonts w:ascii="Arial" w:cs="Arial" w:eastAsia="Arial" w:hAnsi="Arial"/>
          <w:sz w:val="18"/>
          <w:szCs w:val="18"/>
          <w:color w:val="auto"/>
        </w:rPr>
      </w:pPr>
    </w:p>
    <w:p>
      <w:pPr>
        <w:ind w:left="5680" w:hanging="112"/>
        <w:spacing w:after="0"/>
        <w:tabs>
          <w:tab w:leader="none" w:pos="56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63" w:right="259" w:bottom="1440" w:gutter="0" w:footer="0" w:header="0"/>
        </w:sectPr>
      </w:pPr>
    </w:p>
    <w:bookmarkStart w:id="263" w:name="page264"/>
    <w:bookmarkEnd w:id="263"/>
    <w:p>
      <w:pPr>
        <w:ind w:right="80" w:firstLine="8"/>
        <w:spacing w:after="0" w:line="306" w:lineRule="auto"/>
        <w:tabs>
          <w:tab w:leader="none" w:pos="351" w:val="left"/>
        </w:tabs>
        <w:numPr>
          <w:ilvl w:val="0"/>
          <w:numId w:val="1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term Capital Reserves is used without reference to any specific Property, then the amount shall be determined on an aggregate basis with respect to all Retail Properties and Multifamily Properties of the Borrower and its Subsidiaries and a proportionate share of all Retail and Multifamily Properties of all Unconsolidated Affiliates.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Capitalization Rate</w:t>
      </w:r>
      <w:r>
        <w:rPr>
          <w:rFonts w:ascii="Arial" w:cs="Arial" w:eastAsia="Arial" w:hAnsi="Arial"/>
          <w:sz w:val="18"/>
          <w:szCs w:val="18"/>
          <w:color w:val="auto"/>
        </w:rPr>
        <w:t>” means 7.50%.</w:t>
      </w:r>
    </w:p>
    <w:p>
      <w:pPr>
        <w:spacing w:after="0" w:line="17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means an obligation under a lease that is required to be capitalized for financial reporting purposes in accordance with GAAP. The amount of a Capitalized Lease Obligation is the capitalized amount of such obligation as would be required to be reflected on the balance sheet prepared in accordance with GAAP of the applicable Person as of the applicable date.</w:t>
      </w:r>
    </w:p>
    <w:p>
      <w:pPr>
        <w:spacing w:after="0" w:line="132"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Equivalents</w:t>
      </w:r>
      <w:r>
        <w:rPr>
          <w:rFonts w:ascii="Arial" w:cs="Arial" w:eastAsia="Arial" w:hAnsi="Arial"/>
          <w:sz w:val="15"/>
          <w:szCs w:val="15"/>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Organization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w:t>
      </w:r>
    </w:p>
    <w:p>
      <w:pPr>
        <w:spacing w:after="0" w:line="4" w:lineRule="exact"/>
        <w:rPr>
          <w:sz w:val="20"/>
          <w:szCs w:val="20"/>
          <w:color w:val="auto"/>
        </w:rPr>
      </w:pPr>
    </w:p>
    <w:p>
      <w:pPr>
        <w:ind w:right="40" w:firstLine="8"/>
        <w:spacing w:after="0" w:line="261" w:lineRule="auto"/>
        <w:tabs>
          <w:tab w:leader="none" w:pos="23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investments in money market funds registered under the Investment Company Act of 1940, which have net assets of at least $500,000,000 and at least 85% of whose assets consist of securities and other obligations of the type described in clauses (a) through (d) above.</w:t>
      </w:r>
    </w:p>
    <w:p>
      <w:pPr>
        <w:spacing w:after="0" w:line="13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as to each Lender, such Lender’s obligation to make a Loan pursuant to Section 2.1. in an amount up to, but not exceeding, the amount set forth for such Lender on Schedule 1 attached page hereto as such Lender’s “Commitment Amount.”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has the meaning given that term in Section 8.3.</w:t>
      </w:r>
    </w:p>
    <w:p>
      <w:pPr>
        <w:spacing w:after="0" w:line="171"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Construction-in-Process</w:t>
      </w:r>
      <w:r>
        <w:rPr>
          <w:rFonts w:ascii="Arial" w:cs="Arial" w:eastAsia="Arial" w:hAnsi="Arial"/>
          <w:sz w:val="16"/>
          <w:szCs w:val="16"/>
          <w:color w:val="auto"/>
        </w:rPr>
        <w:t>” means cash expenditures for land and improvements (including indirect costs internally allocated and development costs) in accordance with GAAP on all Properties that are under development or will commence development within twelve months from any date of determination.</w:t>
      </w:r>
    </w:p>
    <w:p>
      <w:pPr>
        <w:spacing w:after="0" w:line="74"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Budget</w:t>
      </w:r>
      <w:r>
        <w:rPr>
          <w:rFonts w:ascii="Arial" w:cs="Arial" w:eastAsia="Arial" w:hAnsi="Arial"/>
          <w:sz w:val="18"/>
          <w:szCs w:val="18"/>
          <w:color w:val="auto"/>
        </w:rPr>
        <w:t>” means the fully-budgeted costs for the acquisition and construction of a given parcel of real property (including, without limitation, the cost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80" w:right="259" w:bottom="1440" w:gutter="0" w:footer="0" w:header="0"/>
        </w:sectPr>
      </w:pPr>
    </w:p>
    <w:bookmarkStart w:id="264" w:name="page265"/>
    <w:bookmarkEnd w:id="264"/>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acquiring such parcel of real property, reserves for construction interest and operating deficits, tenant improvements, leasing commissions, and infrastructure costs) as reasonably determined by the Borrower in good faith.</w:t>
      </w:r>
    </w:p>
    <w:p>
      <w:pPr>
        <w:spacing w:after="0" w:line="126"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Continue,</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and “</w:t>
      </w:r>
      <w:r>
        <w:rPr>
          <w:rFonts w:ascii="Arial" w:cs="Arial" w:eastAsia="Arial" w:hAnsi="Arial"/>
          <w:sz w:val="18"/>
          <w:szCs w:val="18"/>
          <w:b w:val="1"/>
          <w:bCs w:val="1"/>
          <w:color w:val="auto"/>
        </w:rPr>
        <w:t>Continued</w:t>
      </w:r>
      <w:r>
        <w:rPr>
          <w:rFonts w:ascii="Arial" w:cs="Arial" w:eastAsia="Arial" w:hAnsi="Arial"/>
          <w:sz w:val="18"/>
          <w:szCs w:val="18"/>
          <w:color w:val="auto"/>
        </w:rPr>
        <w:t>” each refers to the continuation of a LIBOR Loan from one Interest Period to another Interest Period pursuant to Section 2.6.</w:t>
      </w:r>
    </w:p>
    <w:p>
      <w:pPr>
        <w:spacing w:after="0" w:line="12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Property</w:t>
      </w:r>
      <w:r>
        <w:rPr>
          <w:rFonts w:ascii="Arial" w:cs="Arial" w:eastAsia="Arial" w:hAnsi="Arial"/>
          <w:sz w:val="16"/>
          <w:szCs w:val="16"/>
          <w:color w:val="auto"/>
        </w:rPr>
        <w:t>” means a Property which is an Eligible Property that is owned in fee simple (or leased under a Ground Lease) by a Guarantor that is not a Wholly Owned Subsidiary and with respect to which the Borrower or such Guarantor has the right to take the following actions without the need to obtain the consent of any Person (other than the Requisite Lenders if required pursuant to this Agreement): (a) to create Liens on such Property as security for Indebtedness of the Borrower or such Guarantor, as applicable, and (b) to sell, convey, transfer or otherwise dispose of such Property.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and “</w:t>
      </w:r>
      <w:r>
        <w:rPr>
          <w:rFonts w:ascii="Arial" w:cs="Arial" w:eastAsia="Arial" w:hAnsi="Arial"/>
          <w:sz w:val="16"/>
          <w:szCs w:val="16"/>
          <w:b w:val="1"/>
          <w:bCs w:val="1"/>
          <w:color w:val="auto"/>
        </w:rPr>
        <w:t>Converted</w:t>
      </w:r>
      <w:r>
        <w:rPr>
          <w:rFonts w:ascii="Arial" w:cs="Arial" w:eastAsia="Arial" w:hAnsi="Arial"/>
          <w:sz w:val="16"/>
          <w:szCs w:val="16"/>
          <w:color w:val="auto"/>
        </w:rPr>
        <w:t>” each refers to the conversion of a Loan of one Type into a Loan of another Type pursuant to Section 2.7.</w:t>
      </w:r>
    </w:p>
    <w:p>
      <w:pPr>
        <w:spacing w:after="0" w:line="19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Percentage</w:t>
      </w:r>
      <w:r>
        <w:rPr>
          <w:rFonts w:ascii="Arial" w:cs="Arial" w:eastAsia="Arial" w:hAnsi="Arial"/>
          <w:sz w:val="18"/>
          <w:szCs w:val="18"/>
          <w:color w:val="auto"/>
        </w:rPr>
        <w:t>” means, as to each Lender, the ratio, expressed as a percentage, of (a) the unpaid principal amount of the Loan owing to such Lender to (b) the aggregate unpaid principal amount of all Loans.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Rating</w:t>
      </w:r>
      <w:r>
        <w:rPr>
          <w:rFonts w:ascii="Arial" w:cs="Arial" w:eastAsia="Arial" w:hAnsi="Arial"/>
          <w:sz w:val="18"/>
          <w:szCs w:val="18"/>
          <w:color w:val="auto"/>
        </w:rPr>
        <w:t>” means the rating assigned by a Rating Agency to the senior unsecured long term Indebtedness of the Borrower.</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of the events specified in Section 10.1., whether or not there has been satisfied any requirement for the giving of notice, the lapse of time, or both.</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has the meaning set forth in Section 3.11.(a).</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Contract</w:t>
      </w:r>
      <w:r>
        <w:rPr>
          <w:rFonts w:ascii="Arial" w:cs="Arial" w:eastAsia="Arial" w:hAnsi="Arial"/>
          <w:sz w:val="16"/>
          <w:szCs w:val="16"/>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80" w:right="279" w:bottom="1440" w:gutter="0" w:footer="0" w:header="0"/>
        </w:sectPr>
      </w:pPr>
    </w:p>
    <w:bookmarkStart w:id="265" w:name="page266"/>
    <w:bookmarkEnd w:id="265"/>
    <w:p>
      <w:pPr>
        <w:ind w:right="120" w:firstLine="45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Derivatives Termination Value</w:t>
      </w:r>
      <w:r>
        <w:rPr>
          <w:rFonts w:ascii="Arial" w:cs="Arial" w:eastAsia="Arial" w:hAnsi="Arial"/>
          <w:sz w:val="16"/>
          <w:szCs w:val="16"/>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Agent or any Lender).</w:t>
      </w:r>
    </w:p>
    <w:p>
      <w:pPr>
        <w:spacing w:after="0" w:line="108"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Property</w:t>
      </w:r>
      <w:r>
        <w:rPr>
          <w:rFonts w:ascii="Arial" w:cs="Arial" w:eastAsia="Arial" w:hAnsi="Arial"/>
          <w:sz w:val="16"/>
          <w:szCs w:val="16"/>
          <w:color w:val="auto"/>
        </w:rPr>
        <w:t>” means a Property (a) that otherwise qualifies as an Eligible Property, except that it is not yet a Retail Property or Multifamily Property, but it is being developed to become one, and (b) that is either (i) Construction-in-Process or (ii) an Unstabilized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171"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(iv) extraordinary or non-recurring gains and losses;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Person’s pro rata share of EBITDA of its Unconsolidated Affiliates. EBITDA will be adjusted to remove all impact of straight lining of rents.</w:t>
      </w:r>
    </w:p>
    <w:p>
      <w:pPr>
        <w:spacing w:after="0" w:line="103"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 (a) the Agreement Date; and (b) the date on which all of the conditions precedent set forth in Section 5.1. shall have been fulfilled or waived in writing by the Requisite Lenders.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means any Person who is, at the time of determination: (i) a Lender or an affiliate of a Lender; (ii) a commercial bank, trust, trust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company, insurance company, investment bank or pension fund organized under the laws of the United States of America, or any state thereof, and having total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assets in excess of $5,000,000,000; (iii) a savings and loan association or savings bank organized under the laws of the United States of America, or any state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thereof, and having a tangible net worth of at least $500,000,000; or (iv) a commercial bank organized under the laws of any other country which is a member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Organization for Economic Cooperation and Development, or a political subdivision of any such country, and having total assets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$10,000,000,000, provided that such bank is acting through a branch or agency located in the United States of America. If such Person is not currently a Lender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an affiliate of a Lender, such Person’s (or its parent’s) senior unsecured long term indebtedness must be rated BBB or higher by S&amp;P, Baa2 or higher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Moody’s, or the equivalent or higher of either such rating by another rating agency acceptable to the Agent.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Property</w:t>
      </w:r>
      <w:r>
        <w:rPr>
          <w:rFonts w:ascii="Arial" w:cs="Arial" w:eastAsia="Arial" w:hAnsi="Arial"/>
          <w:sz w:val="16"/>
          <w:szCs w:val="16"/>
          <w:color w:val="auto"/>
        </w:rPr>
        <w:t>” means a Property which satisfies all of the following requirements: (a) such Property is a Retail Property or Multifamily Property;</w:t>
      </w:r>
    </w:p>
    <w:p>
      <w:pPr>
        <w:spacing w:after="0" w:line="44" w:lineRule="exact"/>
        <w:rPr>
          <w:sz w:val="20"/>
          <w:szCs w:val="20"/>
          <w:color w:val="auto"/>
        </w:rPr>
      </w:pPr>
    </w:p>
    <w:p>
      <w:pPr>
        <w:ind w:left="260" w:hanging="252"/>
        <w:spacing w:after="0"/>
        <w:tabs>
          <w:tab w:leader="none" w:pos="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neither such Property, nor any interest of the Borrower or any Subsidiary therein (and if such Property is owned by a</w:t>
      </w:r>
    </w:p>
    <w:p>
      <w:pPr>
        <w:spacing w:after="0" w:line="151" w:lineRule="exact"/>
        <w:rPr>
          <w:rFonts w:ascii="Arial" w:cs="Arial" w:eastAsia="Arial" w:hAnsi="Arial"/>
          <w:sz w:val="18"/>
          <w:szCs w:val="18"/>
          <w:color w:val="auto"/>
        </w:rPr>
      </w:pPr>
    </w:p>
    <w:p>
      <w:pPr>
        <w:ind w:left="5680" w:hanging="112"/>
        <w:spacing w:after="0"/>
        <w:tabs>
          <w:tab w:leader="none" w:pos="56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00"/>
          </w:cols>
          <w:pgMar w:left="240" w:top="274" w:right="359" w:bottom="1440" w:gutter="0" w:footer="0" w:header="0"/>
        </w:sectPr>
      </w:pPr>
    </w:p>
    <w:bookmarkStart w:id="266" w:name="page267"/>
    <w:bookmarkEnd w:id="266"/>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none of the Borrower’s direct or indirect ownership interests in such Subsidiary) is subject to any Lien other than Permitted Liens (excluding Permitted Liens of the type described in clauses (g) and (h) of the definition thereof) or subject to any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such Property is (i)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1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and any applicable rule of common law and any judicial interpretation thereof relating primarily to the environment or Hazardous Materials.</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w:t>
      </w:r>
      <w:r>
        <w:rPr>
          <w:rFonts w:ascii="Arial" w:cs="Arial" w:eastAsia="Arial" w:hAnsi="Arial"/>
          <w:sz w:val="16"/>
          <w:szCs w:val="16"/>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1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in effect from time to time.</w:t>
      </w:r>
    </w:p>
    <w:p>
      <w:pPr>
        <w:spacing w:after="0" w:line="17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267" w:name="page268"/>
    <w:bookmarkEnd w:id="267"/>
    <w:p>
      <w:pPr>
        <w:ind w:right="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specified in Section 10.1., provided that any requirement for notice or lapse of time or any other condition has been satisfied.</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any Subsidiary (a) holding title to assets which are or are to become collateral for any Secured Indebtedness of such Subsidiary; and (b) which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36"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means that certain Credit Agreement dated as of July 28, 2006, by and among the Borrower, the financial institutions party thereto as “Lenders”, Wachovia Bank, National Association, as Agent, and the other parties thereto.</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has the meaning given such term in Section 2.9.</w:t>
      </w:r>
    </w:p>
    <w:p>
      <w:pPr>
        <w:spacing w:after="0" w:line="171" w:lineRule="exact"/>
        <w:rPr>
          <w:sz w:val="20"/>
          <w:szCs w:val="20"/>
          <w:color w:val="auto"/>
        </w:rPr>
      </w:pPr>
    </w:p>
    <w:p>
      <w:pPr>
        <w:jc w:val="both"/>
        <w:ind w:right="2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with respect to (a) a security listed on a national securities exchange or the NASDAQ National Market, the price of such security as reported on such exchange by any widely recognized reporting method customarily relied upon by financial institutions and (b) with respect to any other property, the price which could be negotiated in an arm’s-length free market transaction, for cash, between a willing seller and a willing buyer, neither of which is under pressure or compulsion to complete the transaction.</w:t>
      </w:r>
    </w:p>
    <w:p>
      <w:pPr>
        <w:spacing w:after="0" w:line="13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means, for any day, the rate per annum (rounded upward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quoted to the Agent by federal funds dealers selected by the Agent on such day on such transaction as determined by the Agent.</w:t>
      </w:r>
    </w:p>
    <w:p>
      <w:pPr>
        <w:spacing w:after="0" w:line="139"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means the fees and commissions provided for or referred to in Section 3.6. and any other fees payable by the Borrower hereunder or under any other Loan Document.</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means, for any period, the sum of (a) Interest Expense of the Borrower and its Subsidiaries determined on a consolidated basis for such period, (b) all regularly scheduled principal payments made with respect to Indebtedness of the Borrower and its Subsidiaries during such period, other than any balloon, bullet or similar principal payment which repays such Indebtedness in full, and (c) all Preferred Dividends paid during such period. The Borrower’s pro rata share of the Fixed Charges of Unconsolidated Affiliates (other than intercompany amounts) of the Borrower shall be included in determinations of Fixed Charges.</w:t>
      </w:r>
    </w:p>
    <w:p>
      <w:pPr>
        <w:spacing w:after="0" w:line="13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 From Operations</w:t>
      </w:r>
      <w:r>
        <w:rPr>
          <w:rFonts w:ascii="Arial" w:cs="Arial" w:eastAsia="Arial" w:hAnsi="Arial"/>
          <w:sz w:val="18"/>
          <w:szCs w:val="18"/>
          <w:color w:val="auto"/>
        </w:rPr>
        <w:t>” means, for a given period, income of the Borrower and its Subsidiaries available for common shareholders before depreciation and amortization of real</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4" w:right="279" w:bottom="1440" w:gutter="0" w:footer="0" w:header="0"/>
        </w:sectPr>
      </w:pPr>
    </w:p>
    <w:bookmarkStart w:id="268" w:name="page269"/>
    <w:bookmarkEnd w:id="268"/>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estate assets and before extraordinary items less gains and losses on sale of real estate determined on a consolidated basis in accordance with GAAP applied on a consistent basis for such period. Adjustments for Unconsolidated Affiliates will be calculated to reflect the Borrower’s pro rata share of funds from operations on the same basis.</w:t>
      </w:r>
    </w:p>
    <w:p>
      <w:pPr>
        <w:spacing w:after="0" w:line="134"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which are applicable to the circumstances as of the date of determination.</w:t>
      </w:r>
    </w:p>
    <w:p>
      <w:pPr>
        <w:spacing w:after="0" w:line="136"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authorizations, consents, approvals, licenses and exemptions of, registrations and filings with, and reports to, all Governmental Authorities.</w:t>
      </w:r>
    </w:p>
    <w:p>
      <w:pPr>
        <w:spacing w:after="0" w:line="120"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national, state or local government (whether domestic or foreign), any political subdivision thereof or any other governmental, quasi-governmental, judicial,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36" w:lineRule="exact"/>
        <w:rPr>
          <w:sz w:val="20"/>
          <w:szCs w:val="20"/>
          <w:color w:val="auto"/>
        </w:rPr>
      </w:pPr>
    </w:p>
    <w:p>
      <w:pPr>
        <w:ind w:right="20" w:firstLine="456"/>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Ground Lease</w:t>
      </w:r>
      <w:r>
        <w:rPr>
          <w:rFonts w:ascii="Arial" w:cs="Arial" w:eastAsia="Arial" w:hAnsi="Arial"/>
          <w:sz w:val="15"/>
          <w:szCs w:val="15"/>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96"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Person that is a party to the Guaranty as a “Guarantor” and in any event shall include each Material Subsidiary (unless an Excluded Subsidiary or a Subsidiary that owns any Non-Controlled Property.)</w:t>
      </w:r>
    </w:p>
    <w:p>
      <w:pPr>
        <w:spacing w:after="0" w:line="12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w:t>
      </w:r>
      <w:r>
        <w:rPr>
          <w:rFonts w:ascii="Arial" w:cs="Arial" w:eastAsia="Arial" w:hAnsi="Arial"/>
          <w:sz w:val="16"/>
          <w:szCs w:val="16"/>
          <w:b w:val="1"/>
          <w:bCs w:val="1"/>
          <w:color w:val="auto"/>
        </w:rPr>
        <w:t>Guaranteed,</w:t>
      </w:r>
      <w:r>
        <w:rPr>
          <w:rFonts w:ascii="Arial" w:cs="Arial" w:eastAsia="Arial" w:hAnsi="Arial"/>
          <w:sz w:val="16"/>
          <w:szCs w:val="16"/>
          <w:color w:val="auto"/>
        </w:rPr>
        <w:t>” “</w:t>
      </w:r>
      <w:r>
        <w:rPr>
          <w:rFonts w:ascii="Arial" w:cs="Arial" w:eastAsia="Arial" w:hAnsi="Arial"/>
          <w:sz w:val="16"/>
          <w:szCs w:val="16"/>
          <w:b w:val="1"/>
          <w:bCs w:val="1"/>
          <w:color w:val="auto"/>
        </w:rPr>
        <w:t>Guarantying</w:t>
      </w:r>
      <w:r>
        <w:rPr>
          <w:rFonts w:ascii="Arial" w:cs="Arial" w:eastAsia="Arial" w:hAnsi="Arial"/>
          <w:sz w:val="16"/>
          <w:szCs w:val="16"/>
          <w:color w:val="auto"/>
        </w:rPr>
        <w:t>” or to “</w:t>
      </w:r>
      <w:r>
        <w:rPr>
          <w:rFonts w:ascii="Arial" w:cs="Arial" w:eastAsia="Arial" w:hAnsi="Arial"/>
          <w:sz w:val="16"/>
          <w:szCs w:val="16"/>
          <w:b w:val="1"/>
          <w:bCs w:val="1"/>
          <w:color w:val="auto"/>
        </w:rPr>
        <w:t>Guarantee</w:t>
      </w:r>
      <w:r>
        <w:rPr>
          <w:rFonts w:ascii="Arial" w:cs="Arial" w:eastAsia="Arial" w:hAnsi="Arial"/>
          <w:sz w:val="16"/>
          <w:szCs w:val="16"/>
          <w:color w:val="auto"/>
        </w:rPr>
        <w:t>”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269" w:name="page270"/>
    <w:bookmarkEnd w:id="269"/>
    <w:p>
      <w:pPr>
        <w:jc w:val="both"/>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w:t>
      </w:r>
    </w:p>
    <w:p>
      <w:pPr>
        <w:spacing w:after="0" w:line="1" w:lineRule="exact"/>
        <w:rPr>
          <w:sz w:val="20"/>
          <w:szCs w:val="20"/>
          <w:color w:val="auto"/>
        </w:rPr>
      </w:pPr>
    </w:p>
    <w:p>
      <w:pPr>
        <w:ind w:right="40" w:firstLine="8"/>
        <w:spacing w:after="0" w:line="255" w:lineRule="auto"/>
        <w:tabs>
          <w:tab w:leader="none" w:pos="24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supplying of funds to or investing in a Person on account of all or any part of such Person’s obligation under a Guaranty of any obligation or indemnifying or holding harmless, in any way, such Person against any part or all of such obligation. When not otherwise specified, “Guaranty” as used herein shall mean the Guaranty to which the Guarantors are parties substantially in the form of Exhibit H.</w:t>
      </w:r>
    </w:p>
    <w:p>
      <w:pPr>
        <w:spacing w:after="0" w:line="13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Capitalized Lease Obligations of such Person; (d) all reimbursement obligations of such Person under any letters of credit or acceptances (whether or not the same have been presented for payment); (e) all Off-Balance Sheet Obligations of such Person;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(h) net obligations under any Derivatives Contract not entered into as a hedge against existing Indebtedness, in an amount equal to the Derivatives Termination Value thereof; (i) all Indebtedness of other Persons which such Person has Guaranteed or is otherwise recourse to such Person (except for guaranties of customary exceptions for fraud, misapplication of funds, environmental indemnities and other similar exceptions to recourse liability (but not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270" w:name="page271"/>
    <w:bookmarkEnd w:id="27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exceptions relating to bankruptcy, insolvency, receivership or other similar events)); (j)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(k) such Person’s pro rata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pro rata share of the ownership of such partnership or joint venture (except if such Indebtedness, or any portion thereof, is recourse to such Person, in which case the greater of such Person’s pro rata portion of such Indebtedness or the amount of the recourse portion of the Indebtedness, shall be included as Indebtedness of such Person). All Loans shall constitute Indebtedness of the Borrower.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that term in Section 6.1.(s).</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pro rata share of Interest Expense of Unconsolidated Affiliates for such period.</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means with respect to any LIBOR Loan, each period commencing on the date such LIBOR Loan is made, or in the case of the Continuation of a LIBOR Loan the last day of the preceding Interest Period for such Loan, or deemed made and ending one week, 1, 2, 3 or 6 months or 1 year thereafter, as the Borrower may select in the Notice of Borrowing, a Notice of Continuation or a Notice of Conversion, as the case may be, except that each Interest Period (other than an Interest Period with a one week duration) that commences on the last Business Day of a calendar month, or on a day for which there is no corresponding day in the appropriate subsequent calendar month, shall end on the last Business Day of the appropriate subsequent calendar month. Notwithstanding the foregoing: (i) if any Interest Period would otherwise end after the Termination Date, such Interest Period shall end on the Termination Date and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271" w:name="page272"/>
    <w:bookmarkEnd w:id="27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means a Credit Rating of BBB-/Baa3 (or equivalent) or higher from either of the Rating Agencies.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means each financial institution from time to time party hereto as a “Lender”,” together with its respective successors and permitted assigns.</w:t>
      </w:r>
    </w:p>
    <w:p>
      <w:pPr>
        <w:spacing w:after="0" w:line="194"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for each Lender and for each Type of Loan, the office of such Lender specified in such Lender’s Administrative Questionnaire, or such other office of such Lender of which such Lender may notify the Agent in writing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w:t>
      </w:r>
      <w:r>
        <w:rPr>
          <w:rFonts w:ascii="Arial" w:cs="Arial" w:eastAsia="Arial" w:hAnsi="Arial"/>
          <w:sz w:val="18"/>
          <w:szCs w:val="18"/>
          <w:color w:val="auto"/>
        </w:rPr>
        <w:t>” has the meaning given that term in the definition of the term “Applicable Margin.”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any LIBOR Loan for any Interest Period therefor, the rate per annum (rounded upwards, if necessary, to the nearest 1/100 of 1%) appearing on Reuters Screen LIBOR01 Page (or any successor page) as the London interbank offered rate for deposits in Dollars at approximately 11:00 a.m. (London time) two Business Days prior to the first day of such Interest Period for a term comparable to such Interest Period. If for any reason such rate is not available, LIBOR shall be, for any Interest Period, the rate per annum reasonably determined by the Agent as the rate of interest at which Dollar deposits in the approximate amount of the LIBOR Loan comprising part of such borrowing would be offered by the Agent to major banks in the London interbank Eurodollar market at their request at or about 11:00 a.m. (London time) two Business Days prior to the first day of such Interest Period for a term comparable to such Interest Period.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means a Loan bearing interest at a rate based on LIBOR.</w:t>
      </w:r>
    </w:p>
    <w:p>
      <w:pPr>
        <w:spacing w:after="0" w:line="171" w:lineRule="exact"/>
        <w:rPr>
          <w:sz w:val="20"/>
          <w:szCs w:val="20"/>
          <w:color w:val="auto"/>
        </w:rPr>
      </w:pPr>
    </w:p>
    <w:p>
      <w:pPr>
        <w:ind w:right="40" w:firstLine="456"/>
        <w:spacing w:after="0" w:line="31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Lien</w:t>
      </w:r>
      <w:r>
        <w:rPr>
          <w:rFonts w:ascii="Arial" w:cs="Arial" w:eastAsia="Arial" w:hAnsi="Arial"/>
          <w:sz w:val="15"/>
          <w:szCs w:val="15"/>
          <w:color w:val="auto"/>
        </w:rPr>
        <w:t>” as applied to the property of any Person means: (a) any security interest, encumbrance, mortgage, deed to secure debt, deed of trust, assignment of leases and rents, pledge, lien,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(c) the filing of any financing statement under the Uniform Commercial Code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80" w:right="259" w:bottom="1440" w:gutter="0" w:footer="0" w:header="0"/>
        </w:sectPr>
      </w:pPr>
    </w:p>
    <w:bookmarkStart w:id="272" w:name="page273"/>
    <w:bookmarkEnd w:id="27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Uniform Commercial Code or its equivalent as in effect in an applicable jurisdiction or (ii) in connection with a sale or other disposition of accounts or other assets not prohibited by this Agreement in a transaction not otherwise constituting or giving rise to a Lien; and (d) any agreement by such Person to grant, give or otherwise convey any of the foregoing.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by a Lender to the Borrower pursuant to Section 2.1.</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w:t>
      </w:r>
      <w:r>
        <w:rPr>
          <w:rFonts w:ascii="Arial" w:cs="Arial" w:eastAsia="Arial" w:hAnsi="Arial"/>
          <w:sz w:val="18"/>
          <w:szCs w:val="18"/>
          <w:color w:val="auto"/>
        </w:rPr>
        <w:t>” means this Agreement, each Note, the Guaranty and each other document or instrument now or hereafter executed and delivered by a Loan Party in connection with, pursuant to or relating to this Agreement.</w:t>
      </w:r>
    </w:p>
    <w:p>
      <w:pPr>
        <w:spacing w:after="0" w:line="120" w:lineRule="exact"/>
        <w:rPr>
          <w:sz w:val="20"/>
          <w:szCs w:val="20"/>
          <w:color w:val="auto"/>
        </w:rPr>
      </w:pPr>
    </w:p>
    <w:p>
      <w:pPr>
        <w:ind w:right="38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 Party</w:t>
      </w:r>
      <w:r>
        <w:rPr>
          <w:rFonts w:ascii="Arial" w:cs="Arial" w:eastAsia="Arial" w:hAnsi="Arial"/>
          <w:sz w:val="15"/>
          <w:szCs w:val="15"/>
          <w:color w:val="auto"/>
        </w:rPr>
        <w:t xml:space="preserve">” means each of the Borrower and each other Person who guarantees all or a portion of the Obligations and/or who pledges any collateral security to secure all or a portion of the Obligations. </w:t>
      </w:r>
      <w:r>
        <w:rPr>
          <w:rFonts w:ascii="Arial" w:cs="Arial" w:eastAsia="Arial" w:hAnsi="Arial"/>
          <w:sz w:val="15"/>
          <w:szCs w:val="15"/>
          <w:u w:val="single" w:color="auto"/>
          <w:color w:val="auto"/>
        </w:rPr>
        <w:t>Schedule 1.1.(A</w:t>
      </w:r>
      <w:r>
        <w:rPr>
          <w:rFonts w:ascii="Arial" w:cs="Arial" w:eastAsia="Arial" w:hAnsi="Arial"/>
          <w:sz w:val="15"/>
          <w:szCs w:val="15"/>
          <w:color w:val="auto"/>
        </w:rPr>
        <w:t>) sets forth the Loan Parties in addition to the Borrower as of the Agreement Date.</w:t>
      </w:r>
    </w:p>
    <w:p>
      <w:pPr>
        <w:spacing w:after="0" w:line="5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Default</w:t>
      </w:r>
      <w:r>
        <w:rPr>
          <w:rFonts w:ascii="Arial" w:cs="Arial" w:eastAsia="Arial" w:hAnsi="Arial"/>
          <w:sz w:val="18"/>
          <w:szCs w:val="18"/>
          <w:color w:val="auto"/>
        </w:rPr>
        <w:t>” means a Default resulting from the occurrence of any of the events described in Section 10.1.(a), Section 10.1.(b), Section 10.1.(f) or Section 10.1.(g).</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Mandatorily Redeemable Stock</w:t>
      </w:r>
      <w:r>
        <w:rPr>
          <w:rFonts w:ascii="Arial" w:cs="Arial" w:eastAsia="Arial" w:hAnsi="Arial"/>
          <w:sz w:val="16"/>
          <w:szCs w:val="16"/>
          <w:color w:val="auto"/>
        </w:rPr>
        <w:t>”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w:t>
      </w:r>
    </w:p>
    <w:p>
      <w:pPr>
        <w:spacing w:after="0" w:line="3" w:lineRule="exact"/>
        <w:rPr>
          <w:sz w:val="20"/>
          <w:szCs w:val="20"/>
          <w:color w:val="auto"/>
        </w:rPr>
      </w:pPr>
    </w:p>
    <w:p>
      <w:pPr>
        <w:ind w:right="80" w:firstLine="8"/>
        <w:spacing w:after="0" w:line="290" w:lineRule="auto"/>
        <w:tabs>
          <w:tab w:leader="none" w:pos="23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is redeemable at the option of the holder thereof, in whole or in part (other than an Equity Interest which is redeemable solely in exchange for common stock or other equivalent common Equity Interests), in each case on or prior to the date on which all Loans (as defined in the Existing Credit Agreement) are scheduled to be due and payable in full pursuant to the terms of the Existing Credit Agreement. For purposes of this definition, Equity Interests in any of the following Subsidiaries which the Borrower is obligated to acquire pursuant to currently existing agreements with the holders of such Equity Interest shall not be considered to be Mandatorily Redeemable Stock: Congressional Plaza Associates, LLC; Street Retail West 4, L.P.; Street Retail West 7, L.P., FR Pike 7 Limited Partnership, Federal Realty Partners L.P., and FR Leesburg Plaza, LP.</w:t>
      </w:r>
    </w:p>
    <w:p>
      <w:pPr>
        <w:spacing w:after="0" w:line="112"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materially adverse effect on (a) the business, assets, liabilities, financial condition or results of operations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Agent under any of the Loan Documents or (e) the timely payment of the principal of or interest on the Loans or other amounts payable in connection therewith.</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80" w:right="239" w:bottom="1440" w:gutter="0" w:footer="0" w:header="0"/>
        </w:sectPr>
      </w:pPr>
    </w:p>
    <w:bookmarkStart w:id="273" w:name="page274"/>
    <w:bookmarkEnd w:id="273"/>
    <w:p>
      <w:pPr>
        <w:ind w:right="30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contract or other arrangement (other than Loan Documents),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has the meaning given that term in Section 10.1.(e)(i).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means any Subsidiary to which more than two percent of Adjusted Total Asset Value is attributable on an individual basis.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171"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means a mortgage, deed of trust, deed to secure debt or similar security instrument made by a Person owning an interest in real property granting a Lien on such interest in real property as security for the payment of Indebtedness of such Person or another Person.</w:t>
      </w:r>
    </w:p>
    <w:p>
      <w:pPr>
        <w:spacing w:after="0" w:line="7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Receivable</w:t>
      </w:r>
      <w:r>
        <w:rPr>
          <w:rFonts w:ascii="Arial" w:cs="Arial" w:eastAsia="Arial" w:hAnsi="Arial"/>
          <w:sz w:val="18"/>
          <w:szCs w:val="18"/>
          <w:color w:val="auto"/>
        </w:rPr>
        <w:t>” means a promissory note secured by a Mortgage of which the Borrower, a Guarantor or one of their respective Subsidiaries is the holder and retains the rights of collection of all payments thereunder.</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at any time a multiemployer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 year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Multifamily Property</w:t>
      </w:r>
      <w:r>
        <w:rPr>
          <w:rFonts w:ascii="Arial" w:cs="Arial" w:eastAsia="Arial" w:hAnsi="Arial"/>
          <w:sz w:val="16"/>
          <w:szCs w:val="16"/>
          <w:color w:val="auto"/>
        </w:rPr>
        <w:t>” means a Property improved with, and from which at least 80% of the rental income is derived from, residential apartments.</w:t>
      </w:r>
    </w:p>
    <w:p>
      <w:pPr>
        <w:spacing w:after="0" w:line="194"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Negative Pledge</w:t>
      </w:r>
      <w:r>
        <w:rPr>
          <w:rFonts w:ascii="Arial" w:cs="Arial" w:eastAsia="Arial" w:hAnsi="Arial"/>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3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Operating Income</w:t>
      </w:r>
      <w:r>
        <w:rPr>
          <w:rFonts w:ascii="Arial" w:cs="Arial" w:eastAsia="Arial" w:hAnsi="Arial"/>
          <w:sz w:val="18"/>
          <w:szCs w:val="18"/>
          <w:color w:val="auto"/>
        </w:rPr>
        <w:t>” or “</w:t>
      </w:r>
      <w:r>
        <w:rPr>
          <w:rFonts w:ascii="Arial" w:cs="Arial" w:eastAsia="Arial" w:hAnsi="Arial"/>
          <w:sz w:val="18"/>
          <w:szCs w:val="18"/>
          <w:b w:val="1"/>
          <w:bCs w:val="1"/>
          <w:color w:val="auto"/>
        </w:rPr>
        <w:t>NOI</w:t>
      </w:r>
      <w:r>
        <w:rPr>
          <w:rFonts w:ascii="Arial" w:cs="Arial" w:eastAsia="Arial" w:hAnsi="Arial"/>
          <w:sz w:val="18"/>
          <w:szCs w:val="18"/>
          <w:color w:val="auto"/>
        </w:rPr>
        <w:t>”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minus (b) all expenses paid (excluding interest but including an appropriate accrual for taxes and insurance) related to the ownership, operation or maintenance of such Property, including but not limited to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274" w:name="page275"/>
    <w:bookmarkEnd w:id="274"/>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or any Subsidiary and any property management fees) minus (c) the Capital Reserves for such Property as of the end of such period minus (d) the greater of (i) the actual property management fee paid during such period and (ii) an imputed management fee in the amount of three percent (3.0%) of the gross revenues for such Property for such period.</w:t>
      </w:r>
    </w:p>
    <w:p>
      <w:pPr>
        <w:spacing w:after="0" w:line="110"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Proceeds</w:t>
      </w:r>
      <w:r>
        <w:rPr>
          <w:rFonts w:ascii="Arial" w:cs="Arial" w:eastAsia="Arial" w:hAnsi="Arial"/>
          <w:sz w:val="16"/>
          <w:szCs w:val="16"/>
          <w:color w:val="auto"/>
        </w:rPr>
        <w:t>” means with respect to any Equity Issuance by a Person, the aggregate amount of all cash and the Fair Market Value of all other property (other than securities of such same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03"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Non-Controlled Property</w:t>
      </w:r>
      <w:r>
        <w:rPr>
          <w:rFonts w:ascii="Arial" w:cs="Arial" w:eastAsia="Arial" w:hAnsi="Arial"/>
          <w:sz w:val="16"/>
          <w:szCs w:val="16"/>
          <w:color w:val="auto"/>
        </w:rPr>
        <w:t>” means an Eligible Property owned in fee simple (or leased under a Ground Lease) by (a) an Unconsolidated Affiliate or (b) a Subsidiary that is not a Wholly Owned Subsidiary but which Property does not otherwise qualify as a Controlled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has the meaning given that term in Section 2.8.</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means a notice in the form of Exhibit B to be delivered to the Agent pursuant to Section 2.1.(b) evidencing the Borrower’s request for the borrowing of the Loans.</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w:t>
      </w:r>
      <w:r>
        <w:rPr>
          <w:rFonts w:ascii="Arial" w:cs="Arial" w:eastAsia="Arial" w:hAnsi="Arial"/>
          <w:sz w:val="18"/>
          <w:szCs w:val="18"/>
          <w:color w:val="auto"/>
        </w:rPr>
        <w:t>” means a notice in the form of Exhibit C to be delivered to the Agent pursuant to Section 2.6. evidencing the Borrower’s request for the Continuation of a LIBOR Loan.</w:t>
      </w:r>
    </w:p>
    <w:p>
      <w:pPr>
        <w:spacing w:after="0" w:line="12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means a notice in the form of Exhibit D to be delivered to the Agent pursuant to Section 2.7. evidencing the Borrower’s request for the Conversion of a Loan from one Type to another Type.</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individually and collectively: (a) the aggregate principal balance of, and all accrued and unpaid interest on, all Loans and (b) all other indebtedness, liabilities, obligations, covenants and duties of the Borrower and the other Loan Parties owing to the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w:t>
      </w:r>
    </w:p>
    <w:p>
      <w:pPr>
        <w:spacing w:after="0" w:line="139"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Occupancy Rate</w:t>
      </w:r>
      <w:r>
        <w:rPr>
          <w:rFonts w:ascii="Arial" w:cs="Arial" w:eastAsia="Arial" w:hAnsi="Arial"/>
          <w:sz w:val="16"/>
          <w:szCs w:val="16"/>
          <w:color w:val="auto"/>
        </w:rPr>
        <w:t>” means, with respect to a Property at any time, the ratio, expressed as a percentage, of (a) the net rentable square footage of such Property for which the Borrower or a Subsidiary is collecting rent, or for which a lease has been signed but the term has not yet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40"/>
          </w:cols>
          <w:pgMar w:left="240" w:top="280" w:right="319" w:bottom="1440" w:gutter="0" w:footer="0" w:header="0"/>
        </w:sectPr>
      </w:pPr>
    </w:p>
    <w:bookmarkStart w:id="275" w:name="page276"/>
    <w:bookmarkEnd w:id="275"/>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commenced, to (b) the total square footage of such Property available for lease;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Multifamily Property, “Occupancy Rate” means the ratio, expressed as a percentage, of (a) the net rentable units of such Multifamily Property for which the Borrower or a Subsidiary is collecting rent, or for which a lease has been signed but the term has not yet commenced, to (b) the total units of such Multifamily Property available for lease.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OFAC</w:t>
      </w:r>
      <w:r>
        <w:rPr>
          <w:rFonts w:ascii="Arial" w:cs="Arial" w:eastAsia="Arial" w:hAnsi="Arial"/>
          <w:sz w:val="16"/>
          <w:szCs w:val="16"/>
          <w:color w:val="auto"/>
        </w:rPr>
        <w:t>” means the Office of Foreign Assets Control of the United States Department of the Treasury, and any successor Governmental Authority for such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159"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Off-Balance Sheet Obligations</w:t>
      </w:r>
      <w:r>
        <w:rPr>
          <w:rFonts w:ascii="Arial" w:cs="Arial" w:eastAsia="Arial" w:hAnsi="Arial"/>
          <w:sz w:val="16"/>
          <w:szCs w:val="16"/>
          <w:color w:val="auto"/>
        </w:rPr>
        <w:t>”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given that term in Section 12.5.(c).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successor agency.</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as to any Person: (a) Liens securing taxes, assessments and other charges or levies imposed by any Governmental Authority (excluding any Lien imposed pursuant to any of the provisions of ERISA or pursuant to any Environmental Laws) or the claims of materialmen, mechanics, carriers, warehousemen or landlords for labor, materials, supplies or rentals incurred in the ordinary course of business, which are not at the time required to be paid or discharged under Section 7.6.; (b) Liens consisting of deposits or pledges made, in the ordinary course of business, in connection with, or to secure payment of, obligations under workers’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use thereof in the business of such Person; (d) the rights of tenants under leases or subleases not interfering with the ordinary conduct of business of such Person; (e) Liens in favor of the Agent for the benefit of the Lenders; (f) Liens in favor of the Borrower or a Guarantor securing obligations owing by a Subsidiary to the Borrower or a Guarantor, which obligations have been subordinated to the obligations owing by the Borrower and the Guarantors under the Loan Documents on terms satisfactory to the Agent; (g) Liens in existence as of the Agreement Date set forth in Part II of Schedule 6.1.(f); and (h) Liens securing Indebtedness permitted by Section 9.6.</w:t>
      </w:r>
    </w:p>
    <w:p>
      <w:pPr>
        <w:spacing w:after="0" w:line="11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unincorporated organization, or a government or any agency or political subdivision thereof.</w:t>
      </w:r>
    </w:p>
    <w:p>
      <w:pPr>
        <w:spacing w:after="0" w:line="12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at any time an employee pension benefit plan (other than a Multiemployer Plan) which is covered by Title IV of ERISA or subject to the minimum funding standards under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280" w:right="259" w:bottom="1440" w:gutter="0" w:footer="0" w:header="0"/>
        </w:sectPr>
      </w:pPr>
    </w:p>
    <w:bookmarkStart w:id="276" w:name="page277"/>
    <w:bookmarkEnd w:id="276"/>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412 of the Internal Revenue Code and either (a) is maintained, or contributed to, by any member of the ERISA Group for employees of any member of the ERISA Group or (b) has at any time within the preceding five years been maintained, or contributed to, by any Person which was at such time a member of the ERISA Group for employees of any Person which was at such time a member of the ERISA Group.</w:t>
      </w:r>
    </w:p>
    <w:p>
      <w:pPr>
        <w:spacing w:after="0" w:line="134"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xml:space="preserve">” means, in respect of any principal of any Loan or any other Obligation that is not paid when due (whether at stated maturity, by acceleration, by optional or mandatory prepayment or otherwise),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w:t>
      </w:r>
    </w:p>
    <w:p>
      <w:pPr>
        <w:spacing w:after="0" w:line="132"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Dividends</w:t>
      </w:r>
      <w:r>
        <w:rPr>
          <w:rFonts w:ascii="Arial" w:cs="Arial" w:eastAsia="Arial" w:hAnsi="Arial"/>
          <w:sz w:val="16"/>
          <w:szCs w:val="16"/>
          <w:color w:val="auto"/>
        </w:rPr>
        <w:t>” means, for any period and without duplication, all Restricted Payments paid during such period on Preferred Equity Interests issued by the Borrower or a Subsidiary.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Interests in full.</w:t>
      </w:r>
    </w:p>
    <w:p>
      <w:pPr>
        <w:spacing w:after="0" w:line="103"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Equity Interests</w:t>
      </w:r>
      <w:r>
        <w:rPr>
          <w:rFonts w:ascii="Arial" w:cs="Arial" w:eastAsia="Arial" w:hAnsi="Arial"/>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20"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means the rate of interest per annum announced publicly by the Lender then acting as the Agent as its prime rate from time to time. The Prime Rate is not necessarily the best or the lowest rate of interest offered by the Lender acting as the Agent or any other Lender.</w:t>
      </w:r>
    </w:p>
    <w:p>
      <w:pPr>
        <w:spacing w:after="0" w:line="74"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means the office of the Agent located at One Wachovia Center, Charlotte, North Carolina, or such other office of the Agent as the Agent may designate from time to time.</w:t>
      </w:r>
    </w:p>
    <w:p>
      <w:pPr>
        <w:spacing w:after="0" w:line="12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S&amp;P or Moody’s,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given that term in Section 12.5.(e).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Change</w:t>
      </w:r>
      <w:r>
        <w:rPr>
          <w:rFonts w:ascii="Arial" w:cs="Arial" w:eastAsia="Arial" w:hAnsi="Arial"/>
          <w:sz w:val="18"/>
          <w:szCs w:val="18"/>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80" w:right="259" w:bottom="1440" w:gutter="0" w:footer="0" w:header="0"/>
        </w:sectPr>
      </w:pPr>
    </w:p>
    <w:bookmarkStart w:id="277" w:name="page278"/>
    <w:bookmarkEnd w:id="2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REIT</w:t>
      </w:r>
      <w:r>
        <w:rPr>
          <w:rFonts w:ascii="Arial" w:cs="Arial" w:eastAsia="Arial" w:hAnsi="Arial"/>
          <w:sz w:val="18"/>
          <w:szCs w:val="18"/>
          <w:color w:val="auto"/>
        </w:rPr>
        <w:t>” means a Person qualifying for treatment as a “real estate investment trust” under the Internal Revenue Code.</w:t>
      </w:r>
    </w:p>
    <w:p>
      <w:pPr>
        <w:spacing w:after="0" w:line="17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Lenders</w:t>
      </w:r>
      <w:r>
        <w:rPr>
          <w:rFonts w:ascii="Arial" w:cs="Arial" w:eastAsia="Arial" w:hAnsi="Arial"/>
          <w:sz w:val="18"/>
          <w:szCs w:val="18"/>
          <w:color w:val="auto"/>
        </w:rPr>
        <w:t>” means, as of any date, Lenders holding at least 66-2/3% of the principal amount of the aggregate outstanding Loans. Loans held by Defaulting Lenders shall be disregarded when determining the Requisite Lenders.</w:t>
      </w:r>
    </w:p>
    <w:p>
      <w:pPr>
        <w:spacing w:after="0" w:line="120"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the Borrower or any Subsidiary, the chief executive officer, the chief financial officer, the treasurer or the chief operations officer, and in the case of the Borrower, the Senior Vice President-Capital Markets &amp; Investor Relations or the Vice President-Chief Accounting Officer of the Borrower.</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 any dividend or other distribution, direct or indirect, on account of any Equity Interest of the Borrower or any Subsidiary now or hereafter outstanding, except a dividend payable solely in Equity Interests of identical class to the holders of that class; (b) any redemption, conversion, exchange, retirement, sinking fund or similar payment, purchase or other acquisition for value, direct or indirect, of any Equity Interest of the Borrower or any Subsidiary now or hereafter outstanding; and (c) any payment made to retire, or to obtain the surrender of, any outstanding warrants, options or other rights to acquire any Equity Interests of the Borrower or any Subsidiary now or hereafter outstanding.</w:t>
      </w:r>
    </w:p>
    <w:p>
      <w:pPr>
        <w:spacing w:after="0" w:line="108"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Retail Property</w:t>
      </w:r>
      <w:r>
        <w:rPr>
          <w:rFonts w:ascii="Arial" w:cs="Arial" w:eastAsia="Arial" w:hAnsi="Arial"/>
          <w:sz w:val="18"/>
          <w:szCs w:val="18"/>
          <w:color w:val="auto"/>
        </w:rPr>
        <w:t>” means (a) any Property identified as a “Retail Property” on Schedule 6.1.(x) and (b) any Property, a substantial use of which, is the retail sale of goods and services.</w:t>
      </w:r>
    </w:p>
    <w:p>
      <w:pPr>
        <w:spacing w:after="0" w:line="12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Entity</w:t>
      </w:r>
      <w:r>
        <w:rPr>
          <w:rFonts w:ascii="Arial" w:cs="Arial" w:eastAsia="Arial" w:hAnsi="Arial"/>
          <w:sz w:val="18"/>
          <w:szCs w:val="18"/>
          <w:color w:val="auto"/>
        </w:rPr>
        <w:t>” means (a) a country or a government of a country, (b) an agency of the government of a country, (c) an organization directly or indirectly controlled by a country or its government, (d) a Person resident in, or determined to be resident in, a country that is subject to a country sanctions program administered and enforced by OFAC described or referenced at http://www.ustreas.gov/offices/enforcement/ofac/ or as otherwise officially published by OFAC from time to time.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 Person named on the list of Specially Designated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Nationals maintained by OFAC available at or through http://www.ustreas.gov/offices/enforcement/ofac/ or as otherwise officially published from time to time.</w:t>
      </w:r>
    </w:p>
    <w:p>
      <w:pPr>
        <w:spacing w:after="0" w:line="18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Indebtedness</w:t>
      </w:r>
      <w:r>
        <w:rPr>
          <w:rFonts w:ascii="Arial" w:cs="Arial" w:eastAsia="Arial" w:hAnsi="Arial"/>
          <w:sz w:val="18"/>
          <w:szCs w:val="18"/>
          <w:color w:val="auto"/>
        </w:rPr>
        <w:t xml:space="preserve">” means, with respect to any Person, (a) all Indebtedness of such Person that is secured in any manner by any Lien on any Property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Person’s pro rata share of the Secured Indebtedness of any of such Person’s Unconsolidated Affiliates.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from time to time, together with all rules and regulations issued thereunder.</w:t>
      </w:r>
    </w:p>
    <w:p>
      <w:pPr>
        <w:spacing w:after="0" w:line="18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274" w:right="239" w:bottom="1440" w:gutter="0" w:footer="0" w:header="0"/>
        </w:sectPr>
      </w:pPr>
    </w:p>
    <w:bookmarkStart w:id="278" w:name="page279"/>
    <w:bookmarkEnd w:id="27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means any Subsidiary to which more than $10,000,000 of Total Asset Value is attributable on an individual basis.</w:t>
      </w:r>
    </w:p>
    <w:p>
      <w:pPr>
        <w:spacing w:after="0" w:line="19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when used with respect to any Person, that (a) the fair value and the fair salable value of its assets (excluding any Indebtedness due from any affiliate of such Person if such affiliate is not itself Solvent) are each in excess of the fair valuation of its total liabilities (including all contingent liabilities computed at the amount which, in light of all the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Non-Wholly Owned Subsidiaries</w:t>
      </w:r>
      <w:r>
        <w:rPr>
          <w:rFonts w:ascii="Arial" w:cs="Arial" w:eastAsia="Arial" w:hAnsi="Arial"/>
          <w:sz w:val="18"/>
          <w:szCs w:val="18"/>
          <w:color w:val="auto"/>
        </w:rPr>
        <w:t>” means Congressional Plaza Associates, LLC; FRIT Escondido Promenade, LLC; Street Retail West 4, L.P.; and Street Retail West 7, L.P.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Stabilized Property</w:t>
      </w:r>
      <w:r>
        <w:rPr>
          <w:rFonts w:ascii="Arial" w:cs="Arial" w:eastAsia="Arial" w:hAnsi="Arial"/>
          <w:sz w:val="18"/>
          <w:szCs w:val="18"/>
          <w:color w:val="auto"/>
        </w:rPr>
        <w:t>” means a completed Property that has achieved an Occupancy Rate of at least 85%.</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for any Person, any corporation, partnership or other entity of which at least a majority of the Equity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Tangible Net Worth</w:t>
      </w:r>
      <w:r>
        <w:rPr>
          <w:rFonts w:ascii="Arial" w:cs="Arial" w:eastAsia="Arial" w:hAnsi="Arial"/>
          <w:sz w:val="16"/>
          <w:szCs w:val="16"/>
          <w:color w:val="auto"/>
        </w:rPr>
        <w:t>” means, as of a given date, the stockholders’ equity of the Borrower and Subsidiaries determined on a consolidated basis plus</w:t>
      </w:r>
    </w:p>
    <w:p>
      <w:pPr>
        <w:spacing w:after="0" w:line="44" w:lineRule="exact"/>
        <w:rPr>
          <w:sz w:val="20"/>
          <w:szCs w:val="20"/>
          <w:color w:val="auto"/>
        </w:rPr>
      </w:pPr>
    </w:p>
    <w:p>
      <w:pPr>
        <w:ind w:right="120" w:firstLine="8"/>
        <w:spacing w:after="0" w:line="254" w:lineRule="auto"/>
        <w:tabs>
          <w:tab w:leader="none" w:pos="23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accumulated depreciation and amortization minus the following (to the extent reflected in determining stockholders’ equity of the Borrower and its Subsidiaries): (b) the amount of any write-up in the book value of any assets contained in any balance sheet resulting from revaluation thereof or any write-up in excess of the cost of such assets acquired, and (c) all amounts appearing on the assets side of any such balance sheet for assets which would be classified as intangible assets under GAAP, all determined on a consolidated basis.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that term in Section 3.12.(a).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means November 6, 2008, or such later date to which the Termination Date may be extended pursuant to Section 2.9.</w:t>
      </w:r>
    </w:p>
    <w:p>
      <w:pPr>
        <w:spacing w:after="0" w:line="18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74" w:right="239" w:bottom="1440" w:gutter="0" w:footer="0" w:header="0"/>
        </w:sectPr>
      </w:pPr>
    </w:p>
    <w:bookmarkStart w:id="279" w:name="page280"/>
    <w:bookmarkEnd w:id="279"/>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color w:val="auto"/>
        </w:rPr>
        <w:t>Titled Agents</w:t>
      </w:r>
      <w:r>
        <w:rPr>
          <w:rFonts w:ascii="Arial" w:cs="Arial" w:eastAsia="Arial" w:hAnsi="Arial"/>
          <w:sz w:val="15"/>
          <w:szCs w:val="15"/>
          <w:color w:val="auto"/>
        </w:rPr>
        <w:t>” means each of the Arranger, the Documentation Agents, and the Managing Agents and their respective successors and permitted assigns.</w:t>
      </w:r>
    </w:p>
    <w:p>
      <w:pPr>
        <w:spacing w:after="0" w:line="206" w:lineRule="exact"/>
        <w:rPr>
          <w:sz w:val="20"/>
          <w:szCs w:val="20"/>
          <w:color w:val="auto"/>
        </w:rPr>
      </w:pPr>
    </w:p>
    <w:p>
      <w:pPr>
        <w:ind w:right="240"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 Asset Value</w:t>
      </w:r>
      <w:r>
        <w:rPr>
          <w:rFonts w:ascii="Arial" w:cs="Arial" w:eastAsia="Arial" w:hAnsi="Arial"/>
          <w:sz w:val="15"/>
          <w:szCs w:val="15"/>
          <w:color w:val="auto"/>
        </w:rPr>
        <w:t>” means the sum of all of the following of the Borrower and its Subsidiaries on a consolidated basis determined in accordance with GAAP applied on a consistent basis: (a) cash and cash equivalents, plus (b) with respect to each Stabilized Property owned by the Borrower or any Subsidiary,</w:t>
      </w:r>
    </w:p>
    <w:p>
      <w:pPr>
        <w:ind w:right="140" w:firstLine="8"/>
        <w:spacing w:after="0" w:line="281" w:lineRule="auto"/>
        <w:tabs>
          <w:tab w:leader="none" w:pos="21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EBITDA attributable to such Property for the fiscal quarter most recently ended (adjusted for acquisitions and dispositions) times (ii) 4, divided by (iii) the Capitalization Rate, plus (c) the GAAP book value of Properties acquired during the most recent quarter, plus (d) Construction-in-Process until the earlier of the</w:t>
      </w:r>
    </w:p>
    <w:p>
      <w:pPr>
        <w:spacing w:after="0" w:line="1" w:lineRule="exact"/>
        <w:rPr>
          <w:rFonts w:ascii="Arial" w:cs="Arial" w:eastAsia="Arial" w:hAnsi="Arial"/>
          <w:sz w:val="16"/>
          <w:szCs w:val="16"/>
          <w:color w:val="auto"/>
        </w:rPr>
      </w:pPr>
    </w:p>
    <w:p>
      <w:pPr>
        <w:ind w:right="40" w:firstLine="8"/>
        <w:spacing w:after="0" w:line="253" w:lineRule="auto"/>
        <w:tabs>
          <w:tab w:leader="none" w:pos="21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one year anniversary date of project completion or (ii) the second quarter after the project achieves an Occupancy Rate of 85%, plus (e) the GAAP book value of Unimproved Land, Mortgage Receivables and other promissory notes. The Borrower’s pro rata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means all Indebtedness of the Borrower and its Subsidiaries determined on a consolidated basis.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with respect to any Loan, refers to whether such Loan is a LIBOR Loan or Base Rate Loan.</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Unconsolidated Affiliate</w:t>
      </w:r>
      <w:r>
        <w:rPr>
          <w:rFonts w:ascii="Arial" w:cs="Arial" w:eastAsia="Arial" w:hAnsi="Arial"/>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Adjusted NOI</w:t>
      </w:r>
      <w:r>
        <w:rPr>
          <w:rFonts w:ascii="Arial" w:cs="Arial" w:eastAsia="Arial" w:hAnsi="Arial"/>
          <w:sz w:val="16"/>
          <w:szCs w:val="16"/>
          <w:color w:val="auto"/>
        </w:rPr>
        <w:t>” means, for any period, NOI from (a) Wholly Owned Properties; (b) Controlled Properties; and (c) Non-Controlled Properties, all of which have been owned for the entire period and as adjusted for any non-recurring items during the reporting period. For purposes of this definition, to the extent the NOI attributable to Non-Controlled Properties would exceed 10% of the Unencumbered Adjusted NOI, such excess shall be excluded.</w:t>
      </w:r>
    </w:p>
    <w:p>
      <w:pPr>
        <w:spacing w:after="0" w:line="9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Asset Value</w:t>
      </w:r>
      <w:r>
        <w:rPr>
          <w:rFonts w:ascii="Arial" w:cs="Arial" w:eastAsia="Arial" w:hAnsi="Arial"/>
          <w:sz w:val="16"/>
          <w:szCs w:val="16"/>
          <w:color w:val="auto"/>
        </w:rPr>
        <w:t>” means (a) the Unencumbered Adjusted NOI for the fiscal quarter most recently ending times 4 divided by the Capitalization Rate, plus (b) the GAAP book value of all Properties acquired during the fiscal quarter most recently ended which Properties are not subject to any Lien other than Permitted Liens (excluding Permitted Liens of the type described in clauses (g) and (h) of the definition thereof) or subject to any Negative Pledge, plus (c) the GAAP book value of Development Property not subject to any Lien other than Permitted Liens (excluding Permitted Liens of the type described in clauses (g) and (h) of the definition thereof) or subject to any Negative Pledge, until the earlier of (i) the one year anniversary date of project completion or (ii) the second quarter after the project achieves an Occupancy Rate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274" w:right="259" w:bottom="1440" w:gutter="0" w:footer="0" w:header="0"/>
        </w:sectPr>
      </w:pPr>
    </w:p>
    <w:bookmarkStart w:id="280" w:name="page281"/>
    <w:bookmarkEnd w:id="280"/>
    <w:p>
      <w:pPr>
        <w:ind w:right="10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85%. For purposes of this definition, to the extent the Unencumbered Asset Value attributable to Development Properties would exceed 10% of the Unencumbered Asset Value, such excess shall be excluded.</w:t>
      </w:r>
    </w:p>
    <w:p>
      <w:pPr>
        <w:spacing w:after="0" w:line="1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Unfunded Liabilities</w:t>
      </w:r>
      <w:r>
        <w:rPr>
          <w:rFonts w:ascii="Arial" w:cs="Arial" w:eastAsia="Arial" w:hAnsi="Arial"/>
          <w:sz w:val="18"/>
          <w:szCs w:val="18"/>
          <w:color w:val="auto"/>
        </w:rPr>
        <w:t>” means, with respect to any Plan at any time, the amount (if any) by which (a) the value of all benefit liabilities under such Plan, 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139"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Unimproved Land</w:t>
      </w:r>
      <w:r>
        <w:rPr>
          <w:rFonts w:ascii="Arial" w:cs="Arial" w:eastAsia="Arial" w:hAnsi="Arial"/>
          <w:sz w:val="18"/>
          <w:szCs w:val="18"/>
          <w:color w:val="auto"/>
        </w:rPr>
        <w:t>” consists of land on which no development (other than paving or other improvements that are not material and are temporary in nature) has occurred and for which no development is planned in the 12 months following any date of determination.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Unsecured Indebtedness</w:t>
      </w:r>
      <w:r>
        <w:rPr>
          <w:rFonts w:ascii="Arial" w:cs="Arial" w:eastAsia="Arial" w:hAnsi="Arial"/>
          <w:sz w:val="18"/>
          <w:szCs w:val="18"/>
          <w:color w:val="auto"/>
        </w:rPr>
        <w:t>” means Indebtedness which is not Secured Indebtedness.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Unstabilized Property</w:t>
      </w:r>
      <w:r>
        <w:rPr>
          <w:rFonts w:ascii="Arial" w:cs="Arial" w:eastAsia="Arial" w:hAnsi="Arial"/>
          <w:sz w:val="16"/>
          <w:szCs w:val="16"/>
          <w:color w:val="auto"/>
        </w:rPr>
        <w:t>” means a Property (a) the improvements on which were completed within twelve months prior to any date of determination;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 which has not achieved an Occupancy Rate of 85%.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Wachovia</w:t>
      </w:r>
      <w:r>
        <w:rPr>
          <w:rFonts w:ascii="Arial" w:cs="Arial" w:eastAsia="Arial" w:hAnsi="Arial"/>
          <w:sz w:val="18"/>
          <w:szCs w:val="18"/>
          <w:color w:val="auto"/>
        </w:rPr>
        <w:t>” means Wachovia Bank, National Association, together with its successors and permitted assigns.</w:t>
      </w:r>
    </w:p>
    <w:p>
      <w:pPr>
        <w:spacing w:after="0" w:line="171" w:lineRule="exact"/>
        <w:rPr>
          <w:sz w:val="20"/>
          <w:szCs w:val="20"/>
          <w:color w:val="auto"/>
        </w:rPr>
      </w:pPr>
    </w:p>
    <w:p>
      <w:pPr>
        <w:jc w:val="both"/>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Property</w:t>
      </w:r>
      <w:r>
        <w:rPr>
          <w:rFonts w:ascii="Arial" w:cs="Arial" w:eastAsia="Arial" w:hAnsi="Arial"/>
          <w:sz w:val="18"/>
          <w:szCs w:val="18"/>
          <w:color w:val="auto"/>
        </w:rPr>
        <w:t>” means an Eligible Property which is wholly owned in fee simple (or leased under a Ground Lease) by only the Borrower or a Guarantor that is a Wholly Owned Subsidiary.</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any Subsidiary of a Person in respect of which all of the equity securities or other ownership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References to Times.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otherwise indicated, all accounting terms, ratios and measurements shall be interpreted or determined in accordance with GAAP; provided that, if at any time any change in GAAP would affect the computation of any financial ratio or requirement set forth in any Loan Document, and either the Borrower or the Requisite Lenders shall so request, the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Agent financial statements and other documents required under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280" w:right="239" w:bottom="1440" w:gutter="0" w:footer="0" w:header="0"/>
        </w:sectPr>
      </w:pPr>
    </w:p>
    <w:bookmarkStart w:id="281" w:name="page282"/>
    <w:bookmarkEnd w:id="28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or as reasonably requested hereunder setting forth a reconciliation between calculations of such ratio or requirement made before and after giving effect to such change in GAAP.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as of the date of this Agreement and from time to time thereafter to the extent not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direct or indirect Subsidiary of the Borrower and a reference to an “Affiliate” means a reference to an Affiliate of the Borrower. Titles and captions of Articles, Sections, subsections and clauses in this Agreement are for convenience only and neither limit nor amplify the provisions of this Agreement. Unless otherwise indicated, all references to time are references to Charlotte, North Carolina,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Financial Attributes of Non-Wholly Owned Subsidiaries.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When determining the Borrower’s compliance with any financial covenant contained in any of the Loan Documents, only the Borrower’s pro rata share of the financial attributes of a Subsidiary that is not a Wholly Owned Subsidiary shall be included.</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Loans.</w:t>
      </w:r>
    </w:p>
    <w:p>
      <w:pPr>
        <w:spacing w:after="0" w:line="96" w:lineRule="exact"/>
        <w:rPr>
          <w:sz w:val="20"/>
          <w:szCs w:val="20"/>
          <w:color w:val="auto"/>
        </w:rPr>
      </w:pPr>
    </w:p>
    <w:p>
      <w:pPr>
        <w:ind w:right="260" w:firstLine="464"/>
        <w:spacing w:after="0" w:line="332" w:lineRule="auto"/>
        <w:tabs>
          <w:tab w:leader="none" w:pos="695"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Subject to the terms and conditions hereof, on the Effective Date each Lender severally and not jointly agrees to make a Loan to the Borrower in a principal amount not to exceed the amount of such Lender’s Commitment. Once repaid, the principal amount of a Loan may not be reborrowed.</w:t>
      </w:r>
    </w:p>
    <w:p>
      <w:pPr>
        <w:spacing w:after="0" w:line="85" w:lineRule="exact"/>
        <w:rPr>
          <w:rFonts w:ascii="Arial" w:cs="Arial" w:eastAsia="Arial" w:hAnsi="Arial"/>
          <w:sz w:val="16"/>
          <w:szCs w:val="16"/>
          <w:color w:val="auto"/>
        </w:rPr>
      </w:pPr>
    </w:p>
    <w:p>
      <w:pPr>
        <w:ind w:right="240" w:firstLine="464"/>
        <w:spacing w:after="0" w:line="332" w:lineRule="auto"/>
        <w:tabs>
          <w:tab w:leader="none" w:pos="705"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Requesting</w:t>
      </w:r>
      <w:r>
        <w:rPr>
          <w:rFonts w:ascii="Arial" w:cs="Arial" w:eastAsia="Arial" w:hAnsi="Arial"/>
          <w:sz w:val="16"/>
          <w:szCs w:val="16"/>
          <w:color w:val="auto"/>
        </w:rPr>
        <w:t>. The Borrower shall give the Agent notice pursuant to the Notice of Borrowing of the borrowing of the Loans no later than 11:00 a.m. on the date three Business Days prior to the anticipated Effective Date. Such Notice of Borrowing shall be irrevocable once given and binding on the Borrower.</w:t>
      </w:r>
    </w:p>
    <w:p>
      <w:pPr>
        <w:spacing w:after="0" w:line="85" w:lineRule="exact"/>
        <w:rPr>
          <w:rFonts w:ascii="Arial" w:cs="Arial" w:eastAsia="Arial" w:hAnsi="Arial"/>
          <w:sz w:val="16"/>
          <w:szCs w:val="16"/>
          <w:color w:val="auto"/>
        </w:rPr>
      </w:pPr>
    </w:p>
    <w:p>
      <w:pPr>
        <w:ind w:firstLine="464"/>
        <w:spacing w:after="0" w:line="298" w:lineRule="auto"/>
        <w:tabs>
          <w:tab w:leader="none" w:pos="695"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Disbursements of Loan Proceeds</w:t>
      </w:r>
      <w:r>
        <w:rPr>
          <w:rFonts w:ascii="Arial" w:cs="Arial" w:eastAsia="Arial" w:hAnsi="Arial"/>
          <w:sz w:val="16"/>
          <w:szCs w:val="16"/>
          <w:color w:val="auto"/>
        </w:rPr>
        <w:t>. No later than 1:00 p.m. on the Effective Date, each Lender will make available for the account of its applicable Lending Office to the Agent at the Principal Office, in immediately available funds, the proceeds of the Loan to be made by such Lender. Subject to satisfaction of the applicable conditions set forth in Article V. for such borrowing, the Agent will make the proceeds of such borrowing available to the Borrower no later than 2:00 p.m. on such date and at the account specified by the Borrower in the Notice of Borrowing.</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00"/>
          </w:cols>
          <w:pgMar w:left="240" w:top="280" w:right="25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2.2. Rates and Payment of Interest on Loan.</w:t>
      </w:r>
    </w:p>
    <w:p>
      <w:pPr>
        <w:spacing w:after="0" w:line="96" w:lineRule="exact"/>
        <w:rPr>
          <w:sz w:val="20"/>
          <w:szCs w:val="20"/>
          <w:color w:val="auto"/>
        </w:rPr>
      </w:pPr>
    </w:p>
    <w:p>
      <w:pPr>
        <w:ind w:firstLine="464"/>
        <w:spacing w:after="0" w:line="259" w:lineRule="auto"/>
        <w:tabs>
          <w:tab w:leader="none" w:pos="69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The Borrower promises to pay to the Agent for the account of each Lender interest on the unpaid principal amount of the Loan made by such Lender for the period from and including the date of the making of such Loan to but excluding the date such Loan shall be paid in full, at the following per annum rates: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during such periods as such Loan is a Base Rate Loan, at the Base Rate (as in effect from time to time) plus the Applicable Margin; and</w:t>
      </w:r>
    </w:p>
    <w:p>
      <w:pPr>
        <w:spacing w:after="0" w:line="113" w:lineRule="exact"/>
        <w:rPr>
          <w:rFonts w:ascii="Arial" w:cs="Arial" w:eastAsia="Arial" w:hAnsi="Arial"/>
          <w:sz w:val="16"/>
          <w:szCs w:val="16"/>
          <w:color w:val="auto"/>
        </w:rPr>
      </w:pPr>
    </w:p>
    <w:p>
      <w:pPr>
        <w:ind w:left="460" w:right="540" w:firstLine="443"/>
        <w:spacing w:after="0" w:line="268" w:lineRule="auto"/>
        <w:tabs>
          <w:tab w:leader="none" w:pos="115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during such periods as such Loan is a LIBOR Loan, at the Adjusted Eurodollar Rate for such Loan for the Interest Period therefor plus the Applicable Margin.</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Notwithstanding the foregoing, during the continuance of an Event of Default, the Borrower shall pay to the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w:t>
      </w:r>
    </w:p>
    <w:p>
      <w:pPr>
        <w:spacing w:after="0" w:line="143" w:lineRule="exact"/>
        <w:rPr>
          <w:sz w:val="20"/>
          <w:szCs w:val="20"/>
          <w:color w:val="auto"/>
        </w:rPr>
      </w:pPr>
    </w:p>
    <w:p>
      <w:pPr>
        <w:ind w:firstLine="464"/>
        <w:spacing w:after="0" w:line="290" w:lineRule="auto"/>
        <w:tabs>
          <w:tab w:leader="none" w:pos="70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Accrued and unpaid interest on each Loan shall be payable (i) in the case of a Base Rate Loan, monthly in arrears on the first day of each calendar month, (ii) in the case of a LIBOR Loan, in arrears on the last day of each Interest Period therefor, and, if such Interest Period is longer than three months, at three-month intervals following the first day of such Interest Period, and (iii) in the case of any Loan, in arrears upon the payment, prepayment or Continuation thereof or the Conversion of such Loan to a Loan of another Type (but only on the principal amount so paid, prepaid, Continued or Converted). Interest payable at the Post-Default Rate shall be payable from time to time on demand. Promptly after the determination of any interest rate provided for herein or any change therein, the Agent shall give notice thereof to the Lenders to which such interest is payable and to the Borrower. All determinations by the Agent of an interest rate hereunder shall be conclusive and binding on the Lenders and the Borrower for all purposes, absent manifest error.</w:t>
      </w:r>
    </w:p>
    <w:p>
      <w:pPr>
        <w:spacing w:after="0" w:line="118" w:lineRule="exact"/>
        <w:rPr>
          <w:rFonts w:ascii="Arial" w:cs="Arial" w:eastAsia="Arial" w:hAnsi="Arial"/>
          <w:sz w:val="16"/>
          <w:szCs w:val="16"/>
          <w:color w:val="auto"/>
        </w:rPr>
      </w:pPr>
    </w:p>
    <w:p>
      <w:pPr>
        <w:ind w:right="140" w:firstLine="464"/>
        <w:spacing w:after="0" w:line="291" w:lineRule="auto"/>
        <w:tabs>
          <w:tab w:leader="none" w:pos="69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Ratings Change</w:t>
      </w:r>
      <w:r>
        <w:rPr>
          <w:rFonts w:ascii="Arial" w:cs="Arial" w:eastAsia="Arial" w:hAnsi="Arial"/>
          <w:sz w:val="16"/>
          <w:szCs w:val="16"/>
          <w:color w:val="auto"/>
        </w:rPr>
        <w:t>. If the Applicable Margin shall change as a result of a change in the Borrower’s Credit Rating and then within a 90-day period change back to the Applicable Margin in effect at the beginning of such period as a result of another change in such Credit Rating, and (i) if the initial change in the Applicable Margin was an increase, then the Borrower will receive as a credit against its Obligations for the period during which the increase existed any incremental interest expense with respect to the Loans the interest rate on which included the Applicable Margin and (ii) if the initial change in the Applicable Margin was a decrease, then the Borrower shall promptly pay to the Agent for the ratable benefit of the Lenders for the period during which the increase existed determined as if such decrease had not occurred additional interest with respect to the Loans the interest rate on which included the Applicable Margin.</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00"/>
          </w:cols>
          <w:pgMar w:left="240" w:top="274" w:right="25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2.3. Number of Interest Periods.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may be no more than 6 different Interest Periods for LIBOR Loans outstanding at the same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Repayment of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repay the entire outstanding principal amount of, and all accrued but unpaid interest on, the Loans on the Termination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Prepayments.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Subject to Section 4.4., the Borrower may prepay the Loans, in whole or in part, at any time without premium or penalty. The Borrower shall give the Agent at least one Business Day’s prior written notice of the prepayment of the Loans.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Continuation.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 long as no Event of Default shall exist, the Borrower may on any Business Day, with respect to any LIBOR Loan, elect to maintain such LIBOR Loan or any portion thereof as a LIBOR Loan by selecting a new Interest Period for such LIBOR Loan. Each new Interest Period selected under this Section shall commence on the last day of the immediately preceding Interest Period. Each selection of a new Interest Period shall be made by the Borrower giving to the Agent a Notice of Continuation not later than 11:00 a.m. on the third Business Day prior to the date of any such Continuation. Such notice by the Borrower of a Continuation shall be by telephone or telecopy, confirmed immediately in writing if by telephone, in the form of a Notice of Continuation, specifying (a) the proposed date of such Continuation, (b) the LIBOR Loans and portions thereof subject to such Continuation and (c) the duration of the selected Interest Period. Each Notice of Continuation shall be irrevocable by and binding on the Borrower once given. Promptly after receipt of a Notice of Continuation, the Agent shall notify each Lender holding any such Loan being Continued by telecopy, or other similar form of transmission, of the proposed Continuation. If the Borrower shall fail to select in a timely manner a new Interest Period for any LIBOR Loan in accordance with this Section, or if an Event of Default shall exist at the end of the current Interest Period of a LIBOR Loan, such Loan will automatically, on the last day of the current Interest Period therefor, Convert into a Base Rate Loan notwithstanding the first sentence of Section 2.7. or the Borrower’s failure to comply with any of the terms of such Section.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Conversion.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Borrower may on any Business Day, upon the Borrower’s giving of a Notice of Conversion to the Agent, Convert all or a portion of a Loan of one Type into a Loan of another Type; provided, however, a Base Rate Loan may not be Converted to a LIBOR Loan if an Event of Default shall exist. Any Conversion of a LIBOR Loan into a Base Rate Loan shall be made on, and only on, the last day of an Interest Period for such LIBOR Loan and, upon Conversion of a Base Rate Loan into a LIBOR Loan, the Borrower shall pay accrued interest to the date of Conversion on the principal amount so Converted. Each such Notice of Conversion shall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274" w:right="239" w:bottom="1440" w:gutter="0" w:footer="0" w:header="0"/>
        </w:sectPr>
      </w:pPr>
    </w:p>
    <w:bookmarkStart w:id="284" w:name="page285"/>
    <w:bookmarkEnd w:id="28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given not later than 11:00 a.m. on the date of any proposed Conversion into Base Rate Loans and on the third Business Day prior to the date of any proposed Conversion into LIBOR Loans. Promptly after receipt of a Notice of Conversion, the Agent shall notify each Lender holding a Loan being Converted by telecopy, or other similar form of transmission, of the proposed Conversion. Subject to the restrictions specified above, each Notice of Conversion shall be by telephone (confirmed immediately in writing) or telecopy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Notes.</w:t>
      </w:r>
    </w:p>
    <w:p>
      <w:pPr>
        <w:spacing w:after="0" w:line="96" w:lineRule="exact"/>
        <w:rPr>
          <w:sz w:val="20"/>
          <w:szCs w:val="20"/>
          <w:color w:val="auto"/>
        </w:rPr>
      </w:pPr>
    </w:p>
    <w:p>
      <w:pPr>
        <w:ind w:right="60" w:firstLine="464"/>
        <w:spacing w:after="0" w:line="259"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Loan made by each Lender shall, in addition to this Agreement, also be evidenced by a promissory note of the Borrower substantially in the form of Exhibit E (each a “</w:t>
      </w:r>
      <w:r>
        <w:rPr>
          <w:rFonts w:ascii="Arial" w:cs="Arial" w:eastAsia="Arial" w:hAnsi="Arial"/>
          <w:sz w:val="18"/>
          <w:szCs w:val="18"/>
          <w:b w:val="1"/>
          <w:bCs w:val="1"/>
          <w:color w:val="auto"/>
        </w:rPr>
        <w:t>Note</w:t>
      </w:r>
      <w:r>
        <w:rPr>
          <w:rFonts w:ascii="Arial" w:cs="Arial" w:eastAsia="Arial" w:hAnsi="Arial"/>
          <w:sz w:val="18"/>
          <w:szCs w:val="18"/>
          <w:color w:val="auto"/>
        </w:rPr>
        <w:t>”), payable to the order of such Lender in a principal amount equal to the amount of its Commitment and otherwise duly completed.</w:t>
      </w:r>
    </w:p>
    <w:p>
      <w:pPr>
        <w:spacing w:after="0" w:line="140" w:lineRule="exact"/>
        <w:rPr>
          <w:rFonts w:ascii="Arial" w:cs="Arial" w:eastAsia="Arial" w:hAnsi="Arial"/>
          <w:sz w:val="18"/>
          <w:szCs w:val="18"/>
          <w:color w:val="auto"/>
        </w:rPr>
      </w:pPr>
    </w:p>
    <w:p>
      <w:pPr>
        <w:ind w:right="160" w:firstLine="464"/>
        <w:spacing w:after="0" w:line="256" w:lineRule="auto"/>
        <w:tabs>
          <w:tab w:leader="none" w:pos="70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The date, amount, interest rate,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the failure of a Lender to make any such record shall not affect the obligations of the Borrower under any of the Loan Documents.</w:t>
      </w:r>
    </w:p>
    <w:p>
      <w:pPr>
        <w:spacing w:after="0" w:line="143" w:lineRule="exact"/>
        <w:rPr>
          <w:rFonts w:ascii="Arial" w:cs="Arial" w:eastAsia="Arial" w:hAnsi="Arial"/>
          <w:sz w:val="18"/>
          <w:szCs w:val="18"/>
          <w:color w:val="auto"/>
        </w:rPr>
      </w:pPr>
    </w:p>
    <w:p>
      <w:pPr>
        <w:ind w:right="120" w:firstLine="464"/>
        <w:spacing w:after="0" w:line="298" w:lineRule="auto"/>
        <w:tabs>
          <w:tab w:leader="none" w:pos="695"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Lost, Stolen, Destroyed or Mutilated Notes.</w:t>
      </w:r>
      <w:r>
        <w:rPr>
          <w:rFonts w:ascii="Arial" w:cs="Arial" w:eastAsia="Arial" w:hAnsi="Arial"/>
          <w:sz w:val="16"/>
          <w:szCs w:val="16"/>
          <w:color w:val="auto"/>
        </w:rPr>
        <w:t xml:space="preserve"> Upon receipt by the Borrower of (i) written notice from a Lender that the Note of such Lender has been lost, stolen, destroyed or mutilated, and (ii) (A) in the case of loss, theft or destruction, an unsecured agreement of indemnity from such Lender in form reasonably satisfactory to the Borrower, or (B) in the case of mutilation, upon surrender and cancellation of such Note, the Borrower shall at the expense of such Lender execute and deliver to such Lender a new Note dated the date of such lost, stolen, destroyed or mutilated Note.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2.9. Extension of Termination Date.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Borrower shall have the right, exercisable one time, to extend the Termination Date for one year. The Borrower may exercise such right only by executing and delivering to the Agent at least 90 days but not more than 180 days prior to the current Termination Date, a written request for such extension (an “</w:t>
      </w:r>
      <w:r>
        <w:rPr>
          <w:rFonts w:ascii="Arial" w:cs="Arial" w:eastAsia="Arial" w:hAnsi="Arial"/>
          <w:sz w:val="16"/>
          <w:szCs w:val="16"/>
          <w:b w:val="1"/>
          <w:bCs w:val="1"/>
          <w:color w:val="auto"/>
        </w:rPr>
        <w:t>Extension Request</w:t>
      </w:r>
      <w:r>
        <w:rPr>
          <w:rFonts w:ascii="Arial" w:cs="Arial" w:eastAsia="Arial" w:hAnsi="Arial"/>
          <w:sz w:val="16"/>
          <w:szCs w:val="16"/>
          <w:color w:val="auto"/>
        </w:rPr>
        <w:t>”). The Agent shall forward to each Lender a copy of the Extension Request delivered to the Agent promptly upon receipt thereof. Subject to satisfaction of the following conditions, the Termination Date shall be extended for one year effective upon receipt of the Extension Request and payment of the fee referred to in the following clause (b): (a) immediately prior to such extension and immediately after giving effect thereto, (i) no Default or Event of Default shall exist and (ii) the representations and warranties made or deemed made by the Borrower and each other Loan Party in the Loan Documents to which any of them is a party shall be true and correct in all material respects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280" w:right="259" w:bottom="1440" w:gutter="0" w:footer="0" w:header="0"/>
        </w:sectPr>
      </w:pPr>
    </w:p>
    <w:bookmarkStart w:id="285" w:name="page286"/>
    <w:bookmarkEnd w:id="285"/>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and (b) the Borrower shall have paid the Fees payable under Section 3.6.(a).</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Payments.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to the extent otherwise provided herein, all payments of principal, interest and other amounts to be made by the Borrower under this Agreement or any other Loan Document shall be made in Dollars, in immediately available funds, without deduction, set-off or counterclaim, to the Agent at its Principal Office, not later than 2:00 p.m. on the date on which such payment shall become due (each such payment made after such time on such due date to be deemed to have been made on the next succeeding Business Day). Subject to Section 10.3., the Borrower may, at the time of making each payment under this Agreement or any Note, specify to the Agent the amounts payable by the Borrower hereunder to which such payment is to be applied. Each payment received by the Agent for the account of a Lender under this Agreement or any Note shall be paid to such Lender at the applicable Lending Office of such Lender no later than 5:00 p.m. on the date of receipt. If the Agent fails to pay such amount to a Lender as provided in the previous sentence, the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be payable for the period of such extension.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Pro Rata Treatment.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to the extent otherwise provided herein:</w:t>
      </w:r>
    </w:p>
    <w:p>
      <w:pPr>
        <w:spacing w:after="0" w:line="171" w:lineRule="exact"/>
        <w:rPr>
          <w:sz w:val="20"/>
          <w:szCs w:val="20"/>
          <w:color w:val="auto"/>
        </w:rPr>
      </w:pPr>
    </w:p>
    <w:p>
      <w:pPr>
        <w:jc w:val="both"/>
        <w:ind w:right="120" w:firstLine="464"/>
        <w:spacing w:after="0" w:line="259" w:lineRule="auto"/>
        <w:tabs>
          <w:tab w:leader="none" w:pos="69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making of the Loans under Section 2.1. shall be made, pro rata according to amounts of the Lenders’ respective Commitments and payment of the Fee under Section 3.6.(a), shall be made for the account of the Lenders pro rata in accordance with the respective unpaid principal amounts of the Loans held by them;</w:t>
      </w:r>
    </w:p>
    <w:p>
      <w:pPr>
        <w:spacing w:after="0" w:line="140" w:lineRule="exact"/>
        <w:rPr>
          <w:rFonts w:ascii="Arial" w:cs="Arial" w:eastAsia="Arial" w:hAnsi="Arial"/>
          <w:sz w:val="18"/>
          <w:szCs w:val="18"/>
          <w:color w:val="auto"/>
        </w:rPr>
      </w:pPr>
    </w:p>
    <w:p>
      <w:pPr>
        <w:ind w:right="560" w:firstLine="464"/>
        <w:spacing w:after="0" w:line="268" w:lineRule="auto"/>
        <w:tabs>
          <w:tab w:leader="none" w:pos="70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payment or prepayment of principal of Loans by the Borrower shall be made for the account of the Lenders pro rata in accordance with the respective unpaid principal amounts of the Loans held by them;</w:t>
      </w:r>
    </w:p>
    <w:p>
      <w:pPr>
        <w:spacing w:after="0" w:line="131" w:lineRule="exact"/>
        <w:rPr>
          <w:rFonts w:ascii="Arial" w:cs="Arial" w:eastAsia="Arial" w:hAnsi="Arial"/>
          <w:sz w:val="18"/>
          <w:szCs w:val="18"/>
          <w:color w:val="auto"/>
        </w:rPr>
      </w:pPr>
    </w:p>
    <w:p>
      <w:pPr>
        <w:ind w:right="60" w:firstLine="464"/>
        <w:spacing w:after="0" w:line="268" w:lineRule="auto"/>
        <w:tabs>
          <w:tab w:leader="none" w:pos="69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payment of interest on the Loans by the Borrower shall be made for the account of the Lenders pro rata in accordance with the amounts of interest on such Loans then due and payable to the respective Lenders; and</w:t>
      </w:r>
    </w:p>
    <w:p>
      <w:pPr>
        <w:spacing w:after="0" w:line="131" w:lineRule="exact"/>
        <w:rPr>
          <w:rFonts w:ascii="Arial" w:cs="Arial" w:eastAsia="Arial" w:hAnsi="Arial"/>
          <w:sz w:val="18"/>
          <w:szCs w:val="18"/>
          <w:color w:val="auto"/>
        </w:rPr>
      </w:pPr>
    </w:p>
    <w:p>
      <w:pPr>
        <w:jc w:val="both"/>
        <w:ind w:right="100" w:firstLine="464"/>
        <w:spacing w:after="0" w:line="259" w:lineRule="auto"/>
        <w:tabs>
          <w:tab w:leader="none" w:pos="70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Conversion and Continuation of the Loans of a particular Type (other than Conversions provided for by Section 4.5.) shall be made pro rata among the Lenders according to the amounts of their respective Loans and the then current Interest Period for each Lender’s portion of each Loan of such Type shall be coterminous.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00"/>
          </w:cols>
          <w:pgMar w:left="240" w:top="280" w:right="25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3.3. Sharing of Payments, Etc.</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a Lender shall obtain payment of any principal of, or interest on, the Loan made by it to the Borrower under this Agreement, or shall obtain payment on any other Obligation owing by the Borrower or other Loan Party through the exercise of any right of set-off, banker’s lien or counterclaim or similar right or otherwise or through voluntary prepayments directly to a Lender or other payments made by the Borrower to a Lender not in accordance with the terms of this Agreement and such payment should be distributed to the Lenders pro rata in accordance with Section 3.2. or Section 10.3.,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be incurred by such Lender in obtaining or preserving such benefit) pro rata in accordance with Section 3.2. or Section 10.3.,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pursuant to this Section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Several Obligations.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Minimum Amounts.</w:t>
      </w:r>
    </w:p>
    <w:p>
      <w:pPr>
        <w:spacing w:after="0" w:line="96" w:lineRule="exact"/>
        <w:rPr>
          <w:sz w:val="20"/>
          <w:szCs w:val="20"/>
          <w:color w:val="auto"/>
        </w:rPr>
      </w:pPr>
    </w:p>
    <w:p>
      <w:pPr>
        <w:ind w:right="400" w:firstLine="464"/>
        <w:spacing w:after="0" w:line="332" w:lineRule="auto"/>
        <w:tabs>
          <w:tab w:leader="none" w:pos="695"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Base Rate Loans shall be in an aggregate minimum amount of $1,000,000 and integral multiples of $500,000 in excess thereof. LIBOR Loans shall be in an aggregate minimum amount of $1,000,000 and integral multiples of $1,000,000 in excess of that amount.</w:t>
      </w:r>
    </w:p>
    <w:p>
      <w:pPr>
        <w:spacing w:after="0" w:line="85"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Prepayments</w:t>
      </w:r>
      <w:r>
        <w:rPr>
          <w:rFonts w:ascii="Arial" w:cs="Arial" w:eastAsia="Arial" w:hAnsi="Arial"/>
          <w:sz w:val="18"/>
          <w:szCs w:val="18"/>
          <w:color w:val="auto"/>
        </w:rPr>
        <w:t>. Each voluntary prepayment of the Loans shall be in an aggregate minimum amount of $1,000,000 and integral multiples of $100,000 in excess thereof (or, if less, the aggregate principal amount of Loans then outstanding).</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00"/>
          </w:cols>
          <w:pgMar w:left="240" w:top="274" w:right="2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3.6. Fees.</w:t>
      </w:r>
    </w:p>
    <w:p>
      <w:pPr>
        <w:spacing w:after="0" w:line="96" w:lineRule="exact"/>
        <w:rPr>
          <w:sz w:val="20"/>
          <w:szCs w:val="20"/>
          <w:color w:val="auto"/>
        </w:rPr>
      </w:pPr>
    </w:p>
    <w:p>
      <w:pPr>
        <w:ind w:right="320" w:firstLine="464"/>
        <w:spacing w:after="0" w:line="306" w:lineRule="auto"/>
        <w:tabs>
          <w:tab w:leader="none" w:pos="695"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Extension Fee</w:t>
      </w:r>
      <w:r>
        <w:rPr>
          <w:rFonts w:ascii="Arial" w:cs="Arial" w:eastAsia="Arial" w:hAnsi="Arial"/>
          <w:sz w:val="16"/>
          <w:szCs w:val="16"/>
          <w:color w:val="auto"/>
        </w:rPr>
        <w:t>. If the Borrower exercises its right to extend the Termination Date in accordance with Section 2.9., the Borrower agrees to pay to the Agent for the account of the Lenders a fee equal to one-tenth of one percent (0.10%) of the principal balance of the Loans outstanding at the time of such extension. Such fee shall be due and payable in full on the date the Agent receives the Extension Request.</w:t>
      </w:r>
    </w:p>
    <w:p>
      <w:pPr>
        <w:spacing w:after="0" w:line="106" w:lineRule="exact"/>
        <w:rPr>
          <w:rFonts w:ascii="Arial" w:cs="Arial" w:eastAsia="Arial" w:hAnsi="Arial"/>
          <w:sz w:val="16"/>
          <w:szCs w:val="16"/>
          <w:color w:val="auto"/>
        </w:rPr>
      </w:pPr>
    </w:p>
    <w:p>
      <w:pPr>
        <w:ind w:right="560" w:firstLine="464"/>
        <w:spacing w:after="0" w:line="268" w:lineRule="auto"/>
        <w:tabs>
          <w:tab w:leader="none" w:pos="705"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Administrative and Other Fees</w:t>
      </w:r>
      <w:r>
        <w:rPr>
          <w:rFonts w:ascii="Arial" w:cs="Arial" w:eastAsia="Arial" w:hAnsi="Arial"/>
          <w:sz w:val="18"/>
          <w:szCs w:val="18"/>
          <w:color w:val="auto"/>
        </w:rPr>
        <w:t>. The Borrower agrees to pay the administrative and other fees of the Agent as may be agreed to in writing by the Borrower and the Agent from time to time.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Computations.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otherwise expressly set forth herein, any accrued interest on any Loan, any Fees or any other Obligations due hereunder shall be computed on the basis of a year of 360 days and the actual number of days elapsed, except in the case of Base Rate Loans which shall be computed on the basis of a year of 365 or 366 days, as applicable, and the actual number of days elapsed.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Usury.</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except to the extent the payment thereof as principal would result in the payment of amounts under Section 4.4., in which case such amount shall be paid to the Borrower or whomever else may be legally entitled thereto. It is the express intent of the parties hereto that the Borrower not pay and the Lenders not receive, directly or indirectly, in any manner whatsoever, interest in excess of that which may be lawfully paid by the Borrower under Applicable Law.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Agreement Regarding Interest and Charges.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parties hereto hereby agree and stipulate that the only charge imposed upon the Borrower for the use of money in connection with this Agreement is and shall be the interest specifically described in Section 2.2.(a)(i) and (ii). Notwithstanding the foregoing, the parties hereto further agree and stipulate that all agency fees, syndication fees, closing fees, underwriting fees, default charges, late charges, funding or “breakage” charges, increased cost charges, attorneys’ fees and reimbursement for costs and expenses paid by the Agent or any Lender to third parties or for damages incurred by the Agent or any Lender, in each case in connection with the transactions contemplated by this Agreement and the other Loan Documents, are charges made to compensate the Agent or any such Lender for underwriting or administrative services and costs or losses performed or incurred, and to be performed or incurred, by the Agent and the Lenders in connection with this Agreement and shall under no circumstances be deemed to be charges for the use of money. All charges other than charges for the use of money shall be fully earned and nonrefundable when due.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80"/>
          </w:cols>
          <w:pgMar w:left="240" w:top="274" w:right="27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3.10. Statements of Account.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Agent will account to the Borrower monthly with a statement of Loans, accrued interest and Fees, charges and payments made pursuant to this Agreement and the other Loan Documents, and such account rendered by the Agent shall be deemed conclusive upon Borrower absent manifest error. The failure of the Agent to deliver such a statement of accounts shall not relieve or discharge the Borrower from any of its obligations hereunder.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Defaulting Lenders.</w:t>
      </w:r>
    </w:p>
    <w:p>
      <w:pPr>
        <w:spacing w:after="0" w:line="90" w:lineRule="exact"/>
        <w:rPr>
          <w:sz w:val="20"/>
          <w:szCs w:val="20"/>
          <w:color w:val="auto"/>
        </w:rPr>
      </w:pPr>
    </w:p>
    <w:p>
      <w:pPr>
        <w:ind w:firstLine="464"/>
        <w:spacing w:after="0" w:line="286" w:lineRule="auto"/>
        <w:tabs>
          <w:tab w:leader="none" w:pos="695"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If for any reason any Lender (a “</w:t>
      </w:r>
      <w:r>
        <w:rPr>
          <w:rFonts w:ascii="Arial" w:cs="Arial" w:eastAsia="Arial" w:hAnsi="Arial"/>
          <w:sz w:val="16"/>
          <w:szCs w:val="16"/>
          <w:b w:val="1"/>
          <w:bCs w:val="1"/>
          <w:color w:val="auto"/>
        </w:rPr>
        <w:t>Defaulting Lender</w:t>
      </w:r>
      <w:r>
        <w:rPr>
          <w:rFonts w:ascii="Arial" w:cs="Arial" w:eastAsia="Arial" w:hAnsi="Arial"/>
          <w:sz w:val="16"/>
          <w:szCs w:val="16"/>
          <w:color w:val="auto"/>
        </w:rPr>
        <w:t>”) shall fail or refuse to perform any of its obligations under this Agreement or any other Loan Document to which it is a party within the time period specified for performance of such obligation or, if no time period is specified, if such failure or refusal continues for a period of two Business Days after notice from the Agent, then, in addition to the rights and remedies that may be available to the Agent or the Borrower under this Agreement or Applicable Law, such Defaulting Lender’s right to participate in the administration of the Loans, this Agreement and the other Loan Documents, including, without limitation, any right to vote in respect of, to consent to or to direct any action or inaction of the Agent or to be taken into account in the calculation of the Requisite Lenders, shall be suspended during the pendency of such failure or refusal. If a Lender is a Defaulting Lender because it has failed to make timely payment to the Agent of any amount required to be paid to the Agent hereunder (without giving effect to any notice or cure periods), in addition to other rights and remedies which the Agent or the Borrower may have under the immediately preceding provisions or otherwise, the Agent shall be entitled (i) to collect interest from such Defaulting Lender on such delinquent payment for the period from the date on which the payment was due until the date on which the payment is made, at the Federal Funds Rate, (ii) to withhold or setoff and to apply in satisfaction of the defaulted payment and any related interest, any amounts otherwise payable to such Defaulting Lender under this Agreement or any other Loan Document and (iii) to bring an action or suit against such Defaulting Lender in a court of competent jurisdiction to recover the defaulted amount and any related interest. Any amounts received by the Agent in respect of a Defaulting Lender’s Loans shall not be paid to such Defaulting Lender and shall be held uninvested by the Agent and either applied against the purchase price of such Loans under the following subsection (b) or paid to such Defaulting Lender upon the Defaulting Lender’s curing of its default.</w:t>
      </w:r>
    </w:p>
    <w:p>
      <w:pPr>
        <w:spacing w:after="0" w:line="123" w:lineRule="exact"/>
        <w:rPr>
          <w:rFonts w:ascii="Arial" w:cs="Arial" w:eastAsia="Arial" w:hAnsi="Arial"/>
          <w:sz w:val="16"/>
          <w:szCs w:val="16"/>
          <w:color w:val="auto"/>
        </w:rPr>
      </w:pPr>
    </w:p>
    <w:p>
      <w:pPr>
        <w:ind w:firstLine="464"/>
        <w:spacing w:after="0" w:line="254" w:lineRule="auto"/>
        <w:tabs>
          <w:tab w:leader="none" w:pos="705"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Purchase or Cancellation of Defaulting Lender’s Loan</w:t>
      </w:r>
      <w:r>
        <w:rPr>
          <w:rFonts w:ascii="Arial" w:cs="Arial" w:eastAsia="Arial" w:hAnsi="Arial"/>
          <w:sz w:val="18"/>
          <w:szCs w:val="18"/>
          <w:color w:val="auto"/>
        </w:rPr>
        <w:t>. Any Lender who is not a Defaulting Lender shall have the right, but not the obligation, in its sole discretion, to acquire all of the unpaid principal balance of the Defaulting Lender’s Loan. Any Lender desiring to exercise such right shall give written notice thereof to the Agent and the Borrower no sooner than 2 Business Days and not later than 5 Business Days after such Defaulting Lender became a Defaulting Lender. If more than one Lender exercises such right, each such Lender shall have the right to acquire an amount of the unpaid principal balance of the Defaulting Lender’s Loan in proportion to the respective unpaid principal balance of the Loans held by other Lenders exercising such right. If after such 5th Business Day, the Lenders have not elected to purchase</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00"/>
          </w:cols>
          <w:pgMar w:left="240" w:top="274" w:right="259" w:bottom="1440" w:gutter="0" w:footer="0" w:header="0"/>
        </w:sectPr>
      </w:pPr>
    </w:p>
    <w:bookmarkStart w:id="289" w:name="page290"/>
    <w:bookmarkEnd w:id="28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of the unpaid principal balance of such Defaulting Lender’s Loan, then the Borrower may, by giving written notice thereof to the Agent, such Defaulting Lender and the other Lenders demand that such Defaulting Lender assign the unpaid principal balance of its Loan to an Eligible Assignee subject to and in accordance with the provisions of Section 12.5.(d) for the purchase price provided for below, whereupon such Defaulting Lender shall no longer be a party hereto or have any rights or obligations under any of the Loan Documents. No party hereto shall have any obligation whatsoever to initiate any such replacement or to assist in finding an Eligible Assignee. Upon any such purchase or assignment, the Defaulting Lender’s interest in the Loans and its rights hereunder with respect thereto (but not its liability in respect thereof or under the Loan Documents or this Agreement to the extent the same relate to the period prior to the effective date of the purchase) shall terminate on the date of purchase, and the Defaulting Lender shall promptly execute all documents reasonably requested to surrender and transfer such interest to the purchaser or assignee thereof, including an appropriate Assignment and Acceptance Agreement and, notwithstanding Section 12.5.(d) shall pay to the Agent an assignment fee in the amount of $7,000. The purchase price for the Loan of a Defaulting Lender shall be equal to the amount of the principal balance of the Loan outstanding and owed by the Borrower to the Defaulting Lender. Prior to payment of such purchase price to a Defaulting Lender, the Agent shall apply against such purchase price any amounts retained by the Agent pursuant to the last sentence of the immediately preceding subsection (a). The Defaulting Lender shall be entitled to receive amounts owed to it by the Borrower under the Loan Documents which accrued prior to the date of the default by the Defaulting Lender, to the extent the same are received by the Agent from or on behalf of the Borrower. There shall be no recourse against any Lender or the Agent for the payment of such sums except to the extent of the receipt of payments from any other party or in respect of the Loans.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3.12. Taxes.</w:t>
      </w:r>
    </w:p>
    <w:p>
      <w:pPr>
        <w:spacing w:after="0" w:line="96" w:lineRule="exact"/>
        <w:rPr>
          <w:sz w:val="20"/>
          <w:szCs w:val="20"/>
          <w:color w:val="auto"/>
        </w:rPr>
      </w:pPr>
    </w:p>
    <w:p>
      <w:pPr>
        <w:ind w:firstLine="464"/>
        <w:spacing w:after="0" w:line="287" w:lineRule="auto"/>
        <w:tabs>
          <w:tab w:leader="none" w:pos="695"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Taxes Generally</w:t>
      </w:r>
      <w:r>
        <w:rPr>
          <w:rFonts w:ascii="Arial" w:cs="Arial" w:eastAsia="Arial" w:hAnsi="Arial"/>
          <w:sz w:val="16"/>
          <w:szCs w:val="16"/>
          <w:color w:val="auto"/>
        </w:rPr>
        <w:t>. All payments by the Borrower of principal of, and interest on, the Loans and all other Obligations shall be made free and clear of and without deduction for any present or future excise, stamp or other taxes, fees, duties, levies, imposts, charges, deductions, withholdings or other charges of any nature whatsoever imposed by any taxing authority, but excluding (i) franchise taxes, (ii) any taxes (other than withholding taxes) with respect to the Agent or a Lender that would not be imposed but for a connection between the Agent or such Lender and the jurisdiction imposing such taxes (other than a connection arising solely by virtue of the activities of the Agent or such Lender pursuant to or in respect of this Agreement or any other Loan Document), (iii) any taxes imposed on or measured by any Lender’s assets, net income, gross receipts or branch profits, (iv) any withholding taxes payable with respect to payments hereunder or under any other Loan Document under Applicable Law as currently interpreted and applied as of the Agreement Date, and (v) any taxes arising after the Agreement Date solely as a result of or attributable to a Lender changing its designated Lending Office after the date such Lender becomes a party hereto (such non-excluded items being collectively called “</w:t>
      </w:r>
      <w:r>
        <w:rPr>
          <w:rFonts w:ascii="Arial" w:cs="Arial" w:eastAsia="Arial" w:hAnsi="Arial"/>
          <w:sz w:val="16"/>
          <w:szCs w:val="16"/>
          <w:b w:val="1"/>
          <w:bCs w:val="1"/>
          <w:color w:val="auto"/>
        </w:rPr>
        <w:t>Taxes</w:t>
      </w:r>
      <w:r>
        <w:rPr>
          <w:rFonts w:ascii="Arial" w:cs="Arial" w:eastAsia="Arial" w:hAnsi="Arial"/>
          <w:sz w:val="16"/>
          <w:szCs w:val="16"/>
          <w:color w:val="auto"/>
        </w:rPr>
        <w:t>”). If any withholding or deduction from any payment to be made by the Borrower hereunder is required in respect of any Taxes pursuant to any Applicable Law, then the Borrower will:</w:t>
      </w:r>
    </w:p>
    <w:p>
      <w:pPr>
        <w:spacing w:after="0" w:line="41" w:lineRule="exact"/>
        <w:rPr>
          <w:rFonts w:ascii="Arial" w:cs="Arial" w:eastAsia="Arial" w:hAnsi="Arial"/>
          <w:sz w:val="16"/>
          <w:szCs w:val="16"/>
          <w:color w:val="auto"/>
        </w:rPr>
      </w:pPr>
    </w:p>
    <w:p>
      <w:pPr>
        <w:ind w:left="460" w:right="440" w:firstLine="443"/>
        <w:spacing w:after="0" w:line="268" w:lineRule="auto"/>
        <w:tabs>
          <w:tab w:leader="none" w:pos="110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pay directly to the relevant Governmental Authority the full amount required to be so withheld or deducted prior to the date the same would become delinquent;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380"/>
          </w:cols>
          <w:pgMar w:left="240" w:top="280" w:right="279" w:bottom="1440" w:gutter="0" w:footer="0" w:header="0"/>
        </w:sectPr>
      </w:pPr>
    </w:p>
    <w:bookmarkStart w:id="290" w:name="page291"/>
    <w:bookmarkEnd w:id="290"/>
    <w:p>
      <w:pPr>
        <w:ind w:left="460" w:right="980" w:firstLine="443"/>
        <w:spacing w:after="0" w:line="268" w:lineRule="auto"/>
        <w:tabs>
          <w:tab w:leader="none" w:pos="1157" w:val="left"/>
        </w:tabs>
        <w:numPr>
          <w:ilvl w:val="1"/>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forward to the Agent an official receipt or other documentation satisfactory to the Agent evidencing such payment to such Governmental Authority; and</w:t>
      </w:r>
    </w:p>
    <w:p>
      <w:pPr>
        <w:spacing w:after="0" w:line="50" w:lineRule="exact"/>
        <w:rPr>
          <w:rFonts w:ascii="Arial" w:cs="Arial" w:eastAsia="Arial" w:hAnsi="Arial"/>
          <w:sz w:val="18"/>
          <w:szCs w:val="18"/>
          <w:color w:val="auto"/>
        </w:rPr>
      </w:pPr>
    </w:p>
    <w:p>
      <w:pPr>
        <w:ind w:left="460" w:right="200" w:firstLine="443"/>
        <w:spacing w:after="0" w:line="335" w:lineRule="auto"/>
        <w:tabs>
          <w:tab w:leader="none" w:pos="1205" w:val="left"/>
        </w:tabs>
        <w:numPr>
          <w:ilvl w:val="1"/>
          <w:numId w:val="200"/>
        </w:numPr>
        <w:rPr>
          <w:rFonts w:ascii="Arial" w:cs="Arial" w:eastAsia="Arial" w:hAnsi="Arial"/>
          <w:sz w:val="15"/>
          <w:szCs w:val="15"/>
          <w:color w:val="auto"/>
        </w:rPr>
      </w:pPr>
      <w:r>
        <w:rPr>
          <w:rFonts w:ascii="Arial" w:cs="Arial" w:eastAsia="Arial" w:hAnsi="Arial"/>
          <w:sz w:val="15"/>
          <w:szCs w:val="15"/>
          <w:color w:val="auto"/>
        </w:rPr>
        <w:t>without duplication of amounts paid pursuant to the immediately preceding clause (i), pay to the Agent for its account or the account of the applicable Lender, as the case may be, such additional amount or amounts as is necessary to ensure that the net amount actually received by the Agent or such Lender will equal the full amount that the Agent or such Lender would have received had no such withholding or deduction been required.</w:t>
      </w:r>
    </w:p>
    <w:p>
      <w:pPr>
        <w:spacing w:after="0" w:line="88" w:lineRule="exact"/>
        <w:rPr>
          <w:rFonts w:ascii="Arial" w:cs="Arial" w:eastAsia="Arial" w:hAnsi="Arial"/>
          <w:sz w:val="15"/>
          <w:szCs w:val="15"/>
          <w:color w:val="auto"/>
        </w:rPr>
      </w:pPr>
    </w:p>
    <w:p>
      <w:pPr>
        <w:jc w:val="both"/>
        <w:ind w:right="140" w:firstLine="464"/>
        <w:spacing w:after="0" w:line="303" w:lineRule="auto"/>
        <w:tabs>
          <w:tab w:leader="none" w:pos="705" w:val="left"/>
        </w:tabs>
        <w:numPr>
          <w:ilvl w:val="0"/>
          <w:numId w:val="201"/>
        </w:numPr>
        <w:rPr>
          <w:rFonts w:ascii="Arial" w:cs="Arial" w:eastAsia="Arial" w:hAnsi="Arial"/>
          <w:sz w:val="15"/>
          <w:szCs w:val="15"/>
          <w:color w:val="auto"/>
        </w:rPr>
      </w:pPr>
      <w:r>
        <w:rPr>
          <w:rFonts w:ascii="Arial" w:cs="Arial" w:eastAsia="Arial" w:hAnsi="Arial"/>
          <w:sz w:val="15"/>
          <w:szCs w:val="15"/>
          <w:u w:val="single" w:color="auto"/>
          <w:color w:val="auto"/>
        </w:rPr>
        <w:t>Tax Indemnification</w:t>
      </w:r>
      <w:r>
        <w:rPr>
          <w:rFonts w:ascii="Arial" w:cs="Arial" w:eastAsia="Arial" w:hAnsi="Arial"/>
          <w:sz w:val="15"/>
          <w:szCs w:val="15"/>
          <w:color w:val="auto"/>
        </w:rPr>
        <w:t>. If the Borrower fails to pay any Taxes when due to the appropriate Governmental Authority or fails to remit to the Agent, for its account or the account of the respective Lender, as the case may be, the required receipts or other required documentary evidence, the Borrower shall indemnify the Agent and the Lenders for any incremental Taxes, interest or penalties that may become payable by the Agent or any Lender as a result of any such failure.</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For purposes of this Section, a distribution hereunder by the Agent or any Lender to or for the account of any Lender shall be deemed a payment by the Borrower.</w:t>
      </w:r>
    </w:p>
    <w:p>
      <w:pPr>
        <w:spacing w:after="0" w:line="199" w:lineRule="exact"/>
        <w:rPr>
          <w:rFonts w:ascii="Arial" w:cs="Arial" w:eastAsia="Arial" w:hAnsi="Arial"/>
          <w:sz w:val="15"/>
          <w:szCs w:val="15"/>
          <w:color w:val="auto"/>
        </w:rPr>
      </w:pPr>
    </w:p>
    <w:p>
      <w:pPr>
        <w:ind w:firstLine="464"/>
        <w:spacing w:after="0" w:line="285" w:lineRule="auto"/>
        <w:tabs>
          <w:tab w:leader="none" w:pos="695"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Tax Forms</w:t>
      </w:r>
      <w:r>
        <w:rPr>
          <w:rFonts w:ascii="Arial" w:cs="Arial" w:eastAsia="Arial" w:hAnsi="Arial"/>
          <w:sz w:val="16"/>
          <w:szCs w:val="16"/>
          <w:color w:val="auto"/>
        </w:rPr>
        <w:t>. Prior to the date that any Lender or Participant organized under the laws of a jurisdiction outside the United States of America becomes a party hereto, such Person shall deliver to the Borrower and the Agent such certificates, documents or other evidence, as required by the Internal Revenue Code or Treasury Regulations issued pursuant thereto (including Internal Revenue Service Forms W-8ECI and W-8BEN, as applicable, or appropriate successor forms), properly completed, currently effective and duly executed by such Lender or Participant establishing that payments to it hereunder and under the Notes are (i) not subject to United States Federal backup withholding tax and (ii) not subject to United States Federal withholding tax imposed under the Internal Revenue Code. Each such Lender or Participant shall, to the extent it may lawfully do so, (x) deliver further copies of such forms or other appropriate certifications on or before the date that any such forms expire or become obsolete and after the occurrence of any event requiring a change in the most recent form delivered to the Borrower or the Agent and (y) obtain such extensions of the time for filing, and renew such forms and certifications thereof, as may be reasonably requested by the Borrower or the Agent. The Borrower shall not be required to pay any amount pursuant to the last sentence of subsection (a) above (or in respect thereof, under subsection (b) above) to any Lender or Participant that is organized under the laws of a jurisdiction outside of the United States of America or the Agent, if it is organized under the laws of a jurisdiction outside of the United States of America, if such Lender, Participant or the Agent, as applicable, fails to comply with the requirements of this subsection. If any such Lender or Participant, to the extent it may lawfully do so, fails to deliver the above forms or other documentation, then the Agent may withhold from any payments to be made to such Lender under any of the Loan Documents such amounts as are required by the Internal Revenue Code. If any Governmental Authority asserts that the Agent did not properly withhold or backup withhold, as the case may be, any tax or other amount from payments made</w:t>
      </w:r>
    </w:p>
    <w:p>
      <w:pPr>
        <w:spacing w:after="0" w:line="112" w:lineRule="exact"/>
        <w:rPr>
          <w:rFonts w:ascii="Arial" w:cs="Arial" w:eastAsia="Arial" w:hAnsi="Arial"/>
          <w:sz w:val="16"/>
          <w:szCs w:val="16"/>
          <w:color w:val="auto"/>
        </w:rPr>
      </w:pPr>
    </w:p>
    <w:p>
      <w:pPr>
        <w:ind w:left="5620" w:hanging="96"/>
        <w:spacing w:after="0"/>
        <w:tabs>
          <w:tab w:leader="none" w:pos="562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00"/>
          </w:cols>
          <w:pgMar w:left="240" w:top="280" w:right="259" w:bottom="1440" w:gutter="0" w:footer="0" w:header="0"/>
        </w:sectPr>
      </w:pPr>
    </w:p>
    <w:bookmarkStart w:id="291" w:name="page292"/>
    <w:bookmarkEnd w:id="291"/>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or for the account of any Lender, such Lender shall indemnify the Agent therefor, including all penalties and interest, any taxes imposed by any jurisdiction on the amounts payable to the Agent under this Section, and costs and expenses (including all reasonable fees and disbursements of any law firm or other external counsel and the allocated cost of internal legal services and all disbursements of internal counsel) of the Agent. The obligation of the Lenders under this Section shall survive repayment of all Obligations and the resignation or replacement of the Agent.</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 Y</w:t>
      </w:r>
      <w:r>
        <w:rPr>
          <w:rFonts w:ascii="Arial" w:cs="Arial" w:eastAsia="Arial" w:hAnsi="Arial"/>
          <w:sz w:val="14"/>
          <w:szCs w:val="14"/>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Additional Costs; Capital Adequacy.</w:t>
      </w:r>
    </w:p>
    <w:p>
      <w:pPr>
        <w:spacing w:after="0" w:line="96" w:lineRule="exact"/>
        <w:rPr>
          <w:sz w:val="20"/>
          <w:szCs w:val="20"/>
          <w:color w:val="auto"/>
        </w:rPr>
      </w:pPr>
    </w:p>
    <w:p>
      <w:pPr>
        <w:ind w:right="40" w:firstLine="464"/>
        <w:spacing w:after="0" w:line="286" w:lineRule="auto"/>
        <w:tabs>
          <w:tab w:leader="none" w:pos="695"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Additional Costs</w:t>
      </w:r>
      <w:r>
        <w:rPr>
          <w:rFonts w:ascii="Arial" w:cs="Arial" w:eastAsia="Arial" w:hAnsi="Arial"/>
          <w:sz w:val="16"/>
          <w:szCs w:val="16"/>
          <w:color w:val="auto"/>
        </w:rPr>
        <w:t>. The Borrower shall promptly pay to the Agent for the account of a Lender from time to time such amounts as such Lender may reasonably determine to be necessary to compensate such Lender for any costs incurred by such Lender that it determines are attributable to its making or maintaining of any LIBOR Loans or its obligation to make any LIBOR Loans hereunder, any reduction in any amount receivable by such Lender under this Agreement or any of the other Loan Documents in respect of any of such Loans or such obligation or the maintenance by such Lender of capital in respect of its Loan (such increases in costs and reductions in amounts receivable being herein called “</w:t>
      </w:r>
      <w:r>
        <w:rPr>
          <w:rFonts w:ascii="Arial" w:cs="Arial" w:eastAsia="Arial" w:hAnsi="Arial"/>
          <w:sz w:val="16"/>
          <w:szCs w:val="16"/>
          <w:b w:val="1"/>
          <w:bCs w:val="1"/>
          <w:color w:val="auto"/>
        </w:rPr>
        <w:t>Additional Costs</w:t>
      </w:r>
      <w:r>
        <w:rPr>
          <w:rFonts w:ascii="Arial" w:cs="Arial" w:eastAsia="Arial" w:hAnsi="Arial"/>
          <w:sz w:val="16"/>
          <w:szCs w:val="16"/>
          <w:color w:val="auto"/>
        </w:rPr>
        <w:t>”), to the extent resulting from any Regulatory Change that: (i) changes the basis of taxation of any amounts payable to such Lender under this Agreement or any of the other Loan Documents in respect of its Loan (other than taxes, fees, duties, levies, imposts, charges, deductions, withholdings or other charges which are excluded from the definition of Taxes pursuant to the first sentence of Section 3.12.(a) or payable as a result of failing to deliver forms required by Section 3.12.(c)); or (ii) imposes or modifies any reserve, special deposit or similar requirements (other than Regulation D of the Board of Governors of the Federal Reserve System or other reserve requirement to the extent utilized in the determination of the Adjusted Eurodollar Rate for such Loan) relating to any extensions of credit or other assets of, or any deposits with or other liabilities of, such Lender, or any commitment of such Lender; or (iii) has or would have the effect of reducing the rate of return on capital of such Lender to a level below that which such Lender could have achieved but for such Regulatory Change (taking into consideration such Lender’s policies with respect to capital adequacy).</w:t>
      </w:r>
    </w:p>
    <w:p>
      <w:pPr>
        <w:spacing w:after="0" w:line="120" w:lineRule="exact"/>
        <w:rPr>
          <w:rFonts w:ascii="Arial" w:cs="Arial" w:eastAsia="Arial" w:hAnsi="Arial"/>
          <w:sz w:val="16"/>
          <w:szCs w:val="16"/>
          <w:color w:val="auto"/>
        </w:rPr>
      </w:pPr>
    </w:p>
    <w:p>
      <w:pPr>
        <w:ind w:firstLine="464"/>
        <w:spacing w:after="0" w:line="290" w:lineRule="auto"/>
        <w:tabs>
          <w:tab w:leader="none" w:pos="705"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Lender’s Suspension of LIBOR Loans</w:t>
      </w:r>
      <w:r>
        <w:rPr>
          <w:rFonts w:ascii="Arial" w:cs="Arial" w:eastAsia="Arial" w:hAnsi="Arial"/>
          <w:sz w:val="16"/>
          <w:szCs w:val="16"/>
          <w:color w:val="auto"/>
        </w:rPr>
        <w:t>. Without limiting the effect of the provisions of the immediately preceding subsection (a),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is determined as provided in this Agreement or a category of extensions of credit or other assets of such Lender that includes LIBOR Loans or (ii) becomes subject to restrictions on the amount of such a category of liabilities or assets that it may hold, then, if such Lender so elects by notice to the Borrower (with a copy to the Agent), the obligation of such Lender to Continue, or to Convert any other Type of Loans into, LIBOR Loans hereunder shall be suspended until such Regulatory Change ceases to be in effect (in which case the provisions of Section 4.5. shall apply).</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380"/>
          </w:cols>
          <w:pgMar w:left="240" w:top="280" w:right="279" w:bottom="1440" w:gutter="0" w:footer="0" w:header="0"/>
        </w:sectPr>
      </w:pPr>
    </w:p>
    <w:bookmarkStart w:id="292" w:name="page293"/>
    <w:bookmarkEnd w:id="292"/>
    <w:p>
      <w:pPr>
        <w:ind w:firstLine="464"/>
        <w:spacing w:after="0" w:line="288" w:lineRule="auto"/>
        <w:tabs>
          <w:tab w:leader="none" w:pos="695"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 and Determination of Additional Costs</w:t>
      </w:r>
      <w:r>
        <w:rPr>
          <w:rFonts w:ascii="Arial" w:cs="Arial" w:eastAsia="Arial" w:hAnsi="Arial"/>
          <w:sz w:val="16"/>
          <w:szCs w:val="16"/>
          <w:color w:val="auto"/>
        </w:rPr>
        <w:t>. Each of the Agent and each Lender agrees to notify the Borrower of any event occurring after the Agreement Date entitling the Agent or such Lender to compensation under any of the preceding subsections of this Section as promptly as practicable; provided, however, the failure of the Agent or any Lender to give such notice shall not release the Borrower from any of its obligations hereunder (and in the case of a Lender, to the Agent); provided further that no Lender shall be entitled to claim any additional cost, reduction in amounts, loss, tax or other additional amount under this Article IV if such Lender fails to provide such notice to the Borrower within 180 days of the date such Lender becomes aware of the occurrence of the event giving rise to the additional cost, reduction in amounts, loss, tax or other additional amount. The Agent or such Lender agrees to furnish to the Borrower (and in the case of a Lender, to the Agent) a certificate setting forth the basis and amount of each request by the Agent or such Lender for compensation under this Section. Absent manifest error, determinations by the Agent or any Lender of the effect of any Regulatory Change shall be conclusive, provided that such determinations are made on a reasonable basis and in good faith.</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Suspension of LIBOR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Anything herein to the contrary notwithstanding, if, on or prior to the determination of any Adjusted Eurodollar Rate for any Interest Period:</w:t>
      </w:r>
    </w:p>
    <w:p>
      <w:pPr>
        <w:spacing w:after="0" w:line="113" w:lineRule="exact"/>
        <w:rPr>
          <w:sz w:val="20"/>
          <w:szCs w:val="20"/>
          <w:color w:val="auto"/>
        </w:rPr>
      </w:pPr>
    </w:p>
    <w:p>
      <w:pPr>
        <w:ind w:left="460" w:right="620" w:firstLine="443"/>
        <w:spacing w:after="0" w:line="332" w:lineRule="auto"/>
        <w:tabs>
          <w:tab w:leader="none" w:pos="113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Agent reasonably determines (which determination shall be conclusive) that by reason of circumstances affecting the relevant market, adequate and reasonable means do not exist for ascertaining the Adjusted Eurodollar Rate for such Interest Period, or</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Agent reasonably determines (which determination shall be conclusive) that the Adjusted Eurodollar Rate will not adequately and fairly reflect the cost to the Lenders of maintaining LIBOR Loans for such Interest Period;</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then the Agent shall give the Borrower and each Lender prompt notice thereof and, so long as such condition remains in effect, the Lenders shall be under no obligation to, and shall not, Continue LIBOR Loans or Convert Loans into LIBOR Loans and the Borrower shall, on the last day of each current Interest Period for each outstanding LIBOR Loan, either repay such Loan or Convert such Loan into a Base Rate Loan.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Illegality.</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Notwithstanding any other provision of this Agreement, if any Lender shall reasonably determine (which determination shall be conclusive and binding) that it has become unlawful after the Agreement Date for such Lender to honor its obligation to maintain LIBOR Loans hereunder, then such Lender shall promptly notify the Borrower thereof (with a copy to the Agent) and such Lender’s obligation to Continue, or to Convert Loans of any other Type into, LIBOR Loans shall be suspended until such time as such Lender may again maintain LIBOR Loans (in which case the provisions of Section 4.5. shall be applicable).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280" w:right="2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4.4. Compensation.</w:t>
      </w:r>
    </w:p>
    <w:p>
      <w:pPr>
        <w:spacing w:after="0" w:line="96" w:lineRule="exact"/>
        <w:rPr>
          <w:sz w:val="20"/>
          <w:szCs w:val="20"/>
          <w:color w:val="auto"/>
        </w:rPr>
      </w:pPr>
    </w:p>
    <w:p>
      <w:pPr>
        <w:ind w:right="160" w:firstLine="456"/>
        <w:spacing w:after="0" w:line="357" w:lineRule="auto"/>
        <w:rPr>
          <w:sz w:val="20"/>
          <w:szCs w:val="20"/>
          <w:color w:val="auto"/>
        </w:rPr>
      </w:pPr>
      <w:r>
        <w:rPr>
          <w:rFonts w:ascii="Arial" w:cs="Arial" w:eastAsia="Arial" w:hAnsi="Arial"/>
          <w:sz w:val="15"/>
          <w:szCs w:val="15"/>
          <w:color w:val="auto"/>
        </w:rPr>
        <w:t>The Borrower shall pay to the Agent for the account of each Lender, upon the request of such Lender through the Agent, such amount or amounts as shall be sufficient (in the reasonable opinion of such Lender) to compensate it for any loss, cost or expense that such Lender reasonably determines is attributable to:</w:t>
      </w:r>
    </w:p>
    <w:p>
      <w:pPr>
        <w:ind w:left="460" w:right="180" w:firstLine="443"/>
        <w:spacing w:after="0" w:line="332" w:lineRule="auto"/>
        <w:tabs>
          <w:tab w:leader="none" w:pos="113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payment or prepayment (whether mandatory or optional) of a LIBOR Loan, or Conversion of a LIBOR Loan, made by such Lender for any reason (including, without limitation, acceleration) on a date other than the last day of the Interest Period for such Loan; or</w:t>
      </w:r>
    </w:p>
    <w:p>
      <w:pPr>
        <w:spacing w:after="0" w:line="4" w:lineRule="exact"/>
        <w:rPr>
          <w:rFonts w:ascii="Arial" w:cs="Arial" w:eastAsia="Arial" w:hAnsi="Arial"/>
          <w:sz w:val="16"/>
          <w:szCs w:val="16"/>
          <w:color w:val="auto"/>
        </w:rPr>
      </w:pPr>
    </w:p>
    <w:p>
      <w:pPr>
        <w:ind w:left="460" w:right="280" w:firstLine="443"/>
        <w:spacing w:after="0" w:line="306" w:lineRule="auto"/>
        <w:tabs>
          <w:tab w:leader="none" w:pos="114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failure by the Borrower for any reason (including, without limitation, the failure of any of the applicable conditions precedent specified in Article V. to be satisfied) to borrow a LIBOR Loan from such Lender on the requested date for such borrowing, or to Convert a Base Rate Loan into a LIBOR Loan or Continue a LIBOR Loan on the requested date of such Conversion or Continuation.</w:t>
      </w:r>
    </w:p>
    <w:p>
      <w:pPr>
        <w:spacing w:after="0" w:line="10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Upon the Borrower’s request, any Lender requesting compensation under this Section shall provide the Borrower with a statement setting forth the basis for requesting such compensation and the method for determining the amount thereof. Absent manifest error, determinations by any Lender in any such statement shall be conclusive, provided that such determinations are made on a reasonable basis and in good faith.</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Treatment of Affected Loans.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obligation of any Lender to Continue, or to Convert Base Rate Loans into, LIBOR Loans shall be suspended pursuant to Section 4.1.(b), 4.2. or 4.3., then such Lender’s LIBOR Loans shall be automatically Converted into Base Rate Loans on the last day(s) of the then current Interest Period(s) for LIBOR Loans (or, in the case of a Conversion required by Section 4.1.(b) or 4.3., on such earlier date as such Lender may specify to the Borrower with a copy to the Agent) and, unless and until such Lender gives notice as provided below that the circumstances specified in Section 4.1. or 4.3. that gave rise to such Conversion no longer exist:</w:t>
      </w:r>
    </w:p>
    <w:p>
      <w:pPr>
        <w:spacing w:after="0" w:line="62" w:lineRule="exact"/>
        <w:rPr>
          <w:sz w:val="20"/>
          <w:szCs w:val="20"/>
          <w:color w:val="auto"/>
        </w:rPr>
      </w:pPr>
    </w:p>
    <w:p>
      <w:pPr>
        <w:ind w:left="460" w:right="500" w:firstLine="443"/>
        <w:spacing w:after="0" w:line="268" w:lineRule="auto"/>
        <w:tabs>
          <w:tab w:leader="none" w:pos="113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Loans that would otherwise be Continued by such Lender as LIBOR Loans shall be Continued instead as Base Rate Loans, and all Base Rate Loans of such Lender that would otherwise be Converted into LIBOR Loans shall remain as Base Rate Loans.</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such Lender gives notice to the Borrower (with a copy to the Agent) that the circumstances specified in Section 4.1. or 4.3. that gave rise to the Conversion of such Lender’s LIBOR Loans pursuant to this Section no longer exist (which such Lender agrees to do promptly upon such circumstances ceasing to exist) at a time when LIBOR Loans of other Lenders are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20"/>
          </w:cols>
          <w:pgMar w:left="240" w:top="274" w:right="239" w:bottom="1440" w:gutter="0" w:footer="0" w:header="0"/>
        </w:sectPr>
      </w:pPr>
    </w:p>
    <w:bookmarkStart w:id="294" w:name="page295"/>
    <w:bookmarkEnd w:id="294"/>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 respective unpaid principal amount of the Loans held by each of the Lenders.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Change of Lending Office.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Lender agrees that it will file any certificate or document reasonably requested by the Borrower and use reasonable efforts to designate an alternate Lending Office with respect to any of its Loans affected by the matters or circumstances described in Sections 3.12., 4.1. or 4.3. to reduce the liability of the Borrower or avoid the results provided thereunder, so long as such filing or designation is not disadvantageous to such Lender as determined by such Lender in its sole discretion, except that any such Lender shall have no obligation to designate a Lending Office located in the United States of America if such Lender has no office in the United States of America at the time of designation.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Assumptions Concerning Funding of LIBOR Loans.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Calculation of all amounts payable to a Lender under this Article IV.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 IV.</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4.8. Affected Lenders.</w:t>
      </w:r>
    </w:p>
    <w:p>
      <w:pPr>
        <w:spacing w:after="0" w:line="96"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If (a) a Lender requests compensation pursuant to Section 3.12. or 4.1., and the Requisite Lenders are not also doing the same, or (b) the obligation of any Lender to Continue, or to Convert Base Rate Loans into, LIBOR Loans shall be suspended pursuant to Section 4.1.(b) or 4.3. but the obligation of the Requisite Lenders shall not have been suspended under such Sections, then, so long as there does not then exist any Event of Default, the Borrower may demand that such Lender (the “</w:t>
      </w:r>
      <w:r>
        <w:rPr>
          <w:rFonts w:ascii="Arial" w:cs="Arial" w:eastAsia="Arial" w:hAnsi="Arial"/>
          <w:sz w:val="15"/>
          <w:szCs w:val="15"/>
          <w:b w:val="1"/>
          <w:bCs w:val="1"/>
          <w:color w:val="auto"/>
        </w:rPr>
        <w:t>Affected Lender</w:t>
      </w:r>
      <w:r>
        <w:rPr>
          <w:rFonts w:ascii="Arial" w:cs="Arial" w:eastAsia="Arial" w:hAnsi="Arial"/>
          <w:sz w:val="15"/>
          <w:szCs w:val="15"/>
          <w:color w:val="auto"/>
        </w:rPr>
        <w:t>”), and upon such demand the Affected Lender shall promptly, assign its Loan to an Eligible Assignee subject to and in accordance with the provisions of Section 12.5.(d) for a purchase price to be agreed upon by the Affected Lender and the Eligible Assignee. Each of the Agent and the Affected Lender shall reasonably cooperate in effectuating the replacement of such Affected Lender under this Section, but at no time shall the Agent, such Affected Lender nor any other Lender be obligated in any way whatsoever to initiate any such replacement or to assist in finding an Eligible Assignee. The exercise by the Borrower of its rights under this Section shall be at the Borrower’s sole cost and expenses and at no cost or expense to the Agent, the Affected Lender or any of the other Lenders. Subject to the proviso to Section 4.1.(c), the terms of this Section shall not in any way limit the Borrower’s obligation to pay to any Affected Lender compensation owing to such Affected Lender pursuant to Section 3.12. or 4.1. for periods up to the date of replacement.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00"/>
          </w:cols>
          <w:pgMar w:left="240" w:top="280" w:right="259" w:bottom="1440" w:gutter="0" w:footer="0" w:header="0"/>
        </w:sectPr>
      </w:pPr>
    </w:p>
    <w:bookmarkStart w:id="295" w:name="page296"/>
    <w:bookmarkEnd w:id="29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Initial Conditions Precedent.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 of the Lenders to make the Loans on the Effective Date is subject to the following conditions precedent:</w:t>
      </w:r>
    </w:p>
    <w:p>
      <w:pPr>
        <w:spacing w:after="0" w:line="171" w:lineRule="exact"/>
        <w:rPr>
          <w:sz w:val="20"/>
          <w:szCs w:val="20"/>
          <w:color w:val="auto"/>
        </w:rPr>
      </w:pPr>
    </w:p>
    <w:p>
      <w:pPr>
        <w:ind w:left="700" w:hanging="236"/>
        <w:spacing w:after="0"/>
        <w:tabs>
          <w:tab w:leader="none" w:pos="7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Agent shall have received each of the following, in form and substance satisfactory to the Agent: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Counterparts of this Agreement executed by each of the parties 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Notes executed by the Borrower and complying with the applicable provisions of Section 2.8. executed by the Borrower;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Guaranty executed by each Guarantor existing as of the Effective Date;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An opinion of counsel to the Loan Parties, addressed to the Agent and the Lenders, in substantially the form set forth in Exhibit 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declaration of trust of the Borrower certified as of a recent date by the Secretary of State of the state of its incorporation;</w:t>
      </w:r>
    </w:p>
    <w:p>
      <w:pPr>
        <w:spacing w:after="0" w:line="90" w:lineRule="exact"/>
        <w:rPr>
          <w:rFonts w:ascii="Arial" w:cs="Arial" w:eastAsia="Arial" w:hAnsi="Arial"/>
          <w:sz w:val="18"/>
          <w:szCs w:val="18"/>
          <w:color w:val="auto"/>
        </w:rPr>
      </w:pPr>
    </w:p>
    <w:p>
      <w:pPr>
        <w:jc w:val="both"/>
        <w:ind w:left="460" w:right="20" w:firstLine="443"/>
        <w:spacing w:after="0" w:line="256" w:lineRule="auto"/>
        <w:tabs>
          <w:tab w:leader="none" w:pos="119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good standing certificate with respect to the Borrower issued as of a recent date by the Secretary of State of the state of its incorporation and certificates of qualification to transact business or other comparable certificates issued by the Secretary of State (and any state department of taxation, as applicable) of each state in which the Borrower is required to be so qualified and where the failure to be so qualified could reasonably be expected to have a Material Adverse Effect;</w:t>
      </w:r>
    </w:p>
    <w:p>
      <w:pPr>
        <w:spacing w:after="0" w:line="62" w:lineRule="exact"/>
        <w:rPr>
          <w:rFonts w:ascii="Arial" w:cs="Arial" w:eastAsia="Arial" w:hAnsi="Arial"/>
          <w:sz w:val="18"/>
          <w:szCs w:val="18"/>
          <w:color w:val="auto"/>
        </w:rPr>
      </w:pPr>
    </w:p>
    <w:p>
      <w:pPr>
        <w:ind w:left="460" w:right="40" w:firstLine="443"/>
        <w:spacing w:after="0" w:line="259" w:lineRule="auto"/>
        <w:tabs>
          <w:tab w:leader="none" w:pos="124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of the Borrower with respect to each of the officers of the Borrower authorized to execute and deliver the Loan Documents to which the Borrower is a party and the officers of the Borrower then authorized to deliver the Notice of Borrowing and Notices of Continuation and Notices of Conversion;</w:t>
      </w:r>
    </w:p>
    <w:p>
      <w:pPr>
        <w:spacing w:after="0" w:line="59" w:lineRule="exact"/>
        <w:rPr>
          <w:rFonts w:ascii="Arial" w:cs="Arial" w:eastAsia="Arial" w:hAnsi="Arial"/>
          <w:sz w:val="18"/>
          <w:szCs w:val="18"/>
          <w:color w:val="auto"/>
        </w:rPr>
      </w:pPr>
    </w:p>
    <w:p>
      <w:pPr>
        <w:ind w:left="460" w:right="80" w:firstLine="443"/>
        <w:spacing w:after="0" w:line="332" w:lineRule="auto"/>
        <w:tabs>
          <w:tab w:leader="none" w:pos="1293" w:val="left"/>
        </w:tabs>
        <w:numPr>
          <w:ilvl w:val="1"/>
          <w:numId w:val="207"/>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the Borrower, of (i) the bylaws of the Borrower and (ii) all corporate (or comparable) action taken by the Borrower to authorize the execution, delivery and performance of the Loan Documents to which the Borrower is a party;</w:t>
      </w:r>
    </w:p>
    <w:p>
      <w:pPr>
        <w:spacing w:after="0" w:line="4" w:lineRule="exact"/>
        <w:rPr>
          <w:rFonts w:ascii="Arial" w:cs="Arial" w:eastAsia="Arial" w:hAnsi="Arial"/>
          <w:sz w:val="16"/>
          <w:szCs w:val="16"/>
          <w:color w:val="auto"/>
        </w:rPr>
      </w:pPr>
    </w:p>
    <w:p>
      <w:pPr>
        <w:ind w:left="460" w:firstLine="443"/>
        <w:spacing w:after="0" w:line="268" w:lineRule="auto"/>
        <w:tabs>
          <w:tab w:leader="none" w:pos="119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articles of incorporation, articles of organization, certificate of limited partnership or other comparable organizational instrument (if any) of each Guarantor certified as of a recent date by the Secretary of State of the state of formation of such Guarantor;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320"/>
          </w:cols>
          <w:pgMar w:left="240" w:top="274" w:right="339" w:bottom="1440" w:gutter="0" w:footer="0" w:header="0"/>
        </w:sectPr>
      </w:pPr>
    </w:p>
    <w:bookmarkStart w:id="296" w:name="page297"/>
    <w:bookmarkEnd w:id="296"/>
    <w:p>
      <w:pPr>
        <w:ind w:left="-4" w:right="40" w:firstLine="443"/>
        <w:spacing w:after="0" w:line="255" w:lineRule="auto"/>
        <w:tabs>
          <w:tab w:leader="none" w:pos="682" w:val="left"/>
        </w:tabs>
        <w:numPr>
          <w:ilvl w:val="1"/>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of good standing or certificate of similar meaning with respect to each Guarantor issued as of a recent date by (or other comparable evidence from) the Secretary of State of the state of formation of each such Guarantor and certificates of qualification to transact business or other comparable certificates issued by (or other comparable evidence from) each Secretary of State (and any state department of taxation, as applicable) of each state in which such Guarantor is required to be so qualified and where the failure to be so qualified could reasonably be expected to have a Material Adverse Effect;</w:t>
      </w:r>
    </w:p>
    <w:p>
      <w:pPr>
        <w:spacing w:after="0" w:line="61" w:lineRule="exact"/>
        <w:rPr>
          <w:rFonts w:ascii="Arial" w:cs="Arial" w:eastAsia="Arial" w:hAnsi="Arial"/>
          <w:sz w:val="18"/>
          <w:szCs w:val="18"/>
          <w:color w:val="auto"/>
        </w:rPr>
      </w:pPr>
    </w:p>
    <w:p>
      <w:pPr>
        <w:ind w:left="-4" w:right="120" w:firstLine="443"/>
        <w:spacing w:after="0" w:line="332" w:lineRule="auto"/>
        <w:tabs>
          <w:tab w:leader="none" w:pos="73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A certificate of incumbency signed by the Secretary or Assistant Secretary (or other individual performing similar functions) of each Guarantor with respect to each of the officers of such Guarantor authorized to execute and deliver the Loan Documents to which such Guarantor is a party;</w:t>
      </w:r>
    </w:p>
    <w:p>
      <w:pPr>
        <w:spacing w:after="0" w:line="4" w:lineRule="exact"/>
        <w:rPr>
          <w:rFonts w:ascii="Arial" w:cs="Arial" w:eastAsia="Arial" w:hAnsi="Arial"/>
          <w:sz w:val="16"/>
          <w:szCs w:val="16"/>
          <w:color w:val="auto"/>
        </w:rPr>
      </w:pPr>
    </w:p>
    <w:p>
      <w:pPr>
        <w:ind w:left="-4" w:firstLine="443"/>
        <w:spacing w:after="0" w:line="294" w:lineRule="auto"/>
        <w:tabs>
          <w:tab w:leader="none" w:pos="78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each Guarantor (or other individual performing similar functions) of (i) the by-laws of such Guarantor, if a corporation, the operating agreement, if a limited liability company, the partnership agreement, if a limited or general partnership, or other comparable document in the case of any other form of legal entity, (ii) all corporate, partnership, member or other necessary action taken by such Guarantor to authorize the execution, delivery and performance of the Loan Documents to which it is a party and (iii) the articles of incorporation, articles of organization, certificate of limited partnership or other comparable organizational instrument (if any) of such Guarantor;</w:t>
      </w:r>
    </w:p>
    <w:p>
      <w:pPr>
        <w:spacing w:after="0" w:line="34" w:lineRule="exact"/>
        <w:rPr>
          <w:rFonts w:ascii="Arial" w:cs="Arial" w:eastAsia="Arial" w:hAnsi="Arial"/>
          <w:sz w:val="16"/>
          <w:szCs w:val="16"/>
          <w:color w:val="auto"/>
        </w:rPr>
      </w:pPr>
    </w:p>
    <w:p>
      <w:pPr>
        <w:ind w:left="-4" w:firstLine="443"/>
        <w:spacing w:after="0" w:line="268" w:lineRule="auto"/>
        <w:tabs>
          <w:tab w:leader="none" w:pos="829"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Fees then due and payable under Section 3.6., and any other Fees payable to the Agent, the Titled Agents and the Lenders on or prior to the Effective Date;</w:t>
      </w:r>
    </w:p>
    <w:p>
      <w:pPr>
        <w:spacing w:after="0" w:line="50" w:lineRule="exact"/>
        <w:rPr>
          <w:rFonts w:ascii="Arial" w:cs="Arial" w:eastAsia="Arial" w:hAnsi="Arial"/>
          <w:sz w:val="18"/>
          <w:szCs w:val="18"/>
          <w:color w:val="auto"/>
        </w:rPr>
      </w:pPr>
    </w:p>
    <w:p>
      <w:pPr>
        <w:ind w:left="-4" w:right="220" w:firstLine="443"/>
        <w:spacing w:after="0" w:line="268" w:lineRule="auto"/>
        <w:tabs>
          <w:tab w:leader="none" w:pos="819"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Compliance Certificate calculated as of September 30, 2007 (giving pro forma effect to the financing contemplated by this Agreement and the use of the proceeds of the Loans to be funded on the Effective Date);</w:t>
      </w:r>
    </w:p>
    <w:p>
      <w:pPr>
        <w:spacing w:after="0" w:line="50" w:lineRule="exact"/>
        <w:rPr>
          <w:rFonts w:ascii="Arial" w:cs="Arial" w:eastAsia="Arial" w:hAnsi="Arial"/>
          <w:sz w:val="18"/>
          <w:szCs w:val="18"/>
          <w:color w:val="auto"/>
        </w:rPr>
      </w:pPr>
    </w:p>
    <w:p>
      <w:pPr>
        <w:ind w:left="776" w:hanging="337"/>
        <w:spacing w:after="0"/>
        <w:tabs>
          <w:tab w:leader="none" w:pos="77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Notice of Borrowing; and</w:t>
      </w:r>
    </w:p>
    <w:p>
      <w:pPr>
        <w:spacing w:after="0" w:line="90" w:lineRule="exact"/>
        <w:rPr>
          <w:rFonts w:ascii="Arial" w:cs="Arial" w:eastAsia="Arial" w:hAnsi="Arial"/>
          <w:sz w:val="18"/>
          <w:szCs w:val="18"/>
          <w:color w:val="auto"/>
        </w:rPr>
      </w:pPr>
    </w:p>
    <w:p>
      <w:pPr>
        <w:ind w:left="816" w:hanging="377"/>
        <w:spacing w:after="0"/>
        <w:tabs>
          <w:tab w:leader="none" w:pos="81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Agent on behalf of the Lenders may reasonably request; and</w:t>
      </w:r>
    </w:p>
    <w:p>
      <w:pPr>
        <w:spacing w:after="0" w:line="171" w:lineRule="exact"/>
        <w:rPr>
          <w:rFonts w:ascii="Arial" w:cs="Arial" w:eastAsia="Arial" w:hAnsi="Arial"/>
          <w:sz w:val="18"/>
          <w:szCs w:val="18"/>
          <w:color w:val="auto"/>
        </w:rPr>
      </w:pPr>
    </w:p>
    <w:p>
      <w:pPr>
        <w:ind w:left="256" w:hanging="256"/>
        <w:spacing w:after="0"/>
        <w:tabs>
          <w:tab w:leader="none" w:pos="25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the good faith judgment of the Agent and the Lenders:</w:t>
      </w:r>
    </w:p>
    <w:p>
      <w:pPr>
        <w:spacing w:after="0" w:line="90" w:lineRule="exact"/>
        <w:rPr>
          <w:rFonts w:ascii="Arial" w:cs="Arial" w:eastAsia="Arial" w:hAnsi="Arial"/>
          <w:sz w:val="18"/>
          <w:szCs w:val="18"/>
          <w:color w:val="auto"/>
        </w:rPr>
      </w:pPr>
    </w:p>
    <w:p>
      <w:pPr>
        <w:ind w:left="-4" w:right="200" w:firstLine="443"/>
        <w:spacing w:after="0" w:line="306" w:lineRule="auto"/>
        <w:tabs>
          <w:tab w:leader="none" w:pos="643"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There shall not have occurred or become known to the Agent or any of the Lenders any event, condition, situation or status since the date of the information contained in the financial and business projections, budgets, pro forma data and forecasts concerning the Borrower and its Subsidiaries delivered to the Agent and the Lenders prior to the Agreement Date that has had or could reasonably be expected to result in a Material Adverse Effect;</w:t>
      </w:r>
    </w:p>
    <w:p>
      <w:pPr>
        <w:spacing w:after="0" w:line="93" w:lineRule="exact"/>
        <w:rPr>
          <w:rFonts w:ascii="Arial" w:cs="Arial" w:eastAsia="Arial" w:hAnsi="Arial"/>
          <w:sz w:val="16"/>
          <w:szCs w:val="16"/>
          <w:color w:val="auto"/>
        </w:rPr>
      </w:pPr>
    </w:p>
    <w:p>
      <w:pPr>
        <w:ind w:left="5156" w:hanging="96"/>
        <w:spacing w:after="0"/>
        <w:tabs>
          <w:tab w:leader="none" w:pos="515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936"/>
          </w:cols>
          <w:pgMar w:left="704" w:top="280" w:right="259" w:bottom="1440" w:gutter="0" w:footer="0" w:header="0"/>
        </w:sectPr>
      </w:pPr>
    </w:p>
    <w:bookmarkStart w:id="297" w:name="page298"/>
    <w:bookmarkEnd w:id="297"/>
    <w:p>
      <w:pPr>
        <w:ind w:left="460" w:firstLine="443"/>
        <w:spacing w:after="0" w:line="306" w:lineRule="auto"/>
        <w:tabs>
          <w:tab w:leader="none" w:pos="1157" w:val="left"/>
        </w:tabs>
        <w:numPr>
          <w:ilvl w:val="1"/>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litigation, action, suit, investigation or other arbitral, administrative or judicial proceeding shall be pending or threatened which could reasonably be expected to (1) result in a Material Adverse Effect or (2) restrain or enjoin, impose materially burdensome conditions on, or otherwise materially and adversely affect the ability of the Borrower or any other Loan Party to fulfill its obligations under the Loan Documents to which it is a party;</w:t>
      </w:r>
    </w:p>
    <w:p>
      <w:pPr>
        <w:spacing w:after="0" w:line="25" w:lineRule="exact"/>
        <w:rPr>
          <w:rFonts w:ascii="Arial" w:cs="Arial" w:eastAsia="Arial" w:hAnsi="Arial"/>
          <w:sz w:val="16"/>
          <w:szCs w:val="16"/>
          <w:color w:val="auto"/>
        </w:rPr>
      </w:pPr>
    </w:p>
    <w:p>
      <w:pPr>
        <w:ind w:left="460" w:firstLine="443"/>
        <w:spacing w:after="0" w:line="305" w:lineRule="auto"/>
        <w:tabs>
          <w:tab w:leader="none" w:pos="1205" w:val="left"/>
        </w:tabs>
        <w:numPr>
          <w:ilvl w:val="1"/>
          <w:numId w:val="210"/>
        </w:numPr>
        <w:rPr>
          <w:rFonts w:ascii="Arial" w:cs="Arial" w:eastAsia="Arial" w:hAnsi="Arial"/>
          <w:sz w:val="15"/>
          <w:szCs w:val="15"/>
          <w:color w:val="auto"/>
        </w:rPr>
      </w:pPr>
      <w:r>
        <w:rPr>
          <w:rFonts w:ascii="Arial" w:cs="Arial" w:eastAsia="Arial" w:hAnsi="Arial"/>
          <w:sz w:val="15"/>
          <w:szCs w:val="15"/>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w:t>
      </w:r>
    </w:p>
    <w:p>
      <w:pPr>
        <w:ind w:left="460" w:firstLine="4"/>
        <w:spacing w:after="0" w:line="295" w:lineRule="auto"/>
        <w:tabs>
          <w:tab w:leader="none" w:pos="709"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any Applicable Law or (2) any agreement, document or instrument to which the Borrower or any other Loan Party is a party or by which any of them or their respective properties is bound, except for such approvals, consents, waivers, filings and notices the receipt, making or giving of which would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and</w:t>
      </w:r>
    </w:p>
    <w:p>
      <w:pPr>
        <w:spacing w:after="0" w:line="34" w:lineRule="exact"/>
        <w:rPr>
          <w:rFonts w:ascii="Arial" w:cs="Arial" w:eastAsia="Arial" w:hAnsi="Arial"/>
          <w:sz w:val="16"/>
          <w:szCs w:val="16"/>
          <w:color w:val="auto"/>
        </w:rPr>
      </w:pPr>
    </w:p>
    <w:p>
      <w:pPr>
        <w:ind w:left="460" w:right="720" w:firstLine="443"/>
        <w:spacing w:after="0" w:line="268" w:lineRule="auto"/>
        <w:tabs>
          <w:tab w:leader="none" w:pos="1196"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There shall not have occurred or exist any other material disruption of financial or capital markets that could reasonably be expected to materially and adversely affect the transactions contemplated by the Loan Documents; and</w:t>
      </w:r>
    </w:p>
    <w:p>
      <w:pPr>
        <w:spacing w:after="0" w:line="132" w:lineRule="exact"/>
        <w:rPr>
          <w:sz w:val="20"/>
          <w:szCs w:val="20"/>
          <w:color w:val="auto"/>
        </w:rPr>
      </w:pPr>
    </w:p>
    <w:p>
      <w:pPr>
        <w:ind w:left="700" w:hanging="236"/>
        <w:spacing w:after="0"/>
        <w:tabs>
          <w:tab w:leader="none" w:pos="7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 Default or Event of Default shall exist as of the date of the making of such Loans or would exist immediately after giving effect thereto; and</w:t>
      </w:r>
    </w:p>
    <w:p>
      <w:pPr>
        <w:spacing w:after="0" w:line="194" w:lineRule="exact"/>
        <w:rPr>
          <w:rFonts w:ascii="Arial" w:cs="Arial" w:eastAsia="Arial" w:hAnsi="Arial"/>
          <w:sz w:val="16"/>
          <w:szCs w:val="16"/>
          <w:color w:val="auto"/>
        </w:rPr>
      </w:pPr>
    </w:p>
    <w:p>
      <w:pPr>
        <w:ind w:right="20" w:firstLine="464"/>
        <w:spacing w:after="0" w:line="323" w:lineRule="auto"/>
        <w:tabs>
          <w:tab w:leader="none" w:pos="705"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representations and warranties made or deemed made by the Borrower and each other Loan Party in the Loan Documents to which any of them is a party shall be true and correct on and as of the date of the making of the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Representations and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order to induce the Agent and each Lender to enter into this Agreement and to make Loans, the Borrower represents and warrants to the Agent and each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Lender as follows:</w:t>
      </w:r>
    </w:p>
    <w:p>
      <w:pPr>
        <w:spacing w:after="0" w:line="165" w:lineRule="exact"/>
        <w:rPr>
          <w:sz w:val="20"/>
          <w:szCs w:val="20"/>
          <w:color w:val="auto"/>
        </w:rPr>
      </w:pPr>
    </w:p>
    <w:p>
      <w:pPr>
        <w:ind w:right="120" w:firstLine="464"/>
        <w:spacing w:after="0" w:line="256" w:lineRule="auto"/>
        <w:tabs>
          <w:tab w:leader="none" w:pos="69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Organization; Power; Qualification</w:t>
      </w:r>
      <w:r>
        <w:rPr>
          <w:rFonts w:ascii="Arial" w:cs="Arial" w:eastAsia="Arial" w:hAnsi="Arial"/>
          <w:sz w:val="18"/>
          <w:szCs w:val="18"/>
          <w:color w:val="auto"/>
        </w:rPr>
        <w:t>. Each of the Borrower, its Subsidiaries and the other Loan Parties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00"/>
          </w:cols>
          <w:pgMar w:left="240" w:top="280" w:right="259" w:bottom="1440" w:gutter="0" w:footer="0" w:header="0"/>
        </w:sectPr>
      </w:pPr>
    </w:p>
    <w:bookmarkStart w:id="298" w:name="page299"/>
    <w:bookmarkEnd w:id="298"/>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85" w:lineRule="exact"/>
        <w:rPr>
          <w:sz w:val="20"/>
          <w:szCs w:val="20"/>
          <w:color w:val="auto"/>
        </w:rPr>
      </w:pPr>
    </w:p>
    <w:p>
      <w:pPr>
        <w:ind w:right="20" w:firstLine="464"/>
        <w:spacing w:after="0" w:line="286" w:lineRule="auto"/>
        <w:tabs>
          <w:tab w:leader="none" w:pos="705" w:val="left"/>
        </w:tabs>
        <w:numPr>
          <w:ilvl w:val="1"/>
          <w:numId w:val="214"/>
        </w:numPr>
        <w:rPr>
          <w:rFonts w:ascii="Arial" w:cs="Arial" w:eastAsia="Arial" w:hAnsi="Arial"/>
          <w:sz w:val="16"/>
          <w:szCs w:val="16"/>
          <w:color w:val="auto"/>
        </w:rPr>
      </w:pPr>
      <w:r>
        <w:rPr>
          <w:rFonts w:ascii="Arial" w:cs="Arial" w:eastAsia="Arial" w:hAnsi="Arial"/>
          <w:sz w:val="16"/>
          <w:szCs w:val="16"/>
          <w:u w:val="single" w:color="auto"/>
          <w:color w:val="auto"/>
        </w:rPr>
        <w:t>Ownership Structure</w:t>
      </w:r>
      <w:r>
        <w:rPr>
          <w:rFonts w:ascii="Arial" w:cs="Arial" w:eastAsia="Arial" w:hAnsi="Arial"/>
          <w:sz w:val="16"/>
          <w:szCs w:val="16"/>
          <w:color w:val="auto"/>
        </w:rPr>
        <w:t xml:space="preserve">. As of the Agreement Date, Part I of </w:t>
      </w:r>
      <w:r>
        <w:rPr>
          <w:rFonts w:ascii="Arial" w:cs="Arial" w:eastAsia="Arial" w:hAnsi="Arial"/>
          <w:sz w:val="16"/>
          <w:szCs w:val="16"/>
          <w:u w:val="single" w:color="auto"/>
          <w:color w:val="auto"/>
        </w:rPr>
        <w:t>Schedule 6.1.(b</w:t>
      </w:r>
      <w:r>
        <w:rPr>
          <w:rFonts w:ascii="Arial" w:cs="Arial" w:eastAsia="Arial" w:hAnsi="Arial"/>
          <w:sz w:val="16"/>
          <w:szCs w:val="16"/>
          <w:color w:val="auto"/>
        </w:rPr>
        <w:t>) is a true, complete and correct list of all Subsidiaries of the Borrower setting forth for each such Subsidiary, (i) the jurisdiction of organization of such Subsidiary, (ii) each Person holding any Equity Interests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Except as disclosed in such Schedule, as of the Agreement Date (i) each of the Borrower and its Subsidiaries owns, free and clear of all Liens (other than Permitted Liens) and has the unencumbered right to vote, all outstanding Equity Interests in each Person shown to be held by it on such Schedule, (ii) all of the issued and outstanding capital stock of each such Person organized as a corporation is validly issued, fully paid and nonassessable and (iii)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124" w:lineRule="exact"/>
        <w:rPr>
          <w:rFonts w:ascii="Arial" w:cs="Arial" w:eastAsia="Arial" w:hAnsi="Arial"/>
          <w:sz w:val="16"/>
          <w:szCs w:val="16"/>
          <w:color w:val="auto"/>
        </w:rPr>
      </w:pPr>
    </w:p>
    <w:p>
      <w:pPr>
        <w:ind w:right="40" w:firstLine="464"/>
        <w:spacing w:after="0" w:line="289" w:lineRule="auto"/>
        <w:tabs>
          <w:tab w:leader="none" w:pos="695" w:val="left"/>
        </w:tabs>
        <w:numPr>
          <w:ilvl w:val="1"/>
          <w:numId w:val="214"/>
        </w:numPr>
        <w:rPr>
          <w:rFonts w:ascii="Arial" w:cs="Arial" w:eastAsia="Arial" w:hAnsi="Arial"/>
          <w:sz w:val="16"/>
          <w:szCs w:val="16"/>
          <w:color w:val="auto"/>
        </w:rPr>
      </w:pPr>
      <w:r>
        <w:rPr>
          <w:rFonts w:ascii="Arial" w:cs="Arial" w:eastAsia="Arial" w:hAnsi="Arial"/>
          <w:sz w:val="16"/>
          <w:szCs w:val="16"/>
          <w:u w:val="single" w:color="auto"/>
          <w:color w:val="auto"/>
        </w:rPr>
        <w:t>Authorization of Agreement, Etc</w:t>
      </w:r>
      <w:r>
        <w:rPr>
          <w:rFonts w:ascii="Arial" w:cs="Arial" w:eastAsia="Arial" w:hAnsi="Arial"/>
          <w:sz w:val="16"/>
          <w:szCs w:val="16"/>
          <w:color w:val="auto"/>
        </w:rPr>
        <w:t>. The Borrower has the right and power, and has taken all necessary action to authorize the Borrower, to borrow and obtain other extensions of credit hereunder. The Borrower and each other Loan Party has the right and power, and has taken all necessary action to authorize it, to execute, deliver and perform each of the Loan Documents to which it is a party in accordance with their respective terms and to consummate the transactions contemplated hereby and thereby. The Loan Documents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18" w:lineRule="exact"/>
        <w:rPr>
          <w:rFonts w:ascii="Arial" w:cs="Arial" w:eastAsia="Arial" w:hAnsi="Arial"/>
          <w:sz w:val="16"/>
          <w:szCs w:val="16"/>
          <w:color w:val="auto"/>
        </w:rPr>
      </w:pPr>
    </w:p>
    <w:p>
      <w:pPr>
        <w:jc w:val="both"/>
        <w:ind w:firstLine="464"/>
        <w:spacing w:after="0" w:line="284" w:lineRule="auto"/>
        <w:tabs>
          <w:tab w:leader="none" w:pos="705" w:val="left"/>
        </w:tabs>
        <w:numPr>
          <w:ilvl w:val="1"/>
          <w:numId w:val="214"/>
        </w:numPr>
        <w:rPr>
          <w:rFonts w:ascii="Arial" w:cs="Arial" w:eastAsia="Arial" w:hAnsi="Arial"/>
          <w:sz w:val="16"/>
          <w:szCs w:val="16"/>
          <w:color w:val="auto"/>
        </w:rPr>
      </w:pPr>
      <w:r>
        <w:rPr>
          <w:rFonts w:ascii="Arial" w:cs="Arial" w:eastAsia="Arial" w:hAnsi="Arial"/>
          <w:sz w:val="16"/>
          <w:szCs w:val="16"/>
          <w:u w:val="single" w:color="auto"/>
          <w:color w:val="auto"/>
        </w:rPr>
        <w:t>Compliance of Loan Documents with Laws, Etc</w:t>
      </w:r>
      <w:r>
        <w:rPr>
          <w:rFonts w:ascii="Arial" w:cs="Arial" w:eastAsia="Arial" w:hAnsi="Arial"/>
          <w:sz w:val="16"/>
          <w:szCs w:val="16"/>
          <w:color w:val="auto"/>
        </w:rPr>
        <w:t>. The execution, delivery and performance of this Agreement, the Notes and the other Loan Documents to which the Borrower or any other Loan Party is a party in accordance with their respective terms and the borrowings and other extensions of credit hereunder do not: (i) require any Governmental Approval or violate any Applicable Law (including all Environmental Laws) relating to the Borrower or any other Loan Party;</w:t>
      </w:r>
    </w:p>
    <w:p>
      <w:pPr>
        <w:spacing w:after="0" w:line="1" w:lineRule="exact"/>
        <w:rPr>
          <w:rFonts w:ascii="Arial" w:cs="Arial" w:eastAsia="Arial" w:hAnsi="Arial"/>
          <w:sz w:val="16"/>
          <w:szCs w:val="16"/>
          <w:color w:val="auto"/>
        </w:rPr>
      </w:pPr>
    </w:p>
    <w:p>
      <w:pPr>
        <w:ind w:right="500" w:firstLine="8"/>
        <w:spacing w:after="0" w:line="261" w:lineRule="auto"/>
        <w:tabs>
          <w:tab w:leader="none" w:pos="25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conflict with, result in a breach of or constitute a default under the organizational documents of the Borrower or any other Loan Party, or any indenture, agreement</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00"/>
          </w:cols>
          <w:pgMar w:left="240" w:top="280" w:right="259" w:bottom="1440" w:gutter="0" w:footer="0" w:header="0"/>
        </w:sectPr>
      </w:pPr>
    </w:p>
    <w:bookmarkStart w:id="299" w:name="page300"/>
    <w:bookmarkEnd w:id="299"/>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the Borrower or any other Loan Party.</w:t>
      </w:r>
    </w:p>
    <w:p>
      <w:pPr>
        <w:spacing w:after="0" w:line="85" w:lineRule="exact"/>
        <w:rPr>
          <w:sz w:val="20"/>
          <w:szCs w:val="20"/>
          <w:color w:val="auto"/>
        </w:rPr>
      </w:pPr>
    </w:p>
    <w:p>
      <w:pPr>
        <w:jc w:val="both"/>
        <w:ind w:right="120" w:firstLine="464"/>
        <w:spacing w:after="0" w:line="256" w:lineRule="auto"/>
        <w:tabs>
          <w:tab w:leader="none" w:pos="695"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The Borrower, each Subsidiary and each other Loan Party is in compliance with each Governmental Approval applicable to it and in compliance with all other Applicable Laws (including without limitation, Environmental Laws) relating such Person except for noncompliances which, and Governmental Approvals the failure to possess which, could not, individually or in the aggregate, reasonably be expected to cause a Default or Event of Default or have a Material Adverse Effect.</w:t>
      </w:r>
    </w:p>
    <w:p>
      <w:pPr>
        <w:spacing w:after="0" w:line="143" w:lineRule="exact"/>
        <w:rPr>
          <w:rFonts w:ascii="Arial" w:cs="Arial" w:eastAsia="Arial" w:hAnsi="Arial"/>
          <w:sz w:val="18"/>
          <w:szCs w:val="18"/>
          <w:color w:val="auto"/>
        </w:rPr>
      </w:pPr>
    </w:p>
    <w:p>
      <w:pPr>
        <w:jc w:val="both"/>
        <w:ind w:right="120" w:firstLine="464"/>
        <w:spacing w:after="0" w:line="306" w:lineRule="auto"/>
        <w:tabs>
          <w:tab w:leader="none" w:pos="676"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Title to Properties; Liens</w:t>
      </w:r>
      <w:r>
        <w:rPr>
          <w:rFonts w:ascii="Arial" w:cs="Arial" w:eastAsia="Arial" w:hAnsi="Arial"/>
          <w:sz w:val="16"/>
          <w:szCs w:val="16"/>
          <w:color w:val="auto"/>
        </w:rPr>
        <w:t>. As of the Agreement Date, Part I of Schedule 6.1.(f) sets forth all of the real property owned or leased by the Borrower, each other Loan Party and each other Subsidiary. Each such Person has good, marketable and legal title to, or a valid leasehold interest in, its respective assets. As of the Agreement Date, there are no Liens against any assets of the Borrower, any Subsidiary or any other Loan Party except for Permitted Liens.</w:t>
      </w:r>
    </w:p>
    <w:p>
      <w:pPr>
        <w:spacing w:after="0" w:line="106" w:lineRule="exact"/>
        <w:rPr>
          <w:rFonts w:ascii="Arial" w:cs="Arial" w:eastAsia="Arial" w:hAnsi="Arial"/>
          <w:sz w:val="16"/>
          <w:szCs w:val="16"/>
          <w:color w:val="auto"/>
        </w:rPr>
      </w:pPr>
    </w:p>
    <w:p>
      <w:pPr>
        <w:ind w:right="80" w:firstLine="464"/>
        <w:spacing w:after="0" w:line="298" w:lineRule="auto"/>
        <w:tabs>
          <w:tab w:leader="none" w:pos="705"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Existing 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6.1.(g</w:t>
      </w:r>
      <w:r>
        <w:rPr>
          <w:rFonts w:ascii="Arial" w:cs="Arial" w:eastAsia="Arial" w:hAnsi="Arial"/>
          <w:sz w:val="16"/>
          <w:szCs w:val="16"/>
          <w:color w:val="auto"/>
        </w:rPr>
        <w:t>) is, as of September 30, 2007, a complete and correct listing of all Indebtedness of the Borrower and its Subsidiaries, including without limitation, Guarantees of the Borrower and its Subsidiaries, and indicating whether such Indebtedness is Secured Indebtedness or Unsecured Indebtedness. Except as set forth on such Schedule, from September 30, 2007 through the Agreement Date, neither the Borrower nor any of its Subsidiaries has incurred any Indebtedness having an outstanding principal balance in excess of $1,000,000 in the aggregate.</w:t>
      </w:r>
    </w:p>
    <w:p>
      <w:pPr>
        <w:spacing w:after="0" w:line="112" w:lineRule="exact"/>
        <w:rPr>
          <w:rFonts w:ascii="Arial" w:cs="Arial" w:eastAsia="Arial" w:hAnsi="Arial"/>
          <w:sz w:val="16"/>
          <w:szCs w:val="16"/>
          <w:color w:val="auto"/>
        </w:rPr>
      </w:pPr>
    </w:p>
    <w:p>
      <w:pPr>
        <w:ind w:firstLine="464"/>
        <w:spacing w:after="0" w:line="291" w:lineRule="auto"/>
        <w:tabs>
          <w:tab w:leader="none" w:pos="705"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6.1.(h</w:t>
      </w:r>
      <w:r>
        <w:rPr>
          <w:rFonts w:ascii="Arial" w:cs="Arial" w:eastAsia="Arial" w:hAnsi="Arial"/>
          <w:sz w:val="16"/>
          <w:szCs w:val="16"/>
          <w:color w:val="auto"/>
        </w:rPr>
        <w:t>), there are no actions, suits, investigations or proceedings pending (nor, to the knowledge of the Borrower, are there any actions, suits or proceedings threatened, nor to the knowledge of the Borrower is there any basis therefor) against or in any other way relating adversely to or affecting the Borrower, any Subsidiary or any other Loan Party or any of its respective property in any court or before any arbitrator of any kind or before or by any other Governmental Authority which could reasonably be expected to have a Material Adverse Effect.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20" w:lineRule="exact"/>
        <w:rPr>
          <w:rFonts w:ascii="Arial" w:cs="Arial" w:eastAsia="Arial" w:hAnsi="Arial"/>
          <w:sz w:val="16"/>
          <w:szCs w:val="16"/>
          <w:color w:val="auto"/>
        </w:rPr>
      </w:pPr>
    </w:p>
    <w:p>
      <w:pPr>
        <w:ind w:right="60" w:firstLine="464"/>
        <w:spacing w:after="0" w:line="291" w:lineRule="auto"/>
        <w:tabs>
          <w:tab w:leader="none" w:pos="666"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federal, state and other tax returns of the Borrower, any Subsidiary or any other Loan Party required by Applicable Law to be filed have been duly filed, and all federal, state and other taxes, assessments and other governmental charges or levies upon the Borrower, any Subsidiary and each other Loan Party and its respective properties, income, profits and assets which are due and payable have been paid, except any such nonpayment which is at the time permitted under Section 7.6. As of the Agreement Date, none of the United States income tax returns of the Borrower, its Subsidiaries or any other Loan Party is under audit. All charges, accruals and reserves on the books of the Borrower and each of its Subsidiaries and each other Loan Party in respect of any taxes or other governmental charges are in accordance with GAAP.</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00"/>
          </w:cols>
          <w:pgMar w:left="240" w:top="280" w:right="259" w:bottom="1440" w:gutter="0" w:footer="0" w:header="0"/>
        </w:sectPr>
      </w:pPr>
    </w:p>
    <w:bookmarkStart w:id="300" w:name="page301"/>
    <w:bookmarkEnd w:id="300"/>
    <w:p>
      <w:pPr>
        <w:ind w:left="-8" w:right="80" w:firstLine="464"/>
        <w:spacing w:after="0" w:line="308" w:lineRule="auto"/>
        <w:tabs>
          <w:tab w:leader="none" w:pos="658" w:val="left"/>
        </w:tabs>
        <w:numPr>
          <w:ilvl w:val="1"/>
          <w:numId w:val="21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w:t>
      </w:r>
      <w:r>
        <w:rPr>
          <w:rFonts w:ascii="Arial" w:cs="Arial" w:eastAsia="Arial" w:hAnsi="Arial"/>
          <w:sz w:val="15"/>
          <w:szCs w:val="15"/>
          <w:color w:val="auto"/>
        </w:rPr>
        <w:t>. The Borrower has furnished to the Agent copies of (i) the audited consolidated balance sheet of the Borrower and its consolidated Subsidiaries for the fiscal year ending December 31, 2006, and the related audited consolidated statements of operations, cash flows and shareholders’ equity for the fiscal year ending on such dates, with the opinion thereon of Grant Thornton LLP, and (ii) the unaudited consolidated balance sheet of the Borrower and its consolidated Subsidiaries for the fiscal quarter ending September 30, 2007, and the related unaudited consolidated statements of operations, cash flows and shareholders’ equity of the Borrower and its consolidated Subsidiaries for the period of three fiscal quarters ending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except as referred to or reflected or provided for in said financial statements.</w:t>
      </w:r>
    </w:p>
    <w:p>
      <w:pPr>
        <w:spacing w:after="0" w:line="109" w:lineRule="exact"/>
        <w:rPr>
          <w:rFonts w:ascii="Arial" w:cs="Arial" w:eastAsia="Arial" w:hAnsi="Arial"/>
          <w:sz w:val="15"/>
          <w:szCs w:val="15"/>
          <w:color w:val="auto"/>
        </w:rPr>
      </w:pPr>
    </w:p>
    <w:p>
      <w:pPr>
        <w:ind w:left="-8" w:right="260" w:firstLine="464"/>
        <w:spacing w:after="0" w:line="259" w:lineRule="auto"/>
        <w:tabs>
          <w:tab w:leader="none" w:pos="697"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2006, there has been no material adverse change in the business, assets, liabilities, financial condition or results of operations of the Borrower and its consolidated Subsidiaries taken as a whole. Each of the Borrower, its Subsidiaries and the other Loan Parties is Solvent.</w:t>
      </w:r>
    </w:p>
    <w:p>
      <w:pPr>
        <w:spacing w:after="0" w:line="140" w:lineRule="exact"/>
        <w:rPr>
          <w:rFonts w:ascii="Arial" w:cs="Arial" w:eastAsia="Arial" w:hAnsi="Arial"/>
          <w:sz w:val="18"/>
          <w:szCs w:val="18"/>
          <w:color w:val="auto"/>
        </w:rPr>
      </w:pPr>
    </w:p>
    <w:p>
      <w:pPr>
        <w:ind w:left="-8" w:right="220" w:firstLine="464"/>
        <w:spacing w:after="0" w:line="302" w:lineRule="auto"/>
        <w:tabs>
          <w:tab w:leader="none" w:pos="658" w:val="left"/>
        </w:tabs>
        <w:numPr>
          <w:ilvl w:val="1"/>
          <w:numId w:val="217"/>
        </w:numPr>
        <w:rPr>
          <w:rFonts w:ascii="Arial" w:cs="Arial" w:eastAsia="Arial" w:hAnsi="Arial"/>
          <w:sz w:val="15"/>
          <w:szCs w:val="15"/>
          <w:color w:val="auto"/>
        </w:rPr>
      </w:pPr>
      <w:r>
        <w:rPr>
          <w:rFonts w:ascii="Arial" w:cs="Arial" w:eastAsia="Arial" w:hAnsi="Arial"/>
          <w:sz w:val="15"/>
          <w:szCs w:val="15"/>
          <w:u w:val="single" w:color="auto"/>
          <w:color w:val="auto"/>
        </w:rPr>
        <w:t>ERISA</w:t>
      </w:r>
      <w:r>
        <w:rPr>
          <w:rFonts w:ascii="Arial" w:cs="Arial" w:eastAsia="Arial" w:hAnsi="Arial"/>
          <w:sz w:val="15"/>
          <w:szCs w:val="15"/>
          <w:color w:val="auto"/>
        </w:rPr>
        <w:t>. Each member of the ERISA Group is in compliance with its obligations under the minimum funding standards of ERISA and the Internal Revenue Code with respect to each Plan and is in compliance with the presently applicable provisions of ERISA and the Internal Revenue Code with respect to each Plan, except in each case for noncompliances which could not reasonably be expected to have a Material Adverse Effect. As of the Agreement Date, no member of the ERISA Group has (i) sought a waiver of the minimum funding standard under Section 412 of the Internal Revenue Code in respect of any Plan,</w:t>
      </w:r>
    </w:p>
    <w:p>
      <w:pPr>
        <w:spacing w:after="0" w:line="2" w:lineRule="exact"/>
        <w:rPr>
          <w:rFonts w:ascii="Arial" w:cs="Arial" w:eastAsia="Arial" w:hAnsi="Arial"/>
          <w:sz w:val="15"/>
          <w:szCs w:val="15"/>
          <w:color w:val="auto"/>
        </w:rPr>
      </w:pPr>
    </w:p>
    <w:p>
      <w:pPr>
        <w:ind w:left="-8" w:right="60" w:firstLine="8"/>
        <w:spacing w:after="0" w:line="302" w:lineRule="auto"/>
        <w:tabs>
          <w:tab w:leader="none" w:pos="25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failed to make any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109" w:lineRule="exact"/>
        <w:rPr>
          <w:rFonts w:ascii="Arial" w:cs="Arial" w:eastAsia="Arial" w:hAnsi="Arial"/>
          <w:sz w:val="16"/>
          <w:szCs w:val="16"/>
          <w:color w:val="auto"/>
        </w:rPr>
      </w:pPr>
    </w:p>
    <w:p>
      <w:pPr>
        <w:ind w:left="-8" w:firstLine="464"/>
        <w:spacing w:after="0" w:line="256" w:lineRule="auto"/>
        <w:tabs>
          <w:tab w:leader="none" w:pos="746"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Not Plan Assets; No Prohibited Transaction</w:t>
      </w:r>
      <w:r>
        <w:rPr>
          <w:rFonts w:ascii="Arial" w:cs="Arial" w:eastAsia="Arial" w:hAnsi="Arial"/>
          <w:sz w:val="18"/>
          <w:szCs w:val="18"/>
          <w:color w:val="auto"/>
        </w:rPr>
        <w:t>. None of the assets of the Borrower, any Subsidiary or any other Loan Party constitute “plan assets” within the meaning of ERISA, the Internal Revenue Code and the respective regulations promulgated thereunder. The execution, delivery and performance of this Agreement and the other Loan Documents, and the borrowing and repayment of amounts hereunder, do not and will not constitute “prohibited transactions” under ERISA or the Internal Revenue Code.</w:t>
      </w:r>
    </w:p>
    <w:p>
      <w:pPr>
        <w:spacing w:after="0" w:line="129" w:lineRule="exact"/>
        <w:rPr>
          <w:rFonts w:ascii="Arial" w:cs="Arial" w:eastAsia="Arial" w:hAnsi="Arial"/>
          <w:sz w:val="18"/>
          <w:szCs w:val="18"/>
          <w:color w:val="auto"/>
        </w:rPr>
      </w:pPr>
    </w:p>
    <w:p>
      <w:pPr>
        <w:ind w:left="5612" w:hanging="96"/>
        <w:spacing w:after="0"/>
        <w:tabs>
          <w:tab w:leader="none" w:pos="5612" w:val="left"/>
        </w:tabs>
        <w:numPr>
          <w:ilvl w:val="2"/>
          <w:numId w:val="218"/>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12"/>
          </w:cols>
          <w:pgMar w:left="248" w:top="280" w:right="239" w:bottom="1440" w:gutter="0" w:footer="0" w:header="0"/>
        </w:sectPr>
      </w:pPr>
    </w:p>
    <w:bookmarkStart w:id="301" w:name="page302"/>
    <w:bookmarkEnd w:id="301"/>
    <w:p>
      <w:pPr>
        <w:ind w:right="40" w:firstLine="464"/>
        <w:spacing w:after="0" w:line="286" w:lineRule="auto"/>
        <w:tabs>
          <w:tab w:leader="none" w:pos="705" w:val="left"/>
        </w:tabs>
        <w:numPr>
          <w:ilvl w:val="1"/>
          <w:numId w:val="2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Absence of Defaults</w:t>
      </w:r>
      <w:r>
        <w:rPr>
          <w:rFonts w:ascii="Arial" w:cs="Arial" w:eastAsia="Arial" w:hAnsi="Arial"/>
          <w:sz w:val="16"/>
          <w:szCs w:val="16"/>
          <w:color w:val="auto"/>
        </w:rPr>
        <w:t>. Neither the Borrower, any Subsidiary nor any other Loan Party is in default under its articles of incorporation, bylaws, partnership agreement or other similar organizational documents, and no event has occurred, which has not been remedied, cured or waived, which in any such case:</w:t>
      </w:r>
    </w:p>
    <w:p>
      <w:pPr>
        <w:ind w:right="140" w:firstLine="8"/>
        <w:spacing w:after="0" w:line="292" w:lineRule="auto"/>
        <w:tabs>
          <w:tab w:leader="none" w:pos="21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constitutes a Default or an Event of Default; or (ii) constitutes, or which with the passage of time, the giving of notice, a determination of materiality, the satisfaction of any condition, or any combination of the foregoing, would constitute, a default or event of default by the Borrower, any Subsidiary or any other Loan Party under any material agreement (other than this Agreement) or judgment, decree or order to which the Borrower or any Subsidiary or other Loan Party is a party or by which the Borrower or any Subsidiary or other Loan Party or any of their respective properties may be bound where such default or event of default could, individually or in the aggregate, could reasonably be expected to have a Material Adverse Effect.</w:t>
      </w:r>
    </w:p>
    <w:p>
      <w:pPr>
        <w:spacing w:after="0" w:line="116" w:lineRule="exact"/>
        <w:rPr>
          <w:rFonts w:ascii="Arial" w:cs="Arial" w:eastAsia="Arial" w:hAnsi="Arial"/>
          <w:sz w:val="16"/>
          <w:szCs w:val="16"/>
          <w:color w:val="auto"/>
        </w:rPr>
      </w:pPr>
    </w:p>
    <w:p>
      <w:pPr>
        <w:ind w:right="20" w:firstLine="464"/>
        <w:spacing w:after="0" w:line="286" w:lineRule="auto"/>
        <w:tabs>
          <w:tab w:leader="none" w:pos="705"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Each of the Borrower, its Subsidiaries and the other Loan Parties has obtained all Governmental Approvals which are required under Environmental Laws and is in compliance with all terms and conditions of such Governmental Approvals which the failure to obtain or to comply with could reasonably be expected to have a Material Adverse Effect. Except for any of the following matters that could not reasonably be expected to have a Material Adverse Effect, (i) the Borrower is not aware of, and has not received notice of, any past, present, or future events, conditions, circumstances, activities, practices, incidents, actions, or plans which, with respect to the Borrower, its Subsidiaries and each other Loan Party, may interfere with or prevent compliance or continued compliance with Environmental Laws, or may give rise to any common-law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pollutant, contaminant, chemical, or industrial, toxic, or other Hazardous Material; and (ii) there is no civil, criminal, or administrative action, suit, demand, claim, hearing, notice, or demand letter, notice of violation, investigation, or proceeding pending or, to the Borrower’s knowledge after due inquiry, threatened, against the Borrower, its Subsidiaries and each other Loan Party relating in any way to Environmental Laws.</w:t>
      </w:r>
    </w:p>
    <w:p>
      <w:pPr>
        <w:spacing w:after="0" w:line="127" w:lineRule="exact"/>
        <w:rPr>
          <w:rFonts w:ascii="Arial" w:cs="Arial" w:eastAsia="Arial" w:hAnsi="Arial"/>
          <w:sz w:val="16"/>
          <w:szCs w:val="16"/>
          <w:color w:val="auto"/>
        </w:rPr>
      </w:pPr>
    </w:p>
    <w:p>
      <w:pPr>
        <w:ind w:left="720" w:hanging="256"/>
        <w:spacing w:after="0"/>
        <w:tabs>
          <w:tab w:leader="none" w:pos="720"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Investment Company; Etc</w:t>
      </w:r>
      <w:r>
        <w:rPr>
          <w:rFonts w:ascii="Arial" w:cs="Arial" w:eastAsia="Arial" w:hAnsi="Arial"/>
          <w:sz w:val="16"/>
          <w:szCs w:val="16"/>
          <w:color w:val="auto"/>
        </w:rPr>
        <w:t>. Neither the Borrower nor any Subsidiary nor any other Loan Party is (i) an “investment company” or a company</w:t>
      </w:r>
    </w:p>
    <w:p>
      <w:pPr>
        <w:spacing w:after="0" w:line="38"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“controlled” by an “investment company” within the meaning of the Investment Company Act of 1940, as amended, or (ii) subject to any other Applicable Law which purports to regulate or restrict its ability to borrow money or to consummate the transactions contemplated by this Agreement or to perform its obligations under any Loan Document to which it is a party.</w:t>
      </w:r>
    </w:p>
    <w:p>
      <w:pPr>
        <w:spacing w:after="0" w:line="144" w:lineRule="exact"/>
        <w:rPr>
          <w:rFonts w:ascii="Arial" w:cs="Arial" w:eastAsia="Arial" w:hAnsi="Arial"/>
          <w:sz w:val="16"/>
          <w:szCs w:val="16"/>
          <w:color w:val="auto"/>
        </w:rPr>
      </w:pPr>
    </w:p>
    <w:p>
      <w:pPr>
        <w:ind w:firstLine="464"/>
        <w:spacing w:after="0" w:line="259" w:lineRule="auto"/>
        <w:tabs>
          <w:tab w:leader="none" w:pos="705"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Neither the Borrower, any Subsidiary nor any other Loan Party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40" w:lineRule="exact"/>
        <w:rPr>
          <w:rFonts w:ascii="Arial" w:cs="Arial" w:eastAsia="Arial" w:hAnsi="Arial"/>
          <w:sz w:val="18"/>
          <w:szCs w:val="18"/>
          <w:color w:val="auto"/>
        </w:rPr>
      </w:pPr>
    </w:p>
    <w:p>
      <w:pPr>
        <w:ind w:firstLine="464"/>
        <w:spacing w:after="0" w:line="332" w:lineRule="auto"/>
        <w:tabs>
          <w:tab w:leader="none" w:pos="676"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Affiliate Transactions</w:t>
      </w:r>
      <w:r>
        <w:rPr>
          <w:rFonts w:ascii="Arial" w:cs="Arial" w:eastAsia="Arial" w:hAnsi="Arial"/>
          <w:sz w:val="16"/>
          <w:szCs w:val="16"/>
          <w:color w:val="auto"/>
        </w:rPr>
        <w:t>. Except as permitted by Section 9.10., neither the Borrower, any Subsidiary nor any other Loan Party is a party to or bound by any agreement or arrangement (whether oral or written) to which any Affiliate of the Borrower, any Subsidiary or any other Loan Party is a party.</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20"/>
          </w:cols>
          <w:pgMar w:left="240" w:top="280" w:right="239" w:bottom="1440" w:gutter="0" w:footer="0" w:header="0"/>
        </w:sectPr>
      </w:pPr>
    </w:p>
    <w:bookmarkStart w:id="302" w:name="page303"/>
    <w:bookmarkEnd w:id="302"/>
    <w:p>
      <w:pPr>
        <w:ind w:left="-464" w:right="60" w:firstLine="464"/>
        <w:spacing w:after="0" w:line="287" w:lineRule="auto"/>
        <w:tabs>
          <w:tab w:leader="none" w:pos="221"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w:t>
      </w:r>
      <w:r>
        <w:rPr>
          <w:rFonts w:ascii="Arial" w:cs="Arial" w:eastAsia="Arial" w:hAnsi="Arial"/>
          <w:sz w:val="16"/>
          <w:szCs w:val="16"/>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the conduct of its businesses as now conducted and as contemplated by the Loan Documents, without known conflict with any patent, license, franchise, trademark,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122" w:lineRule="exact"/>
        <w:rPr>
          <w:rFonts w:ascii="Arial" w:cs="Arial" w:eastAsia="Arial" w:hAnsi="Arial"/>
          <w:sz w:val="16"/>
          <w:szCs w:val="16"/>
          <w:color w:val="auto"/>
        </w:rPr>
      </w:pPr>
    </w:p>
    <w:p>
      <w:pPr>
        <w:ind w:left="-464" w:right="380" w:firstLine="464"/>
        <w:spacing w:after="0" w:line="332" w:lineRule="auto"/>
        <w:tabs>
          <w:tab w:leader="none" w:pos="202"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Business</w:t>
      </w:r>
      <w:r>
        <w:rPr>
          <w:rFonts w:ascii="Arial" w:cs="Arial" w:eastAsia="Arial" w:hAnsi="Arial"/>
          <w:sz w:val="16"/>
          <w:szCs w:val="16"/>
          <w:color w:val="auto"/>
        </w:rPr>
        <w:t>. As of the Agreement Date, the Borrower and its Subsidiaries are engaged in the business of acquiring, developing, owning and managing commercial real estate, including retail and multi-family properties, together with other business activities incidental thereto.</w:t>
      </w:r>
    </w:p>
    <w:p>
      <w:pPr>
        <w:spacing w:after="0" w:line="85" w:lineRule="exact"/>
        <w:rPr>
          <w:rFonts w:ascii="Arial" w:cs="Arial" w:eastAsia="Arial" w:hAnsi="Arial"/>
          <w:sz w:val="16"/>
          <w:szCs w:val="16"/>
          <w:color w:val="auto"/>
        </w:rPr>
      </w:pPr>
    </w:p>
    <w:p>
      <w:pPr>
        <w:ind w:left="-464" w:right="80" w:firstLine="464"/>
        <w:spacing w:after="0" w:line="259" w:lineRule="auto"/>
        <w:tabs>
          <w:tab w:leader="none" w:pos="241"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or any of its Subsidiaries ancillary to the transactions contemplated hereby.</w:t>
      </w:r>
    </w:p>
    <w:p>
      <w:pPr>
        <w:spacing w:after="0" w:line="140" w:lineRule="exact"/>
        <w:rPr>
          <w:rFonts w:ascii="Arial" w:cs="Arial" w:eastAsia="Arial" w:hAnsi="Arial"/>
          <w:sz w:val="18"/>
          <w:szCs w:val="18"/>
          <w:color w:val="auto"/>
        </w:rPr>
      </w:pPr>
    </w:p>
    <w:p>
      <w:pPr>
        <w:ind w:left="-464" w:firstLine="464"/>
        <w:spacing w:after="0" w:line="288" w:lineRule="auto"/>
        <w:tabs>
          <w:tab w:leader="none" w:pos="241"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Accuracy and Completeness of Information</w:t>
      </w:r>
      <w:r>
        <w:rPr>
          <w:rFonts w:ascii="Arial" w:cs="Arial" w:eastAsia="Arial" w:hAnsi="Arial"/>
          <w:sz w:val="16"/>
          <w:szCs w:val="16"/>
          <w:color w:val="auto"/>
        </w:rPr>
        <w:t>. None of the written information, reports or other papers or data (excluding financial projections and other forward looking statements), taken as a whole as of the date of delivery thereof, furnished to the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All financial projections and other forward looking statements prepared by or on behalf of the Borrower, any Subsidiary or any other Loan Party that have been or may hereafter be made available to the Agent or any Lender were or will be</w:t>
      </w:r>
    </w:p>
    <w:p>
      <w:pPr>
        <w:spacing w:after="0" w:line="106" w:lineRule="exact"/>
        <w:rPr>
          <w:rFonts w:ascii="Arial" w:cs="Arial" w:eastAsia="Arial" w:hAnsi="Arial"/>
          <w:sz w:val="16"/>
          <w:szCs w:val="16"/>
          <w:color w:val="auto"/>
        </w:rPr>
      </w:pPr>
    </w:p>
    <w:p>
      <w:pPr>
        <w:ind w:left="5156" w:hanging="96"/>
        <w:spacing w:after="0"/>
        <w:tabs>
          <w:tab w:leader="none" w:pos="515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0956"/>
          </w:cols>
          <w:pgMar w:left="704" w:top="280" w:right="239" w:bottom="1440" w:gutter="0" w:footer="0" w:header="0"/>
        </w:sectPr>
      </w:pPr>
    </w:p>
    <w:bookmarkStart w:id="303" w:name="page304"/>
    <w:bookmarkEnd w:id="303"/>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6.1.(j) or in such information, reports or other papers or data or otherwise disclosed in writing to the Agent and the Lenders.</w:t>
      </w:r>
    </w:p>
    <w:p>
      <w:pPr>
        <w:spacing w:after="0" w:line="107" w:lineRule="exact"/>
        <w:rPr>
          <w:sz w:val="20"/>
          <w:szCs w:val="20"/>
          <w:color w:val="auto"/>
        </w:rPr>
      </w:pPr>
    </w:p>
    <w:p>
      <w:pPr>
        <w:ind w:right="40" w:firstLine="464"/>
        <w:spacing w:after="0" w:line="268" w:lineRule="auto"/>
        <w:tabs>
          <w:tab w:leader="none" w:pos="744"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REIT Status</w:t>
      </w:r>
      <w:r>
        <w:rPr>
          <w:rFonts w:ascii="Arial" w:cs="Arial" w:eastAsia="Arial" w:hAnsi="Arial"/>
          <w:sz w:val="18"/>
          <w:szCs w:val="18"/>
          <w:color w:val="auto"/>
        </w:rPr>
        <w:t>. The Borrower qualifies as a REIT and is in compliance with all requirements and conditions imposed under the Internal Revenue Code to allow the Borrower to maintain its status as a REIT.</w:t>
      </w:r>
    </w:p>
    <w:p>
      <w:pPr>
        <w:spacing w:after="0" w:line="131" w:lineRule="exact"/>
        <w:rPr>
          <w:rFonts w:ascii="Arial" w:cs="Arial" w:eastAsia="Arial" w:hAnsi="Arial"/>
          <w:sz w:val="18"/>
          <w:szCs w:val="18"/>
          <w:color w:val="auto"/>
        </w:rPr>
      </w:pPr>
    </w:p>
    <w:p>
      <w:pPr>
        <w:ind w:right="100" w:firstLine="464"/>
        <w:spacing w:after="0" w:line="306" w:lineRule="auto"/>
        <w:tabs>
          <w:tab w:leader="none" w:pos="705"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Unencumbered Assets</w:t>
      </w:r>
      <w:r>
        <w:rPr>
          <w:rFonts w:ascii="Arial" w:cs="Arial" w:eastAsia="Arial" w:hAnsi="Arial"/>
          <w:sz w:val="16"/>
          <w:szCs w:val="16"/>
          <w:color w:val="auto"/>
        </w:rPr>
        <w:t xml:space="preserve">. As of the Agreement Date, </w:t>
      </w:r>
      <w:r>
        <w:rPr>
          <w:rFonts w:ascii="Arial" w:cs="Arial" w:eastAsia="Arial" w:hAnsi="Arial"/>
          <w:sz w:val="16"/>
          <w:szCs w:val="16"/>
          <w:u w:val="single" w:color="auto"/>
          <w:color w:val="auto"/>
        </w:rPr>
        <w:t>Schedule 6.1.(x</w:t>
      </w:r>
      <w:r>
        <w:rPr>
          <w:rFonts w:ascii="Arial" w:cs="Arial" w:eastAsia="Arial" w:hAnsi="Arial"/>
          <w:sz w:val="16"/>
          <w:szCs w:val="16"/>
          <w:color w:val="auto"/>
        </w:rPr>
        <w:t>)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106" w:lineRule="exact"/>
        <w:rPr>
          <w:rFonts w:ascii="Arial" w:cs="Arial" w:eastAsia="Arial" w:hAnsi="Arial"/>
          <w:sz w:val="16"/>
          <w:szCs w:val="16"/>
          <w:color w:val="auto"/>
        </w:rPr>
      </w:pPr>
    </w:p>
    <w:p>
      <w:pPr>
        <w:ind w:right="380" w:firstLine="464"/>
        <w:spacing w:after="0" w:line="259" w:lineRule="auto"/>
        <w:tabs>
          <w:tab w:leader="none" w:pos="705"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Foreign Assets Control</w:t>
      </w:r>
      <w:r>
        <w:rPr>
          <w:rFonts w:ascii="Arial" w:cs="Arial" w:eastAsia="Arial" w:hAnsi="Arial"/>
          <w:sz w:val="18"/>
          <w:szCs w:val="18"/>
          <w:color w:val="auto"/>
        </w:rPr>
        <w:t>. None of the Borrower, any Subsidiary or any Affiliate of the Borrower is in violation of any of the country or list based economic and trade sanctions administered and enforced by OFAC that are described or referenced at http://www.ustreas.gov/offices/enforcement/ofac/ or as otherwise officially published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Survival of Representations and Warranties, Etc.</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All statements contained in any certificate, financial statement or other instrument delivered by or on behalf of the Borrower, any Subsidiary or any other Loan Party to the Agent or any Lender pursuant to or in connection with this Agreement or any of the other Loan Documents (including, but not limited to, any such statement made in or in connection with any amendment hereto or thereto or any statement contained in any certificate, financial statement or other instrument delivered by or on behalf of the Borrower prior to the Agreement Date and delivered to the Agent or any Lender in connection with the underwriting or closing of the transactions contemplated hereby) shall constitute representations and warranties made by the Borrower in favor of the Agent or any of the Lenders under this Agreement. All representations and warranties made under this Agreement and the other Loan Documents shall be deemed to be made at and as of the Agreement Date, the Effective Date, the date on which any extension of the Termination Date is effectuated pursuant to Section 2.9. and the date of the making of the Loans,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All such representations and warranties shall survive the effectiveness of this Agreement, the execution and delivery of the Loan Documents and the making of the Loans.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280" w:right="239" w:bottom="1440" w:gutter="0" w:footer="0" w:header="0"/>
        </w:sectPr>
      </w:pPr>
    </w:p>
    <w:bookmarkStart w:id="304" w:name="page305"/>
    <w:bookmarkEnd w:id="30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 A</w:t>
      </w:r>
      <w:r>
        <w:rPr>
          <w:rFonts w:ascii="Arial" w:cs="Arial" w:eastAsia="Arial" w:hAnsi="Arial"/>
          <w:sz w:val="14"/>
          <w:szCs w:val="14"/>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provided for in Section 12.6., the Borrower shall comply with the following covenants: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Preservation of Existence and Similar Matters.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otherwise permitted under Section 9.7., the Borrower shall, and shall cause each Subsidiary and each other Loan Party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Compliance with Applicable Law and Material Contracts.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Borrower shall, and shall cause each Subsidiary and each other Loan Party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Maintenance of Property.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requirements of any of the other Loan Documents, the Borrower shall, and shall cause each Subsidiary and other Loan Party to,</w:t>
      </w:r>
    </w:p>
    <w:p>
      <w:pPr>
        <w:spacing w:after="0" w:line="38" w:lineRule="exact"/>
        <w:rPr>
          <w:sz w:val="20"/>
          <w:szCs w:val="20"/>
          <w:color w:val="auto"/>
        </w:rPr>
      </w:pPr>
    </w:p>
    <w:p>
      <w:pPr>
        <w:ind w:right="180" w:firstLine="8"/>
        <w:spacing w:after="0" w:line="331" w:lineRule="auto"/>
        <w:tabs>
          <w:tab w:leader="none" w:pos="239" w:val="left"/>
        </w:tabs>
        <w:numPr>
          <w:ilvl w:val="0"/>
          <w:numId w:val="223"/>
        </w:numPr>
        <w:rPr>
          <w:rFonts w:ascii="Arial" w:cs="Arial" w:eastAsia="Arial" w:hAnsi="Arial"/>
          <w:sz w:val="15"/>
          <w:szCs w:val="15"/>
          <w:color w:val="auto"/>
        </w:rPr>
      </w:pPr>
      <w:r>
        <w:rPr>
          <w:rFonts w:ascii="Arial" w:cs="Arial" w:eastAsia="Arial" w:hAnsi="Arial"/>
          <w:sz w:val="15"/>
          <w:szCs w:val="15"/>
          <w:color w:val="auto"/>
        </w:rPr>
        <w:t>protect and preserve all of its material properties, including, but not limited to, all Intellectual Property, and maintain in good repair, working order and condition all tangible properties, ordinary wear and tear excepted, and (b) make or cause to be made all needed and appropriate repairs, renewals, replacements and additions to such properties, so that the business carried on in connection therewith may be properly and advantageously conducted at all times.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Conduct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and shall cause its Subsidiaries and the other Loan Parties to, carry on their respective businesses as described in Section 6.1.(t).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7.5. Insurance.</w:t>
      </w:r>
    </w:p>
    <w:p>
      <w:pPr>
        <w:spacing w:after="0" w:line="9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In addition to the requirements of any of the other Loan Documents, the Borrower shall, and shall cause each Subsidiary and other Loan Party to, maintain insurance (on a replacement cost basis) with financially sound and reputable insurance companies against such risks and in such amounts as is customarily maintained by Persons engaged in similar businesses or as may be required by Applicable Law, and from time to time deliver to the Agent upon its request a</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360"/>
          </w:cols>
          <w:pgMar w:left="240" w:top="273" w:right="299" w:bottom="1440" w:gutter="0" w:footer="0" w:header="0"/>
        </w:sectPr>
      </w:pPr>
    </w:p>
    <w:bookmarkStart w:id="305" w:name="page306"/>
    <w:bookmarkEnd w:id="305"/>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7.6. Payment of Taxes and Claims.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and shall cause each Subsidiary and other Loan Party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Borrower, such Subsidiary or such other Loan Party, as applicable, in accordance with GAAP.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7.7. Visits and Inspections.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Borrower shall, and shall cause each Subsidiary and other Loan Party to, permit representatives or agents of any Lender or the Agent, from time to time after reasonable prior notice if no Event of Default shall be in existence, as often as may be reasonably requested, but only during normal business hours and at the expense of such Lender or the Agent (unless an Event of Default shall exist, in which case the exercise by the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its business, properties, condition (financial or otherwise), results of operations and performance. If requested by the Agent, the Borrower shall execute an authorization letter addressed to its accountants authorizing the Agent or any Lender to discuss the financial affairs of the Borrower and any Subsidiary or any other Loan Party with its accountants.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7.8. Use of Proceeds.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Borrower shall use the proceeds of the Loans for general corporate purposes only. No part of the proceeds of any Loan will be used (a) for the purpose of buying or carrying “margin stock” within the meaning of Regulation U of the Board of Governors of the Federal Reserve System or to extend credit to others for the purpose of purchasing or carrying any such margin stock or (b) to fund any operations in, finance any investments or activities in, or make any payments to, a Sanctioned Person or Sanctioned Entity.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7.9. Environmental Matters.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Borrower shall, and shall cause all of its Subsidiaries and the other Loan Parties to, comply with all Environmental Laws the failure with which to comply could reasonably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80"/>
          </w:cols>
          <w:pgMar w:left="240" w:top="279" w:right="279" w:bottom="1440" w:gutter="0" w:footer="0" w:header="0"/>
        </w:sectPr>
      </w:pPr>
    </w:p>
    <w:bookmarkStart w:id="306" w:name="page307"/>
    <w:bookmarkEnd w:id="30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expected to have a Material Adverse Effect. If the Borrower, any Subsidiary or any other Loan Party shall (a) receive notice that any violation of any Environmental Law may have been committed or is about to be committed by such Person, (b) receive notice that any administrative or judicial complaint or order has been filed or is about to be filed against the Borrower, any Subsidiary or any other Loan Party alleging violations of any Environmental Law or requiring the Borrower, any Subsidiary or any other Loan Party to take any action in connection with the release of Hazardous Materials or (c) receive any notice from a Governmental Authority or private party alleging that the Borrower, any Subsidiary or any other Loan Party may be liable or responsible for costs associated with a response to or cleanup of a release of Hazardous Materials or any damages caused thereby, and the matters referred to in such notices, individually or in the aggregate, could reasonably be expected to have a Material Adverse Effect, the Borrower shall provide the Agent with a copy of such notice promptly, and in any event within 10 Business Days, after the receipt thereof by the Borrower, any Subsidiary or any other Loan Party. The Borrower shall, and shall cause its Subsidiaries and the other Loan Parties to, take promptly all actions necessary to prevent the imposition of any Liens on any of their respective properties arising out of or related to any Environmental 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Books and Records.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Borrower shall, and shall cause each of its Subsidiaries and the other Loan Parties to, maintain books and records pertaining to its respective business operations in such detail, form and scope as is consistent with good business practice and in accordance with GAAP.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7.11. Further Assurances.</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Borrower shall, at the Borrower’s cost and expense and upon request of the Agent, execute and deliver or cause to be executed and delivered, to the Agent such further instruments, documents and certificates, and do and cause to be done such further acts that may be reasonably necessary or advisable in the reasonable opinion of the Agent to carry out the provisions and purposes of this Agreement and the other Loan Documents.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7.12. New Subsidiaries/Guarantors.</w:t>
      </w:r>
    </w:p>
    <w:p>
      <w:pPr>
        <w:spacing w:after="0" w:line="96" w:lineRule="exact"/>
        <w:rPr>
          <w:sz w:val="20"/>
          <w:szCs w:val="20"/>
          <w:color w:val="auto"/>
        </w:rPr>
      </w:pPr>
    </w:p>
    <w:p>
      <w:pPr>
        <w:ind w:firstLine="464"/>
        <w:spacing w:after="0" w:line="289" w:lineRule="auto"/>
        <w:tabs>
          <w:tab w:leader="none" w:pos="695"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Requirement to Become Guarantor</w:t>
      </w:r>
      <w:r>
        <w:rPr>
          <w:rFonts w:ascii="Arial" w:cs="Arial" w:eastAsia="Arial" w:hAnsi="Arial"/>
          <w:sz w:val="16"/>
          <w:szCs w:val="16"/>
          <w:color w:val="auto"/>
        </w:rPr>
        <w:t xml:space="preserve">. Within 10 Business Days of any Person (other than an Excluded Subsidiary or a Subsidiary owning a Non-Controlled Property) becoming a Material Subsidiary after the Effective Date, the Borrower shall deliver to the Agent each of the following items, each in form and substance satisfactory to the Agent: (i) an Accession Agreement executed by such Material Subsidiary and (ii) the items that would have been delivered under Sections 5.1.(a)(iv), (ix) through (xii) and (xvi) if such Material Subsidiary had been one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promptly (and in any event within 10 Business Days) upon (x) any Excluded Subsidiary ceasing to be subject to the restriction which prevented it from becoming a Guarantor on the Effective Date or delivering an Accession Agreement pursuant to this Section, as the case may be, or (y) a Subsidiary ceasing to own any Non-Controlled Properties, such Subsidiary shall comply with the provisions of this Section if then applicable. The Borrower shall send to each Lender copies of each of the foregoing items once the Agent has received all such items with respect to a Material Subsidiary.</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420"/>
          </w:cols>
          <w:pgMar w:left="240" w:top="280" w:right="239" w:bottom="1440" w:gutter="0" w:footer="0" w:header="0"/>
        </w:sectPr>
      </w:pPr>
    </w:p>
    <w:bookmarkStart w:id="307" w:name="page308"/>
    <w:bookmarkEnd w:id="307"/>
    <w:p>
      <w:pPr>
        <w:ind w:right="480" w:firstLine="464"/>
        <w:spacing w:after="0" w:line="268" w:lineRule="auto"/>
        <w:tabs>
          <w:tab w:leader="none" w:pos="705"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Guarantors</w:t>
      </w:r>
      <w:r>
        <w:rPr>
          <w:rFonts w:ascii="Arial" w:cs="Arial" w:eastAsia="Arial" w:hAnsi="Arial"/>
          <w:sz w:val="18"/>
          <w:szCs w:val="18"/>
          <w:color w:val="auto"/>
        </w:rPr>
        <w:t>. The Borrower may, at its option, cause any Subsidiary that is not already a Guarantor to become a Guarantor by executing and delivering to the Agent the items required to be delivered under the immediately preceding subsection (a).</w:t>
      </w:r>
    </w:p>
    <w:p>
      <w:pPr>
        <w:spacing w:after="0" w:line="131" w:lineRule="exact"/>
        <w:rPr>
          <w:rFonts w:ascii="Arial" w:cs="Arial" w:eastAsia="Arial" w:hAnsi="Arial"/>
          <w:sz w:val="18"/>
          <w:szCs w:val="18"/>
          <w:color w:val="auto"/>
        </w:rPr>
      </w:pPr>
    </w:p>
    <w:p>
      <w:pPr>
        <w:ind w:firstLine="464"/>
        <w:spacing w:after="0" w:line="288" w:lineRule="auto"/>
        <w:tabs>
          <w:tab w:leader="none" w:pos="695"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Release of a Guarantor</w:t>
      </w:r>
      <w:r>
        <w:rPr>
          <w:rFonts w:ascii="Arial" w:cs="Arial" w:eastAsia="Arial" w:hAnsi="Arial"/>
          <w:sz w:val="16"/>
          <w:szCs w:val="16"/>
          <w:color w:val="auto"/>
        </w:rPr>
        <w:t>. The Borrower may request in writing that the Agent release, and upon receipt of such request the Agent shall release, a Guarantor from the Guaranty so long as: (i) such Guarantor (x) meets, or will meet simultaneously with its release from the Guaranty, all of the provisions of the definition of the term “Excluded Subsidiary” or (y) has ceased to be, or simultaneously with its release from the Guaranty will cease to be, a Material Subsidiary (whether pursuant to a transaction permitted under Section 9.7. or otherwise); (ii) such Guarantor is not otherwise required to be a party to the Guaranty under the immediately preceding subsection (a); (iii) no Default or Event of Default shall then be in existence or would occur as a result of such release, including, without limitation, a Default or Event of Default resulting from a violation of any of the covenants contained in Section 9.1.; and (iv) the Agent shall have received such written request at least 10 Business Days prior to the requested date of release. Delivery by the Borrower to the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7.13. REIT Status.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at all times maintain its status as a REIT.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7.14. Exchange Listing.</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Borrower shall maintain at least one class of common shares of the Borrower having trading privileges on the New York Stock Exchange, the American Stock Exchange or other national exchange reasonably acceptable to the Agent or which is the subject of price quotations in the over-the-counter market as reported by the National Association of Securities Dealers Automated Quotation System.</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 I</w:t>
      </w:r>
      <w:r>
        <w:rPr>
          <w:rFonts w:ascii="Arial" w:cs="Arial" w:eastAsia="Arial" w:hAnsi="Arial"/>
          <w:sz w:val="14"/>
          <w:szCs w:val="14"/>
          <w:b w:val="1"/>
          <w:bCs w:val="1"/>
          <w:color w:val="auto"/>
        </w:rPr>
        <w:t>NFORMATION</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set forth in Section 12.6., the Borrower shall furnish to the Agent at its Lending Office: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Quarterly Financial Statements.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soon as available and in any event within 5 days after the same is required to be filed with the Securities and Exchange Commission (but in no event later than 50 days after the end of each of the first, second and third fiscal quarters of the Borrower), the unaudited consolidated balance sheet of the Borrower and its Subsidiaries as at the end of such period and the related unaudited consolidated statements of operations, common shareholders’ equity and cash flows of the Borrower and its Subsidiaries for such period, setting forth in each case in comparative form the figures as of the end of and for the corresponding periods of the previous fiscal year, all of which shall be in a form acceptable to the Securities and Exchange Commission and certified by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380"/>
          </w:cols>
          <w:pgMar w:left="240" w:top="279" w:right="279" w:bottom="1440" w:gutter="0" w:footer="0" w:header="0"/>
        </w:sectPr>
      </w:pPr>
    </w:p>
    <w:bookmarkStart w:id="308" w:name="page309"/>
    <w:bookmarkEnd w:id="308"/>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Year-End Statements.</w:t>
      </w:r>
    </w:p>
    <w:p>
      <w:pPr>
        <w:spacing w:after="0" w:line="96"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As soon as available and in any event within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common shareholders’ equity and cash flows of the Borrower and its Subsidiaries for such fiscal year, setting forth in comparative form the figures as at the end of and for the previous fiscal year, all of which shall be in a form acceptable to the Securities and Exchange Commission and certified by (a) the chief financial officer or chief accounting officer of the Borrower, in his or her opinion, to present fairly, in accordance with GAAP, the consolidated financial position of the Borrower and its Subsidiaries as at the date thereof and the results of operations for such period and (b) independent certified public accountants of recognized national standing acceptable to the Agent, whose certificate shall be unqualified and who shall have authorized the Borrower to deliver such financial statements and certification thereof to the Agent and the Lenders pursuant to this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Compliance Certificate.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the time financial statements are furnished pursuant to Sections 8.1. and 8.2., and, if the Requisite Lenders reasonably believe that an Event of Default specified in Section 10.1.(a), Section 10.1.(b), Section 10.1.(f) or Section 10.1.(g) or a Default under Section 10.1.(g) may occur, within 5 Business Days of the Agent’s request with respect to any other fiscal period, a certificate substantially in the form of Exhibit G (a “</w:t>
      </w:r>
      <w:r>
        <w:rPr>
          <w:rFonts w:ascii="Arial" w:cs="Arial" w:eastAsia="Arial" w:hAnsi="Arial"/>
          <w:sz w:val="16"/>
          <w:szCs w:val="16"/>
          <w:b w:val="1"/>
          <w:bCs w:val="1"/>
          <w:color w:val="auto"/>
        </w:rPr>
        <w:t>Compliance Certificate</w:t>
      </w:r>
      <w:r>
        <w:rPr>
          <w:rFonts w:ascii="Arial" w:cs="Arial" w:eastAsia="Arial" w:hAnsi="Arial"/>
          <w:sz w:val="16"/>
          <w:szCs w:val="16"/>
          <w:color w:val="auto"/>
        </w:rPr>
        <w:t>”) executed by the chief financial officer or chief accounting officer of the Borrower: (a) setting forth in reasonable detail as at the end of such quarterly accounting period, fiscal year, or other fiscal period, as the case may be, the calculations required to establish whether or not the Borrower was in compliance with the covenants contained in Sections 9.1. and 9.4. and (b) stating that, to the best of his or her knowledge, information and belief after due inquiry, no Default or Event of Default exists, or, if such is not the case, specifying such Default or Event of Default and its nature, when it occurred, whether it is continuing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Agent, setting forth (x) a statement of Funds From Operations for the fiscal period then ending; (y)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Agent; and (z) a listing of all Properties acquired by the Borrower or any Subsidiary since the delivery of the previous such list, including their net operating income, cost and related mortgage debt, if any.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360"/>
          </w:cols>
          <w:pgMar w:left="240" w:top="280" w:right="29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8.4. Other Information.</w:t>
      </w:r>
    </w:p>
    <w:p>
      <w:pPr>
        <w:spacing w:after="0" w:line="96" w:lineRule="exact"/>
        <w:rPr>
          <w:sz w:val="20"/>
          <w:szCs w:val="20"/>
          <w:color w:val="auto"/>
        </w:rPr>
      </w:pPr>
    </w:p>
    <w:p>
      <w:pPr>
        <w:ind w:right="20" w:firstLine="464"/>
        <w:spacing w:after="0" w:line="268" w:lineRule="auto"/>
        <w:tabs>
          <w:tab w:leader="none" w:pos="695"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Management Reports</w:t>
      </w:r>
      <w:r>
        <w:rPr>
          <w:rFonts w:ascii="Arial" w:cs="Arial" w:eastAsia="Arial" w:hAnsi="Arial"/>
          <w:sz w:val="18"/>
          <w:szCs w:val="18"/>
          <w:color w:val="auto"/>
        </w:rPr>
        <w:t>. Promptly upon receipt thereof, copies of all management reports, if any, submitted to the Borrower or its Board of Trustees by its independent public accountants;</w:t>
      </w:r>
    </w:p>
    <w:p>
      <w:pPr>
        <w:spacing w:after="0" w:line="131" w:lineRule="exact"/>
        <w:rPr>
          <w:rFonts w:ascii="Arial" w:cs="Arial" w:eastAsia="Arial" w:hAnsi="Arial"/>
          <w:sz w:val="18"/>
          <w:szCs w:val="18"/>
          <w:color w:val="auto"/>
        </w:rPr>
      </w:pPr>
    </w:p>
    <w:p>
      <w:pPr>
        <w:ind w:right="20" w:firstLine="464"/>
        <w:spacing w:after="0" w:line="256" w:lineRule="auto"/>
        <w:tabs>
          <w:tab w:leader="none" w:pos="705"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Securities Filings</w:t>
      </w:r>
      <w:r>
        <w:rPr>
          <w:rFonts w:ascii="Arial" w:cs="Arial" w:eastAsia="Arial" w:hAnsi="Arial"/>
          <w:sz w:val="18"/>
          <w:szCs w:val="18"/>
          <w:color w:val="auto"/>
        </w:rPr>
        <w:t>. Within 5 Business Days of the filing thereof, copies of all registration statements (excluding the exhibits thereto (unless requested by the Agent) and any registration statements on Form S-8 or its equivalent), reports on Forms 10-K, 10-Q and 8-K (or their equivalents) and all other periodic reports which the Borrower, any Subsidiary or any other Loan Party shall file with the Securities and Exchange Commission (or any Governmental Authority substituted therefor) or any national securities exchange;</w:t>
      </w:r>
    </w:p>
    <w:p>
      <w:pPr>
        <w:spacing w:after="0" w:line="143" w:lineRule="exact"/>
        <w:rPr>
          <w:rFonts w:ascii="Arial" w:cs="Arial" w:eastAsia="Arial" w:hAnsi="Arial"/>
          <w:sz w:val="18"/>
          <w:szCs w:val="18"/>
          <w:color w:val="auto"/>
        </w:rPr>
      </w:pPr>
    </w:p>
    <w:p>
      <w:pPr>
        <w:ind w:right="240" w:firstLine="464"/>
        <w:spacing w:after="0" w:line="259" w:lineRule="auto"/>
        <w:tabs>
          <w:tab w:leader="none" w:pos="695"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Shareholder Information</w:t>
      </w:r>
      <w:r>
        <w:rPr>
          <w:rFonts w:ascii="Arial" w:cs="Arial" w:eastAsia="Arial" w:hAnsi="Arial"/>
          <w:sz w:val="18"/>
          <w:szCs w:val="18"/>
          <w:color w:val="auto"/>
        </w:rPr>
        <w:t>. 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140" w:lineRule="exact"/>
        <w:rPr>
          <w:rFonts w:ascii="Arial" w:cs="Arial" w:eastAsia="Arial" w:hAnsi="Arial"/>
          <w:sz w:val="18"/>
          <w:szCs w:val="18"/>
          <w:color w:val="auto"/>
        </w:rPr>
      </w:pPr>
    </w:p>
    <w:p>
      <w:pPr>
        <w:ind w:right="20" w:firstLine="464"/>
        <w:spacing w:after="0" w:line="283" w:lineRule="auto"/>
        <w:tabs>
          <w:tab w:leader="none" w:pos="705"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w:t>
      </w:r>
    </w:p>
    <w:p>
      <w:pPr>
        <w:spacing w:after="0" w:line="1" w:lineRule="exact"/>
        <w:rPr>
          <w:rFonts w:ascii="Arial" w:cs="Arial" w:eastAsia="Arial" w:hAnsi="Arial"/>
          <w:sz w:val="16"/>
          <w:szCs w:val="16"/>
          <w:color w:val="auto"/>
        </w:rPr>
      </w:pPr>
    </w:p>
    <w:p>
      <w:pPr>
        <w:ind w:right="100" w:firstLine="8"/>
        <w:spacing w:after="0" w:line="290" w:lineRule="auto"/>
        <w:tabs>
          <w:tab w:leader="none" w:pos="29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the chief financial officer or chief accounting officer of the Borrower setting forth details as to such occurrence and the action, if any, which the Borrower or applicable member of the ERISA Group is required or proposes to take;</w:t>
      </w:r>
    </w:p>
    <w:p>
      <w:pPr>
        <w:spacing w:after="0" w:line="118" w:lineRule="exact"/>
        <w:rPr>
          <w:rFonts w:ascii="Arial" w:cs="Arial" w:eastAsia="Arial" w:hAnsi="Arial"/>
          <w:sz w:val="16"/>
          <w:szCs w:val="16"/>
          <w:color w:val="auto"/>
        </w:rPr>
      </w:pPr>
    </w:p>
    <w:p>
      <w:pPr>
        <w:ind w:firstLine="464"/>
        <w:spacing w:after="0" w:line="255" w:lineRule="auto"/>
        <w:tabs>
          <w:tab w:leader="none" w:pos="695"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To the extent the Borrower or any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Borrower or any Subsidiary or any of their respective properties, assets or businesses which could reasonably be expected to have a Material Adverse Effect, and prompt notice of the receipt of notice that any United States income tax returns of the Borrower or any of its Subsidiaries are being audited;</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2"/>
          <w:numId w:val="227"/>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380"/>
          </w:cols>
          <w:pgMar w:left="240" w:top="273" w:right="279" w:bottom="1440" w:gutter="0" w:footer="0" w:header="0"/>
        </w:sectPr>
      </w:pPr>
    </w:p>
    <w:bookmarkStart w:id="310" w:name="page311"/>
    <w:bookmarkEnd w:id="310"/>
    <w:p>
      <w:pPr>
        <w:ind w:left="-464" w:right="400" w:firstLine="464"/>
        <w:spacing w:after="0" w:line="268" w:lineRule="auto"/>
        <w:tabs>
          <w:tab w:leader="none" w:pos="211"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of Organizational Documents</w:t>
      </w:r>
      <w:r>
        <w:rPr>
          <w:rFonts w:ascii="Arial" w:cs="Arial" w:eastAsia="Arial" w:hAnsi="Arial"/>
          <w:sz w:val="18"/>
          <w:szCs w:val="18"/>
          <w:color w:val="auto"/>
        </w:rPr>
        <w:t>. A copy of any amendment to the declaration of trust, bylaws or other organizational documents of the Borrower within 15 Business Days after the effectiveness thereof;</w:t>
      </w:r>
    </w:p>
    <w:p>
      <w:pPr>
        <w:spacing w:after="0" w:line="131" w:lineRule="exact"/>
        <w:rPr>
          <w:rFonts w:ascii="Arial" w:cs="Arial" w:eastAsia="Arial" w:hAnsi="Arial"/>
          <w:sz w:val="18"/>
          <w:szCs w:val="18"/>
          <w:color w:val="auto"/>
        </w:rPr>
      </w:pPr>
    </w:p>
    <w:p>
      <w:pPr>
        <w:ind w:left="-464" w:firstLine="464"/>
        <w:spacing w:after="0" w:line="306" w:lineRule="auto"/>
        <w:tabs>
          <w:tab w:leader="none" w:pos="241"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Change of Management or Financial Condition</w:t>
      </w:r>
      <w:r>
        <w:rPr>
          <w:rFonts w:ascii="Arial" w:cs="Arial" w:eastAsia="Arial" w:hAnsi="Arial"/>
          <w:sz w:val="16"/>
          <w:szCs w:val="16"/>
          <w:color w:val="auto"/>
        </w:rPr>
        <w:t>. Prompt notice of any change in the chief executive officer, chief financial officer, chief investment officer or general counsel of the Borrower, any Subsidiary or any other Loan Party and any change in the business, assets, liabilities, financial condition or results of operations of the Borrower, any Subsidiary or any other Loan Party which has had or could reasonably be expected to have a Material Adverse Effect;</w:t>
      </w:r>
    </w:p>
    <w:p>
      <w:pPr>
        <w:spacing w:after="0" w:line="106" w:lineRule="exact"/>
        <w:rPr>
          <w:rFonts w:ascii="Arial" w:cs="Arial" w:eastAsia="Arial" w:hAnsi="Arial"/>
          <w:sz w:val="16"/>
          <w:szCs w:val="16"/>
          <w:color w:val="auto"/>
        </w:rPr>
      </w:pPr>
    </w:p>
    <w:p>
      <w:pPr>
        <w:ind w:left="-464" w:right="60" w:firstLine="464"/>
        <w:spacing w:after="0" w:line="256" w:lineRule="auto"/>
        <w:tabs>
          <w:tab w:leader="none" w:pos="241"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Notice of the occurrence of any of the following promptly upon a Responsible Officer of the Borrower obtaining knowledge thereof: (i) any Default or Event of Default or (ii) any event which constitutes or which with the passage of time, the giving of notice, or otherwise, would constitute a default or event of default by the Borrower, any Subsidiary or any other Loan Party under any Material Contract to which any such Person is a party or by which any such Person or any of its respective properties may be bound;</w:t>
      </w:r>
    </w:p>
    <w:p>
      <w:pPr>
        <w:spacing w:after="0" w:line="143" w:lineRule="exact"/>
        <w:rPr>
          <w:rFonts w:ascii="Arial" w:cs="Arial" w:eastAsia="Arial" w:hAnsi="Arial"/>
          <w:sz w:val="18"/>
          <w:szCs w:val="18"/>
          <w:color w:val="auto"/>
        </w:rPr>
      </w:pPr>
    </w:p>
    <w:p>
      <w:pPr>
        <w:ind w:left="-464" w:right="220" w:firstLine="464"/>
        <w:spacing w:after="0" w:line="268" w:lineRule="auto"/>
        <w:tabs>
          <w:tab w:leader="none" w:pos="20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Prompt notice of any order, judgment or decree in excess of $5,000,000 having been entered against the Borrower, any Subsidiary or any other Loan Party of any of their respective properties or assets;</w:t>
      </w:r>
    </w:p>
    <w:p>
      <w:pPr>
        <w:spacing w:after="0" w:line="131" w:lineRule="exact"/>
        <w:rPr>
          <w:rFonts w:ascii="Arial" w:cs="Arial" w:eastAsia="Arial" w:hAnsi="Arial"/>
          <w:sz w:val="18"/>
          <w:szCs w:val="18"/>
          <w:color w:val="auto"/>
        </w:rPr>
      </w:pPr>
    </w:p>
    <w:p>
      <w:pPr>
        <w:ind w:left="-464" w:right="560" w:firstLine="464"/>
        <w:spacing w:after="0" w:line="259" w:lineRule="auto"/>
        <w:tabs>
          <w:tab w:leader="none" w:pos="20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Notice of Violations of Law</w:t>
      </w:r>
      <w:r>
        <w:rPr>
          <w:rFonts w:ascii="Arial" w:cs="Arial" w:eastAsia="Arial" w:hAnsi="Arial"/>
          <w:sz w:val="18"/>
          <w:szCs w:val="18"/>
          <w:color w:val="auto"/>
        </w:rPr>
        <w:t>. 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140" w:lineRule="exact"/>
        <w:rPr>
          <w:rFonts w:ascii="Arial" w:cs="Arial" w:eastAsia="Arial" w:hAnsi="Arial"/>
          <w:sz w:val="18"/>
          <w:szCs w:val="18"/>
          <w:color w:val="auto"/>
        </w:rPr>
      </w:pPr>
    </w:p>
    <w:p>
      <w:pPr>
        <w:ind w:left="256" w:hanging="256"/>
        <w:spacing w:after="0"/>
        <w:tabs>
          <w:tab w:leader="none" w:pos="256"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Material Subsidiary</w:t>
      </w:r>
      <w:r>
        <w:rPr>
          <w:rFonts w:ascii="Arial" w:cs="Arial" w:eastAsia="Arial" w:hAnsi="Arial"/>
          <w:sz w:val="18"/>
          <w:szCs w:val="18"/>
          <w:color w:val="auto"/>
        </w:rPr>
        <w:t>. Prompt notice of any Person becoming a Material Subsidiary;</w:t>
      </w:r>
    </w:p>
    <w:p>
      <w:pPr>
        <w:spacing w:after="0" w:line="171" w:lineRule="exact"/>
        <w:rPr>
          <w:rFonts w:ascii="Arial" w:cs="Arial" w:eastAsia="Arial" w:hAnsi="Arial"/>
          <w:sz w:val="18"/>
          <w:szCs w:val="18"/>
          <w:color w:val="auto"/>
        </w:rPr>
      </w:pPr>
    </w:p>
    <w:p>
      <w:pPr>
        <w:ind w:left="-464" w:right="220" w:firstLine="464"/>
        <w:spacing w:after="0" w:line="268" w:lineRule="auto"/>
        <w:tabs>
          <w:tab w:leader="none" w:pos="20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Material Asset Sales</w:t>
      </w:r>
      <w:r>
        <w:rPr>
          <w:rFonts w:ascii="Arial" w:cs="Arial" w:eastAsia="Arial" w:hAnsi="Arial"/>
          <w:sz w:val="18"/>
          <w:szCs w:val="18"/>
          <w:color w:val="auto"/>
        </w:rPr>
        <w:t>. Prompt notice of the sale, transfer or other disposition of any material assets of the Borrower, any Subsidiary or any other Loan Party to any Person other than the Borrower, any Subsidiary or any other Loan Party;</w:t>
      </w:r>
    </w:p>
    <w:p>
      <w:pPr>
        <w:spacing w:after="0" w:line="131" w:lineRule="exact"/>
        <w:rPr>
          <w:rFonts w:ascii="Arial" w:cs="Arial" w:eastAsia="Arial" w:hAnsi="Arial"/>
          <w:sz w:val="18"/>
          <w:szCs w:val="18"/>
          <w:color w:val="auto"/>
        </w:rPr>
      </w:pPr>
    </w:p>
    <w:p>
      <w:pPr>
        <w:ind w:left="-464" w:right="60" w:firstLine="464"/>
        <w:spacing w:after="0" w:line="268" w:lineRule="auto"/>
        <w:tabs>
          <w:tab w:leader="none" w:pos="289"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Patriot Act Information</w:t>
      </w:r>
      <w:r>
        <w:rPr>
          <w:rFonts w:ascii="Arial" w:cs="Arial" w:eastAsia="Arial" w:hAnsi="Arial"/>
          <w:sz w:val="18"/>
          <w:szCs w:val="18"/>
          <w:color w:val="auto"/>
        </w:rPr>
        <w:t>. From time to time and promptly upon each request, information identifying the Borrower as a Lender may request in order to comply with the USA Patriot Act (Title III of Pub. L. 107-56 (signed into law October 26, 2001)); and</w:t>
      </w:r>
    </w:p>
    <w:p>
      <w:pPr>
        <w:spacing w:after="0" w:line="131" w:lineRule="exact"/>
        <w:rPr>
          <w:rFonts w:ascii="Arial" w:cs="Arial" w:eastAsia="Arial" w:hAnsi="Arial"/>
          <w:sz w:val="18"/>
          <w:szCs w:val="18"/>
          <w:color w:val="auto"/>
        </w:rPr>
      </w:pPr>
    </w:p>
    <w:p>
      <w:pPr>
        <w:ind w:left="-464" w:right="20" w:firstLine="464"/>
        <w:spacing w:after="0" w:line="259" w:lineRule="auto"/>
        <w:tabs>
          <w:tab w:leader="none" w:pos="241"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From time to time and promptly upon each request, such data, certificates, reports, statements, opinions of counsel, documents or further information regarding the business, assets, liabilities, financial condition or results of operations of the Borrower or any of its Subsidiaries as the Agent or any Lender may reasonably request.</w:t>
      </w:r>
    </w:p>
    <w:p>
      <w:pPr>
        <w:spacing w:after="0" w:line="126" w:lineRule="exact"/>
        <w:rPr>
          <w:rFonts w:ascii="Arial" w:cs="Arial" w:eastAsia="Arial" w:hAnsi="Arial"/>
          <w:sz w:val="18"/>
          <w:szCs w:val="18"/>
          <w:color w:val="auto"/>
        </w:rPr>
      </w:pPr>
    </w:p>
    <w:p>
      <w:pPr>
        <w:ind w:left="5156" w:hanging="96"/>
        <w:spacing w:after="0"/>
        <w:tabs>
          <w:tab w:leader="none" w:pos="515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0896"/>
          </w:cols>
          <w:pgMar w:left="704" w:top="279" w:right="29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8.5. Electronic Delivery of Certain Information.</w:t>
      </w:r>
    </w:p>
    <w:p>
      <w:pPr>
        <w:spacing w:after="0" w:line="90" w:lineRule="exact"/>
        <w:rPr>
          <w:sz w:val="20"/>
          <w:szCs w:val="20"/>
          <w:color w:val="auto"/>
        </w:rPr>
      </w:pPr>
    </w:p>
    <w:p>
      <w:pPr>
        <w:ind w:firstLine="464"/>
        <w:spacing w:after="0" w:line="255"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Borrower may deliver documents, materials and other information required to be delivered pursuant to Article VIII. (collectively, “</w:t>
      </w:r>
      <w:r>
        <w:rPr>
          <w:rFonts w:ascii="Arial" w:cs="Arial" w:eastAsia="Arial" w:hAnsi="Arial"/>
          <w:sz w:val="18"/>
          <w:szCs w:val="18"/>
          <w:b w:val="1"/>
          <w:bCs w:val="1"/>
          <w:color w:val="auto"/>
        </w:rPr>
        <w:t>Information</w:t>
      </w:r>
      <w:r>
        <w:rPr>
          <w:rFonts w:ascii="Arial" w:cs="Arial" w:eastAsia="Arial" w:hAnsi="Arial"/>
          <w:sz w:val="18"/>
          <w:szCs w:val="18"/>
          <w:color w:val="auto"/>
        </w:rPr>
        <w:t>”) in an electronic format acceptable to the Agent by e-mailing any such Information to an e-mail address of the Agent as specified by the Agent from time to time. The Agent shall promptly post such Information on the Borrower’s behalf on an internet or intranet website to which each Lender and the Agent has access, whether a commercial, third-party website (such as Intralinks or SyndTrak) or a website sponsored by the Agent (the “</w:t>
      </w:r>
      <w:r>
        <w:rPr>
          <w:rFonts w:ascii="Arial" w:cs="Arial" w:eastAsia="Arial" w:hAnsi="Arial"/>
          <w:sz w:val="18"/>
          <w:szCs w:val="18"/>
          <w:b w:val="1"/>
          <w:bCs w:val="1"/>
          <w:color w:val="auto"/>
        </w:rPr>
        <w:t>Platform</w:t>
      </w:r>
      <w:r>
        <w:rPr>
          <w:rFonts w:ascii="Arial" w:cs="Arial" w:eastAsia="Arial" w:hAnsi="Arial"/>
          <w:sz w:val="18"/>
          <w:szCs w:val="18"/>
          <w:color w:val="auto"/>
        </w:rPr>
        <w:t>”). Such Information shall only be deemed to have been delivered to the Lenders on the date on which such information is so posted. The Agent shall promptly notify each Lender by e-mail or otherwise when Information is posted to the Platform.</w:t>
      </w:r>
    </w:p>
    <w:p>
      <w:pPr>
        <w:spacing w:after="0" w:line="145" w:lineRule="exact"/>
        <w:rPr>
          <w:rFonts w:ascii="Arial" w:cs="Arial" w:eastAsia="Arial" w:hAnsi="Arial"/>
          <w:sz w:val="18"/>
          <w:szCs w:val="18"/>
          <w:color w:val="auto"/>
        </w:rPr>
      </w:pPr>
    </w:p>
    <w:p>
      <w:pPr>
        <w:ind w:firstLine="464"/>
        <w:spacing w:after="0" w:line="289" w:lineRule="auto"/>
        <w:tabs>
          <w:tab w:leader="none" w:pos="70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 addition, the Borrower may deliver Information required to be delivered pursuant to Sections 8.1., 8.2., and 8.4.(b) and (c) by posting any such Information to the Borrower’s internet website (as of the Agreement Date, www.federalrealty.com). Any such Information provided in such manner shall only be deemed to have been delivered to the Agent or a Lender (i) on the date on which the Agent or such Lender, as applicable, receives notice from the Borrower that such Information has been posted to the Borrower’s internet website and (ii) only if such Information is publicly available without charge on such website. If for any reason, the Agent or a Lender either did not receive such notice or after reasonable efforts was unable to access such website, then the Agent or such Lender, as applicable, shall not be deemed to have received such Information. In addition to any manner permitted by Section 12.1., the Borrower may notify the Agent or a Lender that Information has been posted to such a website by causing an e-mail notification to be sent to an e-mail address specified from time to time by the Agent or such Lender, as applicable.</w:t>
      </w:r>
    </w:p>
    <w:p>
      <w:pPr>
        <w:spacing w:after="0" w:line="118" w:lineRule="exact"/>
        <w:rPr>
          <w:rFonts w:ascii="Arial" w:cs="Arial" w:eastAsia="Arial" w:hAnsi="Arial"/>
          <w:sz w:val="16"/>
          <w:szCs w:val="16"/>
          <w:color w:val="auto"/>
        </w:rPr>
      </w:pPr>
    </w:p>
    <w:p>
      <w:pPr>
        <w:ind w:right="180" w:firstLine="464"/>
        <w:spacing w:after="0" w:line="306" w:lineRule="auto"/>
        <w:tabs>
          <w:tab w:leader="none" w:pos="69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Borrower shall deliver paper copies of Information to the Agent or any Lender that requests the Borrower to deliver such paper copies until a written request to cease delivering paper copies is given to the Borrower by the Agent or such Lender and (ii) in every instance the Borrower shall be required to provide to the Agent a paper original of the Compliance Certificate required by Section 8.3.</w:t>
      </w:r>
    </w:p>
    <w:p>
      <w:pPr>
        <w:spacing w:after="0" w:line="106" w:lineRule="exact"/>
        <w:rPr>
          <w:rFonts w:ascii="Arial" w:cs="Arial" w:eastAsia="Arial" w:hAnsi="Arial"/>
          <w:sz w:val="16"/>
          <w:szCs w:val="16"/>
          <w:color w:val="auto"/>
        </w:rPr>
      </w:pPr>
    </w:p>
    <w:p>
      <w:pPr>
        <w:ind w:right="120" w:firstLine="464"/>
        <w:spacing w:after="0" w:line="288" w:lineRule="auto"/>
        <w:tabs>
          <w:tab w:leader="none" w:pos="70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Borrower acknowledges and agrees that the Agent may make Information, as well as any other written information, reports, data, certificates, documents, instruments, agreements and other materials relating to the Borrower, any Subsidiary or any other Loan Party or any other materials or matters relating to this Agreement, any of the other Loan Documents or any of the transactions contemplated by the Loan Documents, in each case to the extent that the Agent’s communication thereof to the Lenders is otherwise permitted hereunder (collectively, the “</w:t>
      </w:r>
      <w:r>
        <w:rPr>
          <w:rFonts w:ascii="Arial" w:cs="Arial" w:eastAsia="Arial" w:hAnsi="Arial"/>
          <w:sz w:val="16"/>
          <w:szCs w:val="16"/>
          <w:b w:val="1"/>
          <w:bCs w:val="1"/>
          <w:color w:val="auto"/>
        </w:rPr>
        <w:t>Communications</w:t>
      </w:r>
      <w:r>
        <w:rPr>
          <w:rFonts w:ascii="Arial" w:cs="Arial" w:eastAsia="Arial" w:hAnsi="Arial"/>
          <w:sz w:val="16"/>
          <w:szCs w:val="16"/>
          <w:color w:val="auto"/>
        </w:rPr>
        <w:t>”) available to the Lenders by posting the same on the Platform. The Borrower acknowledges that (i) the distribution of material through an electronic medium, such as the Platform,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The provisions of the immediately preceding clause (i) are not intended to limit the Lenders’ obligations under Section 12.8.</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400"/>
          </w:cols>
          <w:pgMar w:left="240" w:top="274" w:right="259" w:bottom="1440" w:gutter="0" w:footer="0" w:header="0"/>
        </w:sectPr>
      </w:pPr>
    </w:p>
    <w:bookmarkStart w:id="312" w:name="page313"/>
    <w:bookmarkEnd w:id="312"/>
    <w:p>
      <w:pPr>
        <w:jc w:val="both"/>
        <w:ind w:firstLine="464"/>
        <w:spacing w:after="0" w:line="259" w:lineRule="auto"/>
        <w:tabs>
          <w:tab w:leader="none" w:pos="695"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shall have no obligation to request the delivery or to maintain copies of any of the Information or other materials referred to above, and in no event shall have any responsibility to monitor compliance by the Borrower with any such requests. Each Lender shall be solely responsible for requesting delivery to it or maintaining its copies of such Information or other materials.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 N</w:t>
      </w:r>
      <w:r>
        <w:rPr>
          <w:rFonts w:ascii="Arial" w:cs="Arial" w:eastAsia="Arial" w:hAnsi="Arial"/>
          <w:sz w:val="14"/>
          <w:szCs w:val="14"/>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set forth in Section 12.6., the Borrower shall comply with the following covenants: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Financial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permit:</w:t>
      </w:r>
    </w:p>
    <w:p>
      <w:pPr>
        <w:spacing w:after="0" w:line="171" w:lineRule="exact"/>
        <w:rPr>
          <w:sz w:val="20"/>
          <w:szCs w:val="20"/>
          <w:color w:val="auto"/>
        </w:rPr>
      </w:pPr>
    </w:p>
    <w:p>
      <w:pPr>
        <w:ind w:firstLine="464"/>
        <w:spacing w:after="0" w:line="283" w:lineRule="auto"/>
        <w:tabs>
          <w:tab w:leader="none" w:pos="695" w:val="left"/>
        </w:tabs>
        <w:numPr>
          <w:ilvl w:val="1"/>
          <w:numId w:val="231"/>
        </w:numPr>
        <w:rPr>
          <w:rFonts w:ascii="Arial" w:cs="Arial" w:eastAsia="Arial" w:hAnsi="Arial"/>
          <w:sz w:val="16"/>
          <w:szCs w:val="16"/>
          <w:color w:val="auto"/>
        </w:rPr>
      </w:pPr>
      <w:r>
        <w:rPr>
          <w:rFonts w:ascii="Arial" w:cs="Arial" w:eastAsia="Arial" w:hAnsi="Arial"/>
          <w:sz w:val="16"/>
          <w:szCs w:val="16"/>
          <w:u w:val="single" w:color="auto"/>
          <w:color w:val="auto"/>
        </w:rPr>
        <w:t>Maximum Leverage Ratio</w:t>
      </w:r>
      <w:r>
        <w:rPr>
          <w:rFonts w:ascii="Arial" w:cs="Arial" w:eastAsia="Arial" w:hAnsi="Arial"/>
          <w:sz w:val="16"/>
          <w:szCs w:val="16"/>
          <w:color w:val="auto"/>
        </w:rPr>
        <w:t xml:space="preserve">. The ratio of (i) Total Indebtedness to (ii) Total Asset Value, to exceed 0.60 to 1.0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ratio is greater than 0.60 to 1.0 but is not greater than 0.65 to 1.0, then such failure to comply with the foregoing covenant shall not constitute a Default or an Event of Default and the Borrower shall be deemed to be in compliance with this subsection (a) so long as (1) the Borrower’s failure to comply with the foregoing covenant resulted from the Borrower’s (or any Subsidiary’s) acquisition of a portfolio of Properties, (2) such acquisition is otherwise permitted hereunder,</w:t>
      </w:r>
    </w:p>
    <w:p>
      <w:pPr>
        <w:spacing w:after="0" w:line="2" w:lineRule="exact"/>
        <w:rPr>
          <w:rFonts w:ascii="Arial" w:cs="Arial" w:eastAsia="Arial" w:hAnsi="Arial"/>
          <w:sz w:val="16"/>
          <w:szCs w:val="16"/>
          <w:color w:val="auto"/>
        </w:rPr>
      </w:pPr>
    </w:p>
    <w:p>
      <w:pPr>
        <w:ind w:right="120" w:firstLine="8"/>
        <w:spacing w:after="0" w:line="261" w:lineRule="auto"/>
        <w:tabs>
          <w:tab w:leader="none" w:pos="24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such ratio does not exceed 0.60 to 1.0 for a period of more than two complete consecutive fiscal quarters and (4) the Borrower shall not have previously used the exception provided in clauses (1) through (3) on more than one occasion during the term of this Agreement.</w:t>
      </w:r>
    </w:p>
    <w:p>
      <w:pPr>
        <w:spacing w:after="0" w:line="137" w:lineRule="exact"/>
        <w:rPr>
          <w:rFonts w:ascii="Arial" w:cs="Arial" w:eastAsia="Arial" w:hAnsi="Arial"/>
          <w:sz w:val="18"/>
          <w:szCs w:val="18"/>
          <w:color w:val="auto"/>
        </w:rPr>
      </w:pPr>
    </w:p>
    <w:p>
      <w:pPr>
        <w:ind w:right="60" w:firstLine="464"/>
        <w:spacing w:after="0" w:line="332" w:lineRule="auto"/>
        <w:tabs>
          <w:tab w:leader="none" w:pos="705"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Minimum Fixed Charge Coverage Ratio</w:t>
      </w:r>
      <w:r>
        <w:rPr>
          <w:rFonts w:ascii="Arial" w:cs="Arial" w:eastAsia="Arial" w:hAnsi="Arial"/>
          <w:sz w:val="16"/>
          <w:szCs w:val="16"/>
          <w:color w:val="auto"/>
        </w:rPr>
        <w:t>. The ratio of (i) Adjusted EBITDA of the Borrower and its Subsidiaries determined on a consolidated basis for the fiscal quarter of the Borrower most recently ending to (ii) Fixed Charges for such period, to be less than 1.50 to 1.00 at the end of any fiscal quarter.</w:t>
      </w:r>
    </w:p>
    <w:p>
      <w:pPr>
        <w:spacing w:after="0" w:line="85" w:lineRule="exact"/>
        <w:rPr>
          <w:rFonts w:ascii="Arial" w:cs="Arial" w:eastAsia="Arial" w:hAnsi="Arial"/>
          <w:sz w:val="16"/>
          <w:szCs w:val="16"/>
          <w:color w:val="auto"/>
        </w:rPr>
      </w:pPr>
    </w:p>
    <w:p>
      <w:pPr>
        <w:ind w:right="40" w:firstLine="464"/>
        <w:spacing w:after="0" w:line="268" w:lineRule="auto"/>
        <w:tabs>
          <w:tab w:leader="none" w:pos="695"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Maximum Secured Indebtedness Ratio</w:t>
      </w:r>
      <w:r>
        <w:rPr>
          <w:rFonts w:ascii="Arial" w:cs="Arial" w:eastAsia="Arial" w:hAnsi="Arial"/>
          <w:sz w:val="18"/>
          <w:szCs w:val="18"/>
          <w:color w:val="auto"/>
        </w:rPr>
        <w:t>. The ratio of (i) Secured Indebtedness of the Borrower and its Subsidiaries determined on a consolidated basis to (ii) Total Asset Value, to be greater than 0.350 to 1.00 at any time.</w:t>
      </w:r>
    </w:p>
    <w:p>
      <w:pPr>
        <w:spacing w:after="0" w:line="131" w:lineRule="exact"/>
        <w:rPr>
          <w:rFonts w:ascii="Arial" w:cs="Arial" w:eastAsia="Arial" w:hAnsi="Arial"/>
          <w:sz w:val="18"/>
          <w:szCs w:val="18"/>
          <w:color w:val="auto"/>
        </w:rPr>
      </w:pPr>
    </w:p>
    <w:p>
      <w:pPr>
        <w:ind w:right="780" w:firstLine="464"/>
        <w:spacing w:after="0" w:line="268" w:lineRule="auto"/>
        <w:tabs>
          <w:tab w:leader="none" w:pos="705"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Minimum Unencumbered Leverage Ratio</w:t>
      </w:r>
      <w:r>
        <w:rPr>
          <w:rFonts w:ascii="Arial" w:cs="Arial" w:eastAsia="Arial" w:hAnsi="Arial"/>
          <w:sz w:val="18"/>
          <w:szCs w:val="18"/>
          <w:color w:val="auto"/>
        </w:rPr>
        <w:t>. The ratio of (i) Unencumbered Asset Value to (ii) Unsecured Indebtedness of the Borrower and its Subsidiaries determined on a consolidated basis, to be less than 1.60 to 1.00 at the any time.</w:t>
      </w:r>
    </w:p>
    <w:p>
      <w:pPr>
        <w:spacing w:after="0" w:line="131" w:lineRule="exact"/>
        <w:rPr>
          <w:rFonts w:ascii="Arial" w:cs="Arial" w:eastAsia="Arial" w:hAnsi="Arial"/>
          <w:sz w:val="18"/>
          <w:szCs w:val="18"/>
          <w:color w:val="auto"/>
        </w:rPr>
      </w:pPr>
    </w:p>
    <w:p>
      <w:pPr>
        <w:ind w:right="40" w:firstLine="464"/>
        <w:spacing w:after="0" w:line="268" w:lineRule="auto"/>
        <w:tabs>
          <w:tab w:leader="none" w:pos="695"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Minimum Net Worth</w:t>
      </w:r>
      <w:r>
        <w:rPr>
          <w:rFonts w:ascii="Arial" w:cs="Arial" w:eastAsia="Arial" w:hAnsi="Arial"/>
          <w:sz w:val="18"/>
          <w:szCs w:val="18"/>
          <w:color w:val="auto"/>
        </w:rPr>
        <w:t xml:space="preserve">. Tangible Net Worth at any time to be less than (i) $870,000,000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75% of the Net Proceeds of all Equity Issuances effected by the Borrower or any Subsidiary after June 30, 2003 (other than Equity Issuances to the Borrower or any Subsidiary).</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20"/>
          </w:cols>
          <w:pgMar w:left="240" w:top="279" w:right="239" w:bottom="1440" w:gutter="0" w:footer="0" w:header="0"/>
        </w:sectPr>
      </w:pPr>
    </w:p>
    <w:bookmarkStart w:id="313" w:name="page314"/>
    <w:bookmarkEnd w:id="313"/>
    <w:p>
      <w:pPr>
        <w:ind w:right="240" w:firstLine="464"/>
        <w:spacing w:after="0" w:line="268" w:lineRule="auto"/>
        <w:tabs>
          <w:tab w:leader="none" w:pos="676"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Assets Owned by Borrower and Guarantors</w:t>
      </w:r>
      <w:r>
        <w:rPr>
          <w:rFonts w:ascii="Arial" w:cs="Arial" w:eastAsia="Arial" w:hAnsi="Arial"/>
          <w:sz w:val="18"/>
          <w:szCs w:val="18"/>
          <w:color w:val="auto"/>
        </w:rPr>
        <w:t>. The amount of Adjusted Total Asset Value attributable to assets directly owned by the Borrower and the Guarantors to be less than 95.0% of Adjusted Total Asset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Restricted Payments.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Borrower shall not, and shall not permit any of its Subsidiaries to, declare or make any Restricted Payment if an Event of Default or a Major Default exists or a Default or Event of Default would result from the making of such Restricted Payment, except that the Borrower may, subject to the immediately following sentence, declare and make cash distributions to its shareholders during any fiscal year in an aggregate amount not to exceed the minimum amount necessary for the Borrower to remain in compliance with Section 7.13. If an Event of Default specified in Section 10.1.(a), Section 10.1.(b), Section 10.1.(f) or Section 10.1.(g) shall exist, or if as a result of the occurrence of any other Event of Default any of the Obligations have been accelerated pursuant to Section 10.2. (a), the Borrower shall not, and shall not permit any Subsidiary to, make any Restricted Payments to any Person other than to the Borrower or any Subsidiary.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Indebtedness.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Borrower shall not, and shall not permit any Subsidiary or any other Loan Party to, incur, assume, or otherwise become obligated in respect of any Indebtedness after the Agreement Date if as a result of the assumption, incurring or becoming obligated in respect thereof, and after giving effect thereto, a Default or Event of Default is or would be caused thereby, or any Major Default or Event of Default is then in existence, including, without limitation, a Default or Event of Default resulting from a violation of any of the covenants contained in Section 9.1.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Certain Permitted Investments.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Borrower shall not, and shall not permit any Subsidiary to, make any Investment in or otherwise own the following items which would cause the aggregate value of such holdings of the Borrower and such other Subsidiaries to exceed 35.0% of Total Asset Value at any time:</w:t>
      </w:r>
    </w:p>
    <w:p>
      <w:pPr>
        <w:spacing w:after="0" w:line="85" w:lineRule="exact"/>
        <w:rPr>
          <w:sz w:val="20"/>
          <w:szCs w:val="20"/>
          <w:color w:val="auto"/>
        </w:rPr>
      </w:pPr>
    </w:p>
    <w:p>
      <w:pPr>
        <w:ind w:right="60" w:firstLine="464"/>
        <w:spacing w:after="0" w:line="259" w:lineRule="auto"/>
        <w:tabs>
          <w:tab w:leader="none" w:pos="69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Investments in Unconsolidated Affiliates and other Persons that are not Subsidiaries and Investments in Subsidiaries that own Non-Controlled Properties, with the aggregate value of such Investments determined in a manner consistent with the definition of Total Asset Value or, if not contemplated under the definition of Total Asset Value, as determined in accordance with GAAP;</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aggregate book value of all Mortgage Receivables;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aggregate Construction Budget for all real property under construction.</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380"/>
          </w:cols>
          <w:pgMar w:left="240" w:top="280" w:right="27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9.5. Investments Generally.</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Borrower shall not, and shall not permit any Subsidiary or other Loan Party to, directly or indirectly, acquire, make or purchase any Investment, or permit any Investment of such Person to be outstanding on and after the Agreement Date, other than the following:</w:t>
      </w:r>
    </w:p>
    <w:p>
      <w:pPr>
        <w:spacing w:after="0" w:line="132" w:lineRule="exact"/>
        <w:rPr>
          <w:sz w:val="20"/>
          <w:szCs w:val="20"/>
          <w:color w:val="auto"/>
        </w:rPr>
      </w:pPr>
    </w:p>
    <w:p>
      <w:pPr>
        <w:ind w:left="700" w:hanging="236"/>
        <w:spacing w:after="0"/>
        <w:tabs>
          <w:tab w:leader="none" w:pos="7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Investments in Subsidiaries in existence on the Agreement Date and disclosed on Part I of Schedule 6.1.(b);</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Investments to acquire Equity Interests of a Subsidiary or any other Person who after giving effect to such acquisition would be a Subsidiary, so long as in each case (i) as a result of such Investment, and after giving effect thereto, no Default or Event of Default is or would be caused thereby, and no other Major Default or Event of Default is then in existence and (ii) if such Subsidiary is (or after giving effect to such Investment would become) a Material Subsidiary, and is not an Excluded Subsidiary and does not own a Non-Controlled Property, the terms and conditions set forth in Section 7.12. are satisfied;</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Investments permitted under Section 9.4.;</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71" w:lineRule="exact"/>
        <w:rPr>
          <w:rFonts w:ascii="Arial" w:cs="Arial" w:eastAsia="Arial" w:hAnsi="Arial"/>
          <w:sz w:val="18"/>
          <w:szCs w:val="18"/>
          <w:color w:val="auto"/>
        </w:rPr>
      </w:pPr>
    </w:p>
    <w:p>
      <w:pPr>
        <w:ind w:right="420" w:firstLine="464"/>
        <w:spacing w:after="0" w:line="268" w:lineRule="auto"/>
        <w:tabs>
          <w:tab w:leader="none" w:pos="69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intercompany Indebtedness among the Borrower and its Wholly Owned Subsidiaries provided that such Indebtedness is permitted by the terms of Section 9.3.;</w:t>
      </w:r>
    </w:p>
    <w:p>
      <w:pPr>
        <w:spacing w:after="0" w:line="131" w:lineRule="exact"/>
        <w:rPr>
          <w:rFonts w:ascii="Arial" w:cs="Arial" w:eastAsia="Arial" w:hAnsi="Arial"/>
          <w:sz w:val="18"/>
          <w:szCs w:val="18"/>
          <w:color w:val="auto"/>
        </w:rPr>
      </w:pPr>
    </w:p>
    <w:p>
      <w:pPr>
        <w:ind w:right="60" w:firstLine="464"/>
        <w:spacing w:after="0" w:line="259" w:lineRule="auto"/>
        <w:tabs>
          <w:tab w:leader="none" w:pos="67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loans and advances to officers and employees (i) to finance their exercise of options to acquire stock in the Borrower to the extent made pursuant to arrangements in existence on the Agreement Date and only as permitted by Applicable Law and (ii) for moving, entertainment, travel and other similar expenses in the ordinary course of business consistent with past practices; and</w:t>
      </w:r>
    </w:p>
    <w:p>
      <w:pPr>
        <w:spacing w:after="0" w:line="140"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other Investment so long as a result of making such Investment, and immediately thereafter and after giving effect thereto, no Default or Event of Default is or would be caused thereby, and no other Major Default or Event of Default is then in existence.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Liens; Negative Pledges; Other Matters.</w:t>
      </w:r>
    </w:p>
    <w:p>
      <w:pPr>
        <w:spacing w:after="0" w:line="96" w:lineRule="exact"/>
        <w:rPr>
          <w:sz w:val="20"/>
          <w:szCs w:val="20"/>
          <w:color w:val="auto"/>
        </w:rPr>
      </w:pPr>
    </w:p>
    <w:p>
      <w:pPr>
        <w:ind w:right="20" w:firstLine="464"/>
        <w:spacing w:after="0" w:line="298" w:lineRule="auto"/>
        <w:tabs>
          <w:tab w:leader="none" w:pos="69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is then in existence, including without limitation, a Default or Event of Default resulting from a violation of any of the covenants contained in Section 9.1.</w:t>
      </w:r>
    </w:p>
    <w:p>
      <w:pPr>
        <w:spacing w:after="0" w:line="112"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Borrower shall not, and shall not permit any Subsidiary or other Loan Party to, enter into, assume or otherwise be bound by any Negative Pledge except for a Negative Pledge contained in any agreement (i) evidencing Indebtedness which the Borrower or such</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360"/>
          </w:cols>
          <w:pgMar w:left="240" w:top="273" w:right="299" w:bottom="1440" w:gutter="0" w:footer="0" w:header="0"/>
        </w:sectPr>
      </w:pPr>
    </w:p>
    <w:bookmarkStart w:id="315" w:name="page316"/>
    <w:bookmarkEnd w:id="31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may create, incur, assume, or permit or suffer to exist under Section 9.3.; (ii) which Indebtedness is secured by a Lien permitted to exist hereunder and</w:t>
      </w:r>
    </w:p>
    <w:p>
      <w:pPr>
        <w:spacing w:after="0" w:line="50" w:lineRule="exact"/>
        <w:rPr>
          <w:sz w:val="20"/>
          <w:szCs w:val="20"/>
          <w:color w:val="auto"/>
        </w:rPr>
      </w:pPr>
    </w:p>
    <w:p>
      <w:pPr>
        <w:ind w:left="320" w:hanging="312"/>
        <w:spacing w:after="0"/>
        <w:tabs>
          <w:tab w:leader="none" w:pos="32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which prohibits the creation of any other Lien on only the property securing such Indebtedness as of the date such agreement was entered into.</w:t>
      </w:r>
    </w:p>
    <w:p>
      <w:pPr>
        <w:spacing w:after="0" w:line="187" w:lineRule="exact"/>
        <w:rPr>
          <w:rFonts w:ascii="Arial" w:cs="Arial" w:eastAsia="Arial" w:hAnsi="Arial"/>
          <w:sz w:val="16"/>
          <w:szCs w:val="16"/>
          <w:color w:val="auto"/>
        </w:rPr>
      </w:pPr>
    </w:p>
    <w:p>
      <w:pPr>
        <w:ind w:right="120" w:firstLine="464"/>
        <w:spacing w:after="0" w:line="291" w:lineRule="auto"/>
        <w:tabs>
          <w:tab w:leader="none" w:pos="695"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create or otherwise cause or suffer to exist or become effective any consensual encumbrance or restriction of any kind on the ability of any Subsidiary (other than an Excluded Subsidiary) to: (i) pay dividends or make any other distribution on any of such Subsidiary’s capital stock or other equity interests owned by the Borrower or any Subsidiary; (ii) pay any Indebtedness owed to the Borrower or any Subsidiary; (iii) make loans or advances to the Borrower or any Subsidiary; or (iv) transfer any of its property or assets to the Borrower or any Subsidiary other than, in the case of any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Merger, Consolidation, Sales of Assets and Other Arrangements.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The Borrower shall not, and shall not permit any Subsidiary or other Loan Party to: (i) enter into any transaction of merger or consolidation; (ii) liquidate, wind up or dissolve itself (or suffer any liquidation or dissolution); or (iii) convey, sell, lease, sublease, transfer or otherwise dispose of, in one transaction or a series of transactions, all or any substantial part of its business or assets, whether now owned or hereafter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07" w:lineRule="exact"/>
        <w:rPr>
          <w:sz w:val="20"/>
          <w:szCs w:val="20"/>
          <w:color w:val="auto"/>
        </w:rPr>
      </w:pPr>
    </w:p>
    <w:p>
      <w:pPr>
        <w:ind w:firstLine="464"/>
        <w:spacing w:after="0" w:line="285" w:lineRule="auto"/>
        <w:tabs>
          <w:tab w:leader="none" w:pos="69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any of the actions described in the immediately preceding clauses (i) through (iii) may be taken with respect to any Subsidiary or any other Loan Party (other than the Borrower) so long as, as a result of the taking of such action, and after giving effect thereto, no Default or Event of Default is or would be caused thereby or any other Major Default or Event of Default is then in existence; notwithstanding the foregoing, any such Loan Party may enter into a transaction of merger pursuant to which such Loan Party is not the survivor of such merger only if (i) the Borrower shall have given the Agent and the Lenders at least 10 Business Days’ prior written notice of such merger; (ii) if the survivor entity is a Material Subsidiary (and not an Excluded Subsidiary) within 5 Business Days of consummation of such merger, the survivor entity (if not already a Guarantor) shall have executed and delivered an assumption agreement in form and substance satisfactory to the Agent pursuant to which such survivor entity shall assume all of the such Loan Party’s Obligations under this Agreement and the other Loan Documents to which it is a party; (iii) within 30 days of consummation of such merger, the survivor entity delivers to the Agent the following: (A) items of the type referred to in Sections 5.1.(a)(ix) through (xii) with respect to the survivor entity as in effect after consummation of such merger (if not previously delivered to the Agent and still in effect), (B) copies of all documents entered into by such Loan Party or the survivor entity to effectuate the consummation of such merger, including, but not limited to, articles of merger and the plan of merger, (C) copies, certified by the Secretary or Assistant Secretary (or other individual performing similar functions) of such Loan Party or the survivor entity, of all corporate and shareholder action authorizing such merger and (D) copies of any filings with the Securities and Exchange Commission in connection with such merger; and (iv) such Loan Party and the survivor entity each takes such other action and delivers such other documents, instruments, opinions and agreements as the Agent may reasonably request;</w:t>
      </w:r>
    </w:p>
    <w:p>
      <w:pPr>
        <w:spacing w:after="0" w:line="114" w:lineRule="exact"/>
        <w:rPr>
          <w:rFonts w:ascii="Arial" w:cs="Arial" w:eastAsia="Arial" w:hAnsi="Arial"/>
          <w:sz w:val="16"/>
          <w:szCs w:val="16"/>
          <w:color w:val="auto"/>
        </w:rPr>
      </w:pPr>
    </w:p>
    <w:p>
      <w:pPr>
        <w:ind w:left="5620" w:hanging="96"/>
        <w:spacing w:after="0"/>
        <w:tabs>
          <w:tab w:leader="none" w:pos="5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420"/>
          </w:cols>
          <w:pgMar w:left="240" w:top="279" w:right="239" w:bottom="1440" w:gutter="0" w:footer="0" w:header="0"/>
        </w:sectPr>
      </w:pPr>
    </w:p>
    <w:bookmarkStart w:id="316" w:name="page317"/>
    <w:bookmarkEnd w:id="316"/>
    <w:p>
      <w:pPr>
        <w:ind w:right="200" w:firstLine="464"/>
        <w:spacing w:after="0" w:line="268" w:lineRule="auto"/>
        <w:tabs>
          <w:tab w:leader="none" w:pos="7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its Subsidiaries and the other Loan Parties may lease and sublease their respective assets, as lessor or sublessor (as the case may be), in the ordinary course of their business;</w:t>
      </w:r>
    </w:p>
    <w:p>
      <w:pPr>
        <w:spacing w:after="0" w:line="131" w:lineRule="exact"/>
        <w:rPr>
          <w:rFonts w:ascii="Arial" w:cs="Arial" w:eastAsia="Arial" w:hAnsi="Arial"/>
          <w:sz w:val="18"/>
          <w:szCs w:val="18"/>
          <w:color w:val="auto"/>
        </w:rPr>
      </w:pPr>
    </w:p>
    <w:p>
      <w:pPr>
        <w:ind w:right="80" w:firstLine="464"/>
        <w:spacing w:after="0" w:line="256" w:lineRule="auto"/>
        <w:tabs>
          <w:tab w:leader="none" w:pos="69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Person may merge with and into the Borrower so long as (i) the Borrower is the survivor of such merger, (ii) immediately prior to such merger, and immediately thereafter and after giving effect thereto, no Default or Event of Default is or would be in existence, and (iii) the Borrower shall have given the Agent and the Lenders at least 10 Business Days’ prior written notice of such merger (except that such prior notice shall not be required in the case of the merger of a Subsidiary with and into the Borrower);</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Borrower and each Subsidiary may sell, transfer or dispose of assets (including by merger or liquidation of Subsidiaries) among themselves; and</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Borrower and each Subsidiary may transfer property as security for Indebtedness permitted by Section 9.3.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Fiscal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change its fiscal year from that in effect as of the Agreement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9.9. Modifications of Organizational Documents.</w:t>
      </w:r>
    </w:p>
    <w:p>
      <w:pPr>
        <w:spacing w:after="0" w:line="96"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The Borrower shall not, and shall not permit any Loan Party or other Subsidiary to, amend, supplement, restate or otherwise modify its articles or certificate of incorporation,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9.10. Transactions with Affiliates.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not, and shall not permit any of its Subsidiaries or any other Loan Party to, permit to exist or enter into, any transaction (including the purchase, sale, lease or exchange of any property or the rendering of any service) with any Affiliate, except (a) compensation, bonus and benefit arrangements with employees and trustees as permitted by Applicable Law; (b) transactions not prohibited by Section 9.7. to the extent among the Borrower, the other Loan Parties and other Subsidiaries; and (c) other transactions in the ordinary course of and pursuant to the reasonable requirements of the business of the Borrower or any of its Subsidiaries and upon fair and reasonable terms which are no less favorable to the Borrower or such Subsidiary than would be obtained in a comparable arm’s length transaction with a Person that is not an Affiliate.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280" w:right="25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9.11. ERISA Exemptions.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Borrower shall not, and shall not permit any Subsidiary to, permit any of its respective assets to become or be deemed to be “plan assets” within the meaning of ERISA, the Internal Revenue Code and the respective regulations promulgated thereunder other than as a result of contributions by the Borrower or a Subsidiary to Benefit Arrangements, Plans or Multiemployer Plans not prohibited by this Agreement or any other Loan Document.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9.12. Non-Controlled Properties.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 D</w:t>
      </w:r>
      <w:r>
        <w:rPr>
          <w:rFonts w:ascii="Arial" w:cs="Arial" w:eastAsia="Arial" w:hAnsi="Arial"/>
          <w:sz w:val="14"/>
          <w:szCs w:val="14"/>
          <w:b w:val="1"/>
          <w:bCs w:val="1"/>
          <w:color w:val="auto"/>
        </w:rPr>
        <w:t>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Events of Default.</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32" w:lineRule="exact"/>
        <w:rPr>
          <w:sz w:val="20"/>
          <w:szCs w:val="20"/>
          <w:color w:val="auto"/>
        </w:rPr>
      </w:pPr>
    </w:p>
    <w:p>
      <w:pPr>
        <w:ind w:right="180" w:firstLine="464"/>
        <w:spacing w:after="0" w:line="268" w:lineRule="auto"/>
        <w:tabs>
          <w:tab w:leader="none" w:pos="695"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w:t>
      </w:r>
      <w:r>
        <w:rPr>
          <w:rFonts w:ascii="Arial" w:cs="Arial" w:eastAsia="Arial" w:hAnsi="Arial"/>
          <w:sz w:val="18"/>
          <w:szCs w:val="18"/>
          <w:color w:val="auto"/>
        </w:rPr>
        <w:t>. The Borrower shall fail to pay when due (whether upon demand, at maturity, by reason of acceleration or otherwise) the principal of any of the Loans.</w:t>
      </w:r>
    </w:p>
    <w:p>
      <w:pPr>
        <w:spacing w:after="0" w:line="131" w:lineRule="exact"/>
        <w:rPr>
          <w:rFonts w:ascii="Arial" w:cs="Arial" w:eastAsia="Arial" w:hAnsi="Arial"/>
          <w:sz w:val="18"/>
          <w:szCs w:val="18"/>
          <w:color w:val="auto"/>
        </w:rPr>
      </w:pPr>
    </w:p>
    <w:p>
      <w:pPr>
        <w:ind w:right="140" w:firstLine="464"/>
        <w:spacing w:after="0" w:line="256" w:lineRule="auto"/>
        <w:tabs>
          <w:tab w:leader="none" w:pos="705"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Default in Payment of Interest and Other Obligations</w:t>
      </w:r>
      <w:r>
        <w:rPr>
          <w:rFonts w:ascii="Arial" w:cs="Arial" w:eastAsia="Arial" w:hAnsi="Arial"/>
          <w:sz w:val="18"/>
          <w:szCs w:val="18"/>
          <w:color w:val="auto"/>
        </w:rPr>
        <w:t>. The Borrower shall fail to pay when due any interest on any of the Loans or any of the other payment Obligations (other than the principal of any Loan) owing by the Borrower under this Agreement or any other Loan Document, or any other Loan Party shall fail to pay when due any payment Obligation owing by such other Loan Party under any Loan Document to which it is a party, and such failure shall continue for a period of 5 Business Days.</w:t>
      </w:r>
    </w:p>
    <w:p>
      <w:pPr>
        <w:spacing w:after="0" w:line="143" w:lineRule="exact"/>
        <w:rPr>
          <w:rFonts w:ascii="Arial" w:cs="Arial" w:eastAsia="Arial" w:hAnsi="Arial"/>
          <w:sz w:val="18"/>
          <w:szCs w:val="18"/>
          <w:color w:val="auto"/>
        </w:rPr>
      </w:pPr>
    </w:p>
    <w:p>
      <w:pPr>
        <w:ind w:firstLine="464"/>
        <w:spacing w:after="0" w:line="283" w:lineRule="auto"/>
        <w:tabs>
          <w:tab w:leader="none" w:pos="695"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Default in Performance</w:t>
      </w:r>
      <w:r>
        <w:rPr>
          <w:rFonts w:ascii="Arial" w:cs="Arial" w:eastAsia="Arial" w:hAnsi="Arial"/>
          <w:sz w:val="16"/>
          <w:szCs w:val="16"/>
          <w:color w:val="auto"/>
        </w:rPr>
        <w:t>. (i) The Borrower shall fail to perform or observe any term, covenant, condition or agreement contained in Section 8.4.(h) or Article IX. or (ii) the Borrower or any other Loan Party shall fail to perform or observe any term, covenant, condition or agreement contained in this Agreement or any other Loan Document to which it is a party and not otherwise mentioned in this Section and in the case of this clause (ii) such failure shall continue for a period of 30 days after the earlier of (x) the date upon which a Responsible Officer of the Borrower or such other Loan Party obtains knowledge of such failure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date upon which the Borrower has received written notice of such failure from the Agent.</w:t>
      </w:r>
    </w:p>
    <w:p>
      <w:pPr>
        <w:spacing w:after="0" w:line="164" w:lineRule="exact"/>
        <w:rPr>
          <w:rFonts w:ascii="Arial" w:cs="Arial" w:eastAsia="Arial" w:hAnsi="Arial"/>
          <w:sz w:val="18"/>
          <w:szCs w:val="18"/>
          <w:color w:val="auto"/>
        </w:rPr>
      </w:pPr>
    </w:p>
    <w:p>
      <w:pPr>
        <w:ind w:right="20" w:firstLine="464"/>
        <w:spacing w:after="0" w:line="298" w:lineRule="auto"/>
        <w:tabs>
          <w:tab w:leader="none" w:pos="705"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Misrepresentations</w:t>
      </w:r>
      <w:r>
        <w:rPr>
          <w:rFonts w:ascii="Arial" w:cs="Arial" w:eastAsia="Arial" w:hAnsi="Arial"/>
          <w:sz w:val="16"/>
          <w:szCs w:val="16"/>
          <w:color w:val="auto"/>
        </w:rPr>
        <w:t>. Any written statement, representation or warranty made or deemed made by or on behalf of the Borrower or any other Loan Party under this Agreement or under any other Loan Document, or any amendment hereto or thereto, or in any other writing or statement at any time furnished or made or deemed made by or on behalf of the Borrower or any other Loan Party to the Agent or any Lender, shall at any time prove to have been incorrect or misleading, in light of the circumstances in which made or deemed made, in any material respect when furnished or made or deemed made.</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2"/>
          <w:numId w:val="241"/>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380"/>
          </w:cols>
          <w:pgMar w:left="240" w:top="273" w:right="279" w:bottom="1440" w:gutter="0" w:footer="0" w:header="0"/>
        </w:sectPr>
      </w:pPr>
    </w:p>
    <w:bookmarkStart w:id="318" w:name="page319"/>
    <w:bookmarkEnd w:id="318"/>
    <w:p>
      <w:pPr>
        <w:ind w:left="700" w:hanging="236"/>
        <w:spacing w:after="0"/>
        <w:tabs>
          <w:tab w:leader="none" w:pos="7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Cross-Default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8" w:lineRule="auto"/>
        <w:tabs>
          <w:tab w:leader="none" w:pos="1108"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Borrower, any Subsidiary or any other Loan Party shall fail to pay when due and payable the principal of, or interest on (after giving effect to the expiration of any grace period for such payment), any Indebtedness (other than the Loans but including Secured Indebtedness accelerated, or required to be prepaid or repurchased prior to the stated maturity thereof, as a result of a casualty with respect to, or condemnation of, the property securing such Secured Indebtedness) having an aggregate outstanding principal amount of $25,000,000 or more (“</w:t>
      </w:r>
      <w:r>
        <w:rPr>
          <w:rFonts w:ascii="Arial" w:cs="Arial" w:eastAsia="Arial" w:hAnsi="Arial"/>
          <w:sz w:val="16"/>
          <w:szCs w:val="16"/>
          <w:b w:val="1"/>
          <w:bCs w:val="1"/>
          <w:color w:val="auto"/>
        </w:rPr>
        <w:t>Material Indebtedness</w:t>
      </w:r>
      <w:r>
        <w:rPr>
          <w:rFonts w:ascii="Arial" w:cs="Arial" w:eastAsia="Arial" w:hAnsi="Arial"/>
          <w:sz w:val="16"/>
          <w:szCs w:val="16"/>
          <w:color w:val="auto"/>
        </w:rPr>
        <w:t>”); or</w:t>
      </w:r>
    </w:p>
    <w:p>
      <w:pPr>
        <w:spacing w:after="0" w:line="31" w:lineRule="exact"/>
        <w:rPr>
          <w:rFonts w:ascii="Arial" w:cs="Arial" w:eastAsia="Arial" w:hAnsi="Arial"/>
          <w:sz w:val="16"/>
          <w:szCs w:val="16"/>
          <w:color w:val="auto"/>
        </w:rPr>
      </w:pPr>
    </w:p>
    <w:p>
      <w:pPr>
        <w:ind w:left="460" w:right="80" w:firstLine="443"/>
        <w:spacing w:after="0" w:line="259" w:lineRule="auto"/>
        <w:tabs>
          <w:tab w:leader="none" w:pos="115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w:t>
      </w:r>
    </w:p>
    <w:p>
      <w:pPr>
        <w:spacing w:after="0" w:line="59" w:lineRule="exact"/>
        <w:rPr>
          <w:rFonts w:ascii="Arial" w:cs="Arial" w:eastAsia="Arial" w:hAnsi="Arial"/>
          <w:sz w:val="18"/>
          <w:szCs w:val="18"/>
          <w:color w:val="auto"/>
        </w:rPr>
      </w:pPr>
    </w:p>
    <w:p>
      <w:pPr>
        <w:ind w:left="460" w:right="20" w:firstLine="443"/>
        <w:spacing w:after="0" w:line="306" w:lineRule="auto"/>
        <w:tabs>
          <w:tab w:leader="none" w:pos="1205"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any other event shall have occurred and be continuing (and any related grace period shall have expired) which would permit any holder or holders of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25" w:lineRule="exact"/>
        <w:rPr>
          <w:rFonts w:ascii="Arial" w:cs="Arial" w:eastAsia="Arial" w:hAnsi="Arial"/>
          <w:sz w:val="16"/>
          <w:szCs w:val="16"/>
          <w:color w:val="auto"/>
        </w:rPr>
      </w:pPr>
    </w:p>
    <w:p>
      <w:pPr>
        <w:ind w:left="1200" w:hanging="297"/>
        <w:spacing w:after="0"/>
        <w:tabs>
          <w:tab w:leader="none" w:pos="120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any Loan Party shall fail to pay when due and payable amounts in excess of $25,000,000 in the aggregate owing in respect of any Derivatives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Contracts.</w:t>
      </w:r>
    </w:p>
    <w:p>
      <w:pPr>
        <w:spacing w:after="0" w:line="165"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62" w:lineRule="exact"/>
        <w:rPr>
          <w:sz w:val="20"/>
          <w:szCs w:val="20"/>
          <w:color w:val="auto"/>
        </w:rPr>
      </w:pPr>
    </w:p>
    <w:p>
      <w:pPr>
        <w:ind w:right="20" w:firstLine="464"/>
        <w:spacing w:after="0" w:line="289" w:lineRule="auto"/>
        <w:tabs>
          <w:tab w:leader="none" w:pos="676"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The Borrower, any other Loan Party or any Significant Subsidiary shall: (i) commence a voluntary case under the Bankruptcy Code of 1978, as amended,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360"/>
          </w:cols>
          <w:pgMar w:left="240" w:top="280" w:right="299" w:bottom="1440" w:gutter="0" w:footer="0" w:header="0"/>
        </w:sectPr>
      </w:pPr>
    </w:p>
    <w:bookmarkStart w:id="319" w:name="page320"/>
    <w:bookmarkEnd w:id="319"/>
    <w:p>
      <w:pPr>
        <w:ind w:left="-464" w:right="20" w:firstLine="464"/>
        <w:spacing w:after="0" w:line="290" w:lineRule="auto"/>
        <w:tabs>
          <w:tab w:leader="none" w:pos="241"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Involuntary Bankruptcy Proceeding</w:t>
      </w:r>
      <w:r>
        <w:rPr>
          <w:rFonts w:ascii="Arial" w:cs="Arial" w:eastAsia="Arial" w:hAnsi="Arial"/>
          <w:sz w:val="16"/>
          <w:szCs w:val="16"/>
          <w:color w:val="auto"/>
        </w:rPr>
        <w:t>. A case or other proceeding shall be commenced against the Borrower, any other Loan Party or any Significant Subsidiary in any court of competent jurisdiction seeking: (i) relief under the Bankruptcy Code of 1978, as amended,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such case or proceeding shall continue undismissed or unstayed for a period of 60 consecutive calendar days, or an order granting the remedy or other relief requested in such case or proceeding against the Borrower, such Subsidiary or such other Loan Party (including, but not limited to, an order for relief under such Bankruptcy Code or such other federal bankruptcy laws) shall be entered.</w:t>
      </w:r>
    </w:p>
    <w:p>
      <w:pPr>
        <w:spacing w:after="0" w:line="118" w:lineRule="exact"/>
        <w:rPr>
          <w:rFonts w:ascii="Arial" w:cs="Arial" w:eastAsia="Arial" w:hAnsi="Arial"/>
          <w:sz w:val="16"/>
          <w:szCs w:val="16"/>
          <w:color w:val="auto"/>
        </w:rPr>
      </w:pPr>
    </w:p>
    <w:p>
      <w:pPr>
        <w:ind w:left="-464" w:firstLine="464"/>
        <w:spacing w:after="0" w:line="256" w:lineRule="auto"/>
        <w:tabs>
          <w:tab w:leader="none" w:pos="241"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Litigation; Enforceability</w:t>
      </w:r>
      <w:r>
        <w:rPr>
          <w:rFonts w:ascii="Arial" w:cs="Arial" w:eastAsia="Arial" w:hAnsi="Arial"/>
          <w:sz w:val="18"/>
          <w:szCs w:val="18"/>
          <w:color w:val="auto"/>
        </w:rPr>
        <w:t>. The Borrower or any other Loan Party shall disavow, revoke or terminate (or attempt to terminate) any Loan Document to which it is a party or shall otherwise challenge or contest in any action, suit or proceeding in any court or before any Governmental Authority the validity or enforceability of this Agreement, any Note or any other Loan Document or this Agreement, any Note, the Guaranty or any other Loan Document shall cease to be in full force and effect (except as a result of the express terms thereof).</w:t>
      </w:r>
    </w:p>
    <w:p>
      <w:pPr>
        <w:spacing w:after="0" w:line="143" w:lineRule="exact"/>
        <w:rPr>
          <w:rFonts w:ascii="Arial" w:cs="Arial" w:eastAsia="Arial" w:hAnsi="Arial"/>
          <w:sz w:val="18"/>
          <w:szCs w:val="18"/>
          <w:color w:val="auto"/>
        </w:rPr>
      </w:pPr>
    </w:p>
    <w:p>
      <w:pPr>
        <w:ind w:left="-464" w:right="160" w:firstLine="464"/>
        <w:spacing w:after="0" w:line="291" w:lineRule="auto"/>
        <w:tabs>
          <w:tab w:leader="none" w:pos="202"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Judgment</w:t>
      </w:r>
      <w:r>
        <w:rPr>
          <w:rFonts w:ascii="Arial" w:cs="Arial" w:eastAsia="Arial" w:hAnsi="Arial"/>
          <w:sz w:val="16"/>
          <w:szCs w:val="16"/>
          <w:color w:val="auto"/>
        </w:rPr>
        <w:t>. A judgment or order for the payment of money or for an injunction shall be entered against the Borrower, any Subsidiary or any other Loan Party, by any court or other tribunal and (i) such judgment or order shall continue for a period of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Borrower, such Subsidiaries and such other Loan Parties, $25,000,000 or (B) in the case of an injunction or other non-monetary judgment, such judgment could reasonably be expected to have a Material Adverse Effect.</w:t>
      </w:r>
    </w:p>
    <w:p>
      <w:pPr>
        <w:spacing w:after="0" w:line="120" w:lineRule="exact"/>
        <w:rPr>
          <w:rFonts w:ascii="Arial" w:cs="Arial" w:eastAsia="Arial" w:hAnsi="Arial"/>
          <w:sz w:val="16"/>
          <w:szCs w:val="16"/>
          <w:color w:val="auto"/>
        </w:rPr>
      </w:pPr>
    </w:p>
    <w:p>
      <w:pPr>
        <w:ind w:left="-464" w:right="20" w:firstLine="464"/>
        <w:spacing w:after="0" w:line="291" w:lineRule="auto"/>
        <w:tabs>
          <w:tab w:leader="none" w:pos="202"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A warrant, writ of attachment, execution or similar process shall be issued against any property of the Borrower, any Subsidiary or any other Loan Party which exceeds, individually or together with all other such warrants, writs, executions and processes, $25,000,000 in amount and such warrant, writ, execution or process shall not be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Agent pursuant to which the issuer of such bond subordinates its right of reimbursement, contribution or subrogation to the Obligations and waives or subordinates any Lien it may have on the assets of any Loan Party.</w:t>
      </w:r>
    </w:p>
    <w:p>
      <w:pPr>
        <w:spacing w:after="0" w:line="106" w:lineRule="exact"/>
        <w:rPr>
          <w:rFonts w:ascii="Arial" w:cs="Arial" w:eastAsia="Arial" w:hAnsi="Arial"/>
          <w:sz w:val="16"/>
          <w:szCs w:val="16"/>
          <w:color w:val="auto"/>
        </w:rPr>
      </w:pPr>
    </w:p>
    <w:p>
      <w:pPr>
        <w:ind w:left="5156" w:hanging="96"/>
        <w:spacing w:after="0"/>
        <w:tabs>
          <w:tab w:leader="none" w:pos="5156" w:val="left"/>
        </w:tabs>
        <w:numPr>
          <w:ilvl w:val="1"/>
          <w:numId w:val="244"/>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0936"/>
          </w:cols>
          <w:pgMar w:left="704" w:top="280" w:right="259" w:bottom="1440" w:gutter="0" w:footer="0" w:header="0"/>
        </w:sectPr>
      </w:pPr>
    </w:p>
    <w:bookmarkStart w:id="320" w:name="page321"/>
    <w:bookmarkEnd w:id="320"/>
    <w:p>
      <w:pPr>
        <w:ind w:firstLine="464"/>
        <w:spacing w:after="0" w:line="288" w:lineRule="auto"/>
        <w:tabs>
          <w:tab w:leader="none" w:pos="705"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ERISA</w:t>
      </w:r>
      <w:r>
        <w:rPr>
          <w:rFonts w:ascii="Arial" w:cs="Arial" w:eastAsia="Arial" w:hAnsi="Arial"/>
          <w:sz w:val="16"/>
          <w:szCs w:val="16"/>
          <w:color w:val="auto"/>
        </w:rPr>
        <w:t>. Any member of the ERISA Group shall fail to pay when due an amount or amounts aggregating in excess of $25,000,000 which it shall have become liable to pay under Title IV of ERISA; or notice of intent to terminate a Plan or Plans having Unfunded Liabilities in excess of $25,000,000 in the aggregate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Plan or Plans having Unfunded Liabilities in excess of $25,000,000 in the aggregate; or a condition shall exist by reason of which the PBGC would be entitled to obtain a decree adjudicating that any Plan or Plans having Unfunded Liabilities in excess of $25,000,000 in the aggregate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$25,000,000.</w:t>
      </w:r>
    </w:p>
    <w:p>
      <w:pPr>
        <w:spacing w:after="0" w:line="119" w:lineRule="exact"/>
        <w:rPr>
          <w:rFonts w:ascii="Arial" w:cs="Arial" w:eastAsia="Arial" w:hAnsi="Arial"/>
          <w:sz w:val="16"/>
          <w:szCs w:val="16"/>
          <w:color w:val="auto"/>
        </w:rPr>
      </w:pPr>
    </w:p>
    <w:p>
      <w:pPr>
        <w:ind w:left="680" w:hanging="216"/>
        <w:spacing w:after="0"/>
        <w:tabs>
          <w:tab w:leader="none" w:pos="68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An Event of Default (as defined therein) shall occur under any of the other Loan Documents.</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Change of Control/Change in Management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60" w:firstLine="443"/>
        <w:spacing w:after="0" w:line="301" w:lineRule="auto"/>
        <w:tabs>
          <w:tab w:leader="none" w:pos="1108" w:val="left"/>
        </w:tabs>
        <w:numPr>
          <w:ilvl w:val="1"/>
          <w:numId w:val="245"/>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is or becomes the “beneficial owner” (as defined in Rules 13d-3 and 13d-5 under the Exchange Act, except that a Person will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ownership” of all securities that such Person has the right to acquire, whether such right is exercisable immediately or only after the passage of time), directly or indirectly, of more than 20.0% of the total voting power of the then outstanding voting stock of the Borrower; or</w:t>
      </w:r>
    </w:p>
    <w:p>
      <w:pPr>
        <w:spacing w:after="0" w:line="28" w:lineRule="exact"/>
        <w:rPr>
          <w:rFonts w:ascii="Arial" w:cs="Arial" w:eastAsia="Arial" w:hAnsi="Arial"/>
          <w:sz w:val="16"/>
          <w:szCs w:val="16"/>
          <w:color w:val="auto"/>
        </w:rPr>
      </w:pPr>
    </w:p>
    <w:p>
      <w:pPr>
        <w:ind w:left="460" w:right="200" w:firstLine="443"/>
        <w:spacing w:after="0" w:line="255" w:lineRule="auto"/>
        <w:tabs>
          <w:tab w:leader="none" w:pos="115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at least two-thirds of the Board of Trustees of the Borrower then in office.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Remedies Upon Event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 Event of Default the following provisions shall apply:</w:t>
      </w:r>
    </w:p>
    <w:p>
      <w:pPr>
        <w:spacing w:after="0" w:line="90" w:lineRule="exact"/>
        <w:rPr>
          <w:sz w:val="20"/>
          <w:szCs w:val="20"/>
          <w:color w:val="auto"/>
        </w:rPr>
      </w:pPr>
    </w:p>
    <w:p>
      <w:pPr>
        <w:ind w:left="700" w:hanging="236"/>
        <w:spacing w:after="0"/>
        <w:tabs>
          <w:tab w:leader="none" w:pos="70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100" w:firstLine="443"/>
        <w:spacing w:after="0" w:line="259" w:lineRule="auto"/>
        <w:tabs>
          <w:tab w:leader="none" w:pos="1108"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Automatic</w:t>
      </w:r>
      <w:r>
        <w:rPr>
          <w:rFonts w:ascii="Arial" w:cs="Arial" w:eastAsia="Arial" w:hAnsi="Arial"/>
          <w:sz w:val="18"/>
          <w:szCs w:val="18"/>
          <w:color w:val="auto"/>
        </w:rPr>
        <w:t>. Upon the occurrence of an Event of Default specified in Sections 10.1.(f) or 10.1.(g), (A) the principal of, and all accrued interest on, the Loans and the Notes at the time outstanding and (B) all of the other Obligations of the Borrower, including, but not limited to, the other amounts owed to the Lenders and the</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2"/>
          <w:numId w:val="246"/>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400"/>
          </w:cols>
          <w:pgMar w:left="240" w:top="280" w:right="259" w:bottom="1440" w:gutter="0" w:footer="0" w:header="0"/>
        </w:sectPr>
      </w:pPr>
    </w:p>
    <w:bookmarkStart w:id="321" w:name="page322"/>
    <w:bookmarkEnd w:id="321"/>
    <w:p>
      <w:pPr>
        <w:ind w:left="460"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under this Agreement, the Notes or any of the other Loan Documents shall become immediately and automatically due and payable by the Borrower without presentment, demand, protest, or other notice of any kind, all of which are expressly waived by the Borrower.</w:t>
      </w:r>
    </w:p>
    <w:p>
      <w:pPr>
        <w:spacing w:after="0" w:line="4" w:lineRule="exact"/>
        <w:rPr>
          <w:sz w:val="20"/>
          <w:szCs w:val="20"/>
          <w:color w:val="auto"/>
        </w:rPr>
      </w:pPr>
    </w:p>
    <w:p>
      <w:pPr>
        <w:ind w:left="460" w:firstLine="443"/>
        <w:spacing w:after="0" w:line="255" w:lineRule="auto"/>
        <w:tabs>
          <w:tab w:leader="none" w:pos="1156"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If any other Event of Default shall exist, the Agent shall, at the direction of the Requisite Lenders, declare (A) the principal of, and accrued interest on, the Loans and the Notes at the time outstanding and (B) all of the other Obligations, including, but not limited to, the other amounts owed to the Lenders and the Agent under this Agreement, the Notes or any of the other Loan Documents to be forthwith due and payable, whereupon the same shall immediately become due and payable without presentment, demand, protest or other notice of any kind, all of which are expressly waived by the Borrower.</w:t>
      </w:r>
    </w:p>
    <w:p>
      <w:pPr>
        <w:spacing w:after="0" w:line="142"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Requisite Lenders may direct the Agent to, and the Agent if so directed shall, exercise any and all of its rights under any and all of the other Loan Documents.</w:t>
      </w:r>
    </w:p>
    <w:p>
      <w:pPr>
        <w:spacing w:after="0" w:line="131"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Requisite Lenders may direct the Agent to, and the Agent if so directed shall, exercise all other rights and remedies it may have under any Applicable Law.</w:t>
      </w:r>
    </w:p>
    <w:p>
      <w:pPr>
        <w:spacing w:after="0" w:line="131" w:lineRule="exact"/>
        <w:rPr>
          <w:rFonts w:ascii="Arial" w:cs="Arial" w:eastAsia="Arial" w:hAnsi="Arial"/>
          <w:sz w:val="18"/>
          <w:szCs w:val="18"/>
          <w:color w:val="auto"/>
        </w:rPr>
      </w:pPr>
    </w:p>
    <w:p>
      <w:pPr>
        <w:jc w:val="both"/>
        <w:ind w:right="360" w:firstLine="464"/>
        <w:spacing w:after="0" w:line="298" w:lineRule="auto"/>
        <w:tabs>
          <w:tab w:leader="none" w:pos="705"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Appointment of Receiver</w:t>
      </w:r>
      <w:r>
        <w:rPr>
          <w:rFonts w:ascii="Arial" w:cs="Arial" w:eastAsia="Arial" w:hAnsi="Arial"/>
          <w:sz w:val="16"/>
          <w:szCs w:val="16"/>
          <w:color w:val="auto"/>
        </w:rPr>
        <w:t>. To the extent permitted by Applicable Law and as directed by the Requisite Lenders, the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business operations of the Borrower and its Subsidiaries and to exercise such power as the court shall confer upon such receiver.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Allocation of Proceeds.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shall exist and maturity of any of the Obligations has been accelerated, all payments received by the Agent under any of the Loan Documents, in respect of any principal of or interest on the Obligations or any other amounts payable by the Borrower hereunder or thereunder, shall be applied in the following order and priority:</w:t>
      </w:r>
    </w:p>
    <w:p>
      <w:pPr>
        <w:spacing w:after="0" w:line="59" w:lineRule="exact"/>
        <w:rPr>
          <w:sz w:val="20"/>
          <w:szCs w:val="20"/>
          <w:color w:val="auto"/>
        </w:rPr>
      </w:pPr>
    </w:p>
    <w:p>
      <w:pPr>
        <w:ind w:left="1140" w:hanging="237"/>
        <w:spacing w:after="0"/>
        <w:tabs>
          <w:tab w:leader="none" w:pos="11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amounts due to the Agent in respect of fees and expenses due under Section 12.2.;</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amounts due to the Lenders in respect of fees and expenses due under Section 12.2., pro rata in the amount then due each Lender;</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payments of interest on all the Loans, to be applied for the ratable benefit of the Lenders;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payments of principal of all the Loans, to be applied for the ratable benefit of the Lenders;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420"/>
          </w:cols>
          <w:pgMar w:left="240" w:top="280" w:right="239" w:bottom="1440" w:gutter="0" w:footer="0" w:header="0"/>
        </w:sectPr>
      </w:pPr>
    </w:p>
    <w:bookmarkStart w:id="322" w:name="page323"/>
    <w:bookmarkEnd w:id="322"/>
    <w:p>
      <w:pPr>
        <w:ind w:left="1140" w:hanging="237"/>
        <w:spacing w:after="0"/>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due the Agent and the Lenders from the Borrower or the other Loan Parties pursuant to Sections 11.7. and 12.9.;</w:t>
      </w:r>
    </w:p>
    <w:p>
      <w:pPr>
        <w:spacing w:after="0" w:line="90" w:lineRule="exact"/>
        <w:rPr>
          <w:rFonts w:ascii="Arial" w:cs="Arial" w:eastAsia="Arial" w:hAnsi="Arial"/>
          <w:sz w:val="18"/>
          <w:szCs w:val="18"/>
          <w:color w:val="auto"/>
        </w:rPr>
      </w:pPr>
    </w:p>
    <w:p>
      <w:pPr>
        <w:ind w:left="460" w:right="840" w:firstLine="443"/>
        <w:spacing w:after="0" w:line="268" w:lineRule="auto"/>
        <w:tabs>
          <w:tab w:leader="none" w:pos="111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payments of all other Obligations and other amounts due and owing by the Borrower and the other Loan Parties under any of the Loan Documents, if any, to be applied for the ratable benefit of the Lenders;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any amount remaining after application as provided above, shall be paid to the Borrower or whomever else may be legally entitled thereto.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Performance by Agent.</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the Borrower shall fail to perform any covenant, duty or agreement contained in any of the Loan Documents, the Agent may, after notice to the Borrower, perform or attempt to perform such covenant, duty or agreement on behalf of the Borrower after the expiration of any cure or grace periods set forth herein. In such event, the Borrower shall, at the request of the Agent, promptly pay any amount reasonably expended by the Agent in such performance or attempted performance to the Agent, together with interest thereon at the applicable Post-Default Rate from the date of such expenditure until paid. Notwithstanding the foregoing, neither the Agent nor any Lender shall have any liability or responsibility whatsoever for the performance of any obligation of the Borrower under this Agreement or any other Loan Document except to the extent resulting from its gross negligence or willful misconduct as determined by a court of competent jurisdiction in a final, non-appealable judgment.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Rights Cumulative.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rights and remedies of the Agent and the Lenders under this Agreement and each of the other Loan Documents shall be cumulative and not exclusive of any rights or remedies which any of them may otherwise have under Applicable Law. In exercising their respective rights and remedies the Agent and the Lenders may be selective and no failure or delay by the Agent or any of the Lenders in exercising any right shall operate as a waiver of it, nor shall any single or partial exercise of any power or right preclude its other or further exercise or the exercise of any other power or right.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Authorization and Action.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Lender hereby appoints and authorizes the Agent to take such action as contractual representative on such Lender’s behalf and to exercise such powers under this Agreement and the other Loan Documents as are specifically delegated to the Agent by the terms hereof and thereof, together with such powers as are reasonably incidental thereto. Not in limitation of the foregoing, each Lender authorizes and directs the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279" w:right="259" w:bottom="1440" w:gutter="0" w:footer="0" w:header="0"/>
        </w:sectPr>
      </w:pPr>
    </w:p>
    <w:bookmarkStart w:id="323" w:name="page324"/>
    <w:bookmarkEnd w:id="32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therein, together with such other powers as are reasonably incidental thereto, shall be authorized and binding upon all of the Lenders. Nothing herein shall be construed to deem the Agent a trustee or fiduciary for any Lender or to impose on the Agent duties or obligations other than those expressly provided for herein. At the request of a Lender, the Agent will forward to such Lender copies or, where appropriate, originals of the documents delivered to the Agent pursuant to this Agreement or the other Loan Documents. The Agent will also furnish to any Lender, upon request of such Lender, a copy of any certificate or notice furnished to the Agent by the Borrower, any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Agent shall not be required to take any action which exposes the Agent to personal liability or which is contrary to this Agreement or any other Loan Document or Applicable Law. Not in limitation of the foregoing, the Agent shall not exercise any right or remedy it or the Lenders may have under any Loan Document upon the occurrence of a Default or an Event of Default unless the Requisite Lenders (or all of the Lenders if explicitly required under any provision of this Agreement) have so directed the Agent to exercise such right or remedy.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Agent’s Reliance, Etc.</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Notwithstanding any other provisions of this Agreement or any other Loan Documents, neither the Agent nor any of its directors, officers, agents, employees or counsel shall be liable for any action taken or omitted to be taken by it or them under or in connection with this Agreement or any other Loan Document, except for its or their own gross negligence or willful misconduct as determined by a court of competent jurisdiction in a final, non-appealable judgment. Without limiting the generality of the foregoing, the Agent: (a) may treat the payee of any Note as the holder thereof until the Agent receives written notice of the assignment or transfer thereof signed by such payee and in form satisfactory to the Agent; (b)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or any other Person and shall not be responsible to any Lender or any other Person for any statements, warranties or representations made by any Person in or in connection with this Agreement or any other Loan Document; (d) shall not have any duty to ascertain or to inquire as to the performance or observance of any of the terms, covenants or conditions of any of this Agreement or any other Loan Document or the satisfaction of any conditions precedent under this Agreement or any Loan Document on the part of the Borrower or other Persons or inspect the property, books or records of the Borrower or any other Person; (e) shall not be responsible to any Lender for the due execution, legality, validity, enforceability, genuineness, sufficiency or value of this Agreement or any other Loan Document, any other instrument or document furnished pursuant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380"/>
          </w:cols>
          <w:pgMar w:left="240" w:top="279" w:right="279" w:bottom="1440" w:gutter="0" w:footer="0" w:header="0"/>
        </w:sectPr>
      </w:pPr>
    </w:p>
    <w:bookmarkStart w:id="324" w:name="page325"/>
    <w:bookmarkEnd w:id="3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thereto or any collateral covered thereby or the perfection or priority of any Lien in favor of the Agent on behalf of the Lenders in any such collateral; and</w:t>
      </w:r>
    </w:p>
    <w:p>
      <w:pPr>
        <w:spacing w:after="0" w:line="38" w:lineRule="exact"/>
        <w:rPr>
          <w:sz w:val="20"/>
          <w:szCs w:val="20"/>
          <w:color w:val="auto"/>
        </w:rPr>
      </w:pPr>
    </w:p>
    <w:p>
      <w:pPr>
        <w:ind w:right="60" w:firstLine="8"/>
        <w:spacing w:after="0" w:line="323" w:lineRule="auto"/>
        <w:tabs>
          <w:tab w:leader="none" w:pos="21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shall incur no liability under or in respect of this Agreement or any other Loan Document by acting upon any notice, consent, certificate or other instrument or writing (which may be by telephone or telecopy) believed by it to be genuine and signed, sent or given by the proper party or parties.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Notice of Defaults.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Agent shall not be deemed to have knowledge or notice of the occurrence of a Default or Event of Default unless the Agent has received notice from a Lender or the Borrower referring to this Agreement, describing with reasonable specificity such Default or Event of Default and stating that such notice is a “notice of default.” If any Lender (excluding the Lender which is also serving as the Agent) becomes aware of any Default or Event of Default, it shall promptly send to the Agent such a “notice of default.” Further, if the Agent receives such a “notice of default”, the Agent shall give prompt notice thereof to the Lenders.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Wachovia as Lender.</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Wachovia, as a Lender, shall have the same rights and powers under this Agreement and any other Loan Document as any other Lender and may exercise the same as though it were not the Agent; and the term “Lender” or “Lenders” shall, unless otherwise expressly indicated, include Wachovia in each case in its individual capacity. Wachovia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Further, the Agent and any affiliate may accept fees and other consideration from the Borrower for services in connection with this Agreement and otherwise without having to account for the same to the other Lenders. The Lenders acknowledge that, pursuant to such activities, Wachovia or its affiliates may receive information regarding the Borrower, other Loan Parties, other Subsidiaries and other Affiliates (including information that may be subject to confidentiality obligations in favor of such Person) and acknowledge that the Agent shall be under no obligation to provide such information to them.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Approvals of Lenders.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communications from the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 summary of all oral information provided to the Agent by the Borrower in respect of the matter or issue to be resolved, and (d) shall include the Agent’s recommended course of action or determination in respect thereof. Each Lender shall reply promptly, but in any event within 10 Business Days (or such lesser or greater period as may be specifically required under the Loan Documents)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20"/>
          </w:cols>
          <w:pgMar w:left="240" w:top="280" w:right="239" w:bottom="1440" w:gutter="0" w:footer="0" w:header="0"/>
        </w:sectPr>
      </w:pPr>
    </w:p>
    <w:bookmarkStart w:id="325" w:name="page326"/>
    <w:bookmarkEnd w:id="325"/>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receipt of such communication. Except as otherwise provided in this Agreement, unless a Lender shall give written notice to the Agent that it specifically objects to the recommendation or determination of the Agent (together with a written explanation of the reasons behind such objection) within the applicable time period for reply, such Lender shall be deemed to have conclusively approved of or consented to such recommendation or determination.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Lender Credit Decision, Etc.</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Lender expressly acknowledges and agrees that neither the Agent nor any of its officers, directors, employees, agents, counsel, attorneys-in-fact or other affiliates has made any representations or warranties as to the financial condition, operations, creditworthiness, solvency or other information concerning the business or affairs of the Borrower, any other Loan Party, any Subsidiary or any other Person to such Lender and that no act by the Agent hereafter taken, including any review of the affairs of the Borrower, any other Loan Party or any other Subsidiary, shall be deemed to constitute any such representation or warranty by the Agent to any Lender. Each Lender acknowledges that it has made its own credit and legal analysis and decision to enter into this Agreement and the transactions contemplated hereby independently and without reliance upon the Agent, any other Lender or counsel to the Agent, or any of their respective officers, directors, employees and agents, and based on the financial statements of the Borrower, the Subsidiaries or any other Affiliate thereof, and inquiries of such Persons, its independent due diligence of the business and affairs of the Borrower, the other Loan Parties, the Subsidiaries and other Persons, its review of the Loan Documents, the legal opinions required to be delivered to it hereunder, the advice of its own counsel and such other documents and information as it has deemed appropriate. Each Lender also acknowledges that it will, independently and without reliance upon the Agent, any other Lender or counsel to the Agent or any of their respective officers, directors, employees and agents, and based on such review, advice, documents and information as it shall deem appropriate at the time, continue to make its own decisions in taking or not taking action under the Loan Documents. Except for notices, reports and other documents and information expressly required to be furnished to the Lenders by the Agent under this Agreement or any of the other Loan Documents, the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Agent, or any of its officers, directors, employees, agents, attorneys-in-fact or other affiliates. Each Lender acknowledges that the Agent’s legal counsel in connection with the transactions contemplated by this Agreement is only acting as counsel to the Agent and is not acting as counsel to such Lender.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Indemnification of Agent.</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Each Lender agrees to indemnify the Agent (to the extent not reimbursed by the Borrower and without limiting the obligation of the Borrower to do so) pro rata in accordance with such Lender’s respective Credit Percentage, from and against any and all liabilities, obligations, losses, damages, penalties, actions, judgments, suits, reasonable out-of-pocket costs and expenses, or disbursements of any kind or nature whatsoever which may at any time be imposed on, incurred by, or asserted against the Agent (in its capacity as Agent but not as a Lender) in any way relating to or arising out of the Loan Documents, any transaction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20"/>
          </w:cols>
          <w:pgMar w:left="240" w:top="280" w:right="239" w:bottom="1440" w:gutter="0" w:footer="0" w:header="0"/>
        </w:sectPr>
      </w:pPr>
    </w:p>
    <w:bookmarkStart w:id="326" w:name="page327"/>
    <w:bookmarkEnd w:id="32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contemplated hereby or thereby or any action taken or omitted by the Agent under the Loan Documents (collectively, “</w:t>
      </w:r>
      <w:r>
        <w:rPr>
          <w:rFonts w:ascii="Arial" w:cs="Arial" w:eastAsia="Arial" w:hAnsi="Arial"/>
          <w:sz w:val="16"/>
          <w:szCs w:val="16"/>
          <w:b w:val="1"/>
          <w:bCs w:val="1"/>
          <w:color w:val="auto"/>
        </w:rPr>
        <w:t>Indemnifiable Amounts</w:t>
      </w:r>
      <w:r>
        <w:rPr>
          <w:rFonts w:ascii="Arial" w:cs="Arial" w:eastAsia="Arial" w:hAnsi="Arial"/>
          <w:sz w:val="16"/>
          <w:szCs w:val="16"/>
          <w:color w:val="auto"/>
        </w:rPr>
        <w:t>”); provided, however, that no Lender shall be liable for any portion of such Indemnifiable Amounts to the extent resulting from the Agent’s gross negligence or willful misconduct as determined by a court of competent jurisdiction in a final, non-appealable judgment or if the Agent fails to follow the written direction of the Requisite Lenders (or all of the Lenders if expressly required hereunder) unless such failure results from the Agent following the advice of counsel to the Agent of which advice the Lenders have received notice. Without limiting the generality of the foregoing but subject to the preceding proviso, each Lender agrees to reimburse the Agent (to the extent not reimbursed by the Borrower and without limiting the obligation of the Borrower to do so), promptly upon demand for its ratable share of any out-of-pocket expenses (including counsel fees of the counsel(s) of the Agent’s own choosing) incurred by the Agent in connection with the preparation, negotiation, execution, or enforcement of, or legal advice with respect to the rights or responsibilities of the parties under, the Loan Documents, any suit or action brought by the Agent to enforce the terms of the Loan Documents and/or collect any Obligations, any “lender liability” suit or claim brought against the Agent and/or the Lenders, and any claim or suit brought against the Agent, and/or the Lenders arising under any Environmental Laws. Such out-of-pocket expenses (including counsel fees) shall be advanced by the Lenders on the request of the Agent notwithstanding any claim or assertion that the Agent is not entitled to indemnification hereunder upon receipt of an undertaking by the Agent that the Agent will reimburse the Lenders if it is actually and finally determined by a court of competent jurisdiction that the Agent is not so entitled to indemnification. The agreements in this Section shall survive the payment of the Loans and all other amounts payable hereunder or under the other Loan Documents and the termination of this Agreement. If the Borrower shall reimburse the Agent for any Indemnifiable Amount following payment by any Lender to the Agent in respect of such Indemnifiable Amount pursuant to this Section, the Agent shall share such reimbursement on a ratable basis with each Lender making any such payment.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11.8. Successor Agent.</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Agent may resign at any time as Agent under the Loan Documents by giving written notice thereof to the Lenders and the Borrower. The Agent may be removed as Agent under the Loan Documents for good cause by all of the Lenders (other than the Lender then acting as Agent) upon 30 days’ prior written notice to the Agent. Upon any such resignation or removal, the Requisite Lenders (other than the Lender then acting as Agent, in the case of the removal of the Agent under the immediately preceding sentence) shall have the right to appoint a successor Agent which appointment shall, provided no Event of Default exists, be subject to the Borrower’s approval, which approval shall not be unreasonably withheld or delayed (except that the Borrower shall, in all events, be deemed to have approved each Lender and its affiliates as a successor Agent). If no successor Agent shall have been so appointed in accordance with the immediately preceding sentence, and shall have accepted such appointment, within 30 days after the resigning Agent’s giving of notice of resignation or the Lenders’ removal of the resigning Agent, then the resigning or removed Agent may, on behalf of the Lenders, appoint a successor Agent, which shall be a Lender, if any Lender shall be willing to serve, and otherwise shall be a commercial bank having total combined assets of at least $50,000,000,000. Upon the acceptance of any appointment as Agent hereunder by a successor Agent, such successor Agent shall thereupon succeed to and become vested with all the rights, powers, privileges and duties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274" w:right="239" w:bottom="1440" w:gutter="0" w:footer="0" w:header="0"/>
        </w:sectPr>
      </w:pPr>
    </w:p>
    <w:bookmarkStart w:id="327" w:name="page328"/>
    <w:bookmarkEnd w:id="32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retiring or removed Agent, and the retiring or removed Agent shall be discharged from its duties and obligations under the Loan Documents. After any Agent’s resignation or removal hereunder as Agent, the provisions of this Article XI. shall continue to inure to its benefit as to any actions taken or omitted to be taken by it while it was Agent under the Loan Documents.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11.9. Titled Agents.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of the Titled Agents in each such respective capacity, assumes no responsibility or obligation hereunder, including, without limitation, for servicing, enforcement or collection of any of the Loans, nor any duties as an agent hereunder for the Lenders. The titles of “Sole Lead Arranger,” “Sole Book Manager”, “Documentation Agent” and “Managing Agent” are solely honorific and imply no fiduciary responsibility on the part of the Titled Agents to the Agent, the Borrower or any Lender and the use of such titles does not impose on the Titled Agents any duties or obligations greater than those of any other Lender or entitle the Titled Agents to any rights other than those to which any other Lender is entitled.</w:t>
      </w: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 M</w:t>
      </w:r>
      <w:r>
        <w:rPr>
          <w:rFonts w:ascii="Arial" w:cs="Arial" w:eastAsia="Arial" w:hAnsi="Arial"/>
          <w:sz w:val="14"/>
          <w:szCs w:val="14"/>
          <w:b w:val="1"/>
          <w:bCs w:val="1"/>
          <w:color w:val="auto"/>
        </w:rPr>
        <w:t>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provided herein, communications provided for hereunder shall be in writing and shall be mailed, telecopied or delivered as follows: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Borrower: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Chief Accounting Officer</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1380" w:type="dxa"/>
            <w:vAlign w:val="bottom"/>
          </w:tcPr>
          <w:p>
            <w:pPr>
              <w:jc w:val="right"/>
              <w:spacing w:after="0"/>
              <w:rPr>
                <w:sz w:val="20"/>
                <w:szCs w:val="20"/>
                <w:color w:val="auto"/>
              </w:rPr>
            </w:pPr>
            <w:r>
              <w:rPr>
                <w:rFonts w:ascii="Arial" w:cs="Arial" w:eastAsia="Arial" w:hAnsi="Arial"/>
                <w:sz w:val="18"/>
                <w:szCs w:val="18"/>
                <w:color w:val="auto"/>
              </w:rPr>
              <w:t>(301) 998-8318</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Telecopy:</w:t>
            </w:r>
          </w:p>
        </w:tc>
        <w:tc>
          <w:tcPr>
            <w:tcW w:w="1380" w:type="dxa"/>
            <w:vAlign w:val="bottom"/>
          </w:tcPr>
          <w:p>
            <w:pPr>
              <w:jc w:val="right"/>
              <w:spacing w:after="0"/>
              <w:rPr>
                <w:sz w:val="20"/>
                <w:szCs w:val="20"/>
                <w:color w:val="auto"/>
              </w:rPr>
            </w:pPr>
            <w:r>
              <w:rPr>
                <w:rFonts w:ascii="Arial" w:cs="Arial" w:eastAsia="Arial" w:hAnsi="Arial"/>
                <w:sz w:val="18"/>
                <w:szCs w:val="18"/>
                <w:color w:val="auto"/>
              </w:rPr>
              <w:t>(301) 998-3701</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for all notices (other than notices solely under Article II), with copies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1380" w:type="dxa"/>
            <w:vAlign w:val="bottom"/>
          </w:tcPr>
          <w:p>
            <w:pPr>
              <w:jc w:val="right"/>
              <w:spacing w:after="0"/>
              <w:rPr>
                <w:sz w:val="20"/>
                <w:szCs w:val="20"/>
                <w:color w:val="auto"/>
              </w:rPr>
            </w:pPr>
            <w:r>
              <w:rPr>
                <w:rFonts w:ascii="Arial" w:cs="Arial" w:eastAsia="Arial" w:hAnsi="Arial"/>
                <w:sz w:val="18"/>
                <w:szCs w:val="18"/>
                <w:color w:val="auto"/>
              </w:rPr>
              <w:t>(301) 998-8100</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Telecopy:</w:t>
            </w:r>
          </w:p>
        </w:tc>
        <w:tc>
          <w:tcPr>
            <w:tcW w:w="1380" w:type="dxa"/>
            <w:vAlign w:val="bottom"/>
          </w:tcPr>
          <w:p>
            <w:pPr>
              <w:jc w:val="right"/>
              <w:spacing w:after="0"/>
              <w:rPr>
                <w:sz w:val="20"/>
                <w:szCs w:val="20"/>
                <w:color w:val="auto"/>
              </w:rPr>
            </w:pPr>
            <w:r>
              <w:rPr>
                <w:rFonts w:ascii="Arial" w:cs="Arial" w:eastAsia="Arial" w:hAnsi="Arial"/>
                <w:sz w:val="18"/>
                <w:szCs w:val="18"/>
                <w:color w:val="auto"/>
              </w:rPr>
              <w:t>(301) 998-3715</w:t>
            </w:r>
          </w:p>
        </w:tc>
      </w:tr>
    </w:tbl>
    <w:p>
      <w:pPr>
        <w:spacing w:after="0" w:line="7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340"/>
          </w:cols>
          <w:pgMar w:left="240" w:top="279" w:right="319" w:bottom="1440" w:gutter="0" w:footer="0" w:header="0"/>
        </w:sectPr>
      </w:pPr>
    </w:p>
    <w:bookmarkStart w:id="328" w:name="page329"/>
    <w:bookmarkEnd w:id="32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Wendelin A. White, P.C.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Pillsbury Winthrop Shaw Pittman LLP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1380" w:type="dxa"/>
            <w:vAlign w:val="bottom"/>
          </w:tcPr>
          <w:p>
            <w:pPr>
              <w:jc w:val="right"/>
              <w:spacing w:after="0"/>
              <w:rPr>
                <w:sz w:val="20"/>
                <w:szCs w:val="20"/>
                <w:color w:val="auto"/>
              </w:rPr>
            </w:pPr>
            <w:r>
              <w:rPr>
                <w:rFonts w:ascii="Arial" w:cs="Arial" w:eastAsia="Arial" w:hAnsi="Arial"/>
                <w:sz w:val="18"/>
                <w:szCs w:val="18"/>
                <w:color w:val="auto"/>
              </w:rPr>
              <w:t>(202) 663-8360</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Telecopy:</w:t>
            </w:r>
          </w:p>
        </w:tc>
        <w:tc>
          <w:tcPr>
            <w:tcW w:w="1380" w:type="dxa"/>
            <w:vAlign w:val="bottom"/>
          </w:tcPr>
          <w:p>
            <w:pPr>
              <w:jc w:val="right"/>
              <w:spacing w:after="0"/>
              <w:rPr>
                <w:sz w:val="20"/>
                <w:szCs w:val="20"/>
                <w:color w:val="auto"/>
              </w:rPr>
            </w:pPr>
            <w:r>
              <w:rPr>
                <w:rFonts w:ascii="Arial" w:cs="Arial" w:eastAsia="Arial" w:hAnsi="Arial"/>
                <w:sz w:val="18"/>
                <w:szCs w:val="18"/>
                <w:color w:val="auto"/>
              </w:rPr>
              <w:t>(202) 663-8007</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Agent: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301 S. College Street, NC0172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Rex E. Rudy</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1380" w:type="dxa"/>
            <w:vAlign w:val="bottom"/>
          </w:tcPr>
          <w:p>
            <w:pPr>
              <w:jc w:val="right"/>
              <w:spacing w:after="0"/>
              <w:rPr>
                <w:sz w:val="20"/>
                <w:szCs w:val="20"/>
                <w:color w:val="auto"/>
              </w:rPr>
            </w:pPr>
            <w:r>
              <w:rPr>
                <w:rFonts w:ascii="Arial" w:cs="Arial" w:eastAsia="Arial" w:hAnsi="Arial"/>
                <w:sz w:val="18"/>
                <w:szCs w:val="18"/>
                <w:color w:val="auto"/>
              </w:rPr>
              <w:t>(704) 383-6506</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Telecopy:</w:t>
            </w:r>
          </w:p>
        </w:tc>
        <w:tc>
          <w:tcPr>
            <w:tcW w:w="1380" w:type="dxa"/>
            <w:vAlign w:val="bottom"/>
          </w:tcPr>
          <w:p>
            <w:pPr>
              <w:jc w:val="right"/>
              <w:spacing w:after="0"/>
              <w:rPr>
                <w:sz w:val="20"/>
                <w:szCs w:val="20"/>
                <w:color w:val="auto"/>
              </w:rPr>
            </w:pPr>
            <w:r>
              <w:rPr>
                <w:rFonts w:ascii="Arial" w:cs="Arial" w:eastAsia="Arial" w:hAnsi="Arial"/>
                <w:sz w:val="18"/>
                <w:szCs w:val="18"/>
                <w:color w:val="auto"/>
              </w:rPr>
              <w:t>(704) 383-6205</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 Lender: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such Lender’s address or telecopy number, as applicable, as set forth in its Administrative Questionnaire;</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or, as to each party at such other address as shall be designated by such party in a written notice to the other parties delivered in compliance with this Section. All such notices and other communications shall be effective (i) if mailed, when received; (ii) if telecopied on a Business Day, when transmitted; or (iii) if hand delivered or sent by overnight courier, when delivered. Notwithstanding the immediately preceding sentence, all notices or communications to the Agent or any Lender under Article II. shall be effective only when actually received. Neither the Agent nor any Lender shall incur any liability to any Loan Party (nor shall the Agent incur any liability to the Lenders) for acting upon any telephonic notice referred to in this Agreement which the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any other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Expenses.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Borrower agrees (a) to pay or reimburse the Agent for all of its reasonable out-of-pocket costs and expenses incurred in connection with the preparation,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Agent and costs and expenses in connection with the use of IntraLinks, Inc., SyndTrak or other similar information transmission systems in connection with the Loan Documents, (b) to pay or reimburse the Agent and the Lenders for all their costs and expenses incurred in connection with the enforcement or preservation of any rights under the Loan Documents, including the reasonable fees and disbursements of counsel to the Agent and one separate counsel for the Lenders and any payments in indemnification or otherwise payable by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00"/>
          </w:cols>
          <w:pgMar w:left="240" w:top="279" w:right="259" w:bottom="1440" w:gutter="0" w:footer="0" w:header="0"/>
        </w:sectPr>
      </w:pPr>
    </w:p>
    <w:bookmarkStart w:id="329" w:name="page330"/>
    <w:bookmarkEnd w:id="32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to the Agent pursuant to the Loan Documents, (c) to pay, and indemnify and hold harmless the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Agent and the Lenders for all their costs and expenses incurred in connection with any bankruptcy or other proceeding of the type described in Sections 10.1.(f) or 10.1.(g), including the reasonable fees and disbursements of counsel to the Agent and one separate counsel for the Lenders (but also including special insolvency counsel and any required local counsel), whether such fees and expenses are incurred prior to, during or after the commencement of such proceeding or the confirmation or conclusion of any such proceeding. If the Borrower shall fail to pay any amounts required to be paid by it pursuant to this Section, the Agent and/or the Lenders may pay such amounts on behalf of the Borrower and either deem the same to be Loans outstanding hereunder or otherwise Obligations owing hereunder.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Setoff.</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Section 3.3. and in addition to any rights now or hereafter granted under Applicable Law and not by way of limitation of any such rights, the Borrower hereby authorizes the Agent, each Lender and each affiliate of the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such affiliate of the Agent or such Lender, to or for the credit or the account of the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12.4. Litigation; Jurisdiction; Other Matters; Waivers.</w:t>
      </w:r>
    </w:p>
    <w:p>
      <w:pPr>
        <w:spacing w:after="0" w:line="96" w:lineRule="exact"/>
        <w:rPr>
          <w:sz w:val="20"/>
          <w:szCs w:val="20"/>
          <w:color w:val="auto"/>
        </w:rPr>
      </w:pPr>
    </w:p>
    <w:p>
      <w:pPr>
        <w:ind w:right="40" w:firstLine="464"/>
        <w:spacing w:after="0" w:line="291" w:lineRule="auto"/>
        <w:tabs>
          <w:tab w:leader="none" w:pos="69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EACH PARTY HERETO ACKNOWLEDGES THAT ANY DISPUTE OR CONTROVERSY BETWEEN OR AMONG THE BORROWER, THE AGENT OR ANY OF THE LENDERS WOULD BE BASED ON DIFFICULT AND COMPLEX ISSUES OF LAW AND FACT AND WOULD RESULT IN DELAY AND EXPENSE TO THE PARTIES. ACCORDINGLY, TO THE EXTENT PERMITTED BY APPLICABLE LAW, EACH OF THE LENDERS, THE AGENT AND THE BORROWER HEREBY WAIVES ITS RIGHT TO A TRIAL BY JURY IN ANY ACTION OR PROCEEDING OF ANY KIND OR NATURE IN ANY COURT OR TRIBUNAL IN WHICH AN ACTION MAY BE COMMENCED BY OR AGAINST ANY PARTY HERETO ARISING OUT OF THIS AGREEMENT, THE NOTES, OR ANY OTHER LOAN DOCUMENT OR BY REASON OF ANY OTHER SUIT, CAUSE</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340"/>
          </w:cols>
          <w:pgMar w:left="240" w:top="280" w:right="319" w:bottom="1440" w:gutter="0" w:footer="0" w:header="0"/>
        </w:sectPr>
      </w:pPr>
    </w:p>
    <w:bookmarkStart w:id="330" w:name="page331"/>
    <w:bookmarkEnd w:id="33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ACTION OR DISPUTE WHATSOEVER BETWEEN OR AMONG THE BORROWER, THE AGENT OR ANY OF THE LENDERS OF ANY KIND OR NATURE RELATING TO ANY OF THE LOAN DOCUMENTS.</w:t>
      </w:r>
    </w:p>
    <w:p>
      <w:pPr>
        <w:spacing w:after="0" w:line="132" w:lineRule="exact"/>
        <w:rPr>
          <w:sz w:val="20"/>
          <w:szCs w:val="20"/>
          <w:color w:val="auto"/>
        </w:rPr>
      </w:pPr>
    </w:p>
    <w:p>
      <w:pPr>
        <w:ind w:firstLine="464"/>
        <w:spacing w:after="0" w:line="286" w:lineRule="auto"/>
        <w:tabs>
          <w:tab w:leader="none" w:pos="70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EACH OF THE BORROWER, THE AGENT AND EACH LENDER HEREBY AGREES THAT THE FEDERAL DISTRICT COURT FOR THE SOUTHERN DISTRICT OF NEW YORK, AND ANY STATE COURT LOCATED IN THE BOROUGH OF MANHATTAN OF NEW YORK, NEW YORK, SHALL HAVE JURISDICTION TO HEAR AND DETERMINE ANY CLAIMS OR DISPUTES BETWEEN OR AMONG THE BORROWER, THE AGENT OR ANY OF THE LENDERS PERTAINING DIRECTLY OR INDIRECTLY TO THIS AGREEMENT, THE LOANS, THE NOTES OR ANY OTHER LOAN DOCUMENT OR TO ANY MATTER ARISING HEREFROM OR THEREFROM. THE BORROWER AND EACH OF THE LENDERS EXPRESSLY SUBMIT AND CONSENT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27" w:lineRule="exact"/>
        <w:rPr>
          <w:rFonts w:ascii="Arial" w:cs="Arial" w:eastAsia="Arial" w:hAnsi="Arial"/>
          <w:sz w:val="16"/>
          <w:szCs w:val="16"/>
          <w:color w:val="auto"/>
        </w:rPr>
      </w:pPr>
    </w:p>
    <w:p>
      <w:pPr>
        <w:ind w:right="80" w:firstLine="464"/>
        <w:spacing w:after="0" w:line="306" w:lineRule="auto"/>
        <w:tabs>
          <w:tab w:leader="none" w:pos="69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Successors and Assigns.</w:t>
      </w:r>
    </w:p>
    <w:p>
      <w:pPr>
        <w:spacing w:after="0" w:line="96" w:lineRule="exact"/>
        <w:rPr>
          <w:sz w:val="20"/>
          <w:szCs w:val="20"/>
          <w:color w:val="auto"/>
        </w:rPr>
      </w:pPr>
    </w:p>
    <w:p>
      <w:pPr>
        <w:ind w:firstLine="464"/>
        <w:spacing w:after="0" w:line="306" w:lineRule="auto"/>
        <w:tabs>
          <w:tab w:leader="none" w:pos="69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provisions of this Agreement shall be binding upon and inure to the benefit of the parties hereto and their respective successors and permitted assigns, except that the Borrower may not assign or otherwise transfer any of its rights or obligations under this Agreement without the prior written consent of all Lenders and any such assignment or other transfer to which all of the Lenders have not so consented shall be null and void.</w:t>
      </w:r>
    </w:p>
    <w:p>
      <w:pPr>
        <w:spacing w:after="0" w:line="106"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Lender may make, carry or transfer Loans at, to or for the account of any of its branch offices or the office of an affiliate of such Lender except to the extent such transfer would result in increased costs to the Borrower.</w:t>
      </w:r>
    </w:p>
    <w:p>
      <w:pPr>
        <w:spacing w:after="0" w:line="125" w:lineRule="exact"/>
        <w:rPr>
          <w:rFonts w:ascii="Arial" w:cs="Arial" w:eastAsia="Arial" w:hAnsi="Arial"/>
          <w:sz w:val="18"/>
          <w:szCs w:val="18"/>
          <w:color w:val="auto"/>
        </w:rPr>
      </w:pPr>
    </w:p>
    <w:p>
      <w:pPr>
        <w:ind w:right="100" w:firstLine="464"/>
        <w:spacing w:after="0" w:line="275"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Lender may at any time grant to one or more banks or other financial institutions (each a “</w:t>
      </w:r>
      <w:r>
        <w:rPr>
          <w:rFonts w:ascii="Arial" w:cs="Arial" w:eastAsia="Arial" w:hAnsi="Arial"/>
          <w:sz w:val="18"/>
          <w:szCs w:val="18"/>
          <w:b w:val="1"/>
          <w:bCs w:val="1"/>
          <w:color w:val="auto"/>
        </w:rPr>
        <w:t>Participant</w:t>
      </w:r>
      <w:r>
        <w:rPr>
          <w:rFonts w:ascii="Arial" w:cs="Arial" w:eastAsia="Arial" w:hAnsi="Arial"/>
          <w:sz w:val="18"/>
          <w:szCs w:val="18"/>
          <w:color w:val="auto"/>
        </w:rPr>
        <w:t>”) participating interests in its Loan or other Obligations owing to such Lender; provided, however, (i) any such participating interest must be for a constant and</w:t>
      </w:r>
    </w:p>
    <w:p>
      <w:pPr>
        <w:spacing w:after="0" w:line="112" w:lineRule="exact"/>
        <w:rPr>
          <w:rFonts w:ascii="Arial" w:cs="Arial" w:eastAsia="Arial" w:hAnsi="Arial"/>
          <w:sz w:val="18"/>
          <w:szCs w:val="18"/>
          <w:color w:val="auto"/>
        </w:rPr>
      </w:pPr>
    </w:p>
    <w:p>
      <w:pPr>
        <w:ind w:left="5620" w:hanging="96"/>
        <w:spacing w:after="0"/>
        <w:tabs>
          <w:tab w:leader="none" w:pos="56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420"/>
          </w:cols>
          <w:pgMar w:left="240" w:top="280" w:right="239" w:bottom="1440" w:gutter="0" w:footer="0" w:header="0"/>
        </w:sectPr>
      </w:pPr>
    </w:p>
    <w:bookmarkStart w:id="331" w:name="page332"/>
    <w:bookmarkEnd w:id="331"/>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a varying percentage interest and (ii) unless the Borrower and the Agent otherwise agree, after giving effect to the grant of a participating interest in a Lender’s Loan, the amount of its Loan in which it has not granted any participating interests must be equal to at least $10,000,000. No Participant shall have any rights or benefits under this Agreement or any other Loan Document. In the event of any such grant by a Lender of a participating interest to a Participant, such Lender shall remain responsible for the performance of its obligations hereunder, and the Borrower and the Agent shall continue to deal solely and directly with such Lender in connection with such Lender’s rights and obligations under this Agreement. Any agreement pursuant to which any Lender may grant such a participating interest shall provide that such Lender shall retain the sole right and responsibility to enforce the obligations of the Borrower hereunder, including, without limitation, the right to approve any amendment, modification or waiver of any provision of this Agreement; provided, however, such Lender may agree with the Participant that it will not, without the consent of the Participant, agree to (i) increase, or extend the term or extend the time or waive any requirement for the reduction or termination of, such Lender’s Loan, (ii) extend the date fixed for the payment of principal of or interest on the Loans or portions thereof owing to such Lender, (iii) reduce the amount of any such payment of principal, (iv) reduce the rate at which interest is payable thereon or (v) release any Guarantor (except as otherwise permitted under Section 7.12.(c)). An assignment or other transfer which is not permitted by subsection (d) or (e) below shall be given effect for purposes of this Agreement only to the extent of a participating interest granted in accordance with this subsection (c). Upon request from the Agent, a Lender shall notify the Agent of the sale of any participation hereunder and, if requested by the Agent, certify to the Agent that such participation is permitted hereunder and that the requirements of Section 3.12.(c) have been satisfied.</w:t>
      </w:r>
    </w:p>
    <w:p>
      <w:pPr>
        <w:spacing w:after="0" w:line="128" w:lineRule="exact"/>
        <w:rPr>
          <w:sz w:val="20"/>
          <w:szCs w:val="20"/>
          <w:color w:val="auto"/>
        </w:rPr>
      </w:pPr>
    </w:p>
    <w:p>
      <w:pPr>
        <w:ind w:firstLine="464"/>
        <w:spacing w:after="0" w:line="285" w:lineRule="auto"/>
        <w:tabs>
          <w:tab w:leader="none" w:pos="70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Any Lender may with the prior written consent of the Agent and, so long as no Event of Default exists, the Borrower (which consent, in each case, shall not be unreasonably withheld (it being agreed that the Borrower’s withholding of consent to an assignment which would result in the Borrower having to pay amounts under Section 3.12. shall be deemed to be reasonable)), assign to one or more Eligible Assignees (each an “Assignee”) all or a portion of its rights and obligations under this Agreement and the Notes (including all or a portion of the Loan owing to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 no such consent by the Borrower shall be required in the case of any assignment to another Lender or any affiliate of such Lender or another Lender and no such consent by the Agent shall be required in the case of any assignment by a Lender to any affiliate of such Lender; (ii) unless the Borrower and the Agent otherwise agree, after giving effect to any partial assignment by a Lender, the Assignee shall hold, and the assigning Lender shall retain, Loans having an outstanding principal balance, of at least $5,000,000 and integral multiples of $1,000,000 in excess thereof; and (iii) each such assignment shall be effected by means of an Assignment and Acceptance Agreement. Upon execution and delivery of such instrument and payment by such Assignee to such transferor Lender of an amount equal to the purchase price agreed between such transferor Lender and such Assignee, such Assignee shall be a Lender party to this Agreement with respect to the assigned interest as of the effective date of the Assignment and Acceptance Agreement and shall have all the rights and obligations of a Lender with respect to the assigned interest as set forth in such Assignment and Acceptance Agreement, and the transferor Lender shall be released from its obligations hereunder with respect to the assigned interest to a corresponding extent, and no further consent or action by any party shall be required. Upon the consummation of any assignment pursuant to this subsection,</w:t>
      </w:r>
    </w:p>
    <w:p>
      <w:pPr>
        <w:spacing w:after="0" w:line="114" w:lineRule="exact"/>
        <w:rPr>
          <w:rFonts w:ascii="Arial" w:cs="Arial" w:eastAsia="Arial" w:hAnsi="Arial"/>
          <w:sz w:val="16"/>
          <w:szCs w:val="16"/>
          <w:color w:val="auto"/>
        </w:rPr>
      </w:pPr>
    </w:p>
    <w:p>
      <w:pPr>
        <w:ind w:left="5620" w:hanging="96"/>
        <w:spacing w:after="0"/>
        <w:tabs>
          <w:tab w:leader="none" w:pos="56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1400"/>
          </w:cols>
          <w:pgMar w:left="240" w:top="280" w:right="259" w:bottom="1440" w:gutter="0" w:footer="0" w:header="0"/>
        </w:sectPr>
      </w:pPr>
    </w:p>
    <w:bookmarkStart w:id="332" w:name="page333"/>
    <w:bookmarkEnd w:id="332"/>
    <w:p>
      <w:pPr>
        <w:jc w:val="both"/>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transferor Lender, the Agent and the Borrower shall make appropriate arrangements so that new Notes are issued to the Assignee and such transferor Lender, as appropriate. In connection with any such assignment, the transferor Lender shall pay to the Agent an administrative fee for processing such assignment in the amount of $3,500. Anything in this Section to the contrary notwithstanding, no Lender may assign, or grant a participating interest in any Loan held by it to the Borrower, any Subsidiary or any Affiliate of the Borrower.</w:t>
      </w:r>
    </w:p>
    <w:p>
      <w:pPr>
        <w:spacing w:after="0" w:line="143" w:lineRule="exact"/>
        <w:rPr>
          <w:sz w:val="20"/>
          <w:szCs w:val="20"/>
          <w:color w:val="auto"/>
        </w:rPr>
      </w:pPr>
    </w:p>
    <w:p>
      <w:pPr>
        <w:ind w:firstLine="464"/>
        <w:spacing w:after="0" w:line="301" w:lineRule="auto"/>
        <w:tabs>
          <w:tab w:leader="none" w:pos="695" w:val="left"/>
        </w:tabs>
        <w:numPr>
          <w:ilvl w:val="1"/>
          <w:numId w:val="256"/>
        </w:numPr>
        <w:rPr>
          <w:rFonts w:ascii="Arial" w:cs="Arial" w:eastAsia="Arial" w:hAnsi="Arial"/>
          <w:sz w:val="15"/>
          <w:szCs w:val="15"/>
          <w:color w:val="auto"/>
        </w:rPr>
      </w:pPr>
      <w:r>
        <w:rPr>
          <w:rFonts w:ascii="Arial" w:cs="Arial" w:eastAsia="Arial" w:hAnsi="Arial"/>
          <w:sz w:val="15"/>
          <w:szCs w:val="15"/>
          <w:color w:val="auto"/>
        </w:rPr>
        <w:t>The Agent shall maintain at the Principal Office a copy of each Assignment and Acceptance Agreement delivered to and accepted by it and a register for the recordation of the names and addresses of the Lenders and the Loan held by each Lender from time to time (the “</w:t>
      </w:r>
      <w:r>
        <w:rPr>
          <w:rFonts w:ascii="Arial" w:cs="Arial" w:eastAsia="Arial" w:hAnsi="Arial"/>
          <w:sz w:val="15"/>
          <w:szCs w:val="15"/>
          <w:b w:val="1"/>
          <w:bCs w:val="1"/>
          <w:color w:val="auto"/>
        </w:rPr>
        <w:t>Register</w:t>
      </w:r>
      <w:r>
        <w:rPr>
          <w:rFonts w:ascii="Arial" w:cs="Arial" w:eastAsia="Arial" w:hAnsi="Arial"/>
          <w:sz w:val="15"/>
          <w:szCs w:val="15"/>
          <w:color w:val="auto"/>
        </w:rPr>
        <w:t>”). The Agent shall give each Lender and the Borrower notice of the assignment by any Lender of its rights as contemplated by this Section. The Borrower, the Agent and the Lenders may treat each Person whose name is recorded in the Register as a Lender hereunder for all purposes of this Agreement. The Register and copies of each Assignment and Acceptance Agreement shall be available for inspection by the Borrower or any Lender at any reasonable time and from time to time upon reasonable prior notice to the Agent. Upon its receipt of an Assignment and Acceptance Agreement executed by an assigning Lender, together with each Note subject to such assignment, the Agent shall, if such Assignment and Acceptance Agreement has been completed and if the Agent receives the processing and recording fee described in subsection (d) above, (i) accept such Assignment and Acceptance Agreement, (ii) record the information contained therein in the Register and</w:t>
      </w:r>
    </w:p>
    <w:p>
      <w:pPr>
        <w:spacing w:after="0" w:line="4" w:lineRule="exact"/>
        <w:rPr>
          <w:rFonts w:ascii="Arial" w:cs="Arial" w:eastAsia="Arial" w:hAnsi="Arial"/>
          <w:sz w:val="15"/>
          <w:szCs w:val="15"/>
          <w:color w:val="auto"/>
        </w:rPr>
      </w:pPr>
    </w:p>
    <w:p>
      <w:pPr>
        <w:ind w:left="320" w:hanging="312"/>
        <w:spacing w:after="0"/>
        <w:tabs>
          <w:tab w:leader="none" w:pos="3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give prompt notice thereof to the Borrower.</w:t>
      </w:r>
    </w:p>
    <w:p>
      <w:pPr>
        <w:spacing w:after="0" w:line="164" w:lineRule="exact"/>
        <w:rPr>
          <w:rFonts w:ascii="Arial" w:cs="Arial" w:eastAsia="Arial" w:hAnsi="Arial"/>
          <w:sz w:val="18"/>
          <w:szCs w:val="18"/>
          <w:color w:val="auto"/>
        </w:rPr>
      </w:pPr>
    </w:p>
    <w:p>
      <w:pPr>
        <w:jc w:val="both"/>
        <w:ind w:right="100" w:firstLine="464"/>
        <w:spacing w:after="0" w:line="256" w:lineRule="auto"/>
        <w:tabs>
          <w:tab w:leader="none" w:pos="67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In addition to the assignments and participations permitted under the foregoing provisions of this Section, any Lender may assign and pledge all or any portion of its Loans and its Notes to any Federal Reserve Bank as collateral security pursuant to Regulation A and any Operating Circular issued by such Federal Reserve Bank, and such Loans and Notes shall be fully transferable as provided therein. No such assignment shall release the assigning Lender from its obligations hereunder.</w:t>
      </w:r>
    </w:p>
    <w:p>
      <w:pPr>
        <w:spacing w:after="0" w:line="143" w:lineRule="exact"/>
        <w:rPr>
          <w:rFonts w:ascii="Arial" w:cs="Arial" w:eastAsia="Arial" w:hAnsi="Arial"/>
          <w:sz w:val="18"/>
          <w:szCs w:val="18"/>
          <w:color w:val="auto"/>
        </w:rPr>
      </w:pPr>
    </w:p>
    <w:p>
      <w:pPr>
        <w:ind w:right="140" w:firstLine="464"/>
        <w:spacing w:after="0" w:line="332" w:lineRule="auto"/>
        <w:tabs>
          <w:tab w:leader="none" w:pos="705"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 Lender may furnish any information concerning the Borrower, any other Loan Party or any of their respective Subsidiaries in the possession of such Lender from time to time to Assignees and Participants (including prospective Assignees and Participants) subject to compliance with Section 12.8.</w:t>
      </w:r>
    </w:p>
    <w:p>
      <w:pPr>
        <w:spacing w:after="0" w:line="85" w:lineRule="exact"/>
        <w:rPr>
          <w:rFonts w:ascii="Arial" w:cs="Arial" w:eastAsia="Arial" w:hAnsi="Arial"/>
          <w:sz w:val="16"/>
          <w:szCs w:val="16"/>
          <w:color w:val="auto"/>
        </w:rPr>
      </w:pPr>
    </w:p>
    <w:p>
      <w:pPr>
        <w:ind w:right="520" w:firstLine="464"/>
        <w:spacing w:after="0" w:line="268" w:lineRule="auto"/>
        <w:tabs>
          <w:tab w:leader="none" w:pos="70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Anything in this Section to the contrary notwithstanding, no Lender may assign or participate any interest in any Loan held by it hereunder to the Borrower, any other Loan Party or any of their respective Affiliates or Subsidiaries.</w:t>
      </w:r>
    </w:p>
    <w:p>
      <w:pPr>
        <w:spacing w:after="0" w:line="131" w:lineRule="exact"/>
        <w:rPr>
          <w:rFonts w:ascii="Arial" w:cs="Arial" w:eastAsia="Arial" w:hAnsi="Arial"/>
          <w:sz w:val="18"/>
          <w:szCs w:val="18"/>
          <w:color w:val="auto"/>
        </w:rPr>
      </w:pPr>
    </w:p>
    <w:p>
      <w:pPr>
        <w:ind w:right="160" w:firstLine="464"/>
        <w:spacing w:after="0" w:line="259" w:lineRule="auto"/>
        <w:tabs>
          <w:tab w:leader="none" w:pos="66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Each Lender agrees that, without the prior written consent of the Borrower and the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2"/>
          <w:numId w:val="257"/>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420"/>
          </w:cols>
          <w:pgMar w:left="240" w:top="279" w:right="23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12.6. Amendments.</w:t>
      </w:r>
    </w:p>
    <w:p>
      <w:pPr>
        <w:spacing w:after="0" w:line="96" w:lineRule="exact"/>
        <w:rPr>
          <w:sz w:val="20"/>
          <w:szCs w:val="20"/>
          <w:color w:val="auto"/>
        </w:rPr>
      </w:pPr>
    </w:p>
    <w:p>
      <w:pPr>
        <w:ind w:right="220" w:firstLine="464"/>
        <w:spacing w:after="0" w:line="294" w:lineRule="auto"/>
        <w:tabs>
          <w:tab w:leader="none" w:pos="69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any consent or approval required or permitted by this Agreement or any other Loan Document to be given by the Lenders may be given, and any term of this Agreement or of any other Loan Document may be amended, and the performance or observance by the Borrower or any other Loan Party or any Subsidiary of any terms of this Agreement or such other Loan Document or the continuance of any Default or Event of Default may be waived (either generally or in a particular instance and either retroactively or prospectively) with, but only with, the written consent of the Requisite Lenders (and, in the case of an amendment to any Loan Document, the written consent of each Loan Party a party thereto).</w:t>
      </w:r>
    </w:p>
    <w:p>
      <w:pPr>
        <w:spacing w:after="0" w:line="115"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Notwithstanding the foregoing, without the prior written consent of each Lender adversely affected thereby, no amendment, waiver or consent shall do any of the following:</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subject the Lenders to any additional obligations;</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5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reduce the principal of, or interest that has accrued or the rates of interest that will be charged on the outstanding principal amount of, any Loans or other Obligations;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reduce the amount of any Fees payable hereunder or postpone any date fixed for payment thereof;</w:t>
      </w:r>
    </w:p>
    <w:p>
      <w:pPr>
        <w:spacing w:after="0" w:line="90" w:lineRule="exact"/>
        <w:rPr>
          <w:rFonts w:ascii="Arial" w:cs="Arial" w:eastAsia="Arial" w:hAnsi="Arial"/>
          <w:sz w:val="18"/>
          <w:szCs w:val="18"/>
          <w:color w:val="auto"/>
        </w:rPr>
      </w:pPr>
    </w:p>
    <w:p>
      <w:pPr>
        <w:jc w:val="both"/>
        <w:ind w:left="460" w:right="180" w:firstLine="443"/>
        <w:spacing w:after="0" w:line="259" w:lineRule="auto"/>
        <w:tabs>
          <w:tab w:leader="none" w:pos="119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modify the definition of the term “Termination Date” (except as contemplated under Section 2.9.) or otherwise postpone any date fixed for any payment of any principal of, or interest on, any Loans or any other Obligations (including the waiver of any Default or Event of Default as a result of the nonpayment of any such Obligations as and when due);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amend or otherwise modify the provisions of Section 3.2.;</w:t>
      </w:r>
    </w:p>
    <w:p>
      <w:pPr>
        <w:spacing w:after="0" w:line="90" w:lineRule="exact"/>
        <w:rPr>
          <w:rFonts w:ascii="Arial" w:cs="Arial" w:eastAsia="Arial" w:hAnsi="Arial"/>
          <w:sz w:val="18"/>
          <w:szCs w:val="18"/>
          <w:color w:val="auto"/>
        </w:rPr>
      </w:pPr>
    </w:p>
    <w:p>
      <w:pPr>
        <w:ind w:left="460" w:firstLine="443"/>
        <w:spacing w:after="0" w:line="259" w:lineRule="auto"/>
        <w:tabs>
          <w:tab w:leader="none" w:pos="119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modify the definition of the term “Requisite Lenders” or otherwise modify in any other manner the number or percentage of the Lenders required to make any determinations or waive any rights hereunder or to modify any provision hereof, including without limitation, any modification of this Section 12.6. if such modification would have such effect;</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release any Guarantor from its obligations under the Guaranty (except as otherwise permitted under Section 7.12. (c)); or</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increase the number of Interest Periods permitted with respect to Loans under Section 2.3.</w:t>
      </w:r>
    </w:p>
    <w:p>
      <w:pPr>
        <w:spacing w:after="0" w:line="171"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 amendment, waiver or consent, unless in writing and signed by the Agent, in such capacity, in addition to the Lenders required hereinabove to take such action, shall affect the rights or duties of the Agent under this Agreement or any of the other Loan Documents.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1420"/>
          </w:cols>
          <w:pgMar w:left="240" w:top="273" w:right="239" w:bottom="1440" w:gutter="0" w:footer="0" w:header="0"/>
        </w:sectPr>
      </w:pPr>
    </w:p>
    <w:bookmarkStart w:id="334" w:name="page335"/>
    <w:bookmarkEnd w:id="334"/>
    <w:p>
      <w:pPr>
        <w:ind w:right="220" w:firstLine="464"/>
        <w:spacing w:after="0" w:line="268" w:lineRule="auto"/>
        <w:tabs>
          <w:tab w:leader="none" w:pos="705"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in this Section to the contrary, a Default or Event of Default may not be waived for purposes of Section 5.1.(c) without the prior written consent of the Requisite Lenders.</w:t>
      </w:r>
    </w:p>
    <w:p>
      <w:pPr>
        <w:spacing w:after="0" w:line="131" w:lineRule="exact"/>
        <w:rPr>
          <w:rFonts w:ascii="Arial" w:cs="Arial" w:eastAsia="Arial" w:hAnsi="Arial"/>
          <w:sz w:val="18"/>
          <w:szCs w:val="18"/>
          <w:color w:val="auto"/>
        </w:rPr>
      </w:pPr>
    </w:p>
    <w:p>
      <w:pPr>
        <w:ind w:right="40" w:firstLine="464"/>
        <w:spacing w:after="0" w:line="255" w:lineRule="auto"/>
        <w:tabs>
          <w:tab w:leader="none" w:pos="69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waiver shall extend to or affect any obligation not expressly waived or impair any right consequent thereon, and any amendment, waiver or consent shall be effective only in the specific instance and for the specific purpose set forth therein. Except as otherwise provided in Section 11.5., no course of dealing or delay or omission on the part of the Agent or any Lender in exercising any right shall operate as a waiver thereof or otherwise be prejudicial thereto. Except as otherwise explicitly provided for herein or in any other Loan Document, no notice to or demand upon the Borrower shall entitle the Borrower to any other or further notice or demand in similar or other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12.7. Nonliability of Agent and Lenders.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relationship between the Borrower and the Lenders and the Agent shall be solely that of borrower and lender. Neither the Agent nor any Lender shall have any fiduciary responsibilities to the Borrower or any other Loan Party, and no provision in this Agreement or in any of the other Loan Documents, and no course of dealing between or among any of the parties hereto, shall be deemed to create any fiduciary duty owing by the Agent or any Lender to any Lender, the Borrower, any Subsidiary or any other Loan Party. Neither the Agent nor any Lender undertakes any responsibility to the Borrower to review or inform the Borrower of any matter in connection with any phase of the Borrower’s business or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Confidentiality.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Agent and each Lender shall use reasonable efforts to assure that information about Borrower, the other Loan Parties and other Subsidiaries, and the Properties thereof and their operations, affairs and financial condition, not generally disclosed to the public, which is furnished to the Agent or any Lender pursuant to the provisions of this Agreement or any other Loan Document, is used only for the purposes of this Agreement and the other Loan Documents and shall not be divulged to any Person other than the Agent, the Lenders, and their respective officers, directors, employees and agents who are actively and directly participating in the evaluation, administration or enforcement of the Loan Documents and other transactions between the Agent or such Lender, as applicable, and the Borrower, but in any event the Agent and the Lenders may make disclosure: (a) to any of their respective affiliates (provided they shall agree to keep such information confidential in accordance with the terms of this Section 12.8.); (b) as reasonably requested by any bona fide prospective Assignee, Participant or other transferee in connection with the contemplated transfer of any Loan or participations therein as permitted hereunder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Agent’s or such Lender’s independent auditors and other professional advisors (provided they shall be notified of the confidential nature of the information); (e) after the happening and during the continuance of an Event of Default, to any other Person, as necessary for the exercise by the Agent or the Lenders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400"/>
          </w:cols>
          <w:pgMar w:left="240" w:top="280" w:right="259" w:bottom="1440" w:gutter="0" w:footer="0" w:header="0"/>
        </w:sectPr>
      </w:pPr>
    </w:p>
    <w:bookmarkStart w:id="335" w:name="page336"/>
    <w:bookmarkEnd w:id="33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rights hereunder or under any of the other Loan Documents; (f) upon Borrower’s prior consent (which consent shall not be unreasonably withheld), to any contractual counter-parties to any swap or similar hedging agreement or to any rating agency; and (g) to the extent such information (x) becomes publicly available other than as a result of a breach by such party of this Section or (y) becomes available to the Agent or any Lender on a nonconfidential basis from a source other than the Borrower or any Affiliate unless the Agent or such Lender has actual knowledge that such information became nonconfidential as a result of a breach of a confidential arrangement with the Borrower or such Loan Party. Notwithstanding the foregoing, the Agent and each Lender may disclose any such confidential information, without notice to the Borrower or any other Loan Party, to Governmental Authorities in connection with any regulatory examination of the Agent or such Lender or in accordance with the regulatory compliance policy of the Agent or such Lender.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12.9. Indemnification.</w:t>
      </w:r>
    </w:p>
    <w:p>
      <w:pPr>
        <w:spacing w:after="0" w:line="96" w:lineRule="exact"/>
        <w:rPr>
          <w:sz w:val="20"/>
          <w:szCs w:val="20"/>
          <w:color w:val="auto"/>
        </w:rPr>
      </w:pPr>
    </w:p>
    <w:p>
      <w:pPr>
        <w:ind w:firstLine="464"/>
        <w:spacing w:after="0" w:line="284" w:lineRule="auto"/>
        <w:tabs>
          <w:tab w:leader="none" w:pos="69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Borrower shall and hereby agrees to indemnify, defend and hold harmless the Agent, each of the Lenders, any affiliate of the Agent or any Lender, and their respective directors, officers, shareholders, agents, employees and counsel (each referred to herein as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of the following (collectively, the “</w:t>
      </w:r>
      <w:r>
        <w:rPr>
          <w:rFonts w:ascii="Arial" w:cs="Arial" w:eastAsia="Arial" w:hAnsi="Arial"/>
          <w:sz w:val="16"/>
          <w:szCs w:val="16"/>
          <w:b w:val="1"/>
          <w:bCs w:val="1"/>
          <w:color w:val="auto"/>
        </w:rPr>
        <w:t>Indemnified Costs</w:t>
      </w:r>
      <w:r>
        <w:rPr>
          <w:rFonts w:ascii="Arial" w:cs="Arial" w:eastAsia="Arial" w:hAnsi="Arial"/>
          <w:sz w:val="16"/>
          <w:szCs w:val="16"/>
          <w:color w:val="auto"/>
        </w:rPr>
        <w:t>”): losses, costs, claims,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lost profits, losses, costs, claims, damages, liabilities, deficiencies, judgments or expenses indemnification in respect of which is specifically covered by Section 3.12. or 4.1. or expressly excluded from the coverage of such Sections 3.12. or 4.1.) incurred by an Indemnified Party in connection with, arising out of, or by reason of, any suit, cause of action, claim, arbitration, investigation or settlement, consent decree or other proceeding (the foregoing referred to herein as an “</w:t>
      </w:r>
      <w:r>
        <w:rPr>
          <w:rFonts w:ascii="Arial" w:cs="Arial" w:eastAsia="Arial" w:hAnsi="Arial"/>
          <w:sz w:val="16"/>
          <w:szCs w:val="16"/>
          <w:b w:val="1"/>
          <w:bCs w:val="1"/>
          <w:color w:val="auto"/>
        </w:rPr>
        <w:t>Indemnity Proceeding</w:t>
      </w:r>
      <w:r>
        <w:rPr>
          <w:rFonts w:ascii="Arial" w:cs="Arial" w:eastAsia="Arial" w:hAnsi="Arial"/>
          <w:sz w:val="16"/>
          <w:szCs w:val="16"/>
          <w:color w:val="auto"/>
        </w:rPr>
        <w:t>”) which is in any way related directly or indirectly to: (i) this Agreement or any other Loan Document or the transactions contemplated thereby; (ii) the making of any Loans hereunder; (iii) any actual or proposed use by the Borrower of the proceeds of the Loans; (iv) the Agent’s or any Lender’s entering into this Agreement; (v) the fact that the Agent and the Lenders have established the credit facility evidenced hereby in favor of the Borrower; (vi) the fact that the Agent and the Lenders are creditors of the Borrower and have or are alleged to have information regarding the financial condition, strategic plans or business operations of the Borrower and the Subsidiaries; (vii) the fact that the Agent and the Lenders are material creditors of the Borrower and are alleged to influence directly or indirectly the business decisions or affairs of the Borrower and the Subsidiaries or their financial condition; (viii) the exercise of any right or remedy the Agent or the Lenders may have under this Agreement or the other Loan Documents; (ix) any civil penalty or fine assessed by the OFAC against, and all reasonable costs and expenses (including counsel fees and disbursements) incurred in connection with defense thereof by, the Agent or any Lender as a result of conduct of the Borrower, any other Loan Party or any Subsidiary that violates or threatens to violate a sanction enforced by the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w:t>
      </w:r>
    </w:p>
    <w:p>
      <w:pPr>
        <w:spacing w:after="0" w:line="117" w:lineRule="exact"/>
        <w:rPr>
          <w:rFonts w:ascii="Arial" w:cs="Arial" w:eastAsia="Arial" w:hAnsi="Arial"/>
          <w:sz w:val="16"/>
          <w:szCs w:val="16"/>
          <w:color w:val="auto"/>
        </w:rPr>
      </w:pPr>
    </w:p>
    <w:p>
      <w:pPr>
        <w:ind w:left="5620" w:hanging="96"/>
        <w:spacing w:after="0"/>
        <w:tabs>
          <w:tab w:leader="none" w:pos="562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1400"/>
          </w:cols>
          <w:pgMar w:left="240" w:top="280" w:right="259" w:bottom="1440" w:gutter="0" w:footer="0" w:header="0"/>
        </w:sectPr>
      </w:pPr>
    </w:p>
    <w:bookmarkStart w:id="336" w:name="page337"/>
    <w:bookmarkEnd w:id="33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Environmental Law, including any Indemnity Proceeding commenced by a Governmental Authority or other Person seeking remedial or other action to cause the Borrower or its Subsidiaries (or its respective properties) (or the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subsection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w:t>
      </w:r>
    </w:p>
    <w:p>
      <w:pPr>
        <w:spacing w:after="0" w:line="120" w:lineRule="exact"/>
        <w:rPr>
          <w:sz w:val="20"/>
          <w:szCs w:val="20"/>
          <w:color w:val="auto"/>
        </w:rPr>
      </w:pPr>
    </w:p>
    <w:p>
      <w:pPr>
        <w:ind w:right="20" w:firstLine="464"/>
        <w:spacing w:after="0" w:line="288" w:lineRule="auto"/>
        <w:tabs>
          <w:tab w:leader="none" w:pos="70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Borrower’s indemnification obligations under this Section 12.9.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notify the Borrower of the commencement of any Indemnity Proceeding; provided, however, that the failure to so notify the Borrower shall not relieve the Borrower from any liability that it may have to such Indemnified Party pursuant to this Section 12.9.</w:t>
      </w:r>
    </w:p>
    <w:p>
      <w:pPr>
        <w:spacing w:after="0" w:line="119" w:lineRule="exact"/>
        <w:rPr>
          <w:rFonts w:ascii="Arial" w:cs="Arial" w:eastAsia="Arial" w:hAnsi="Arial"/>
          <w:sz w:val="16"/>
          <w:szCs w:val="16"/>
          <w:color w:val="auto"/>
        </w:rPr>
      </w:pPr>
    </w:p>
    <w:p>
      <w:pPr>
        <w:ind w:right="580" w:firstLine="464"/>
        <w:spacing w:after="0" w:line="268"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This indemnification shall apply to any Indemnity Proceeding arising during the pendency of any bankruptcy proceeding filed by or against the Borrower and/or any Subsidiary.</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0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12" w:lineRule="exact"/>
        <w:rPr>
          <w:rFonts w:ascii="Arial" w:cs="Arial" w:eastAsia="Arial" w:hAnsi="Arial"/>
          <w:sz w:val="16"/>
          <w:szCs w:val="16"/>
          <w:color w:val="auto"/>
        </w:rPr>
      </w:pPr>
    </w:p>
    <w:p>
      <w:pPr>
        <w:ind w:right="20" w:firstLine="464"/>
        <w:spacing w:after="0" w:line="254"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360"/>
          </w:cols>
          <w:pgMar w:left="240" w:top="280" w:right="299" w:bottom="1440" w:gutter="0" w:footer="0" w:header="0"/>
        </w:sectPr>
      </w:pPr>
    </w:p>
    <w:bookmarkStart w:id="337" w:name="page338"/>
    <w:bookmarkEnd w:id="33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44" w:lineRule="exact"/>
        <w:rPr>
          <w:sz w:val="20"/>
          <w:szCs w:val="20"/>
          <w:color w:val="auto"/>
        </w:rPr>
      </w:pPr>
    </w:p>
    <w:p>
      <w:pPr>
        <w:ind w:right="240" w:firstLine="464"/>
        <w:spacing w:after="0" w:line="268" w:lineRule="auto"/>
        <w:tabs>
          <w:tab w:leader="none" w:pos="67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Borrower’s obligations under this Section shall survive any termination of this Agreement and the other Loan Documents and the payment in full in cash of the Obligations, and are in addition to, and not in substitution of, any other of their obligations set forth in this Agreement or any other Loan Document to which it is a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Termination; Survival.</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such time as (a) the outstanding principal balance of the Loans and (b) all other Obligations (other than obligations which survive as provided in the following sentence) have been paid and satisfied in full, this Agreement shall terminate. The indemnities to which the Agent and the Lenders are entitled under the provisions of Sections 3.12., 4.1., 4.4., 11.7., 12.2. and 12.9. and any other provision of this Agreement and the other Loan Documents, and the provisions of Section 12.4., shall continue in full force and effect and shall protect the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12.11. Severability of Provisions.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12.12. GOVERNING LAW.</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APPLICABLE TO CONTRACTS EXECUTED, AND TO BE FULLY PERFORMED, IN SUCH STATE.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360"/>
          </w:cols>
          <w:pgMar w:left="240" w:top="279" w:right="29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12.13. Patriot Act.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Lenders and the Agent each hereby notifies the Borrower that pursuant to the requirements of the USA Patriot Act (Title III of Pub. L. 107-56 (signed into law October 26, 2001)), it is required to obtain, verify and record information that identifies the Borrower and the other Loan Parties, which information includes the name and address of the Borrower and the other Loan Parties and other information that will allow such Lender or the Agent, as applicable, to identify the Borrower and the other Loan Parties in accordance with such 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12.14. Counterparts.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This Agreement and any amendments, waivers, consents or supplements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12.15. Obligations with Respect to Loan Parties.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12.16. Limitation of Liability.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Neither the Agent nor any Lender, nor any affiliate, officer, director, employee, attorney, or agent of the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or any of the other Loan Documents, or any of the transactions contemplated by this Agreement or any of the other Loan Documents. The Borrower hereby waives, releases, and agrees not to sue the Agent or any Lender or any of the Agent’s or any Lender’s affiliates, officers, directors, employees, attorneys, or agents for punitive damages in respect of any claim in connection with, arising out of, or in any way related to, this Agreement or any of the other Loan Documents, or any of the transactions contemplated by this Agreement or financed hereby.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12.17. Entire Agreement.</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This Agreement, the Notes, and the other Loan Documents referred to herein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360"/>
          </w:cols>
          <w:pgMar w:left="240" w:top="273" w:right="29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12.18. Construction.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Agent, the Borrower and each Lender.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12.19. Limitation of Liability of Trustees, Etc.</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ANY OTHER PROVISION OF THIS AGREEMENT AND THE OTHER LOAN DOCUMENTS, THE AGENT AND THE LENDERS SHALL LOOK SOLELY TO THE PROPERTY OF THE BORROWER AND THE OTHER LOAN PARTIES FOR THE ENFORCEMENT OF ANY CLAIM AGAINST THE BORROWER AND SUCH LOAN PARTY UNDER OR IN RESPECT OF ANY OF THE LOAN DOCUMENTS AND ACCORDINGLY NEITHER THE TRUSTEES, OFFICERS, EMPLOYEES, AGENTS NOR SHAREHOLDERS OF THE BORROWER SHALL HAVE ANY PERSONAL LIABILITY FOR OBLIGATIONS ENTERED INTO BY OR ON BEHALF OF THE BORROWER OR ANY OTHER LOAN PARTY.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240"/>
          </w:cols>
          <w:pgMar w:left="240" w:top="274" w:right="419" w:bottom="1440" w:gutter="0" w:footer="0" w:header="0"/>
        </w:sectPr>
      </w:pPr>
    </w:p>
    <w:bookmarkStart w:id="340" w:name="page341"/>
    <w:bookmarkEnd w:id="340"/>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Credit Agreement to be executed by their authorized officers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3040" w:type="dxa"/>
            <w:vAlign w:val="bottom"/>
          </w:tcPr>
          <w:p>
            <w:pPr>
              <w:ind w:left="24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Dawn M. Becker</w:t>
            </w:r>
          </w:p>
        </w:tc>
      </w:tr>
      <w:tr>
        <w:trPr>
          <w:trHeight w:val="217"/>
        </w:trPr>
        <w:tc>
          <w:tcPr>
            <w:tcW w:w="3040" w:type="dxa"/>
            <w:vAlign w:val="bottom"/>
          </w:tcPr>
          <w:p>
            <w:pPr>
              <w:ind w:left="24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Dawn M. Becker</w:t>
            </w:r>
          </w:p>
        </w:tc>
      </w:tr>
      <w:tr>
        <w:trPr>
          <w:trHeight w:val="216"/>
        </w:trPr>
        <w:tc>
          <w:tcPr>
            <w:tcW w:w="3040" w:type="dxa"/>
            <w:vAlign w:val="bottom"/>
          </w:tcPr>
          <w:p>
            <w:pPr>
              <w:ind w:left="24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President-General Counsel and</w:t>
            </w:r>
          </w:p>
        </w:tc>
      </w:tr>
      <w:tr>
        <w:trPr>
          <w:trHeight w:val="222"/>
        </w:trPr>
        <w:tc>
          <w:tcPr>
            <w:tcW w:w="30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r>
        <w:trPr>
          <w:trHeight w:val="378"/>
        </w:trPr>
        <w:tc>
          <w:tcPr>
            <w:tcW w:w="3040" w:type="dxa"/>
            <w:vAlign w:val="bottom"/>
          </w:tcPr>
          <w:p>
            <w:pPr>
              <w:jc w:val="center"/>
              <w:ind w:right="332"/>
              <w:spacing w:after="0"/>
              <w:rPr>
                <w:sz w:val="20"/>
                <w:szCs w:val="20"/>
                <w:color w:val="auto"/>
              </w:rPr>
            </w:pPr>
            <w:r>
              <w:rPr>
                <w:rFonts w:ascii="Arial" w:cs="Arial" w:eastAsia="Arial" w:hAnsi="Arial"/>
                <w:sz w:val="18"/>
                <w:szCs w:val="18"/>
                <w:color w:val="auto"/>
                <w:w w:val="88"/>
              </w:rPr>
              <w:t>[Signatures Continued on Next Page]</w:t>
            </w:r>
          </w:p>
        </w:tc>
        <w:tc>
          <w:tcPr>
            <w:tcW w:w="3980" w:type="dxa"/>
            <w:vAlign w:val="bottom"/>
          </w:tcPr>
          <w:p>
            <w:pPr>
              <w:spacing w:after="0"/>
              <w:rPr>
                <w:sz w:val="24"/>
                <w:szCs w:val="24"/>
                <w:color w:val="auto"/>
              </w:rPr>
            </w:pPr>
          </w:p>
        </w:tc>
      </w:tr>
      <w:tr>
        <w:trPr>
          <w:trHeight w:val="365"/>
        </w:trPr>
        <w:tc>
          <w:tcPr>
            <w:tcW w:w="3040" w:type="dxa"/>
            <w:vAlign w:val="bottom"/>
          </w:tcPr>
          <w:p>
            <w:pPr>
              <w:jc w:val="right"/>
              <w:ind w:right="1452"/>
              <w:spacing w:after="0"/>
              <w:rPr>
                <w:sz w:val="20"/>
                <w:szCs w:val="20"/>
                <w:color w:val="auto"/>
              </w:rPr>
            </w:pPr>
            <w:r>
              <w:rPr>
                <w:rFonts w:ascii="Arial" w:cs="Arial" w:eastAsia="Arial" w:hAnsi="Arial"/>
                <w:sz w:val="18"/>
                <w:szCs w:val="18"/>
                <w:color w:val="auto"/>
              </w:rPr>
              <w:t>- 81 -</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41" w:name="page342"/>
    <w:bookmarkEnd w:id="341"/>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dated as of</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November 9, 2007 with Federal Realty Investment Trust]</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and as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Amit Khimji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Amit Khimji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6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[Signatures Continued on Next Page]</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0020"/>
          </w:cols>
          <w:pgMar w:left="1440" w:top="274" w:right="43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November 9, 2007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AMERCIA, N.A.</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Michael W. Edwards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Donald Shokrian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Donald Shokrian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Nancy B.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Nancy B. Richards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U.S. BANK NATIONAL ASSOCIATION</w:t>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 Jeffrey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 Jeffrey Jacobsen</w:t>
      </w:r>
    </w:p>
    <w:p>
      <w:pPr>
        <w:spacing w:after="0" w:line="15"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CITICORP NORTH AMERICA, INC.</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Ricardo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Ricardo James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REGIONS BANK</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Kerri Raines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Kerri Raines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9019"/>
          </w:cols>
          <w:pgMar w:left="1440" w:top="273" w:right="1440" w:bottom="1440" w:gutter="0" w:footer="0" w:header="0"/>
        </w:sectPr>
      </w:pPr>
    </w:p>
    <w:bookmarkStart w:id="343" w:name="page344"/>
    <w:bookmarkEnd w:id="34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EUROHYPO AG, NEW YORK BRANCH</w:t>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Lippmann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Lippmann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Hayes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PNC BANK NATIONAL ASSOCIATION</w:t>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Timothy P.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Timothy P. Gleeson</w:t>
      </w:r>
    </w:p>
    <w:p>
      <w:pPr>
        <w:spacing w:after="0" w:line="15" w:lineRule="exact"/>
        <w:rPr>
          <w:sz w:val="20"/>
          <w:szCs w:val="20"/>
          <w:color w:val="auto"/>
        </w:rPr>
      </w:pPr>
    </w:p>
    <w:p>
      <w:pPr>
        <w:jc w:val="center"/>
        <w:ind w:left="450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ROYAL BANK OF CANADA</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Jake Sigmund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Jake Sigmund</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COMERICA BANK</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Graycheck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Graycheck</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- 84 -</w:t>
      </w:r>
    </w:p>
    <w:p>
      <w:pPr>
        <w:sectPr>
          <w:pgSz w:w="11900" w:h="16838" w:orient="portrait"/>
          <w:cols w:equalWidth="0" w:num="1">
            <w:col w:w="9019"/>
          </w:cols>
          <w:pgMar w:left="1440" w:top="279" w:right="1440" w:bottom="1440" w:gutter="0" w:footer="0" w:header="0"/>
        </w:sectPr>
      </w:pPr>
    </w:p>
    <w:bookmarkStart w:id="344" w:name="page345"/>
    <w:bookmarkEnd w:id="344"/>
    <w:tbl>
      <w:tblPr>
        <w:tblLayout w:type="fixed"/>
        <w:tblInd w:w="6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580" w:type="dxa"/>
            <w:vAlign w:val="bottom"/>
            <w:gridSpan w:val="3"/>
          </w:tcPr>
          <w:p>
            <w:pPr>
              <w:jc w:val="center"/>
              <w:ind w:right="2132"/>
              <w:spacing w:after="0"/>
              <w:rPr>
                <w:sz w:val="20"/>
                <w:szCs w:val="20"/>
                <w:color w:val="auto"/>
              </w:rPr>
            </w:pPr>
            <w:r>
              <w:rPr>
                <w:rFonts w:ascii="Arial" w:cs="Arial" w:eastAsia="Arial" w:hAnsi="Arial"/>
                <w:sz w:val="18"/>
                <w:szCs w:val="18"/>
                <w:color w:val="auto"/>
                <w:w w:val="93"/>
              </w:rPr>
              <w:t>SCHEDULE 1</w:t>
            </w:r>
          </w:p>
        </w:tc>
        <w:tc>
          <w:tcPr>
            <w:tcW w:w="100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580" w:type="dxa"/>
            <w:vAlign w:val="bottom"/>
            <w:gridSpan w:val="3"/>
          </w:tcPr>
          <w:p>
            <w:pPr>
              <w:jc w:val="center"/>
              <w:ind w:right="2112"/>
              <w:spacing w:after="0"/>
              <w:rPr>
                <w:sz w:val="20"/>
                <w:szCs w:val="20"/>
                <w:color w:val="auto"/>
              </w:rPr>
            </w:pPr>
            <w:r>
              <w:rPr>
                <w:rFonts w:ascii="Arial" w:cs="Arial" w:eastAsia="Arial" w:hAnsi="Arial"/>
                <w:sz w:val="18"/>
                <w:szCs w:val="18"/>
                <w:color w:val="auto"/>
                <w:w w:val="90"/>
              </w:rPr>
              <w:t>Commitments</w:t>
            </w:r>
          </w:p>
        </w:tc>
        <w:tc>
          <w:tcPr>
            <w:tcW w:w="1000" w:type="dxa"/>
            <w:vAlign w:val="bottom"/>
          </w:tcPr>
          <w:p>
            <w:pPr>
              <w:spacing w:after="0"/>
              <w:rPr>
                <w:sz w:val="24"/>
                <w:szCs w:val="24"/>
                <w:color w:val="auto"/>
              </w:rPr>
            </w:pPr>
          </w:p>
        </w:tc>
      </w:tr>
      <w:tr>
        <w:trPr>
          <w:trHeight w:val="367"/>
        </w:trPr>
        <w:tc>
          <w:tcPr>
            <w:tcW w:w="20" w:type="dxa"/>
            <w:vAlign w:val="bottom"/>
          </w:tcPr>
          <w:p>
            <w:pPr>
              <w:spacing w:after="0"/>
              <w:rPr>
                <w:sz w:val="24"/>
                <w:szCs w:val="24"/>
                <w:color w:val="auto"/>
              </w:rPr>
            </w:pPr>
          </w:p>
        </w:tc>
        <w:tc>
          <w:tcPr>
            <w:tcW w:w="316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Lender</w:t>
            </w:r>
          </w:p>
        </w:tc>
        <w:tc>
          <w:tcPr>
            <w:tcW w:w="24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Commitment Amount</w:t>
            </w: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Wachovia Bank, National Association</w:t>
            </w:r>
          </w:p>
        </w:tc>
        <w:tc>
          <w:tcPr>
            <w:tcW w:w="3580" w:type="dxa"/>
            <w:vAlign w:val="bottom"/>
            <w:gridSpan w:val="3"/>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Bank of America, N.A.</w:t>
            </w:r>
          </w:p>
        </w:tc>
        <w:tc>
          <w:tcPr>
            <w:tcW w:w="3580" w:type="dxa"/>
            <w:vAlign w:val="bottom"/>
            <w:gridSpan w:val="3"/>
          </w:tcPr>
          <w:p>
            <w:pPr>
              <w:ind w:left="3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21,000,000</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3580" w:type="dxa"/>
            <w:vAlign w:val="bottom"/>
            <w:gridSpan w:val="3"/>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SunTrust Bank</w:t>
            </w:r>
          </w:p>
        </w:tc>
        <w:tc>
          <w:tcPr>
            <w:tcW w:w="3580" w:type="dxa"/>
            <w:vAlign w:val="bottom"/>
            <w:gridSpan w:val="3"/>
          </w:tcPr>
          <w:p>
            <w:pPr>
              <w:ind w:left="3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21,000,000</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3580" w:type="dxa"/>
            <w:vAlign w:val="bottom"/>
            <w:gridSpan w:val="3"/>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Citicorp North America, Inc.</w:t>
            </w:r>
          </w:p>
        </w:tc>
        <w:tc>
          <w:tcPr>
            <w:tcW w:w="3580" w:type="dxa"/>
            <w:vAlign w:val="bottom"/>
            <w:gridSpan w:val="3"/>
          </w:tcPr>
          <w:p>
            <w:pPr>
              <w:ind w:left="3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21,000,000</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Regions Bank</w:t>
            </w:r>
          </w:p>
        </w:tc>
        <w:tc>
          <w:tcPr>
            <w:tcW w:w="3580" w:type="dxa"/>
            <w:vAlign w:val="bottom"/>
            <w:gridSpan w:val="3"/>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Eurohypo AG, New York Agency</w:t>
            </w:r>
          </w:p>
        </w:tc>
        <w:tc>
          <w:tcPr>
            <w:tcW w:w="3580" w:type="dxa"/>
            <w:vAlign w:val="bottom"/>
            <w:gridSpan w:val="3"/>
          </w:tcPr>
          <w:p>
            <w:pPr>
              <w:ind w:left="3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14,000,000</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3580" w:type="dxa"/>
            <w:vAlign w:val="bottom"/>
            <w:gridSpan w:val="3"/>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Royal Bank of Canada</w:t>
            </w:r>
          </w:p>
        </w:tc>
        <w:tc>
          <w:tcPr>
            <w:tcW w:w="3580" w:type="dxa"/>
            <w:vAlign w:val="bottom"/>
            <w:gridSpan w:val="3"/>
          </w:tcPr>
          <w:p>
            <w:pPr>
              <w:ind w:left="3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14,000,000</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Comerica Bank</w:t>
            </w:r>
          </w:p>
        </w:tc>
        <w:tc>
          <w:tcPr>
            <w:tcW w:w="3580" w:type="dxa"/>
            <w:vAlign w:val="bottom"/>
            <w:gridSpan w:val="3"/>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r>
    </w:tbl>
    <w:p>
      <w:pPr>
        <w:jc w:val="right"/>
        <w:spacing w:after="0"/>
        <w:rPr>
          <w:sz w:val="20"/>
          <w:szCs w:val="20"/>
          <w:color w:val="auto"/>
        </w:rPr>
        <w:sectPr>
          <w:pgSz w:w="11900" w:h="16838" w:orient="portrait"/>
          <w:cols w:equalWidth="0" w:num="1">
            <w:col w:w="9019"/>
          </w:cols>
          <w:pgMar w:left="14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45" w:name="page346"/>
    <w:bookmarkEnd w:id="345"/>
    <w:p>
      <w:pPr>
        <w:jc w:val="center"/>
        <w:ind w:right="-119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1.1(A)</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u w:val="single" w:color="auto"/>
          <w:color w:val="auto"/>
        </w:rPr>
        <w:t>LIST OF LOAN PARTIES</w:t>
      </w:r>
    </w:p>
    <w:p>
      <w:pPr>
        <w:spacing w:after="0" w:line="241" w:lineRule="exact"/>
        <w:rPr>
          <w:sz w:val="20"/>
          <w:szCs w:val="20"/>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FR ASSOCIATES LIMITED PARTNERSHIP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BERMAN ENTERPRISES II LIMITED PARTNERSHIP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GOVERNOR PLAZA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ANDORRA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SHOPPING CENTER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FR PIKE 7 LIMITED PARTNERSHIP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STREET RETAIL,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FRIT SAN JOSE TOWN AND COUNTRY VILLAGE,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SAN JOSE RESIDENTIAL,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STREET RETAIL FOREST HILLS 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SRI OLD TOWN,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FEDERAL REALTY PARTNERS,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FEDERAL REALTY PARTNERS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FRLP,INC.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STREET RETAIL WEST GP,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STREET RETAIL WEST I,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STREET RETAIL WEST II,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STREET RETAIL WEST 3,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STREET RETAIL WEST 6,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STREET RETAIL WEST 10,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FR ASSEMBLY SQUARE, LLC</w:t>
      </w:r>
    </w:p>
    <w:p>
      <w:pPr>
        <w:sectPr>
          <w:pgSz w:w="11900" w:h="16838" w:orient="portrait"/>
          <w:cols w:equalWidth="0" w:num="1">
            <w:col w:w="10211"/>
          </w:cols>
          <w:pgMar w:left="248" w:top="274" w:right="1440" w:bottom="1440" w:gutter="0" w:footer="0" w:header="0"/>
        </w:sectPr>
      </w:pPr>
    </w:p>
    <w:bookmarkStart w:id="346" w:name="page347"/>
    <w:bookmarkEnd w:id="346"/>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 STURTEVANT STREET,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FR STURTEVANT STREET,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FR WESTGATE MALL,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FR WESTGATE MALL,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STREET RETAIL SAN ANTONIO,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SRI SAN ANTONIO,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SRI TEXAS,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FR LINDEN SQUARE,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FR CHELSEA COMMONS II,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FR CHELSEA COMMONS II,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FR NORTH DARTMOUTH,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FR NORTH DARTMOUTH,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FR WHITE MARSH,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CORDON FAIRFIELD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CAMPBELL-PHILADELPHIA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SHOPPES AT NOTTINGHAM SQUARE BUSINESS TRUST</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RETAIL PROPERTIES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NOTTINGHAM SQUARE BUSINESS TRUST</w:t>
      </w:r>
    </w:p>
    <w:p>
      <w:pPr>
        <w:sectPr>
          <w:pgSz w:w="11900" w:h="16838" w:orient="portrait"/>
          <w:cols w:equalWidth="0" w:num="1">
            <w:col w:w="10211"/>
          </w:cols>
          <w:pgMar w:left="248" w:top="280" w:right="1440" w:bottom="1440"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Nature of</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600"/>
              <w:spacing w:after="0"/>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Ownership</w:t>
            </w: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w w:val="98"/>
              </w:rPr>
              <w:t>Excluded Subsidiary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ind w:left="340"/>
              <w:spacing w:after="0"/>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Borrower</w:t>
            </w:r>
          </w:p>
        </w:tc>
        <w:tc>
          <w:tcPr>
            <w:tcW w:w="1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Permitted Liens on properties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identified in Schedule 6.1(f);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in favor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Trustees, employees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vendors;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Dividend reinvestment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Active shelf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Active registration 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for certain stock issued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unregistered shares and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stock that may be issued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conversion of Series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Shares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downreit units in NVI-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Avenue,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See Federal Realty Partners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L.P., FR Leesburg Plaza,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 Pike 7 Limited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Partnership and Street Retail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West 7, L.P. for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rights agreements;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2007 Employee Stock</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w:t>
            </w: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FR ASSOCIATES LIMITED</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w w:val="92"/>
              </w:rPr>
              <w:t>PARTNERSHIP, a Maryland limited</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partnership</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97.97%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Street Retail, Inc.</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1.03%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BERMAN ENTERPRISES II</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2%</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 a</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Material Subsidiary</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Maryland limited partnership</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97%</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(in conjunction with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FR Associates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GOVERNOR PLAZA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99%</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ASSOCIATES, a Pennsylvania</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general partnership</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FR Associates</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3" w:right="23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Nature of</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4"/>
                <w:szCs w:val="14"/>
                <w:color w:val="auto"/>
              </w:rPr>
            </w:pPr>
          </w:p>
        </w:tc>
        <w:tc>
          <w:tcPr>
            <w:tcW w:w="2280" w:type="dxa"/>
            <w:vAlign w:val="bottom"/>
          </w:tcPr>
          <w:p>
            <w:pPr>
              <w:ind w:left="700"/>
              <w:spacing w:after="0"/>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Ownership</w:t>
            </w: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w w:val="98"/>
              </w:rPr>
              <w:t>Excluded Subsidiary</w:t>
            </w:r>
          </w:p>
        </w:tc>
        <w:tc>
          <w:tcPr>
            <w:tcW w:w="120" w:type="dxa"/>
            <w:vAlign w:val="bottom"/>
          </w:tcPr>
          <w:p>
            <w:pPr>
              <w:spacing w:after="0"/>
              <w:rPr>
                <w:sz w:val="15"/>
                <w:szCs w:val="15"/>
                <w:color w:val="auto"/>
              </w:rPr>
            </w:pPr>
          </w:p>
        </w:tc>
        <w:tc>
          <w:tcPr>
            <w:tcW w:w="2280" w:type="dxa"/>
            <w:vAlign w:val="bottom"/>
          </w:tcPr>
          <w:p>
            <w:pPr>
              <w:ind w:left="440"/>
              <w:spacing w:after="0"/>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ANDORRA ASSOCIATES,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2%</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Pennsylvania limited partnership</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97%</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FR Associates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SHOPPING CENTER</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ASSOCIATES, a Pennsylvania</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98%</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FR Associates</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FR PIKE 7 LIMITED</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3"/>
              </w:rPr>
              <w:t>• Right to exchange 12,393.71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0"/>
              </w:rPr>
              <w:t>PARTNERSHIP, a Delaware limited</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partnership units for Federal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partnership (DownREIT)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98.3143%</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Realty stock or cash (at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Federal Realty’s option);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M&amp;R Associates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.6857%</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8"/>
              </w:rPr>
              <w:t>• Registration rights for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 on redemption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Partnership, Pike 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partnership units.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Plaza</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3"/>
              </w:rPr>
              <w:t>FRIT ESCONDIDO PROMENADE,</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Manager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70%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Owner of Non-</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LLC, a California limited liability</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Controlled Property</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Spark Development</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Member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30%</w:t>
            </w:r>
          </w:p>
        </w:tc>
        <w:tc>
          <w:tcPr>
            <w:tcW w:w="120" w:type="dxa"/>
            <w:vAlign w:val="bottom"/>
          </w:tcPr>
          <w:p>
            <w:pPr>
              <w:spacing w:after="0"/>
              <w:rPr>
                <w:sz w:val="18"/>
                <w:szCs w:val="18"/>
                <w:color w:val="auto"/>
              </w:rPr>
            </w:pPr>
          </w:p>
        </w:tc>
        <w:tc>
          <w:tcPr>
            <w:tcW w:w="1580" w:type="dxa"/>
            <w:vAlign w:val="bottom"/>
            <w:vMerge w:val="restart"/>
          </w:tcPr>
          <w:p>
            <w:pPr>
              <w:spacing w:after="0"/>
              <w:rPr>
                <w:sz w:val="20"/>
                <w:szCs w:val="20"/>
                <w:color w:val="auto"/>
              </w:rPr>
            </w:pPr>
            <w:r>
              <w:rPr>
                <w:rFonts w:ascii="Arial" w:cs="Arial" w:eastAsia="Arial" w:hAnsi="Arial"/>
                <w:sz w:val="18"/>
                <w:szCs w:val="18"/>
                <w:color w:val="auto"/>
              </w:rPr>
              <w:t>• Escondido</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vMerge w:val="restart"/>
          </w:tcPr>
          <w:p>
            <w:pPr>
              <w:spacing w:after="0"/>
              <w:rPr>
                <w:sz w:val="20"/>
                <w:szCs w:val="20"/>
                <w:color w:val="auto"/>
              </w:rPr>
            </w:pPr>
            <w:r>
              <w:rPr>
                <w:rFonts w:ascii="Arial" w:cs="Arial" w:eastAsia="Arial" w:hAnsi="Arial"/>
                <w:sz w:val="18"/>
                <w:szCs w:val="18"/>
                <w:color w:val="auto"/>
              </w:rPr>
              <w:t>Partners, LLC</w:t>
            </w: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220"/>
              <w:spacing w:after="0"/>
              <w:rPr>
                <w:sz w:val="20"/>
                <w:szCs w:val="20"/>
                <w:color w:val="auto"/>
              </w:rPr>
            </w:pPr>
            <w:r>
              <w:rPr>
                <w:rFonts w:ascii="Arial" w:cs="Arial" w:eastAsia="Arial" w:hAnsi="Arial"/>
                <w:sz w:val="18"/>
                <w:szCs w:val="18"/>
                <w:color w:val="auto"/>
              </w:rPr>
              <w:t>Promenade</w:t>
            </w: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ind w:left="220"/>
              <w:spacing w:after="0"/>
              <w:rPr>
                <w:sz w:val="20"/>
                <w:szCs w:val="20"/>
                <w:color w:val="auto"/>
              </w:rPr>
            </w:pPr>
            <w:r>
              <w:rPr>
                <w:rFonts w:ascii="Arial" w:cs="Arial" w:eastAsia="Arial" w:hAnsi="Arial"/>
                <w:sz w:val="18"/>
                <w:szCs w:val="18"/>
                <w:color w:val="auto"/>
                <w:w w:val="95"/>
              </w:rPr>
              <w:t>Shopping Center,</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ind w:left="220"/>
              <w:spacing w:after="0"/>
              <w:rPr>
                <w:sz w:val="20"/>
                <w:szCs w:val="20"/>
                <w:color w:val="auto"/>
              </w:rPr>
            </w:pPr>
            <w:r>
              <w:rPr>
                <w:rFonts w:ascii="Arial" w:cs="Arial" w:eastAsia="Arial" w:hAnsi="Arial"/>
                <w:sz w:val="18"/>
                <w:szCs w:val="18"/>
                <w:color w:val="auto"/>
              </w:rPr>
              <w:t>Escondido, CA</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FR FEDERAL PLAZA, INC.,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7"/>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Delaware corporation</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Material subsidiary</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Nature of</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Material and/or</w:t>
            </w:r>
          </w:p>
        </w:tc>
        <w:tc>
          <w:tcPr>
            <w:tcW w:w="120" w:type="dxa"/>
            <w:vAlign w:val="bottom"/>
          </w:tcPr>
          <w:p>
            <w:pPr>
              <w:spacing w:after="0"/>
              <w:rPr>
                <w:sz w:val="14"/>
                <w:szCs w:val="14"/>
                <w:color w:val="auto"/>
              </w:rPr>
            </w:pPr>
          </w:p>
        </w:tc>
        <w:tc>
          <w:tcPr>
            <w:tcW w:w="2280" w:type="dxa"/>
            <w:vAlign w:val="bottom"/>
          </w:tcPr>
          <w:p>
            <w:pPr>
              <w:ind w:left="700"/>
              <w:spacing w:after="0"/>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 Ownership</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Excluded Subsidiary</w:t>
            </w:r>
          </w:p>
        </w:tc>
        <w:tc>
          <w:tcPr>
            <w:tcW w:w="120" w:type="dxa"/>
            <w:vAlign w:val="bottom"/>
          </w:tcPr>
          <w:p>
            <w:pPr>
              <w:spacing w:after="0"/>
              <w:rPr>
                <w:sz w:val="15"/>
                <w:szCs w:val="15"/>
                <w:color w:val="auto"/>
              </w:rPr>
            </w:pPr>
          </w:p>
        </w:tc>
        <w:tc>
          <w:tcPr>
            <w:tcW w:w="2280" w:type="dxa"/>
            <w:vAlign w:val="bottom"/>
          </w:tcPr>
          <w:p>
            <w:pPr>
              <w:ind w:left="440"/>
              <w:spacing w:after="0"/>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FR FEDERAL PLAZA, LLC,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9"/>
              </w:rPr>
              <w:t>FR Federal Plaza,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7"/>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6"/>
              </w:rPr>
              <w:t>Delaware limited liability company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FR LEESBURG PLAZA, LLC,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7"/>
              </w:rPr>
              <w:t>Excluded subsidiary</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FR LEESBURG PLAZA, LP, a</w:t>
            </w: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restart"/>
          </w:tcPr>
          <w:p>
            <w:pPr>
              <w:spacing w:after="0"/>
              <w:rPr>
                <w:sz w:val="20"/>
                <w:szCs w:val="20"/>
                <w:color w:val="auto"/>
              </w:rPr>
            </w:pPr>
            <w:r>
              <w:rPr>
                <w:rFonts w:ascii="Arial" w:cs="Arial" w:eastAsia="Arial" w:hAnsi="Arial"/>
                <w:sz w:val="18"/>
                <w:szCs w:val="18"/>
                <w:color w:val="auto"/>
                <w:w w:val="97"/>
              </w:rPr>
              <w:t>Excluded subsidiary</w:t>
            </w:r>
          </w:p>
        </w:tc>
        <w:tc>
          <w:tcPr>
            <w:tcW w:w="120" w:type="dxa"/>
            <w:vAlign w:val="bottom"/>
            <w:vMerge w:val="restart"/>
          </w:tcPr>
          <w:p>
            <w:pPr>
              <w:spacing w:after="0"/>
              <w:rPr>
                <w:sz w:val="9"/>
                <w:szCs w:val="9"/>
                <w:color w:val="auto"/>
              </w:rPr>
            </w:pPr>
          </w:p>
        </w:tc>
        <w:tc>
          <w:tcPr>
            <w:tcW w:w="2280" w:type="dxa"/>
            <w:vAlign w:val="bottom"/>
            <w:vMerge w:val="restart"/>
          </w:tcPr>
          <w:p>
            <w:pPr>
              <w:spacing w:after="0"/>
              <w:rPr>
                <w:sz w:val="20"/>
                <w:szCs w:val="20"/>
                <w:color w:val="auto"/>
              </w:rPr>
            </w:pPr>
            <w:r>
              <w:rPr>
                <w:rFonts w:ascii="Arial" w:cs="Arial" w:eastAsia="Arial" w:hAnsi="Arial"/>
                <w:sz w:val="18"/>
                <w:szCs w:val="18"/>
                <w:color w:val="auto"/>
                <w:w w:val="89"/>
              </w:rPr>
              <w:t>• Right to exchange partnership</w:t>
            </w:r>
          </w:p>
        </w:tc>
        <w:tc>
          <w:tcPr>
            <w:tcW w:w="0" w:type="dxa"/>
            <w:vAlign w:val="bottom"/>
          </w:tcPr>
          <w:p>
            <w:pPr>
              <w:spacing w:after="0"/>
              <w:rPr>
                <w:sz w:val="1"/>
                <w:szCs w:val="1"/>
                <w:color w:val="auto"/>
              </w:rPr>
            </w:pPr>
          </w:p>
        </w:tc>
      </w:tr>
      <w:tr>
        <w:trPr>
          <w:trHeight w:val="208"/>
        </w:trPr>
        <w:tc>
          <w:tcPr>
            <w:tcW w:w="2640" w:type="dxa"/>
            <w:vAlign w:val="bottom"/>
            <w:gridSpan w:val="2"/>
            <w:vMerge w:val="continu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FR Leesburg Plaza,</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316,233 units</w:t>
            </w:r>
          </w:p>
        </w:tc>
        <w:tc>
          <w:tcPr>
            <w:tcW w:w="15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units for Federal Realty</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(DownREIT)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stock or cash (at Federal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2280" w:type="dxa"/>
            <w:vAlign w:val="bottom"/>
            <w:vMerge w:val="restart"/>
          </w:tcPr>
          <w:p>
            <w:pPr>
              <w:ind w:left="220"/>
              <w:spacing w:after="0"/>
              <w:rPr>
                <w:sz w:val="20"/>
                <w:szCs w:val="20"/>
                <w:color w:val="auto"/>
              </w:rPr>
            </w:pPr>
            <w:r>
              <w:rPr>
                <w:rFonts w:ascii="Arial" w:cs="Arial" w:eastAsia="Arial" w:hAnsi="Arial"/>
                <w:sz w:val="18"/>
                <w:szCs w:val="18"/>
                <w:color w:val="auto"/>
              </w:rPr>
              <w:t>Realty’s option); and</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vMerge w:val="restart"/>
          </w:tcPr>
          <w:p>
            <w:pPr>
              <w:spacing w:after="0"/>
              <w:rPr>
                <w:sz w:val="20"/>
                <w:szCs w:val="20"/>
                <w:color w:val="auto"/>
              </w:rPr>
            </w:pPr>
            <w:r>
              <w:rPr>
                <w:rFonts w:ascii="Arial" w:cs="Arial" w:eastAsia="Arial" w:hAnsi="Arial"/>
                <w:sz w:val="18"/>
                <w:szCs w:val="18"/>
                <w:color w:val="auto"/>
              </w:rPr>
              <w:t>Paulson Brothers,</w:t>
            </w:r>
          </w:p>
        </w:tc>
        <w:tc>
          <w:tcPr>
            <w:tcW w:w="120" w:type="dxa"/>
            <w:vAlign w:val="bottom"/>
          </w:tcPr>
          <w:p>
            <w:pPr>
              <w:spacing w:after="0"/>
              <w:rPr>
                <w:sz w:val="8"/>
                <w:szCs w:val="8"/>
                <w:color w:val="auto"/>
              </w:rPr>
            </w:pPr>
          </w:p>
        </w:tc>
        <w:tc>
          <w:tcPr>
            <w:tcW w:w="1360" w:type="dxa"/>
            <w:vAlign w:val="bottom"/>
            <w:vMerge w:val="restart"/>
          </w:tcPr>
          <w:p>
            <w:pPr>
              <w:spacing w:after="0"/>
              <w:rPr>
                <w:sz w:val="20"/>
                <w:szCs w:val="20"/>
                <w:color w:val="auto"/>
              </w:rPr>
            </w:pPr>
            <w:r>
              <w:rPr>
                <w:rFonts w:ascii="Arial" w:cs="Arial" w:eastAsia="Arial" w:hAnsi="Arial"/>
                <w:sz w:val="18"/>
                <w:szCs w:val="18"/>
                <w:color w:val="auto"/>
              </w:rPr>
              <w:t>Limited partner</w:t>
            </w:r>
          </w:p>
        </w:tc>
        <w:tc>
          <w:tcPr>
            <w:tcW w:w="100" w:type="dxa"/>
            <w:vAlign w:val="bottom"/>
          </w:tcPr>
          <w:p>
            <w:pPr>
              <w:spacing w:after="0"/>
              <w:rPr>
                <w:sz w:val="8"/>
                <w:szCs w:val="8"/>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36,267 units</w:t>
            </w:r>
          </w:p>
        </w:tc>
        <w:tc>
          <w:tcPr>
            <w:tcW w:w="15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line="122" w:lineRule="exact"/>
              <w:rPr>
                <w:sz w:val="20"/>
                <w:szCs w:val="20"/>
                <w:color w:val="auto"/>
              </w:rPr>
            </w:pPr>
            <w:r>
              <w:rPr>
                <w:rFonts w:ascii="Arial" w:cs="Arial" w:eastAsia="Arial" w:hAnsi="Arial"/>
                <w:sz w:val="14"/>
                <w:szCs w:val="14"/>
                <w:color w:val="auto"/>
              </w:rPr>
              <w:t>• Registration rights for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-621030</wp:posOffset>
            </wp:positionV>
            <wp:extent cx="7246620" cy="9690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969010"/>
                    </a:xfrm>
                    <a:prstGeom prst="rect">
                      <a:avLst/>
                    </a:prstGeom>
                    <a:noFill/>
                  </pic:spPr>
                </pic:pic>
              </a:graphicData>
            </a:graphic>
          </wp:anchor>
        </w:drawing>
      </w:r>
    </w:p>
    <w:tbl>
      <w:tblPr>
        <w:tblLayout w:type="fixed"/>
        <w:tblInd w:w="276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L.L.C.</w:t>
            </w:r>
          </w:p>
        </w:tc>
        <w:tc>
          <w:tcPr>
            <w:tcW w:w="4740" w:type="dxa"/>
            <w:vAlign w:val="bottom"/>
            <w:vMerge w:val="restart"/>
          </w:tcPr>
          <w:p>
            <w:pPr>
              <w:ind w:left="3060"/>
              <w:spacing w:after="0"/>
              <w:rPr>
                <w:sz w:val="20"/>
                <w:szCs w:val="20"/>
                <w:color w:val="auto"/>
              </w:rPr>
            </w:pPr>
            <w:r>
              <w:rPr>
                <w:rFonts w:ascii="Arial" w:cs="Arial" w:eastAsia="Arial" w:hAnsi="Arial"/>
                <w:sz w:val="18"/>
                <w:szCs w:val="18"/>
                <w:color w:val="auto"/>
                <w:w w:val="86"/>
              </w:rPr>
              <w:t>issued on redemption of</w:t>
            </w:r>
          </w:p>
        </w:tc>
        <w:tc>
          <w:tcPr>
            <w:tcW w:w="0" w:type="dxa"/>
            <w:vAlign w:val="bottom"/>
          </w:tcPr>
          <w:p>
            <w:pPr>
              <w:spacing w:after="0"/>
              <w:rPr>
                <w:sz w:val="1"/>
                <w:szCs w:val="1"/>
                <w:color w:val="auto"/>
              </w:rPr>
            </w:pPr>
          </w:p>
        </w:tc>
      </w:tr>
      <w:tr>
        <w:trPr>
          <w:trHeight w:val="87"/>
        </w:trPr>
        <w:tc>
          <w:tcPr>
            <w:tcW w:w="3540" w:type="dxa"/>
            <w:vAlign w:val="bottom"/>
          </w:tcPr>
          <w:p>
            <w:pPr>
              <w:spacing w:after="0"/>
              <w:rPr>
                <w:sz w:val="7"/>
                <w:szCs w:val="7"/>
                <w:color w:val="auto"/>
              </w:rPr>
            </w:pPr>
          </w:p>
        </w:tc>
        <w:tc>
          <w:tcPr>
            <w:tcW w:w="4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4740" w:type="dxa"/>
            <w:vAlign w:val="bottom"/>
          </w:tcPr>
          <w:p>
            <w:pPr>
              <w:ind w:left="3060"/>
              <w:spacing w:after="0"/>
              <w:rPr>
                <w:sz w:val="20"/>
                <w:szCs w:val="20"/>
                <w:color w:val="auto"/>
              </w:rPr>
            </w:pPr>
            <w:r>
              <w:rPr>
                <w:rFonts w:ascii="Arial" w:cs="Arial" w:eastAsia="Arial" w:hAnsi="Arial"/>
                <w:sz w:val="18"/>
                <w:szCs w:val="18"/>
                <w:color w:val="auto"/>
              </w:rPr>
              <w:t>partnership units.</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1">
            <w:col w:w="1142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CONGRESSIONAL PLAZA</w:t>
            </w:r>
          </w:p>
        </w:tc>
        <w:tc>
          <w:tcPr>
            <w:tcW w:w="1660" w:type="dxa"/>
            <w:vAlign w:val="bottom"/>
          </w:tcPr>
          <w:p>
            <w:pPr>
              <w:ind w:left="80"/>
              <w:spacing w:after="0"/>
              <w:rPr>
                <w:sz w:val="20"/>
                <w:szCs w:val="20"/>
                <w:color w:val="auto"/>
              </w:rPr>
            </w:pPr>
            <w:r>
              <w:rPr>
                <w:rFonts w:ascii="Arial" w:cs="Arial" w:eastAsia="Arial" w:hAnsi="Arial"/>
                <w:sz w:val="18"/>
                <w:szCs w:val="18"/>
                <w:color w:val="auto"/>
              </w:rPr>
              <w:t>Federal Realty</w:t>
            </w:r>
          </w:p>
        </w:tc>
        <w:tc>
          <w:tcPr>
            <w:tcW w:w="1720" w:type="dxa"/>
            <w:vAlign w:val="bottom"/>
          </w:tcPr>
          <w:p>
            <w:pPr>
              <w:ind w:left="160"/>
              <w:spacing w:after="0"/>
              <w:rPr>
                <w:sz w:val="20"/>
                <w:szCs w:val="20"/>
                <w:color w:val="auto"/>
              </w:rPr>
            </w:pPr>
            <w:r>
              <w:rPr>
                <w:rFonts w:ascii="Arial" w:cs="Arial" w:eastAsia="Arial" w:hAnsi="Arial"/>
                <w:sz w:val="18"/>
                <w:szCs w:val="18"/>
                <w:color w:val="auto"/>
              </w:rPr>
              <w:t>Managing member</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64.1030%</w:t>
            </w:r>
          </w:p>
        </w:tc>
        <w:tc>
          <w:tcPr>
            <w:tcW w:w="1800" w:type="dxa"/>
            <w:vAlign w:val="bottom"/>
            <w:gridSpan w:val="2"/>
          </w:tcPr>
          <w:p>
            <w:pPr>
              <w:ind w:left="220"/>
              <w:spacing w:after="0"/>
              <w:rPr>
                <w:sz w:val="20"/>
                <w:szCs w:val="20"/>
                <w:color w:val="auto"/>
              </w:rPr>
            </w:pPr>
            <w:r>
              <w:rPr>
                <w:rFonts w:ascii="Arial" w:cs="Arial" w:eastAsia="Arial" w:hAnsi="Arial"/>
                <w:sz w:val="18"/>
                <w:szCs w:val="18"/>
                <w:color w:val="auto"/>
              </w:rPr>
              <w:t>Owner of Non-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ASSOCIATES, LLC, a Maryland</w:t>
            </w:r>
          </w:p>
        </w:tc>
        <w:tc>
          <w:tcPr>
            <w:tcW w:w="1660" w:type="dxa"/>
            <w:vAlign w:val="bottom"/>
          </w:tcPr>
          <w:p>
            <w:pPr>
              <w:ind w:left="80"/>
              <w:spacing w:after="0"/>
              <w:rPr>
                <w:sz w:val="20"/>
                <w:szCs w:val="20"/>
                <w:color w:val="auto"/>
              </w:rPr>
            </w:pPr>
            <w:r>
              <w:rPr>
                <w:rFonts w:ascii="Arial" w:cs="Arial" w:eastAsia="Arial" w:hAnsi="Arial"/>
                <w:sz w:val="18"/>
                <w:szCs w:val="18"/>
                <w:color w:val="auto"/>
              </w:rPr>
              <w:t>Investment Trust</w:t>
            </w: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gridSpan w:val="2"/>
          </w:tcPr>
          <w:p>
            <w:pPr>
              <w:ind w:left="220"/>
              <w:spacing w:after="0"/>
              <w:rPr>
                <w:sz w:val="20"/>
                <w:szCs w:val="20"/>
                <w:color w:val="auto"/>
              </w:rPr>
            </w:pPr>
            <w:r>
              <w:rPr>
                <w:rFonts w:ascii="Arial" w:cs="Arial" w:eastAsia="Arial" w:hAnsi="Arial"/>
                <w:sz w:val="18"/>
                <w:szCs w:val="18"/>
                <w:color w:val="auto"/>
              </w:rPr>
              <w:t>Controlled Property</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limited liability company</w:t>
            </w:r>
          </w:p>
        </w:tc>
        <w:tc>
          <w:tcPr>
            <w:tcW w:w="1660" w:type="dxa"/>
            <w:vAlign w:val="bottom"/>
            <w:vMerge w:val="restart"/>
          </w:tcPr>
          <w:p>
            <w:pPr>
              <w:ind w:left="80"/>
              <w:spacing w:after="0"/>
              <w:rPr>
                <w:sz w:val="20"/>
                <w:szCs w:val="20"/>
                <w:color w:val="auto"/>
              </w:rPr>
            </w:pPr>
            <w:r>
              <w:rPr>
                <w:rFonts w:ascii="Arial" w:cs="Arial" w:eastAsia="Arial" w:hAnsi="Arial"/>
                <w:sz w:val="18"/>
                <w:szCs w:val="18"/>
                <w:color w:val="auto"/>
              </w:rPr>
              <w:t>Rockville Plaza</w:t>
            </w:r>
          </w:p>
        </w:tc>
        <w:tc>
          <w:tcPr>
            <w:tcW w:w="1720" w:type="dxa"/>
            <w:vAlign w:val="bottom"/>
            <w:vMerge w:val="restart"/>
          </w:tcPr>
          <w:p>
            <w:pPr>
              <w:ind w:left="160"/>
              <w:spacing w:after="0"/>
              <w:rPr>
                <w:sz w:val="20"/>
                <w:szCs w:val="20"/>
                <w:color w:val="auto"/>
              </w:rPr>
            </w:pPr>
            <w:r>
              <w:rPr>
                <w:rFonts w:ascii="Arial" w:cs="Arial" w:eastAsia="Arial" w:hAnsi="Arial"/>
                <w:sz w:val="18"/>
                <w:szCs w:val="18"/>
                <w:color w:val="auto"/>
              </w:rPr>
              <w:t>Member</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8"/>
              </w:rPr>
              <w:t>29.4673%</w:t>
            </w:r>
          </w:p>
        </w:tc>
        <w:tc>
          <w:tcPr>
            <w:tcW w:w="32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1480" w:type="dxa"/>
            <w:vAlign w:val="bottom"/>
            <w:vMerge w:val="restart"/>
          </w:tcPr>
          <w:p>
            <w:pPr>
              <w:ind w:left="40"/>
              <w:spacing w:after="0"/>
              <w:rPr>
                <w:sz w:val="20"/>
                <w:szCs w:val="20"/>
                <w:color w:val="auto"/>
              </w:rPr>
            </w:pPr>
            <w:r>
              <w:rPr>
                <w:rFonts w:ascii="Arial" w:cs="Arial" w:eastAsia="Arial" w:hAnsi="Arial"/>
                <w:sz w:val="18"/>
                <w:szCs w:val="18"/>
                <w:color w:val="auto"/>
                <w:w w:val="85"/>
              </w:rPr>
              <w:t>Congressional Plaza</w:t>
            </w:r>
          </w:p>
        </w:tc>
        <w:tc>
          <w:tcPr>
            <w:tcW w:w="0" w:type="dxa"/>
            <w:vAlign w:val="bottom"/>
          </w:tcPr>
          <w:p>
            <w:pPr>
              <w:spacing w:after="0"/>
              <w:rPr>
                <w:sz w:val="1"/>
                <w:szCs w:val="1"/>
                <w:color w:val="auto"/>
              </w:rPr>
            </w:pPr>
          </w:p>
        </w:tc>
      </w:tr>
      <w:tr>
        <w:trPr>
          <w:trHeight w:val="75"/>
        </w:trPr>
        <w:tc>
          <w:tcPr>
            <w:tcW w:w="26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vMerge w:val="restart"/>
          </w:tcPr>
          <w:p>
            <w:pPr>
              <w:ind w:left="120"/>
              <w:spacing w:after="0"/>
              <w:rPr>
                <w:sz w:val="20"/>
                <w:szCs w:val="20"/>
                <w:color w:val="auto"/>
              </w:rPr>
            </w:pPr>
            <w:r>
              <w:rPr>
                <w:rFonts w:ascii="Arial" w:cs="Arial" w:eastAsia="Arial" w:hAnsi="Arial"/>
                <w:sz w:val="18"/>
                <w:szCs w:val="18"/>
                <w:color w:val="auto"/>
                <w:w w:val="95"/>
              </w:rPr>
              <w:t>Shopping Center,</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1660" w:type="dxa"/>
            <w:vAlign w:val="bottom"/>
            <w:vMerge w:val="restart"/>
          </w:tcPr>
          <w:p>
            <w:pPr>
              <w:ind w:left="80"/>
              <w:spacing w:after="0"/>
              <w:rPr>
                <w:sz w:val="20"/>
                <w:szCs w:val="20"/>
                <w:color w:val="auto"/>
              </w:rPr>
            </w:pPr>
            <w:r>
              <w:rPr>
                <w:rFonts w:ascii="Arial" w:cs="Arial" w:eastAsia="Arial" w:hAnsi="Arial"/>
                <w:sz w:val="18"/>
                <w:szCs w:val="18"/>
                <w:color w:val="auto"/>
              </w:rPr>
              <w:t>Company</w:t>
            </w:r>
          </w:p>
        </w:tc>
        <w:tc>
          <w:tcPr>
            <w:tcW w:w="1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vMerge w:val="restart"/>
          </w:tcPr>
          <w:p>
            <w:pPr>
              <w:ind w:left="120"/>
              <w:spacing w:after="0"/>
              <w:rPr>
                <w:sz w:val="20"/>
                <w:szCs w:val="20"/>
                <w:color w:val="auto"/>
              </w:rPr>
            </w:pPr>
            <w:r>
              <w:rPr>
                <w:rFonts w:ascii="Arial" w:cs="Arial" w:eastAsia="Arial" w:hAnsi="Arial"/>
                <w:sz w:val="18"/>
                <w:szCs w:val="18"/>
                <w:color w:val="auto"/>
              </w:rPr>
              <w:t>Rockville, MD</w:t>
            </w:r>
          </w:p>
        </w:tc>
        <w:tc>
          <w:tcPr>
            <w:tcW w:w="0" w:type="dxa"/>
            <w:vAlign w:val="bottom"/>
          </w:tcPr>
          <w:p>
            <w:pPr>
              <w:spacing w:after="0"/>
              <w:rPr>
                <w:sz w:val="1"/>
                <w:szCs w:val="1"/>
                <w:color w:val="auto"/>
              </w:rPr>
            </w:pPr>
          </w:p>
        </w:tc>
      </w:tr>
      <w:tr>
        <w:trPr>
          <w:trHeight w:val="88"/>
        </w:trPr>
        <w:tc>
          <w:tcPr>
            <w:tcW w:w="26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660" w:type="dxa"/>
            <w:vAlign w:val="bottom"/>
            <w:vMerge w:val="restart"/>
          </w:tcPr>
          <w:p>
            <w:pPr>
              <w:ind w:left="80"/>
              <w:spacing w:after="0"/>
              <w:rPr>
                <w:sz w:val="20"/>
                <w:szCs w:val="20"/>
                <w:color w:val="auto"/>
              </w:rPr>
            </w:pPr>
            <w:r>
              <w:rPr>
                <w:rFonts w:ascii="Arial" w:cs="Arial" w:eastAsia="Arial" w:hAnsi="Arial"/>
                <w:sz w:val="18"/>
                <w:szCs w:val="18"/>
                <w:color w:val="auto"/>
                <w:w w:val="94"/>
              </w:rPr>
              <w:t>Congressional Plaza</w:t>
            </w:r>
          </w:p>
        </w:tc>
        <w:tc>
          <w:tcPr>
            <w:tcW w:w="1720" w:type="dxa"/>
            <w:vAlign w:val="bottom"/>
            <w:vMerge w:val="restart"/>
          </w:tcPr>
          <w:p>
            <w:pPr>
              <w:ind w:left="160"/>
              <w:spacing w:after="0"/>
              <w:rPr>
                <w:sz w:val="20"/>
                <w:szCs w:val="20"/>
                <w:color w:val="auto"/>
              </w:rPr>
            </w:pPr>
            <w:r>
              <w:rPr>
                <w:rFonts w:ascii="Arial" w:cs="Arial" w:eastAsia="Arial" w:hAnsi="Arial"/>
                <w:sz w:val="18"/>
                <w:szCs w:val="18"/>
                <w:color w:val="auto"/>
              </w:rPr>
              <w:t>Member</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7"/>
              </w:rPr>
              <w:t>5.0951%</w:t>
            </w:r>
          </w:p>
        </w:tc>
        <w:tc>
          <w:tcPr>
            <w:tcW w:w="320" w:type="dxa"/>
            <w:vAlign w:val="bottom"/>
          </w:tcPr>
          <w:p>
            <w:pPr>
              <w:ind w:left="220"/>
              <w:spacing w:after="0"/>
              <w:rPr>
                <w:sz w:val="20"/>
                <w:szCs w:val="20"/>
                <w:color w:val="auto"/>
              </w:rPr>
            </w:pPr>
            <w:r>
              <w:rPr>
                <w:rFonts w:ascii="Arial" w:cs="Arial" w:eastAsia="Arial" w:hAnsi="Arial"/>
                <w:sz w:val="18"/>
                <w:szCs w:val="18"/>
                <w:color w:val="auto"/>
              </w:rPr>
              <w:t>•</w:t>
            </w:r>
          </w:p>
        </w:tc>
        <w:tc>
          <w:tcPr>
            <w:tcW w:w="1480" w:type="dxa"/>
            <w:vAlign w:val="bottom"/>
          </w:tcPr>
          <w:p>
            <w:pPr>
              <w:ind w:left="40"/>
              <w:spacing w:after="0"/>
              <w:rPr>
                <w:sz w:val="20"/>
                <w:szCs w:val="20"/>
                <w:color w:val="auto"/>
              </w:rPr>
            </w:pPr>
            <w:r>
              <w:rPr>
                <w:rFonts w:ascii="Arial" w:cs="Arial" w:eastAsia="Arial" w:hAnsi="Arial"/>
                <w:sz w:val="18"/>
                <w:szCs w:val="18"/>
                <w:color w:val="auto"/>
              </w:rPr>
              <w:t>The Crest at</w:t>
            </w: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vMerge w:val="restart"/>
          </w:tcPr>
          <w:p>
            <w:pPr>
              <w:ind w:left="120"/>
              <w:spacing w:after="0"/>
              <w:rPr>
                <w:sz w:val="20"/>
                <w:szCs w:val="20"/>
                <w:color w:val="auto"/>
              </w:rPr>
            </w:pPr>
            <w:r>
              <w:rPr>
                <w:rFonts w:ascii="Arial" w:cs="Arial" w:eastAsia="Arial" w:hAnsi="Arial"/>
                <w:sz w:val="18"/>
                <w:szCs w:val="18"/>
                <w:color w:val="auto"/>
              </w:rPr>
              <w:t>Congressional</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1660" w:type="dxa"/>
            <w:vAlign w:val="bottom"/>
            <w:vMerge w:val="restart"/>
          </w:tcPr>
          <w:p>
            <w:pPr>
              <w:ind w:left="80"/>
              <w:spacing w:after="0"/>
              <w:rPr>
                <w:sz w:val="20"/>
                <w:szCs w:val="20"/>
                <w:color w:val="auto"/>
              </w:rPr>
            </w:pPr>
            <w:r>
              <w:rPr>
                <w:rFonts w:ascii="Arial" w:cs="Arial" w:eastAsia="Arial" w:hAnsi="Arial"/>
                <w:sz w:val="18"/>
                <w:szCs w:val="18"/>
                <w:color w:val="auto"/>
              </w:rPr>
              <w:t>One, L.L.C.</w:t>
            </w:r>
          </w:p>
        </w:tc>
        <w:tc>
          <w:tcPr>
            <w:tcW w:w="1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vMerge w:val="restart"/>
          </w:tcPr>
          <w:p>
            <w:pPr>
              <w:ind w:left="120"/>
              <w:spacing w:after="0"/>
              <w:rPr>
                <w:sz w:val="20"/>
                <w:szCs w:val="20"/>
                <w:color w:val="auto"/>
              </w:rPr>
            </w:pPr>
            <w:r>
              <w:rPr>
                <w:rFonts w:ascii="Arial" w:cs="Arial" w:eastAsia="Arial" w:hAnsi="Arial"/>
                <w:sz w:val="18"/>
                <w:szCs w:val="18"/>
                <w:color w:val="auto"/>
              </w:rPr>
              <w:t>Plaza, Rockville,</w:t>
            </w:r>
          </w:p>
        </w:tc>
        <w:tc>
          <w:tcPr>
            <w:tcW w:w="0" w:type="dxa"/>
            <w:vAlign w:val="bottom"/>
          </w:tcPr>
          <w:p>
            <w:pPr>
              <w:spacing w:after="0"/>
              <w:rPr>
                <w:sz w:val="1"/>
                <w:szCs w:val="1"/>
                <w:color w:val="auto"/>
              </w:rPr>
            </w:pPr>
          </w:p>
        </w:tc>
      </w:tr>
      <w:tr>
        <w:trPr>
          <w:trHeight w:val="88"/>
        </w:trPr>
        <w:tc>
          <w:tcPr>
            <w:tcW w:w="26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660" w:type="dxa"/>
            <w:vAlign w:val="bottom"/>
            <w:vMerge w:val="restart"/>
          </w:tcPr>
          <w:p>
            <w:pPr>
              <w:ind w:left="80"/>
              <w:spacing w:after="0"/>
              <w:rPr>
                <w:sz w:val="20"/>
                <w:szCs w:val="20"/>
                <w:color w:val="auto"/>
              </w:rPr>
            </w:pPr>
            <w:r>
              <w:rPr>
                <w:rFonts w:ascii="Arial" w:cs="Arial" w:eastAsia="Arial" w:hAnsi="Arial"/>
                <w:sz w:val="18"/>
                <w:szCs w:val="18"/>
                <w:color w:val="auto"/>
              </w:rPr>
              <w:t>Daniel Lyons</w:t>
            </w:r>
          </w:p>
        </w:tc>
        <w:tc>
          <w:tcPr>
            <w:tcW w:w="1720" w:type="dxa"/>
            <w:vAlign w:val="bottom"/>
            <w:vMerge w:val="restart"/>
          </w:tcPr>
          <w:p>
            <w:pPr>
              <w:ind w:left="160"/>
              <w:spacing w:after="0"/>
              <w:rPr>
                <w:sz w:val="20"/>
                <w:szCs w:val="20"/>
                <w:color w:val="auto"/>
              </w:rPr>
            </w:pPr>
            <w:r>
              <w:rPr>
                <w:rFonts w:ascii="Arial" w:cs="Arial" w:eastAsia="Arial" w:hAnsi="Arial"/>
                <w:sz w:val="18"/>
                <w:szCs w:val="18"/>
                <w:color w:val="auto"/>
              </w:rPr>
              <w:t>Member</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7"/>
              </w:rPr>
              <w:t>1.3346%</w:t>
            </w:r>
          </w:p>
        </w:tc>
        <w:tc>
          <w:tcPr>
            <w:tcW w:w="3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Material Subsidiary</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2680" w:type="dxa"/>
            <w:vAlign w:val="bottom"/>
          </w:tcPr>
          <w:p>
            <w:pPr>
              <w:spacing w:after="0"/>
              <w:rPr>
                <w:sz w:val="20"/>
                <w:szCs w:val="20"/>
                <w:color w:val="auto"/>
              </w:rPr>
            </w:pPr>
            <w:r>
              <w:rPr>
                <w:rFonts w:ascii="Arial" w:cs="Arial" w:eastAsia="Arial" w:hAnsi="Arial"/>
                <w:sz w:val="18"/>
                <w:szCs w:val="18"/>
                <w:b w:val="1"/>
                <w:bCs w:val="1"/>
                <w:color w:val="auto"/>
              </w:rPr>
              <w:t>FEDERAL REALTY</w:t>
            </w: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MANAGEMENT SERVICES,</w:t>
            </w: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w w:val="94"/>
              </w:rPr>
              <w:t>INC., a Delaware corporation (TO</w:t>
            </w: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20"/>
                <w:szCs w:val="20"/>
                <w:color w:val="auto"/>
              </w:rPr>
            </w:pPr>
            <w:r>
              <w:rPr>
                <w:rFonts w:ascii="Arial" w:cs="Arial" w:eastAsia="Arial" w:hAnsi="Arial"/>
                <w:sz w:val="18"/>
                <w:szCs w:val="18"/>
                <w:b w:val="1"/>
                <w:bCs w:val="1"/>
                <w:color w:val="auto"/>
              </w:rPr>
              <w:t>BE DISSOLVED)</w:t>
            </w:r>
          </w:p>
        </w:tc>
        <w:tc>
          <w:tcPr>
            <w:tcW w:w="1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680" w:type="dxa"/>
            <w:vAlign w:val="bottom"/>
          </w:tcPr>
          <w:p>
            <w:pPr>
              <w:spacing w:after="0"/>
              <w:rPr>
                <w:sz w:val="20"/>
                <w:szCs w:val="20"/>
                <w:color w:val="auto"/>
              </w:rPr>
            </w:pPr>
            <w:r>
              <w:rPr>
                <w:rFonts w:ascii="Arial" w:cs="Arial" w:eastAsia="Arial" w:hAnsi="Arial"/>
                <w:sz w:val="18"/>
                <w:szCs w:val="18"/>
                <w:color w:val="auto"/>
              </w:rPr>
              <w:t>FRIT LEASING &amp;</w:t>
            </w:r>
          </w:p>
        </w:tc>
        <w:tc>
          <w:tcPr>
            <w:tcW w:w="1660" w:type="dxa"/>
            <w:vAlign w:val="bottom"/>
          </w:tcPr>
          <w:p>
            <w:pPr>
              <w:ind w:left="80"/>
              <w:spacing w:after="0"/>
              <w:rPr>
                <w:sz w:val="20"/>
                <w:szCs w:val="20"/>
                <w:color w:val="auto"/>
              </w:rPr>
            </w:pPr>
            <w:r>
              <w:rPr>
                <w:rFonts w:ascii="Arial" w:cs="Arial" w:eastAsia="Arial" w:hAnsi="Arial"/>
                <w:sz w:val="18"/>
                <w:szCs w:val="18"/>
                <w:color w:val="auto"/>
              </w:rPr>
              <w:t>Federal Realty</w:t>
            </w:r>
          </w:p>
        </w:tc>
        <w:tc>
          <w:tcPr>
            <w:tcW w:w="1720" w:type="dxa"/>
            <w:vAlign w:val="bottom"/>
          </w:tcPr>
          <w:p>
            <w:pPr>
              <w:ind w:left="160"/>
              <w:spacing w:after="0"/>
              <w:rPr>
                <w:sz w:val="20"/>
                <w:szCs w:val="20"/>
                <w:color w:val="auto"/>
              </w:rPr>
            </w:pPr>
            <w:r>
              <w:rPr>
                <w:rFonts w:ascii="Arial" w:cs="Arial" w:eastAsia="Arial" w:hAnsi="Arial"/>
                <w:sz w:val="18"/>
                <w:szCs w:val="18"/>
                <w:color w:val="auto"/>
              </w:rPr>
              <w:t>Sole</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DEVELOPMENT SERVICES,</w:t>
            </w:r>
          </w:p>
        </w:tc>
        <w:tc>
          <w:tcPr>
            <w:tcW w:w="1660" w:type="dxa"/>
            <w:vAlign w:val="bottom"/>
          </w:tcPr>
          <w:p>
            <w:pPr>
              <w:ind w:left="80"/>
              <w:spacing w:after="0"/>
              <w:rPr>
                <w:sz w:val="20"/>
                <w:szCs w:val="20"/>
                <w:color w:val="auto"/>
              </w:rPr>
            </w:pPr>
            <w:r>
              <w:rPr>
                <w:rFonts w:ascii="Arial" w:cs="Arial" w:eastAsia="Arial" w:hAnsi="Arial"/>
                <w:sz w:val="18"/>
                <w:szCs w:val="18"/>
                <w:color w:val="auto"/>
              </w:rPr>
              <w:t>Investment Trust</w:t>
            </w:r>
          </w:p>
        </w:tc>
        <w:tc>
          <w:tcPr>
            <w:tcW w:w="1720" w:type="dxa"/>
            <w:vAlign w:val="bottom"/>
          </w:tcPr>
          <w:p>
            <w:pPr>
              <w:ind w:left="160"/>
              <w:spacing w:after="0"/>
              <w:rPr>
                <w:sz w:val="20"/>
                <w:szCs w:val="20"/>
                <w:color w:val="auto"/>
              </w:rPr>
            </w:pPr>
            <w:r>
              <w:rPr>
                <w:rFonts w:ascii="Arial" w:cs="Arial" w:eastAsia="Arial" w:hAnsi="Arial"/>
                <w:sz w:val="18"/>
                <w:szCs w:val="18"/>
                <w:color w:val="auto"/>
              </w:rPr>
              <w:t>stockholder</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INC., a Delaware corporation</w:t>
            </w:r>
          </w:p>
        </w:tc>
        <w:tc>
          <w:tcPr>
            <w:tcW w:w="1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-1027430</wp:posOffset>
            </wp:positionV>
            <wp:extent cx="7246620" cy="5486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2" w:right="80" w:hanging="222"/>
        <w:spacing w:after="0" w:line="255" w:lineRule="auto"/>
        <w:tabs>
          <w:tab w:leader="none" w:pos="15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Rockville Plaza Company (“RPC”) has right to require other partners to buy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to all of RPC’s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
        <w:spacing w:after="0"/>
        <w:rPr>
          <w:sz w:val="20"/>
          <w:szCs w:val="20"/>
          <w:color w:val="auto"/>
        </w:rPr>
      </w:pPr>
      <w:r>
        <w:rPr>
          <w:rFonts w:ascii="Arial" w:cs="Arial" w:eastAsia="Arial" w:hAnsi="Arial"/>
          <w:sz w:val="18"/>
          <w:szCs w:val="18"/>
          <w:color w:val="auto"/>
        </w:rPr>
        <w:t>None</w:t>
      </w:r>
    </w:p>
    <w:p>
      <w:pPr>
        <w:spacing w:after="0" w:line="557" w:lineRule="exact"/>
        <w:rPr>
          <w:sz w:val="20"/>
          <w:szCs w:val="20"/>
          <w:color w:val="auto"/>
        </w:rPr>
      </w:pPr>
    </w:p>
    <w:p>
      <w:pPr>
        <w:sectPr>
          <w:pgSz w:w="11900" w:h="16838" w:orient="portrait"/>
          <w:cols w:equalWidth="0" w:num="2">
            <w:col w:w="9020" w:space="118"/>
            <w:col w:w="2282"/>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7"/>
              </w:rPr>
              <w:t>FRIT SANTANA ROW TRS, INC.,</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FRIT Leasing &amp;</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Sole</w:t>
            </w:r>
          </w:p>
        </w:tc>
        <w:tc>
          <w:tcPr>
            <w:tcW w:w="2600" w:type="dxa"/>
            <w:vAlign w:val="bottom"/>
            <w:shd w:val="clear" w:color="auto" w:fill="CCEEFF"/>
          </w:tcPr>
          <w:p>
            <w:pPr>
              <w:jc w:val="right"/>
              <w:ind w:right="1052"/>
              <w:spacing w:after="0"/>
              <w:rPr>
                <w:sz w:val="20"/>
                <w:szCs w:val="20"/>
                <w:color w:val="auto"/>
              </w:rPr>
            </w:pPr>
            <w:r>
              <w:rPr>
                <w:rFonts w:ascii="Arial" w:cs="Arial" w:eastAsia="Arial" w:hAnsi="Arial"/>
                <w:sz w:val="18"/>
                <w:szCs w:val="18"/>
                <w:color w:val="auto"/>
              </w:rPr>
              <w:t>100%</w:t>
            </w:r>
          </w:p>
        </w:tc>
        <w:tc>
          <w:tcPr>
            <w:tcW w:w="34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None</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 Delaware corporation</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stockholder</w:t>
            </w:r>
          </w:p>
        </w:tc>
        <w:tc>
          <w:tcPr>
            <w:tcW w:w="26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24"/>
        </w:trPr>
        <w:tc>
          <w:tcPr>
            <w:tcW w:w="2660" w:type="dxa"/>
            <w:vAlign w:val="bottom"/>
            <w:shd w:val="clear" w:color="auto" w:fill="CCEEFF"/>
          </w:tcPr>
          <w:p>
            <w:pPr>
              <w:spacing w:after="0"/>
              <w:rPr>
                <w:sz w:val="19"/>
                <w:szCs w:val="19"/>
                <w:color w:val="auto"/>
              </w:rPr>
            </w:pP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Services, Inc.</w:t>
            </w:r>
          </w:p>
        </w:tc>
        <w:tc>
          <w:tcPr>
            <w:tcW w:w="120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r>
      <w:tr>
        <w:trPr>
          <w:trHeight w:val="363"/>
        </w:trPr>
        <w:tc>
          <w:tcPr>
            <w:tcW w:w="2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jc w:val="right"/>
              <w:ind w:right="1952"/>
              <w:spacing w:after="0"/>
              <w:rPr>
                <w:sz w:val="20"/>
                <w:szCs w:val="20"/>
                <w:color w:val="auto"/>
              </w:rPr>
            </w:pPr>
            <w:r>
              <w:rPr>
                <w:rFonts w:ascii="Arial" w:cs="Arial" w:eastAsia="Arial" w:hAnsi="Arial"/>
                <w:sz w:val="18"/>
                <w:szCs w:val="18"/>
                <w:color w:val="auto"/>
                <w:w w:val="94"/>
              </w:rPr>
              <w:t>Page 3</w:t>
            </w:r>
          </w:p>
        </w:tc>
        <w:tc>
          <w:tcPr>
            <w:tcW w:w="34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type w:val="continuous"/>
        </w:sectPr>
      </w:pPr>
    </w:p>
    <w:bookmarkStart w:id="350" w:name="page351"/>
    <w:bookmarkEnd w:id="35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Nature of</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4"/>
                <w:szCs w:val="14"/>
                <w:color w:val="auto"/>
              </w:rPr>
            </w:pPr>
          </w:p>
        </w:tc>
        <w:tc>
          <w:tcPr>
            <w:tcW w:w="2280" w:type="dxa"/>
            <w:vAlign w:val="bottom"/>
          </w:tcPr>
          <w:p>
            <w:pPr>
              <w:ind w:left="700"/>
              <w:spacing w:after="0"/>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 Ownership</w:t>
            </w:r>
          </w:p>
        </w:tc>
        <w:tc>
          <w:tcPr>
            <w:tcW w:w="120" w:type="dxa"/>
            <w:vAlign w:val="bottom"/>
          </w:tcPr>
          <w:p>
            <w:pPr>
              <w:spacing w:after="0"/>
              <w:rPr>
                <w:sz w:val="15"/>
                <w:szCs w:val="15"/>
                <w:color w:val="auto"/>
              </w:rPr>
            </w:pP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w w:val="98"/>
              </w:rPr>
              <w:t>Excluded Subsidiary</w:t>
            </w:r>
          </w:p>
        </w:tc>
        <w:tc>
          <w:tcPr>
            <w:tcW w:w="120" w:type="dxa"/>
            <w:vAlign w:val="bottom"/>
          </w:tcPr>
          <w:p>
            <w:pPr>
              <w:spacing w:after="0"/>
              <w:rPr>
                <w:sz w:val="15"/>
                <w:szCs w:val="15"/>
                <w:color w:val="auto"/>
              </w:rPr>
            </w:pPr>
          </w:p>
        </w:tc>
        <w:tc>
          <w:tcPr>
            <w:tcW w:w="2280" w:type="dxa"/>
            <w:vAlign w:val="bottom"/>
          </w:tcPr>
          <w:p>
            <w:pPr>
              <w:ind w:left="440"/>
              <w:spacing w:after="0"/>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7"/>
              </w:rPr>
              <w:t>FEDERAL REALTY PARTNERS,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INC., a Delaware corporation</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FEDERAL REALTY PARTNERS</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General partner</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714,795 units</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 Material</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89"/>
              </w:rPr>
              <w:t>• Right to exchange partnership</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w w:val="91"/>
              </w:rPr>
              <w:t>L.P., a Delaware limited partnership</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Partners, Inc.</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units for Federal Realty</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(Master DownREIT)</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stock or cash (at Federal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FRLP, Inc.</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40 units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Realty’s option);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vMerge w:val="restart"/>
          </w:tcPr>
          <w:p>
            <w:pPr>
              <w:spacing w:after="0"/>
              <w:rPr>
                <w:sz w:val="20"/>
                <w:szCs w:val="20"/>
                <w:color w:val="auto"/>
              </w:rPr>
            </w:pPr>
            <w:r>
              <w:rPr>
                <w:rFonts w:ascii="Arial" w:cs="Arial" w:eastAsia="Arial" w:hAnsi="Arial"/>
                <w:sz w:val="18"/>
                <w:szCs w:val="18"/>
                <w:color w:val="auto"/>
              </w:rPr>
              <w:t>8 separate limited</w:t>
            </w:r>
          </w:p>
        </w:tc>
        <w:tc>
          <w:tcPr>
            <w:tcW w:w="120" w:type="dxa"/>
            <w:vAlign w:val="bottom"/>
          </w:tcPr>
          <w:p>
            <w:pPr>
              <w:spacing w:after="0"/>
              <w:rPr>
                <w:sz w:val="18"/>
                <w:szCs w:val="18"/>
                <w:color w:val="auto"/>
              </w:rPr>
            </w:pPr>
          </w:p>
        </w:tc>
        <w:tc>
          <w:tcPr>
            <w:tcW w:w="1360" w:type="dxa"/>
            <w:vAlign w:val="bottom"/>
            <w:vMerge w:val="restart"/>
          </w:tcPr>
          <w:p>
            <w:pPr>
              <w:spacing w:after="0"/>
              <w:rPr>
                <w:sz w:val="20"/>
                <w:szCs w:val="20"/>
                <w:color w:val="auto"/>
              </w:rPr>
            </w:pPr>
            <w:r>
              <w:rPr>
                <w:rFonts w:ascii="Arial" w:cs="Arial" w:eastAsia="Arial" w:hAnsi="Arial"/>
                <w:sz w:val="18"/>
                <w:szCs w:val="18"/>
                <w:color w:val="auto"/>
              </w:rPr>
              <w:t>Limited partner</w:t>
            </w:r>
          </w:p>
        </w:tc>
        <w:tc>
          <w:tcPr>
            <w:tcW w:w="10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146,793 units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0"/>
              </w:rPr>
              <w:t>• Holders of 100,259 units have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ind w:left="220"/>
              <w:spacing w:after="0" w:line="176" w:lineRule="exact"/>
              <w:rPr>
                <w:sz w:val="20"/>
                <w:szCs w:val="20"/>
                <w:color w:val="auto"/>
              </w:rPr>
            </w:pPr>
            <w:r>
              <w:rPr>
                <w:rFonts w:ascii="Arial" w:cs="Arial" w:eastAsia="Arial" w:hAnsi="Arial"/>
                <w:sz w:val="18"/>
                <w:szCs w:val="18"/>
                <w:color w:val="auto"/>
                <w:w w:val="96"/>
              </w:rPr>
              <w:t>registration rights for stock</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partners</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issued on redemption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partnership units.</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0"/>
              </w:rPr>
              <w:t>FRLP, INC., a Delaware corporation</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9"/>
              </w:rPr>
              <w:t>FR CROW CANYON, INC. F/K/A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7"/>
              </w:rPr>
              <w:t>Excluded subsidiary</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JS&amp;DB, INC., a Delaware</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FR CROW CANYON, LLC, a</w:t>
            </w:r>
          </w:p>
        </w:tc>
        <w:tc>
          <w:tcPr>
            <w:tcW w:w="1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 Crow Canyon, Inc.  Sole member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7"/>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6"/>
              </w:rPr>
              <w:t>Delaware limited liability company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FR MERCER MALL, INC.,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7"/>
              </w:rPr>
              <w:t>Excluded subsidiary</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FR MERCER MALL, LLC,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8"/>
              </w:rPr>
              <w:t>FR Mercer Mall,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7"/>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6"/>
              </w:rPr>
              <w:t>Delaware limited liability company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4"/>
              </w:rPr>
              <w:t>FR STURTEVANT STREET, INC.,</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5"/>
              </w:rPr>
              <w:t>FR STURTEVANT STREET, LLC,</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4"/>
              </w:rPr>
              <w:t>FR Sturtevant Street,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1"/>
              </w:rPr>
              <w:t>a Delaware limited liability company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6"/>
              </w:rPr>
              <w:t>FR ASSEMBLY SQUARE, LLC,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 Material</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w w:val="96"/>
              </w:rPr>
              <w:t>Delaware limited liability company</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3" w:right="23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Nature of</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4"/>
                <w:szCs w:val="14"/>
                <w:color w:val="auto"/>
              </w:rPr>
            </w:pPr>
          </w:p>
        </w:tc>
        <w:tc>
          <w:tcPr>
            <w:tcW w:w="2280" w:type="dxa"/>
            <w:vAlign w:val="bottom"/>
          </w:tcPr>
          <w:p>
            <w:pPr>
              <w:ind w:left="700"/>
              <w:spacing w:after="0"/>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 Ownership</w:t>
            </w:r>
          </w:p>
        </w:tc>
        <w:tc>
          <w:tcPr>
            <w:tcW w:w="120" w:type="dxa"/>
            <w:vAlign w:val="bottom"/>
          </w:tcPr>
          <w:p>
            <w:pPr>
              <w:spacing w:after="0"/>
              <w:rPr>
                <w:sz w:val="15"/>
                <w:szCs w:val="15"/>
                <w:color w:val="auto"/>
              </w:rPr>
            </w:pP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w w:val="98"/>
              </w:rPr>
              <w:t>Excluded Subsidiary</w:t>
            </w:r>
          </w:p>
        </w:tc>
        <w:tc>
          <w:tcPr>
            <w:tcW w:w="120" w:type="dxa"/>
            <w:vAlign w:val="bottom"/>
          </w:tcPr>
          <w:p>
            <w:pPr>
              <w:spacing w:after="0"/>
              <w:rPr>
                <w:sz w:val="15"/>
                <w:szCs w:val="15"/>
                <w:color w:val="auto"/>
              </w:rPr>
            </w:pPr>
          </w:p>
        </w:tc>
        <w:tc>
          <w:tcPr>
            <w:tcW w:w="2280" w:type="dxa"/>
            <w:vAlign w:val="bottom"/>
          </w:tcPr>
          <w:p>
            <w:pPr>
              <w:ind w:left="440"/>
              <w:spacing w:after="0"/>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FR WESTGATE MALL, INC.,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Delaware corporation</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FR WESTGATE MALL, LLC,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FR Westgate Mall,</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 Material</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w w:val="96"/>
              </w:rPr>
              <w:t>Delaware limited liability company</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FEDERAL/LPF GP, INC.,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Delaware corporation</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5"/>
              </w:rPr>
              <w:t>FR CHELSEA COMMONS I, INC.,</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5"/>
              </w:rPr>
              <w:t>FR CHELSEA COMMONS I, LLC,</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7"/>
              </w:rPr>
              <w:t>FR Chelsea Commons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1"/>
              </w:rPr>
              <w:t>a Delaware limited liability company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 Inc.</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FR CHELSEA COMMONS II,</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INC., a Delaware corporation</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3"/>
              </w:rPr>
              <w:t>FR CHELSEA COMMONS II, LLC,</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7"/>
              </w:rPr>
              <w:t>FR Chelsea Commons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1"/>
              </w:rPr>
              <w:t>a Delaware limited liability company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II, Inc.</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3"/>
              </w:rPr>
              <w:t>FR NORTH DARTMOUTH, INC.,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4"/>
              </w:rPr>
              <w:t>FR NORTH DARTMOUTH, LLC,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5"/>
              </w:rPr>
              <w:t>FR North Dartmouth,</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6"/>
              </w:rPr>
              <w:t>Delaware limited liability company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FR LINDEN SQUARE, INC.,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 Material</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 KEY ROAD,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 (TO BE DISSOLVED)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Nature of</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4"/>
                <w:szCs w:val="14"/>
                <w:color w:val="auto"/>
              </w:rPr>
            </w:pPr>
          </w:p>
        </w:tc>
        <w:tc>
          <w:tcPr>
            <w:tcW w:w="2280" w:type="dxa"/>
            <w:vAlign w:val="bottom"/>
          </w:tcPr>
          <w:p>
            <w:pPr>
              <w:ind w:left="700"/>
              <w:spacing w:after="0"/>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Ownership</w:t>
            </w: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w w:val="98"/>
              </w:rPr>
              <w:t>Excluded Subsidiary</w:t>
            </w:r>
          </w:p>
        </w:tc>
        <w:tc>
          <w:tcPr>
            <w:tcW w:w="120" w:type="dxa"/>
            <w:vAlign w:val="bottom"/>
          </w:tcPr>
          <w:p>
            <w:pPr>
              <w:spacing w:after="0"/>
              <w:rPr>
                <w:sz w:val="15"/>
                <w:szCs w:val="15"/>
                <w:color w:val="auto"/>
              </w:rPr>
            </w:pPr>
          </w:p>
        </w:tc>
        <w:tc>
          <w:tcPr>
            <w:tcW w:w="2280" w:type="dxa"/>
            <w:vAlign w:val="bottom"/>
          </w:tcPr>
          <w:p>
            <w:pPr>
              <w:ind w:left="440"/>
              <w:spacing w:after="0"/>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FR RIVERSIDE, INC., a</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Delaware corporation (TO BE</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DISSOLVED)</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8"/>
              </w:rPr>
              <w:t>FR SHOPPERS WORLD, INC.,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8"/>
              </w:rPr>
              <w:t>FR SHOPPERS WORLD, LLC,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8"/>
              </w:rPr>
              <w:t>FR Shoppers World,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6"/>
              </w:rPr>
              <w:t>Delaware limited liability company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FR WHITE MARSH, INC.,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Maryland corporation</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WHITE MARSH PLAZA, LLC,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4"/>
              </w:rPr>
              <w:t>FR White Marsh,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6"/>
              </w:rPr>
              <w:t>Maryland limited liability company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8"/>
              </w:rPr>
              <w:t>WHITE MARSH PLAZA LIMITED</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White Marsh Plaza,</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w w:val="92"/>
              </w:rPr>
              <w:t>PARTNERSHIP, a Maryland limited</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partnership</w:t>
            </w: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4"/>
              </w:rPr>
              <w:t>FR White Marsh, Inc.</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99%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BUSINESS TRUST, a Maryland</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shareholder</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business trust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BYRON STATION, LLC,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4"/>
              </w:rPr>
              <w:t>FR White Marsh, Inc.</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w w:val="97"/>
              </w:rPr>
              <w:t>Maryland limited liability company</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BYRON STATION LIMITED</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Byron Station, LLC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3"/>
              </w:rPr>
              <w:t>PARTNERSHIP, LLLP, a Maryland</w:t>
            </w:r>
          </w:p>
        </w:tc>
        <w:tc>
          <w:tcPr>
            <w:tcW w:w="12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FR White Marsh, Inc.</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88"/>
              </w:rPr>
              <w:t>99%</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8"/>
              </w:rPr>
              <w:t>limited liability limited partnership</w:t>
            </w:r>
          </w:p>
        </w:tc>
        <w:tc>
          <w:tcPr>
            <w:tcW w:w="120" w:type="dxa"/>
            <w:vAlign w:val="bottom"/>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5"/>
              </w:rPr>
              <w:t>CORDON FAIRFIELD BUSINESS</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4"/>
              </w:rPr>
              <w:t>FR White Marsh, Inc.</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w w:val="95"/>
              </w:rPr>
              <w:t>TRUST, a Maryland business trust</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shareholder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3" w:right="239" w:bottom="1440" w:gutter="0" w:footer="0" w:header="0"/>
        </w:sectPr>
      </w:pPr>
    </w:p>
    <w:bookmarkStart w:id="353" w:name="page354"/>
    <w:bookmarkEnd w:id="35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Nature of</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4"/>
                <w:szCs w:val="14"/>
                <w:color w:val="auto"/>
              </w:rPr>
            </w:pPr>
          </w:p>
        </w:tc>
        <w:tc>
          <w:tcPr>
            <w:tcW w:w="2280" w:type="dxa"/>
            <w:vAlign w:val="bottom"/>
          </w:tcPr>
          <w:p>
            <w:pPr>
              <w:ind w:left="700"/>
              <w:spacing w:after="0"/>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 Ownership</w:t>
            </w:r>
          </w:p>
        </w:tc>
        <w:tc>
          <w:tcPr>
            <w:tcW w:w="120" w:type="dxa"/>
            <w:vAlign w:val="bottom"/>
          </w:tcPr>
          <w:p>
            <w:pPr>
              <w:spacing w:after="0"/>
              <w:rPr>
                <w:sz w:val="15"/>
                <w:szCs w:val="15"/>
                <w:color w:val="auto"/>
              </w:rPr>
            </w:pP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w w:val="98"/>
              </w:rPr>
              <w:t>Excluded Subsidiary</w:t>
            </w:r>
          </w:p>
        </w:tc>
        <w:tc>
          <w:tcPr>
            <w:tcW w:w="120" w:type="dxa"/>
            <w:vAlign w:val="bottom"/>
          </w:tcPr>
          <w:p>
            <w:pPr>
              <w:spacing w:after="0"/>
              <w:rPr>
                <w:sz w:val="15"/>
                <w:szCs w:val="15"/>
                <w:color w:val="auto"/>
              </w:rPr>
            </w:pPr>
          </w:p>
        </w:tc>
        <w:tc>
          <w:tcPr>
            <w:tcW w:w="2280" w:type="dxa"/>
            <w:vAlign w:val="bottom"/>
          </w:tcPr>
          <w:p>
            <w:pPr>
              <w:ind w:left="440"/>
              <w:spacing w:after="0"/>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CAMPBELL-PHILADELPHIA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4"/>
              </w:rPr>
              <w:t>FR White Marsh,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BUSINESS TRUST, a Maryland</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shareholder</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business trust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SHOPPES AT NOTTINGHAM</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4"/>
              </w:rPr>
              <w:t>FR White Marsh, Inc.</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SQUARE BUSINESS TRUST, a</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shareholder</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Maryland business trust</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2"/>
              </w:rPr>
              <w:t>RETAIL PROPERTIES BUSINESS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4"/>
              </w:rPr>
              <w:t>FR White Marsh,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4"/>
              </w:rPr>
              <w:t>TRUST, a Maryland business trust</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shareholder</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NOTTINGHAM SQUARE</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4"/>
              </w:rPr>
              <w:t>FR White Marsh, Inc.</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BUSINESS TRUST, a Maryland</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shareholder</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business trust</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4"/>
              </w:rPr>
              <w:t>THE AVENUE AT WHITE MARSH</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4"/>
              </w:rPr>
              <w:t>FR White Marsh,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5"/>
              </w:rPr>
              <w:t>Excluded Subsidiary</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BUSINESS TRUST, a Maryland</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shareholder</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business trust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259" w:lineRule="auto"/>
        <w:rPr>
          <w:sz w:val="20"/>
          <w:szCs w:val="20"/>
          <w:color w:val="auto"/>
        </w:rPr>
      </w:pPr>
      <w:r>
        <w:rPr>
          <w:rFonts w:ascii="Arial" w:cs="Arial" w:eastAsia="Arial" w:hAnsi="Arial"/>
          <w:sz w:val="18"/>
          <w:szCs w:val="18"/>
          <w:color w:val="auto"/>
        </w:rPr>
        <w:t>NVI-AVENUE, LLC, a Maryland limited liability company (DownREIT)</w:t>
      </w:r>
    </w:p>
    <w:p>
      <w:pPr>
        <w:spacing w:after="0" w:line="20" w:lineRule="exact"/>
        <w:rPr>
          <w:sz w:val="20"/>
          <w:szCs w:val="20"/>
          <w:color w:val="auto"/>
        </w:rPr>
      </w:pPr>
      <w:r>
        <w:rPr>
          <w:sz w:val="20"/>
          <w:szCs w:val="20"/>
          <w:color w:val="auto"/>
        </w:rPr>
        <w:br w:type="column"/>
      </w:r>
    </w:p>
    <w:p>
      <w:pPr>
        <w:spacing w:after="0"/>
        <w:tabs>
          <w:tab w:leader="none" w:pos="1720" w:val="left"/>
          <w:tab w:leader="none" w:pos="3580" w:val="left"/>
        </w:tabs>
        <w:rPr>
          <w:sz w:val="20"/>
          <w:szCs w:val="20"/>
          <w:color w:val="auto"/>
        </w:rPr>
      </w:pPr>
      <w:r>
        <w:rPr>
          <w:rFonts w:ascii="Arial" w:cs="Arial" w:eastAsia="Arial" w:hAnsi="Arial"/>
          <w:sz w:val="18"/>
          <w:szCs w:val="18"/>
          <w:color w:val="auto"/>
        </w:rPr>
        <w:t>FR White Marsh, Inc.</w:t>
        <w:tab/>
        <w:t>Managing member</w:t>
      </w:r>
      <w:r>
        <w:rPr>
          <w:sz w:val="20"/>
          <w:szCs w:val="20"/>
          <w:color w:val="auto"/>
        </w:rPr>
        <w:tab/>
      </w:r>
      <w:r>
        <w:rPr>
          <w:rFonts w:ascii="Arial" w:cs="Arial" w:eastAsia="Arial" w:hAnsi="Arial"/>
          <w:sz w:val="15"/>
          <w:szCs w:val="15"/>
          <w:color w:val="auto"/>
        </w:rPr>
        <w:t>20 units</w:t>
      </w:r>
    </w:p>
    <w:p>
      <w:pPr>
        <w:spacing w:after="0" w:line="77" w:lineRule="exact"/>
        <w:rPr>
          <w:sz w:val="20"/>
          <w:szCs w:val="20"/>
          <w:color w:val="auto"/>
        </w:rPr>
      </w:pPr>
    </w:p>
    <w:p>
      <w:pPr>
        <w:spacing w:after="0"/>
        <w:tabs>
          <w:tab w:leader="none" w:pos="1720" w:val="left"/>
          <w:tab w:leader="none" w:pos="3380" w:val="left"/>
        </w:tabs>
        <w:rPr>
          <w:sz w:val="20"/>
          <w:szCs w:val="20"/>
          <w:color w:val="auto"/>
        </w:rPr>
      </w:pPr>
      <w:r>
        <w:rPr>
          <w:rFonts w:ascii="Arial" w:cs="Arial" w:eastAsia="Arial" w:hAnsi="Arial"/>
          <w:sz w:val="18"/>
          <w:szCs w:val="18"/>
          <w:color w:val="auto"/>
        </w:rPr>
        <w:t>52 separate investor</w:t>
      </w:r>
      <w:r>
        <w:rPr>
          <w:sz w:val="20"/>
          <w:szCs w:val="20"/>
          <w:color w:val="auto"/>
        </w:rPr>
        <w:tab/>
      </w:r>
      <w:r>
        <w:rPr>
          <w:rFonts w:ascii="Arial" w:cs="Arial" w:eastAsia="Arial" w:hAnsi="Arial"/>
          <w:sz w:val="18"/>
          <w:szCs w:val="18"/>
          <w:color w:val="auto"/>
        </w:rPr>
        <w:t>Members</w:t>
      </w:r>
      <w:r>
        <w:rPr>
          <w:sz w:val="20"/>
          <w:szCs w:val="20"/>
          <w:color w:val="auto"/>
        </w:rPr>
        <w:tab/>
      </w:r>
      <w:r>
        <w:rPr>
          <w:rFonts w:ascii="Arial" w:cs="Arial" w:eastAsia="Arial" w:hAnsi="Arial"/>
          <w:sz w:val="15"/>
          <w:szCs w:val="15"/>
          <w:color w:val="auto"/>
        </w:rPr>
        <w:t>185,484 units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members</w:t>
      </w:r>
    </w:p>
    <w:p>
      <w:pPr>
        <w:spacing w:after="0" w:line="20" w:lineRule="exact"/>
        <w:rPr>
          <w:sz w:val="20"/>
          <w:szCs w:val="20"/>
          <w:color w:val="auto"/>
        </w:rPr>
      </w:pPr>
      <w:r>
        <w:rPr>
          <w:sz w:val="20"/>
          <w:szCs w:val="20"/>
          <w:color w:val="auto"/>
        </w:rPr>
        <w:br w:type="column"/>
      </w:r>
    </w:p>
    <w:p>
      <w:pPr>
        <w:spacing w:after="0"/>
        <w:tabs>
          <w:tab w:leader="none" w:pos="1680" w:val="left"/>
          <w:tab w:leader="none" w:pos="1960" w:val="left"/>
        </w:tabs>
        <w:rPr>
          <w:sz w:val="20"/>
          <w:szCs w:val="20"/>
          <w:color w:val="auto"/>
        </w:rPr>
      </w:pPr>
      <w:r>
        <w:rPr>
          <w:rFonts w:ascii="Arial" w:cs="Arial" w:eastAsia="Arial" w:hAnsi="Arial"/>
          <w:sz w:val="18"/>
          <w:szCs w:val="18"/>
          <w:color w:val="auto"/>
        </w:rPr>
        <w:t>Excluded Subsidiary</w:t>
        <w:tab/>
        <w:t>•</w:t>
      </w:r>
      <w:r>
        <w:rPr>
          <w:sz w:val="20"/>
          <w:szCs w:val="20"/>
          <w:color w:val="auto"/>
        </w:rPr>
        <w:tab/>
      </w:r>
      <w:r>
        <w:rPr>
          <w:rFonts w:ascii="Arial" w:cs="Arial" w:eastAsia="Arial" w:hAnsi="Arial"/>
          <w:sz w:val="15"/>
          <w:szCs w:val="15"/>
          <w:color w:val="auto"/>
        </w:rPr>
        <w:t>Right to exchange</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membership units for</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Federal Realty stock or cash</w:t>
      </w:r>
    </w:p>
    <w:p>
      <w:pPr>
        <w:spacing w:after="0" w:line="44"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(at Federal Realty’s option)</w:t>
      </w:r>
    </w:p>
    <w:p>
      <w:pPr>
        <w:spacing w:after="0" w:line="142" w:lineRule="exact"/>
        <w:rPr>
          <w:sz w:val="20"/>
          <w:szCs w:val="20"/>
          <w:color w:val="auto"/>
        </w:rPr>
      </w:pPr>
    </w:p>
    <w:p>
      <w:pPr>
        <w:sectPr>
          <w:pgSz w:w="11900" w:h="16838" w:orient="portrait"/>
          <w:cols w:equalWidth="0" w:num="3">
            <w:col w:w="2380" w:space="380"/>
            <w:col w:w="4360" w:space="320"/>
            <w:col w:w="39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RETAIL FUNDING AFFILIATES,</w:t>
            </w: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FR White Marsh, Inc.</w:t>
            </w: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Managing member</w:t>
            </w:r>
          </w:p>
        </w:tc>
        <w:tc>
          <w:tcPr>
            <w:tcW w:w="130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8"/>
              </w:rPr>
              <w:t>20%</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5"/>
              </w:rPr>
              <w:t>Excluded Subsidiary</w:t>
            </w:r>
          </w:p>
        </w:tc>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LLC, a Maryland limited liability</w:t>
            </w: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NVI-Avenue, LLC</w:t>
            </w: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Member</w:t>
            </w:r>
          </w:p>
        </w:tc>
        <w:tc>
          <w:tcPr>
            <w:tcW w:w="130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8"/>
              </w:rPr>
              <w:t>50%</w:t>
            </w:r>
          </w:p>
        </w:tc>
        <w:tc>
          <w:tcPr>
            <w:tcW w:w="15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The Avenue at White</w:t>
            </w: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Member</w:t>
            </w:r>
          </w:p>
        </w:tc>
        <w:tc>
          <w:tcPr>
            <w:tcW w:w="130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8"/>
              </w:rPr>
              <w:t>30%</w:t>
            </w:r>
          </w:p>
        </w:tc>
        <w:tc>
          <w:tcPr>
            <w:tcW w:w="15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Marsh Business Trust</w:t>
            </w:r>
          </w:p>
        </w:tc>
        <w:tc>
          <w:tcPr>
            <w:tcW w:w="1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700" w:type="dxa"/>
            <w:vAlign w:val="bottom"/>
            <w:gridSpan w:val="2"/>
          </w:tcPr>
          <w:p>
            <w:pPr>
              <w:spacing w:after="0"/>
              <w:rPr>
                <w:sz w:val="20"/>
                <w:szCs w:val="20"/>
                <w:color w:val="auto"/>
              </w:rPr>
            </w:pPr>
            <w:r>
              <w:rPr>
                <w:rFonts w:ascii="Arial" w:cs="Arial" w:eastAsia="Arial" w:hAnsi="Arial"/>
                <w:sz w:val="18"/>
                <w:szCs w:val="18"/>
                <w:color w:val="auto"/>
                <w:w w:val="94"/>
              </w:rPr>
              <w:t>STREET RETAIL, INC., a Maryland</w:t>
            </w:r>
          </w:p>
        </w:tc>
        <w:tc>
          <w:tcPr>
            <w:tcW w:w="1680" w:type="dxa"/>
            <w:vAlign w:val="bottom"/>
          </w:tcPr>
          <w:p>
            <w:pPr>
              <w:ind w:left="60"/>
              <w:spacing w:after="0"/>
              <w:rPr>
                <w:sz w:val="20"/>
                <w:szCs w:val="20"/>
                <w:color w:val="auto"/>
              </w:rPr>
            </w:pPr>
            <w:r>
              <w:rPr>
                <w:rFonts w:ascii="Arial" w:cs="Arial" w:eastAsia="Arial" w:hAnsi="Arial"/>
                <w:sz w:val="18"/>
                <w:szCs w:val="18"/>
                <w:color w:val="auto"/>
              </w:rPr>
              <w:t>Federal Realty</w:t>
            </w:r>
          </w:p>
        </w:tc>
        <w:tc>
          <w:tcPr>
            <w:tcW w:w="1760" w:type="dxa"/>
            <w:vAlign w:val="bottom"/>
          </w:tcPr>
          <w:p>
            <w:pPr>
              <w:ind w:left="120"/>
              <w:spacing w:after="0"/>
              <w:rPr>
                <w:sz w:val="20"/>
                <w:szCs w:val="20"/>
                <w:color w:val="auto"/>
              </w:rPr>
            </w:pPr>
            <w:r>
              <w:rPr>
                <w:rFonts w:ascii="Arial" w:cs="Arial" w:eastAsia="Arial" w:hAnsi="Arial"/>
                <w:sz w:val="18"/>
                <w:szCs w:val="18"/>
                <w:color w:val="auto"/>
              </w:rPr>
              <w:t>Sole</w:t>
            </w:r>
          </w:p>
        </w:tc>
        <w:tc>
          <w:tcPr>
            <w:tcW w:w="1300" w:type="dxa"/>
            <w:vAlign w:val="bottom"/>
          </w:tcPr>
          <w:p>
            <w:pPr>
              <w:jc w:val="center"/>
              <w:ind w:right="192"/>
              <w:spacing w:after="0"/>
              <w:rPr>
                <w:sz w:val="20"/>
                <w:szCs w:val="20"/>
                <w:color w:val="auto"/>
              </w:rPr>
            </w:pPr>
            <w:r>
              <w:rPr>
                <w:rFonts w:ascii="Arial" w:cs="Arial" w:eastAsia="Arial" w:hAnsi="Arial"/>
                <w:sz w:val="18"/>
                <w:szCs w:val="18"/>
                <w:color w:val="auto"/>
                <w:w w:val="91"/>
              </w:rPr>
              <w:t>100%</w:t>
            </w:r>
          </w:p>
        </w:tc>
        <w:tc>
          <w:tcPr>
            <w:tcW w:w="1580" w:type="dxa"/>
            <w:vAlign w:val="bottom"/>
          </w:tcPr>
          <w:p>
            <w:pPr>
              <w:spacing w:after="0"/>
              <w:rPr>
                <w:sz w:val="20"/>
                <w:szCs w:val="20"/>
                <w:color w:val="auto"/>
              </w:rPr>
            </w:pPr>
            <w:r>
              <w:rPr>
                <w:rFonts w:ascii="Arial" w:cs="Arial" w:eastAsia="Arial" w:hAnsi="Arial"/>
                <w:sz w:val="18"/>
                <w:szCs w:val="18"/>
                <w:color w:val="auto"/>
              </w:rPr>
              <w:t>Guarantor Material</w:t>
            </w:r>
          </w:p>
        </w:tc>
        <w:tc>
          <w:tcPr>
            <w:tcW w:w="2400" w:type="dxa"/>
            <w:vAlign w:val="bottom"/>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70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680" w:type="dxa"/>
            <w:vAlign w:val="bottom"/>
          </w:tcPr>
          <w:p>
            <w:pPr>
              <w:ind w:left="60"/>
              <w:spacing w:after="0"/>
              <w:rPr>
                <w:sz w:val="20"/>
                <w:szCs w:val="20"/>
                <w:color w:val="auto"/>
              </w:rPr>
            </w:pPr>
            <w:r>
              <w:rPr>
                <w:rFonts w:ascii="Arial" w:cs="Arial" w:eastAsia="Arial" w:hAnsi="Arial"/>
                <w:sz w:val="18"/>
                <w:szCs w:val="18"/>
                <w:color w:val="auto"/>
              </w:rPr>
              <w:t>Investment Trust</w:t>
            </w:r>
          </w:p>
        </w:tc>
        <w:tc>
          <w:tcPr>
            <w:tcW w:w="1760" w:type="dxa"/>
            <w:vAlign w:val="bottom"/>
          </w:tcPr>
          <w:p>
            <w:pPr>
              <w:ind w:left="120"/>
              <w:spacing w:after="0"/>
              <w:rPr>
                <w:sz w:val="20"/>
                <w:szCs w:val="20"/>
                <w:color w:val="auto"/>
              </w:rPr>
            </w:pPr>
            <w:r>
              <w:rPr>
                <w:rFonts w:ascii="Arial" w:cs="Arial" w:eastAsia="Arial" w:hAnsi="Arial"/>
                <w:sz w:val="18"/>
                <w:szCs w:val="18"/>
                <w:color w:val="auto"/>
              </w:rPr>
              <w:t>stockholder</w:t>
            </w:r>
          </w:p>
        </w:tc>
        <w:tc>
          <w:tcPr>
            <w:tcW w:w="130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Subsidiary</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FRIT SAN JOSE TOWN AND</w:t>
            </w:r>
          </w:p>
        </w:tc>
        <w:tc>
          <w:tcPr>
            <w:tcW w:w="1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Street Retail, Inc.</w:t>
            </w: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Sole member</w:t>
            </w:r>
          </w:p>
        </w:tc>
        <w:tc>
          <w:tcPr>
            <w:tcW w:w="130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91"/>
              </w:rPr>
              <w:t>100%</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 Material</w:t>
            </w:r>
          </w:p>
        </w:tc>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COUNTRY VILLAGE, LLC, a</w:t>
            </w:r>
          </w:p>
        </w:tc>
        <w:tc>
          <w:tcPr>
            <w:tcW w:w="16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Subsidiary</w:t>
            </w: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8"/>
              </w:rPr>
              <w:t>California limited liability company</w:t>
            </w:r>
          </w:p>
        </w:tc>
        <w:tc>
          <w:tcPr>
            <w:tcW w:w="16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4" w:right="239" w:bottom="1440" w:gutter="0" w:footer="0" w:header="0"/>
          <w:type w:val="continuous"/>
        </w:sectPr>
      </w:pPr>
    </w:p>
    <w:bookmarkStart w:id="354" w:name="page355"/>
    <w:bookmarkEnd w:id="35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Nature of</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4"/>
                <w:szCs w:val="14"/>
                <w:color w:val="auto"/>
              </w:rPr>
            </w:pPr>
          </w:p>
        </w:tc>
        <w:tc>
          <w:tcPr>
            <w:tcW w:w="2280" w:type="dxa"/>
            <w:vAlign w:val="bottom"/>
          </w:tcPr>
          <w:p>
            <w:pPr>
              <w:ind w:left="700"/>
              <w:spacing w:after="0"/>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Ownership</w:t>
            </w: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w w:val="98"/>
              </w:rPr>
              <w:t>Excluded Subsidiary</w:t>
            </w:r>
          </w:p>
        </w:tc>
        <w:tc>
          <w:tcPr>
            <w:tcW w:w="120" w:type="dxa"/>
            <w:vAlign w:val="bottom"/>
          </w:tcPr>
          <w:p>
            <w:pPr>
              <w:spacing w:after="0"/>
              <w:rPr>
                <w:sz w:val="15"/>
                <w:szCs w:val="15"/>
                <w:color w:val="auto"/>
              </w:rPr>
            </w:pPr>
          </w:p>
        </w:tc>
        <w:tc>
          <w:tcPr>
            <w:tcW w:w="2280" w:type="dxa"/>
            <w:vAlign w:val="bottom"/>
          </w:tcPr>
          <w:p>
            <w:pPr>
              <w:ind w:left="440"/>
              <w:spacing w:after="0"/>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3"/>
              </w:rPr>
              <w:t>SAN JOSE RESIDENTIAL, INC.,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5"/>
              </w:rPr>
              <w:t>Thomas L. Patterson</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Class A Voting</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Maryland corporation</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Jeanne T. Connor</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Class A Voting</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4"/>
              </w:rPr>
              <w:t>FRIT San Jose Town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Class B Non-</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&amp; Country Village,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Voting Common</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6"/>
              </w:rPr>
              <w:t>STREET RETAIL FOREST HILLS</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Street Retail, Inc.</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w w:val="98"/>
              </w:rPr>
              <w:t>I, LLC, a Delaware limited liability</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STREET RETAIL FOREST</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HILLS II, LLC, a Delaware</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limited liability company (TO BE</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DISSOLVED)</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4"/>
              </w:rPr>
              <w:t>SRI OLD TOWN, LLC, a California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Street Retail, Inc.</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 member</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limited liability company</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3"/>
              </w:rPr>
              <w:t>STREET RETAIL WEST GP, INC.,</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 Maryland corporation</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w w:val="97"/>
              </w:rPr>
              <w:t>STREET RETAIL WEST I, L.P.,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88"/>
              </w:rPr>
              <w:t>Street Retail West GP,</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90%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 Material</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Street Retail, Inc.</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9%</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Street Retail, Inc.</w:t>
            </w: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Material and/or</w:t>
            </w:r>
          </w:p>
        </w:tc>
        <w:tc>
          <w:tcPr>
            <w:tcW w:w="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6"/>
              </w:rPr>
              <w:t>Liens, Options,</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Equity Interest</w:t>
            </w:r>
          </w:p>
        </w:tc>
        <w:tc>
          <w:tcPr>
            <w:tcW w:w="10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Ownership</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Excluded Subsidiary</w:t>
            </w:r>
          </w:p>
        </w:tc>
        <w:tc>
          <w:tcPr>
            <w:tcW w:w="12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5"/>
              </w:rPr>
              <w:t>STREET RETAIL WEST II, L.P.,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8"/>
              </w:rPr>
              <w:t>Street Retail West GP,</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90%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partnership</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9%</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273"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w w:val="98"/>
              </w:rPr>
              <w:t>STREET RETAIL WEST 3, L.P., a</w:t>
            </w:r>
          </w:p>
        </w:tc>
        <w:tc>
          <w:tcPr>
            <w:tcW w:w="1740" w:type="dxa"/>
            <w:vAlign w:val="bottom"/>
          </w:tcPr>
          <w:p>
            <w:pPr>
              <w:ind w:left="60"/>
              <w:spacing w:after="0"/>
              <w:rPr>
                <w:sz w:val="20"/>
                <w:szCs w:val="20"/>
                <w:color w:val="auto"/>
              </w:rPr>
            </w:pPr>
            <w:r>
              <w:rPr>
                <w:rFonts w:ascii="Arial" w:cs="Arial" w:eastAsia="Arial" w:hAnsi="Arial"/>
                <w:sz w:val="18"/>
                <w:szCs w:val="18"/>
                <w:color w:val="auto"/>
                <w:w w:val="91"/>
              </w:rPr>
              <w:t>Street Retail West GP,</w:t>
            </w:r>
          </w:p>
        </w:tc>
        <w:tc>
          <w:tcPr>
            <w:tcW w:w="1420" w:type="dxa"/>
            <w:vAlign w:val="bottom"/>
          </w:tcPr>
          <w:p>
            <w:pPr>
              <w:ind w:left="60"/>
              <w:spacing w:after="0"/>
              <w:rPr>
                <w:sz w:val="20"/>
                <w:szCs w:val="20"/>
                <w:color w:val="auto"/>
              </w:rPr>
            </w:pPr>
            <w:r>
              <w:rPr>
                <w:rFonts w:ascii="Arial" w:cs="Arial" w:eastAsia="Arial" w:hAnsi="Arial"/>
                <w:sz w:val="18"/>
                <w:szCs w:val="18"/>
                <w:color w:val="auto"/>
              </w:rPr>
              <w:t>General partner</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1740" w:type="dxa"/>
            <w:vAlign w:val="bottom"/>
          </w:tcPr>
          <w:p>
            <w:pPr>
              <w:ind w:left="60"/>
              <w:spacing w:after="0"/>
              <w:rPr>
                <w:sz w:val="20"/>
                <w:szCs w:val="20"/>
                <w:color w:val="auto"/>
              </w:rPr>
            </w:pPr>
            <w:r>
              <w:rPr>
                <w:rFonts w:ascii="Arial" w:cs="Arial" w:eastAsia="Arial" w:hAnsi="Arial"/>
                <w:sz w:val="18"/>
                <w:szCs w:val="18"/>
                <w:color w:val="auto"/>
              </w:rPr>
              <w:t>Inc.</w:t>
            </w: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rPr>
              <w:t>Street Retail, Inc.</w:t>
            </w:r>
          </w:p>
        </w:tc>
        <w:tc>
          <w:tcPr>
            <w:tcW w:w="1420" w:type="dxa"/>
            <w:vAlign w:val="bottom"/>
          </w:tcPr>
          <w:p>
            <w:pPr>
              <w:ind w:left="60"/>
              <w:spacing w:after="0"/>
              <w:rPr>
                <w:sz w:val="20"/>
                <w:szCs w:val="20"/>
                <w:color w:val="auto"/>
              </w:rPr>
            </w:pPr>
            <w:r>
              <w:rPr>
                <w:rFonts w:ascii="Arial" w:cs="Arial" w:eastAsia="Arial" w:hAnsi="Arial"/>
                <w:sz w:val="18"/>
                <w:szCs w:val="18"/>
                <w:color w:val="auto"/>
              </w:rPr>
              <w:t>General partner</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rPr>
              <w:t>Street Retail, Inc</w:t>
            </w:r>
          </w:p>
        </w:tc>
        <w:tc>
          <w:tcPr>
            <w:tcW w:w="1420" w:type="dxa"/>
            <w:vAlign w:val="bottom"/>
          </w:tcPr>
          <w:p>
            <w:pPr>
              <w:ind w:left="60"/>
              <w:spacing w:after="0"/>
              <w:rPr>
                <w:sz w:val="20"/>
                <w:szCs w:val="20"/>
                <w:color w:val="auto"/>
              </w:rPr>
            </w:pPr>
            <w:r>
              <w:rPr>
                <w:rFonts w:ascii="Arial" w:cs="Arial" w:eastAsia="Arial" w:hAnsi="Arial"/>
                <w:sz w:val="18"/>
                <w:szCs w:val="18"/>
                <w:color w:val="auto"/>
              </w:rPr>
              <w:t>Limited partner</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7"/>
              </w:rPr>
              <w:t>STREET RETAIL WEST 4, L.P., a</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Street Retail West GP,</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C general</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partnership</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GPO 4 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A general</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 interest</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GPO 4 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B general</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Delaware GPM 4 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B general</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GPO 4 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B limited</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Delaware GPM 4 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B limited</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6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700" w:type="dxa"/>
            <w:vAlign w:val="bottom"/>
            <w:gridSpan w:val="2"/>
          </w:tcPr>
          <w:p>
            <w:pPr>
              <w:spacing w:after="0"/>
              <w:rPr>
                <w:sz w:val="20"/>
                <w:szCs w:val="20"/>
                <w:color w:val="auto"/>
              </w:rPr>
            </w:pPr>
            <w:r>
              <w:rPr>
                <w:rFonts w:ascii="Arial" w:cs="Arial" w:eastAsia="Arial" w:hAnsi="Arial"/>
                <w:sz w:val="18"/>
                <w:szCs w:val="18"/>
                <w:color w:val="auto"/>
                <w:w w:val="98"/>
              </w:rPr>
              <w:t>STREET RETAIL WEST 6, L.P., a</w:t>
            </w:r>
          </w:p>
        </w:tc>
        <w:tc>
          <w:tcPr>
            <w:tcW w:w="1740" w:type="dxa"/>
            <w:vAlign w:val="bottom"/>
          </w:tcPr>
          <w:p>
            <w:pPr>
              <w:ind w:left="60"/>
              <w:spacing w:after="0"/>
              <w:rPr>
                <w:sz w:val="20"/>
                <w:szCs w:val="20"/>
                <w:color w:val="auto"/>
              </w:rPr>
            </w:pPr>
            <w:r>
              <w:rPr>
                <w:rFonts w:ascii="Arial" w:cs="Arial" w:eastAsia="Arial" w:hAnsi="Arial"/>
                <w:sz w:val="18"/>
                <w:szCs w:val="18"/>
                <w:color w:val="auto"/>
                <w:w w:val="91"/>
              </w:rPr>
              <w:t>Street Retail West GP,</w:t>
            </w:r>
          </w:p>
        </w:tc>
        <w:tc>
          <w:tcPr>
            <w:tcW w:w="1420" w:type="dxa"/>
            <w:vAlign w:val="bottom"/>
          </w:tcPr>
          <w:p>
            <w:pPr>
              <w:ind w:left="60"/>
              <w:spacing w:after="0"/>
              <w:rPr>
                <w:sz w:val="20"/>
                <w:szCs w:val="20"/>
                <w:color w:val="auto"/>
              </w:rPr>
            </w:pPr>
            <w:r>
              <w:rPr>
                <w:rFonts w:ascii="Arial" w:cs="Arial" w:eastAsia="Arial" w:hAnsi="Arial"/>
                <w:sz w:val="18"/>
                <w:szCs w:val="18"/>
                <w:color w:val="auto"/>
              </w:rPr>
              <w:t>General partner</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1740" w:type="dxa"/>
            <w:vAlign w:val="bottom"/>
          </w:tcPr>
          <w:p>
            <w:pPr>
              <w:ind w:left="60"/>
              <w:spacing w:after="0"/>
              <w:rPr>
                <w:sz w:val="20"/>
                <w:szCs w:val="20"/>
                <w:color w:val="auto"/>
              </w:rPr>
            </w:pPr>
            <w:r>
              <w:rPr>
                <w:rFonts w:ascii="Arial" w:cs="Arial" w:eastAsia="Arial" w:hAnsi="Arial"/>
                <w:sz w:val="18"/>
                <w:szCs w:val="18"/>
                <w:color w:val="auto"/>
              </w:rPr>
              <w:t>Inc.</w:t>
            </w: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rPr>
              <w:t>Street Retail, Inc.</w:t>
            </w:r>
          </w:p>
        </w:tc>
        <w:tc>
          <w:tcPr>
            <w:tcW w:w="1420" w:type="dxa"/>
            <w:vAlign w:val="bottom"/>
          </w:tcPr>
          <w:p>
            <w:pPr>
              <w:ind w:left="60"/>
              <w:spacing w:after="0"/>
              <w:rPr>
                <w:sz w:val="20"/>
                <w:szCs w:val="20"/>
                <w:color w:val="auto"/>
              </w:rPr>
            </w:pPr>
            <w:r>
              <w:rPr>
                <w:rFonts w:ascii="Arial" w:cs="Arial" w:eastAsia="Arial" w:hAnsi="Arial"/>
                <w:sz w:val="18"/>
                <w:szCs w:val="18"/>
                <w:color w:val="auto"/>
              </w:rPr>
              <w:t>General partner</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rPr>
              <w:t>Street Retail, Inc.</w:t>
            </w:r>
          </w:p>
        </w:tc>
        <w:tc>
          <w:tcPr>
            <w:tcW w:w="1420" w:type="dxa"/>
            <w:vAlign w:val="bottom"/>
          </w:tcPr>
          <w:p>
            <w:pPr>
              <w:ind w:left="60"/>
              <w:spacing w:after="0"/>
              <w:rPr>
                <w:sz w:val="20"/>
                <w:szCs w:val="20"/>
                <w:color w:val="auto"/>
              </w:rPr>
            </w:pPr>
            <w:r>
              <w:rPr>
                <w:rFonts w:ascii="Arial" w:cs="Arial" w:eastAsia="Arial" w:hAnsi="Arial"/>
                <w:sz w:val="18"/>
                <w:szCs w:val="18"/>
                <w:color w:val="auto"/>
              </w:rPr>
              <w:t>Limited partner</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7"/>
              </w:rPr>
              <w:t>STREET RETAIL WEST 7, L.P., a</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Street Retail West GP,</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C general</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partnership</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Delaware GPO 7 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A general</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Delaware GPO 7 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B general</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Delaware GPM 7 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B general</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Delaware GPO 7 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B limited</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Delaware GPM 7 Inc.</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B limited</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partner</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Arial" w:cs="Arial" w:eastAsia="Arial" w:hAnsi="Arial"/>
          <w:sz w:val="18"/>
          <w:szCs w:val="18"/>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 w:right="60"/>
        <w:spacing w:after="0" w:line="332" w:lineRule="auto"/>
        <w:rPr>
          <w:sz w:val="20"/>
          <w:szCs w:val="20"/>
          <w:color w:val="auto"/>
        </w:rPr>
      </w:pPr>
      <w:r>
        <w:rPr>
          <w:rFonts w:ascii="Arial" w:cs="Arial" w:eastAsia="Arial" w:hAnsi="Arial"/>
          <w:sz w:val="16"/>
          <w:szCs w:val="16"/>
          <w:color w:val="auto"/>
        </w:rPr>
        <w:t>Owner of Non-Controlled Property</w:t>
      </w:r>
    </w:p>
    <w:p>
      <w:pPr>
        <w:spacing w:after="0" w:line="4" w:lineRule="exact"/>
        <w:rPr>
          <w:sz w:val="20"/>
          <w:szCs w:val="20"/>
          <w:color w:val="auto"/>
        </w:rPr>
      </w:pPr>
    </w:p>
    <w:p>
      <w:pPr>
        <w:jc w:val="both"/>
        <w:ind w:left="224" w:right="360" w:hanging="224"/>
        <w:spacing w:after="0" w:line="303" w:lineRule="auto"/>
        <w:tabs>
          <w:tab w:leader="none" w:pos="289" w:val="left"/>
        </w:tabs>
        <w:numPr>
          <w:ilvl w:val="0"/>
          <w:numId w:val="266"/>
        </w:numPr>
        <w:rPr>
          <w:rFonts w:ascii="Arial" w:cs="Arial" w:eastAsia="Arial" w:hAnsi="Arial"/>
          <w:sz w:val="15"/>
          <w:szCs w:val="15"/>
          <w:color w:val="auto"/>
        </w:rPr>
      </w:pPr>
      <w:r>
        <w:rPr>
          <w:rFonts w:ascii="Arial" w:cs="Arial" w:eastAsia="Arial" w:hAnsi="Arial"/>
          <w:sz w:val="15"/>
          <w:szCs w:val="15"/>
          <w:color w:val="auto"/>
        </w:rPr>
        <w:t>953-955 5</w:t>
      </w:r>
      <w:r>
        <w:rPr>
          <w:rFonts w:ascii="Arial" w:cs="Arial" w:eastAsia="Arial" w:hAnsi="Arial"/>
          <w:sz w:val="10"/>
          <w:szCs w:val="10"/>
          <w:color w:val="auto"/>
        </w:rPr>
        <w:t>th</w:t>
      </w:r>
      <w:r>
        <w:rPr>
          <w:rFonts w:ascii="Arial" w:cs="Arial" w:eastAsia="Arial" w:hAnsi="Arial"/>
          <w:sz w:val="15"/>
          <w:szCs w:val="15"/>
          <w:color w:val="auto"/>
        </w:rPr>
        <w:t xml:space="preserve"> Avenue, San Diego, CA</w:t>
      </w:r>
    </w:p>
    <w:p>
      <w:pPr>
        <w:spacing w:after="0" w:line="1" w:lineRule="exact"/>
        <w:rPr>
          <w:rFonts w:ascii="Arial" w:cs="Arial" w:eastAsia="Arial" w:hAnsi="Arial"/>
          <w:sz w:val="15"/>
          <w:szCs w:val="15"/>
          <w:color w:val="auto"/>
        </w:rPr>
      </w:pPr>
    </w:p>
    <w:p>
      <w:pPr>
        <w:ind w:left="224" w:right="40" w:hanging="224"/>
        <w:spacing w:after="0" w:line="300" w:lineRule="auto"/>
        <w:tabs>
          <w:tab w:leader="none" w:pos="289" w:val="left"/>
        </w:tabs>
        <w:numPr>
          <w:ilvl w:val="0"/>
          <w:numId w:val="266"/>
        </w:numPr>
        <w:rPr>
          <w:rFonts w:ascii="Arial" w:cs="Arial" w:eastAsia="Arial" w:hAnsi="Arial"/>
          <w:sz w:val="15"/>
          <w:szCs w:val="15"/>
          <w:color w:val="auto"/>
        </w:rPr>
      </w:pPr>
      <w:r>
        <w:rPr>
          <w:rFonts w:ascii="Arial" w:cs="Arial" w:eastAsia="Arial" w:hAnsi="Arial"/>
          <w:sz w:val="15"/>
          <w:szCs w:val="15"/>
          <w:color w:val="auto"/>
        </w:rPr>
        <w:t>1221-1227 Hermosa Ave., Hermosa, Beach,</w:t>
      </w:r>
    </w:p>
    <w:p>
      <w:pPr>
        <w:spacing w:after="0" w:line="1" w:lineRule="exact"/>
        <w:rPr>
          <w:rFonts w:ascii="Arial" w:cs="Arial" w:eastAsia="Arial" w:hAnsi="Arial"/>
          <w:sz w:val="15"/>
          <w:szCs w:val="15"/>
          <w:color w:val="auto"/>
        </w:rPr>
      </w:pPr>
    </w:p>
    <w:p>
      <w:pPr>
        <w:ind w:left="224"/>
        <w:spacing w:after="0"/>
        <w:rPr>
          <w:rFonts w:ascii="Arial" w:cs="Arial" w:eastAsia="Arial" w:hAnsi="Arial"/>
          <w:sz w:val="15"/>
          <w:szCs w:val="15"/>
          <w:color w:val="auto"/>
        </w:rPr>
      </w:pPr>
      <w:r>
        <w:rPr>
          <w:rFonts w:ascii="Arial" w:cs="Arial" w:eastAsia="Arial" w:hAnsi="Arial"/>
          <w:sz w:val="18"/>
          <w:szCs w:val="18"/>
          <w:color w:val="auto"/>
        </w:rPr>
        <w:t>CA</w:t>
      </w:r>
    </w:p>
    <w:p>
      <w:pPr>
        <w:spacing w:after="0" w:line="9" w:lineRule="exact"/>
        <w:rPr>
          <w:rFonts w:ascii="Arial" w:cs="Arial" w:eastAsia="Arial" w:hAnsi="Arial"/>
          <w:sz w:val="15"/>
          <w:szCs w:val="15"/>
          <w:color w:val="auto"/>
        </w:rPr>
      </w:pPr>
    </w:p>
    <w:p>
      <w:pPr>
        <w:ind w:left="224" w:right="200" w:hanging="224"/>
        <w:spacing w:after="0" w:line="331" w:lineRule="auto"/>
        <w:tabs>
          <w:tab w:leader="none" w:pos="289" w:val="left"/>
        </w:tabs>
        <w:numPr>
          <w:ilvl w:val="0"/>
          <w:numId w:val="266"/>
        </w:numPr>
        <w:rPr>
          <w:rFonts w:ascii="Arial" w:cs="Arial" w:eastAsia="Arial" w:hAnsi="Arial"/>
          <w:sz w:val="15"/>
          <w:szCs w:val="15"/>
          <w:color w:val="auto"/>
        </w:rPr>
      </w:pPr>
      <w:r>
        <w:rPr>
          <w:rFonts w:ascii="Arial" w:cs="Arial" w:eastAsia="Arial" w:hAnsi="Arial"/>
          <w:sz w:val="15"/>
          <w:szCs w:val="15"/>
          <w:color w:val="auto"/>
        </w:rPr>
        <w:t>1232-1240 3</w:t>
      </w:r>
      <w:r>
        <w:rPr>
          <w:rFonts w:ascii="Arial" w:cs="Arial" w:eastAsia="Arial" w:hAnsi="Arial"/>
          <w:sz w:val="10"/>
          <w:szCs w:val="10"/>
          <w:color w:val="auto"/>
        </w:rPr>
        <w:t>rd</w:t>
      </w:r>
      <w:r>
        <w:rPr>
          <w:rFonts w:ascii="Arial" w:cs="Arial" w:eastAsia="Arial" w:hAnsi="Arial"/>
          <w:sz w:val="15"/>
          <w:szCs w:val="15"/>
          <w:color w:val="auto"/>
        </w:rPr>
        <w:t xml:space="preserve"> Street, Santa Monica, CA</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 w:right="60"/>
        <w:spacing w:after="0" w:line="332" w:lineRule="auto"/>
        <w:rPr>
          <w:sz w:val="20"/>
          <w:szCs w:val="20"/>
          <w:color w:val="auto"/>
        </w:rPr>
      </w:pPr>
      <w:r>
        <w:rPr>
          <w:rFonts w:ascii="Arial" w:cs="Arial" w:eastAsia="Arial" w:hAnsi="Arial"/>
          <w:sz w:val="16"/>
          <w:szCs w:val="16"/>
          <w:color w:val="auto"/>
        </w:rPr>
        <w:t>Owner of Non-Controlled Property</w:t>
      </w:r>
    </w:p>
    <w:p>
      <w:pPr>
        <w:spacing w:after="0" w:line="4" w:lineRule="exact"/>
        <w:rPr>
          <w:sz w:val="20"/>
          <w:szCs w:val="20"/>
          <w:color w:val="auto"/>
        </w:rPr>
      </w:pPr>
    </w:p>
    <w:p>
      <w:pPr>
        <w:ind w:left="224" w:hanging="224"/>
        <w:spacing w:after="0" w:line="284" w:lineRule="auto"/>
        <w:tabs>
          <w:tab w:leader="none" w:pos="28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7001 Hollywood Boulevard, Hollywood, CA</w:t>
      </w:r>
    </w:p>
    <w:p>
      <w:pPr>
        <w:spacing w:after="0" w:line="1" w:lineRule="exact"/>
        <w:rPr>
          <w:rFonts w:ascii="Arial" w:cs="Arial" w:eastAsia="Arial" w:hAnsi="Arial"/>
          <w:sz w:val="16"/>
          <w:szCs w:val="16"/>
          <w:color w:val="auto"/>
        </w:rPr>
      </w:pPr>
    </w:p>
    <w:p>
      <w:pPr>
        <w:ind w:left="224" w:hanging="224"/>
        <w:spacing w:after="0" w:line="302" w:lineRule="auto"/>
        <w:tabs>
          <w:tab w:leader="none" w:pos="28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7021 Hollywood Boulevard, Hollywood, CA</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2" w:right="20" w:hanging="222"/>
        <w:spacing w:after="0" w:line="312" w:lineRule="auto"/>
        <w:tabs>
          <w:tab w:leader="none" w:pos="287" w:val="left"/>
        </w:tabs>
        <w:numPr>
          <w:ilvl w:val="0"/>
          <w:numId w:val="268"/>
        </w:numPr>
        <w:rPr>
          <w:rFonts w:ascii="Arial" w:cs="Arial" w:eastAsia="Arial" w:hAnsi="Arial"/>
          <w:sz w:val="15"/>
          <w:szCs w:val="15"/>
          <w:color w:val="auto"/>
        </w:rPr>
      </w:pPr>
      <w:r>
        <w:rPr>
          <w:rFonts w:ascii="Arial" w:cs="Arial" w:eastAsia="Arial" w:hAnsi="Arial"/>
          <w:sz w:val="15"/>
          <w:szCs w:val="15"/>
          <w:color w:val="auto"/>
        </w:rPr>
        <w:t>Subject to satisfaction of certain conditions, Federal Realty has the option to acquire, and may be required by the other partners to acquire, the other partners’ interests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-990600</wp:posOffset>
            </wp:positionV>
            <wp:extent cx="2529840" cy="17068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2984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2" w:right="60" w:hanging="222"/>
        <w:spacing w:after="0" w:line="283" w:lineRule="auto"/>
        <w:tabs>
          <w:tab w:leader="none" w:pos="28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Right to merge entities into a Federal Realty entity in exchange for Federal Realty stock or cash (at option of non-Federal Realty partners, subject to certain conditions); and</w:t>
      </w:r>
    </w:p>
    <w:p>
      <w:pPr>
        <w:ind w:left="222" w:right="140" w:hanging="222"/>
        <w:spacing w:after="0" w:line="292" w:lineRule="auto"/>
        <w:tabs>
          <w:tab w:leader="none" w:pos="28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Registration rights for Federal Realty stock issued in connection with transfer of partnership interests through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-1669415</wp:posOffset>
            </wp:positionV>
            <wp:extent cx="2529840" cy="22040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529840" cy="2204085"/>
                    </a:xfrm>
                    <a:prstGeom prst="rect">
                      <a:avLst/>
                    </a:prstGeom>
                    <a:noFill/>
                  </pic:spPr>
                </pic:pic>
              </a:graphicData>
            </a:graphic>
          </wp:anchor>
        </w:drawing>
      </w:r>
    </w:p>
    <w:p>
      <w:pPr>
        <w:sectPr>
          <w:pgSz w:w="11900" w:h="16838" w:orient="portrait"/>
          <w:cols w:equalWidth="0" w:num="3">
            <w:col w:w="7440" w:space="4294967293"/>
            <w:col w:w="1464" w:space="238"/>
            <w:col w:w="2282"/>
          </w:cols>
          <w:pgMar w:left="240" w:top="273" w:right="239" w:bottom="1440" w:gutter="0" w:footer="0" w:header="0"/>
          <w:type w:val="continuous"/>
        </w:sectPr>
      </w:pPr>
    </w:p>
    <w:bookmarkStart w:id="356" w:name="page357"/>
    <w:bookmarkEnd w:id="35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Nature of</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4"/>
                <w:szCs w:val="14"/>
                <w:color w:val="auto"/>
              </w:rPr>
            </w:pPr>
          </w:p>
        </w:tc>
        <w:tc>
          <w:tcPr>
            <w:tcW w:w="2280" w:type="dxa"/>
            <w:vAlign w:val="bottom"/>
          </w:tcPr>
          <w:p>
            <w:pPr>
              <w:ind w:left="700"/>
              <w:spacing w:after="0"/>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Ownership</w:t>
            </w: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w w:val="98"/>
              </w:rPr>
              <w:t>Excluded Subsidiary</w:t>
            </w:r>
          </w:p>
        </w:tc>
        <w:tc>
          <w:tcPr>
            <w:tcW w:w="120" w:type="dxa"/>
            <w:vAlign w:val="bottom"/>
          </w:tcPr>
          <w:p>
            <w:pPr>
              <w:spacing w:after="0"/>
              <w:rPr>
                <w:sz w:val="15"/>
                <w:szCs w:val="15"/>
                <w:color w:val="auto"/>
              </w:rPr>
            </w:pPr>
          </w:p>
        </w:tc>
        <w:tc>
          <w:tcPr>
            <w:tcW w:w="2280" w:type="dxa"/>
            <w:vAlign w:val="bottom"/>
          </w:tcPr>
          <w:p>
            <w:pPr>
              <w:ind w:left="440"/>
              <w:spacing w:after="0"/>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1"/>
              </w:rPr>
              <w:t>STREET RETAIL WEST 10, L.P., a</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8"/>
              </w:rPr>
              <w:t>Street Retail West GP,</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90%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partnership</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9%</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SRI SAN ANTONIO, INC. (F/K/A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Street Retail, Inc.</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DIM SUM, INC.), a Maryland</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5"/>
              </w:rPr>
              <w:t>STREET RETAIL SAN ANTONIO,</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2"/>
              </w:rPr>
              <w:t>SRI San Antonio,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4"/>
              </w:rPr>
              <w:t>LP, a Delaware limited partnership</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SRI Texas,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99.9%</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SRI TEXAS, INC., a Delaware</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Street Retail, Inc.,</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2"/>
              </w:rPr>
              <w:t>SANTANA ROW SERVICES, INC.,</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 Delaware corporation</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stockholder</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SANTANA ROW ROF, INC., a</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Street Retail, Inc.</w:t>
            </w:r>
          </w:p>
        </w:tc>
        <w:tc>
          <w:tcPr>
            <w:tcW w:w="1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Sole</w:t>
            </w:r>
          </w:p>
        </w:tc>
        <w:tc>
          <w:tcPr>
            <w:tcW w:w="14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Unconsolidated Affiliates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ind w:left="260"/>
              <w:spacing w:after="0"/>
              <w:rPr>
                <w:sz w:val="20"/>
                <w:szCs w:val="20"/>
                <w:color w:val="auto"/>
              </w:rPr>
            </w:pPr>
            <w:r>
              <w:rPr>
                <w:rFonts w:ascii="Arial" w:cs="Arial" w:eastAsia="Arial" w:hAnsi="Arial"/>
                <w:sz w:val="14"/>
                <w:szCs w:val="14"/>
                <w:b w:val="1"/>
                <w:bCs w:val="1"/>
                <w:color w:val="auto"/>
              </w:rPr>
              <w:t>Nature of Equity</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ind w:left="740"/>
              <w:spacing w:after="0"/>
              <w:rPr>
                <w:sz w:val="20"/>
                <w:szCs w:val="20"/>
                <w:color w:val="auto"/>
              </w:rPr>
            </w:pPr>
            <w:r>
              <w:rPr>
                <w:rFonts w:ascii="Arial" w:cs="Arial" w:eastAsia="Arial" w:hAnsi="Arial"/>
                <w:sz w:val="14"/>
                <w:szCs w:val="14"/>
                <w:b w:val="1"/>
                <w:bCs w:val="1"/>
                <w:color w:val="auto"/>
              </w:rPr>
              <w:t>Material and/or Excluded</w:t>
            </w:r>
          </w:p>
        </w:tc>
        <w:tc>
          <w:tcPr>
            <w:tcW w:w="0" w:type="dxa"/>
            <w:vAlign w:val="bottom"/>
          </w:tcPr>
          <w:p>
            <w:pPr>
              <w:spacing w:after="0"/>
              <w:rPr>
                <w:sz w:val="1"/>
                <w:szCs w:val="1"/>
                <w:color w:val="auto"/>
              </w:rPr>
            </w:pPr>
          </w:p>
        </w:tc>
      </w:tr>
      <w:tr>
        <w:trPr>
          <w:trHeight w:val="175"/>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40" w:type="dxa"/>
            <w:vAlign w:val="bottom"/>
          </w:tcPr>
          <w:p>
            <w:pPr>
              <w:spacing w:after="0"/>
              <w:rPr>
                <w:sz w:val="15"/>
                <w:szCs w:val="15"/>
                <w:color w:val="auto"/>
              </w:rPr>
            </w:pPr>
          </w:p>
        </w:tc>
        <w:tc>
          <w:tcPr>
            <w:tcW w:w="2060" w:type="dxa"/>
            <w:vAlign w:val="bottom"/>
          </w:tcPr>
          <w:p>
            <w:pPr>
              <w:ind w:left="58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480" w:type="dxa"/>
            <w:vAlign w:val="bottom"/>
          </w:tcPr>
          <w:p>
            <w:pPr>
              <w:ind w:left="52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 Ownership</w:t>
            </w:r>
          </w:p>
        </w:tc>
        <w:tc>
          <w:tcPr>
            <w:tcW w:w="2960" w:type="dxa"/>
            <w:vAlign w:val="bottom"/>
          </w:tcPr>
          <w:p>
            <w:pPr>
              <w:ind w:left="1160"/>
              <w:spacing w:after="0"/>
              <w:rPr>
                <w:sz w:val="20"/>
                <w:szCs w:val="20"/>
                <w:color w:val="auto"/>
              </w:rPr>
            </w:pPr>
            <w:r>
              <w:rPr>
                <w:rFonts w:ascii="Arial" w:cs="Arial" w:eastAsia="Arial" w:hAnsi="Arial"/>
                <w:sz w:val="14"/>
                <w:szCs w:val="14"/>
                <w:b w:val="1"/>
                <w:bCs w:val="1"/>
                <w:color w:val="auto"/>
              </w:rPr>
              <w:t>Subsidiary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LA RIVE GAUCHE SAN JOSE, LLC, a</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37.5%</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California limited liability company</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89"/>
              </w:rPr>
              <w:t>Vine Dining Enterprises, Inc.</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Manager/member</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62.5%</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STRAITS SANTANA ROW, LLC, a</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Santana Row ROF, Inc.</w:t>
            </w:r>
          </w:p>
        </w:tc>
        <w:tc>
          <w:tcPr>
            <w:tcW w:w="1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Member</w:t>
            </w:r>
          </w:p>
        </w:tc>
        <w:tc>
          <w:tcPr>
            <w:tcW w:w="13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90%</w:t>
            </w:r>
          </w:p>
        </w:tc>
        <w:tc>
          <w:tcPr>
            <w:tcW w:w="10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California limited liability company</w:t>
            </w:r>
          </w:p>
        </w:tc>
        <w:tc>
          <w:tcPr>
            <w:tcW w:w="14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Christopher Yeo</w:t>
            </w:r>
          </w:p>
        </w:tc>
        <w:tc>
          <w:tcPr>
            <w:tcW w:w="1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Manager/member</w:t>
            </w:r>
          </w:p>
        </w:tc>
        <w:tc>
          <w:tcPr>
            <w:tcW w:w="13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w:t>
            </w: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5"/>
              </w:rPr>
              <w:t>VILLAGE CAFE SANTANA ROW, LLC, a</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3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49%</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California limited liability company</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Coffee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Manager/member</w:t>
            </w:r>
          </w:p>
        </w:tc>
        <w:tc>
          <w:tcPr>
            <w:tcW w:w="13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51%</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Roasting Company, Inc.</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w w:val="97"/>
              </w:rPr>
              <w:t>BLOWFISH SR, LLC, a California limited</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Santana Row ROF, Inc.</w:t>
            </w:r>
          </w:p>
        </w:tc>
        <w:tc>
          <w:tcPr>
            <w:tcW w:w="1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Member</w:t>
            </w:r>
          </w:p>
        </w:tc>
        <w:tc>
          <w:tcPr>
            <w:tcW w:w="13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liability company</w:t>
            </w:r>
          </w:p>
        </w:tc>
        <w:tc>
          <w:tcPr>
            <w:tcW w:w="14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Fugu Management, LLC</w:t>
            </w:r>
          </w:p>
        </w:tc>
        <w:tc>
          <w:tcPr>
            <w:tcW w:w="1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Manager/member</w:t>
            </w:r>
          </w:p>
        </w:tc>
        <w:tc>
          <w:tcPr>
            <w:tcW w:w="13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70%</w:t>
            </w: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YANKEE PIER SANTANA ROW, LLC, a</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3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75%</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California limited liability company</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Lark Creek Cafe, Inc.</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Manager/member</w:t>
            </w:r>
          </w:p>
        </w:tc>
        <w:tc>
          <w:tcPr>
            <w:tcW w:w="13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25%</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w w:val="98"/>
              </w:rPr>
              <w:t>PIZZA ANTICA, LLC, a California limited</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Santana Row ROF, Inc.</w:t>
            </w:r>
          </w:p>
        </w:tc>
        <w:tc>
          <w:tcPr>
            <w:tcW w:w="1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Member</w:t>
            </w:r>
          </w:p>
        </w:tc>
        <w:tc>
          <w:tcPr>
            <w:tcW w:w="13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20%</w:t>
            </w:r>
          </w:p>
        </w:tc>
        <w:tc>
          <w:tcPr>
            <w:tcW w:w="10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liability company</w:t>
            </w:r>
          </w:p>
        </w:tc>
        <w:tc>
          <w:tcPr>
            <w:tcW w:w="14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Tim Stannard</w:t>
            </w:r>
          </w:p>
        </w:tc>
        <w:tc>
          <w:tcPr>
            <w:tcW w:w="1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Manager/member</w:t>
            </w:r>
          </w:p>
        </w:tc>
        <w:tc>
          <w:tcPr>
            <w:tcW w:w="13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80%</w:t>
            </w: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SINO, LLC F/K/A RED LANTERN</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3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90%</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RESTAURANT, LLC, a California limited</w:t>
            </w:r>
          </w:p>
        </w:tc>
        <w:tc>
          <w:tcPr>
            <w:tcW w:w="140" w:type="dxa"/>
            <w:vAlign w:val="bottom"/>
            <w:shd w:val="clear" w:color="auto" w:fill="CCEEFF"/>
          </w:tcPr>
          <w:p>
            <w:pPr>
              <w:spacing w:after="0"/>
              <w:rPr>
                <w:sz w:val="18"/>
                <w:szCs w:val="18"/>
                <w:color w:val="auto"/>
              </w:rPr>
            </w:pPr>
          </w:p>
        </w:tc>
        <w:tc>
          <w:tcPr>
            <w:tcW w:w="2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Christopher Yeo</w:t>
            </w:r>
          </w:p>
        </w:tc>
        <w:tc>
          <w:tcPr>
            <w:tcW w:w="12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Manager/member</w:t>
            </w:r>
          </w:p>
        </w:tc>
        <w:tc>
          <w:tcPr>
            <w:tcW w:w="1360" w:type="dxa"/>
            <w:vAlign w:val="bottom"/>
            <w:gridSpan w:val="2"/>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liability company</w:t>
            </w:r>
          </w:p>
        </w:tc>
        <w:tc>
          <w:tcPr>
            <w:tcW w:w="140" w:type="dxa"/>
            <w:vAlign w:val="bottom"/>
            <w:shd w:val="clear" w:color="auto" w:fill="CCEEFF"/>
          </w:tcPr>
          <w:p>
            <w:pPr>
              <w:spacing w:after="0"/>
              <w:rPr>
                <w:sz w:val="9"/>
                <w:szCs w:val="9"/>
                <w:color w:val="auto"/>
              </w:rPr>
            </w:pPr>
          </w:p>
        </w:tc>
        <w:tc>
          <w:tcPr>
            <w:tcW w:w="20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SANTANA GRILL PARTNERS, LP, a</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VDAE, LLC</w:t>
            </w:r>
          </w:p>
        </w:tc>
        <w:tc>
          <w:tcPr>
            <w:tcW w:w="1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General partner</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65.000%</w:t>
            </w:r>
          </w:p>
        </w:tc>
        <w:tc>
          <w:tcPr>
            <w:tcW w:w="10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California limited partnership</w:t>
            </w:r>
          </w:p>
        </w:tc>
        <w:tc>
          <w:tcPr>
            <w:tcW w:w="1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Santana Row ROF, Inc.</w:t>
            </w:r>
          </w:p>
        </w:tc>
        <w:tc>
          <w:tcPr>
            <w:tcW w:w="1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Limited partner</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29.167%</w:t>
            </w: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VDAE, LLC</w:t>
            </w:r>
          </w:p>
        </w:tc>
        <w:tc>
          <w:tcPr>
            <w:tcW w:w="1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Limited partner</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1.250%</w:t>
            </w: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VDAE, Inc.</w:t>
            </w:r>
          </w:p>
        </w:tc>
        <w:tc>
          <w:tcPr>
            <w:tcW w:w="1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Limited partner</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4.583%</w:t>
            </w: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FEDERAL/LION VENTURE LP, a</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Federal/LPF GP, Inc.</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3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partnership</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CLPF-Federal GP, LLC</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3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7"/>
              </w:rPr>
              <w:t>Federal Realty Investment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29.9%</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Trust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CLPF-Federal, L.P.</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69.9%</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FLV ATLANTIC PLAZA GP, LLC, a</w:t>
            </w:r>
          </w:p>
        </w:tc>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Sole member</w:t>
            </w:r>
          </w:p>
        </w:tc>
        <w:tc>
          <w:tcPr>
            <w:tcW w:w="11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1"/>
              </w:rPr>
              <w:t>100%</w:t>
            </w:r>
          </w:p>
        </w:tc>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2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FLV ATLANTIC PLAZA LIMITED</w:t>
            </w:r>
          </w:p>
        </w:tc>
        <w:tc>
          <w:tcPr>
            <w:tcW w:w="2240" w:type="dxa"/>
            <w:vAlign w:val="bottom"/>
          </w:tcPr>
          <w:p>
            <w:pPr>
              <w:ind w:left="140"/>
              <w:spacing w:after="0"/>
              <w:rPr>
                <w:sz w:val="20"/>
                <w:szCs w:val="20"/>
                <w:color w:val="auto"/>
              </w:rPr>
            </w:pPr>
            <w:r>
              <w:rPr>
                <w:rFonts w:ascii="Arial" w:cs="Arial" w:eastAsia="Arial" w:hAnsi="Arial"/>
                <w:sz w:val="18"/>
                <w:szCs w:val="18"/>
                <w:color w:val="auto"/>
                <w:w w:val="94"/>
              </w:rPr>
              <w:t>FLV Atlantic Plaza GP, LLC</w:t>
            </w:r>
          </w:p>
        </w:tc>
        <w:tc>
          <w:tcPr>
            <w:tcW w:w="162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1160" w:type="dxa"/>
            <w:vAlign w:val="bottom"/>
          </w:tcPr>
          <w:p>
            <w:pPr>
              <w:jc w:val="center"/>
              <w:ind w:left="112"/>
              <w:spacing w:after="0"/>
              <w:rPr>
                <w:sz w:val="20"/>
                <w:szCs w:val="20"/>
                <w:color w:val="auto"/>
              </w:rPr>
            </w:pPr>
            <w:r>
              <w:rPr>
                <w:rFonts w:ascii="Arial" w:cs="Arial" w:eastAsia="Arial" w:hAnsi="Arial"/>
                <w:sz w:val="18"/>
                <w:szCs w:val="18"/>
                <w:color w:val="auto"/>
                <w:w w:val="90"/>
              </w:rPr>
              <w:t>.1%</w:t>
            </w:r>
          </w:p>
        </w:tc>
        <w:tc>
          <w:tcPr>
            <w:tcW w:w="3200" w:type="dxa"/>
            <w:vAlign w:val="bottom"/>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PARTNERSHIP, a Delaware limited</w:t>
            </w:r>
          </w:p>
        </w:tc>
        <w:tc>
          <w:tcPr>
            <w:tcW w:w="2240" w:type="dxa"/>
            <w:vAlign w:val="bottom"/>
            <w:vMerge w:val="restart"/>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vMerge w:val="restart"/>
          </w:tcPr>
          <w:p>
            <w:pPr>
              <w:ind w:left="80"/>
              <w:spacing w:after="0"/>
              <w:rPr>
                <w:sz w:val="20"/>
                <w:szCs w:val="20"/>
                <w:color w:val="auto"/>
              </w:rPr>
            </w:pPr>
            <w:r>
              <w:rPr>
                <w:rFonts w:ascii="Arial" w:cs="Arial" w:eastAsia="Arial" w:hAnsi="Arial"/>
                <w:sz w:val="18"/>
                <w:szCs w:val="18"/>
                <w:color w:val="auto"/>
              </w:rPr>
              <w:t>Limited partner</w:t>
            </w:r>
          </w:p>
        </w:tc>
        <w:tc>
          <w:tcPr>
            <w:tcW w:w="1160" w:type="dxa"/>
            <w:vAlign w:val="bottom"/>
            <w:vMerge w:val="restart"/>
          </w:tcPr>
          <w:p>
            <w:pPr>
              <w:jc w:val="center"/>
              <w:ind w:left="92"/>
              <w:spacing w:after="0"/>
              <w:rPr>
                <w:sz w:val="20"/>
                <w:szCs w:val="20"/>
                <w:color w:val="auto"/>
              </w:rPr>
            </w:pPr>
            <w:r>
              <w:rPr>
                <w:rFonts w:ascii="Arial" w:cs="Arial" w:eastAsia="Arial" w:hAnsi="Arial"/>
                <w:sz w:val="18"/>
                <w:szCs w:val="18"/>
                <w:color w:val="auto"/>
                <w:w w:val="90"/>
              </w:rPr>
              <w:t>99.9%</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partnership</w:t>
            </w:r>
          </w:p>
        </w:tc>
        <w:tc>
          <w:tcPr>
            <w:tcW w:w="22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tcPr>
          <w:p>
            <w:pPr>
              <w:spacing w:after="0"/>
              <w:rPr>
                <w:sz w:val="9"/>
                <w:szCs w:val="9"/>
                <w:color w:val="auto"/>
              </w:rPr>
            </w:pPr>
          </w:p>
        </w:tc>
        <w:tc>
          <w:tcPr>
            <w:tcW w:w="2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FLV PLEASANT SHOPS GP, LLC, a</w:t>
            </w:r>
          </w:p>
        </w:tc>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Sole member</w:t>
            </w:r>
          </w:p>
        </w:tc>
        <w:tc>
          <w:tcPr>
            <w:tcW w:w="11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1"/>
              </w:rPr>
              <w:t>100%</w:t>
            </w:r>
          </w:p>
        </w:tc>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2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FLV PLEASANT SHOPS LIMITED</w:t>
            </w:r>
          </w:p>
        </w:tc>
        <w:tc>
          <w:tcPr>
            <w:tcW w:w="2240" w:type="dxa"/>
            <w:vAlign w:val="bottom"/>
          </w:tcPr>
          <w:p>
            <w:pPr>
              <w:ind w:left="140"/>
              <w:spacing w:after="0"/>
              <w:rPr>
                <w:sz w:val="20"/>
                <w:szCs w:val="20"/>
                <w:color w:val="auto"/>
              </w:rPr>
            </w:pPr>
            <w:r>
              <w:rPr>
                <w:rFonts w:ascii="Arial" w:cs="Arial" w:eastAsia="Arial" w:hAnsi="Arial"/>
                <w:sz w:val="18"/>
                <w:szCs w:val="18"/>
                <w:color w:val="auto"/>
              </w:rPr>
              <w:t>FLV Pleasant Shops GP,</w:t>
            </w:r>
          </w:p>
        </w:tc>
        <w:tc>
          <w:tcPr>
            <w:tcW w:w="162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1160" w:type="dxa"/>
            <w:vAlign w:val="bottom"/>
          </w:tcPr>
          <w:p>
            <w:pPr>
              <w:jc w:val="center"/>
              <w:ind w:left="112"/>
              <w:spacing w:after="0"/>
              <w:rPr>
                <w:sz w:val="20"/>
                <w:szCs w:val="20"/>
                <w:color w:val="auto"/>
              </w:rPr>
            </w:pPr>
            <w:r>
              <w:rPr>
                <w:rFonts w:ascii="Arial" w:cs="Arial" w:eastAsia="Arial" w:hAnsi="Arial"/>
                <w:sz w:val="18"/>
                <w:szCs w:val="18"/>
                <w:color w:val="auto"/>
                <w:w w:val="90"/>
              </w:rPr>
              <w:t>.1%</w:t>
            </w:r>
          </w:p>
        </w:tc>
        <w:tc>
          <w:tcPr>
            <w:tcW w:w="3200" w:type="dxa"/>
            <w:vAlign w:val="bottom"/>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PARTNERSHIP, a Delaware limited</w:t>
            </w:r>
          </w:p>
        </w:tc>
        <w:tc>
          <w:tcPr>
            <w:tcW w:w="2240" w:type="dxa"/>
            <w:vAlign w:val="bottom"/>
          </w:tcPr>
          <w:p>
            <w:pPr>
              <w:ind w:left="140"/>
              <w:spacing w:after="0"/>
              <w:rPr>
                <w:sz w:val="20"/>
                <w:szCs w:val="20"/>
                <w:color w:val="auto"/>
              </w:rPr>
            </w:pPr>
            <w:r>
              <w:rPr>
                <w:rFonts w:ascii="Arial" w:cs="Arial" w:eastAsia="Arial" w:hAnsi="Arial"/>
                <w:sz w:val="18"/>
                <w:szCs w:val="18"/>
                <w:color w:val="auto"/>
              </w:rPr>
              <w:t>LLC</w:t>
            </w: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partnership</w:t>
            </w:r>
          </w:p>
        </w:tc>
        <w:tc>
          <w:tcPr>
            <w:tcW w:w="2240" w:type="dxa"/>
            <w:vAlign w:val="bottom"/>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tcPr>
          <w:p>
            <w:pPr>
              <w:ind w:left="80"/>
              <w:spacing w:after="0"/>
              <w:rPr>
                <w:sz w:val="20"/>
                <w:szCs w:val="20"/>
                <w:color w:val="auto"/>
              </w:rPr>
            </w:pPr>
            <w:r>
              <w:rPr>
                <w:rFonts w:ascii="Arial" w:cs="Arial" w:eastAsia="Arial" w:hAnsi="Arial"/>
                <w:sz w:val="18"/>
                <w:szCs w:val="18"/>
                <w:color w:val="auto"/>
              </w:rPr>
              <w:t>Limited partner</w:t>
            </w:r>
          </w:p>
        </w:tc>
        <w:tc>
          <w:tcPr>
            <w:tcW w:w="1160" w:type="dxa"/>
            <w:vAlign w:val="bottom"/>
          </w:tcPr>
          <w:p>
            <w:pPr>
              <w:jc w:val="center"/>
              <w:ind w:left="92"/>
              <w:spacing w:after="0"/>
              <w:rPr>
                <w:sz w:val="20"/>
                <w:szCs w:val="20"/>
                <w:color w:val="auto"/>
              </w:rPr>
            </w:pPr>
            <w:r>
              <w:rPr>
                <w:rFonts w:ascii="Arial" w:cs="Arial" w:eastAsia="Arial" w:hAnsi="Arial"/>
                <w:sz w:val="18"/>
                <w:szCs w:val="18"/>
                <w:color w:val="auto"/>
                <w:w w:val="90"/>
              </w:rPr>
              <w:t>99.9%</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FLV CAMPUS PLAZA GP, LLC, a</w:t>
            </w:r>
          </w:p>
        </w:tc>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Sole member</w:t>
            </w:r>
          </w:p>
        </w:tc>
        <w:tc>
          <w:tcPr>
            <w:tcW w:w="11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1"/>
              </w:rPr>
              <w:t>100%</w:t>
            </w:r>
          </w:p>
        </w:tc>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2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FLV CAMPUS PLAZA LIMITED</w:t>
            </w:r>
          </w:p>
        </w:tc>
        <w:tc>
          <w:tcPr>
            <w:tcW w:w="2240" w:type="dxa"/>
            <w:vAlign w:val="bottom"/>
          </w:tcPr>
          <w:p>
            <w:pPr>
              <w:ind w:left="140"/>
              <w:spacing w:after="0"/>
              <w:rPr>
                <w:sz w:val="20"/>
                <w:szCs w:val="20"/>
                <w:color w:val="auto"/>
              </w:rPr>
            </w:pPr>
            <w:r>
              <w:rPr>
                <w:rFonts w:ascii="Arial" w:cs="Arial" w:eastAsia="Arial" w:hAnsi="Arial"/>
                <w:sz w:val="18"/>
                <w:szCs w:val="18"/>
                <w:color w:val="auto"/>
                <w:w w:val="90"/>
              </w:rPr>
              <w:t>FLV Campus Plaza GP, LLC</w:t>
            </w:r>
          </w:p>
        </w:tc>
        <w:tc>
          <w:tcPr>
            <w:tcW w:w="162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1160" w:type="dxa"/>
            <w:vAlign w:val="bottom"/>
          </w:tcPr>
          <w:p>
            <w:pPr>
              <w:jc w:val="center"/>
              <w:ind w:left="112"/>
              <w:spacing w:after="0"/>
              <w:rPr>
                <w:sz w:val="20"/>
                <w:szCs w:val="20"/>
                <w:color w:val="auto"/>
              </w:rPr>
            </w:pPr>
            <w:r>
              <w:rPr>
                <w:rFonts w:ascii="Arial" w:cs="Arial" w:eastAsia="Arial" w:hAnsi="Arial"/>
                <w:sz w:val="18"/>
                <w:szCs w:val="18"/>
                <w:color w:val="auto"/>
                <w:w w:val="90"/>
              </w:rPr>
              <w:t>.1%</w:t>
            </w:r>
          </w:p>
        </w:tc>
        <w:tc>
          <w:tcPr>
            <w:tcW w:w="3200" w:type="dxa"/>
            <w:vAlign w:val="bottom"/>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PARTNERSHIP, a Delaware limited</w:t>
            </w:r>
          </w:p>
        </w:tc>
        <w:tc>
          <w:tcPr>
            <w:tcW w:w="2240" w:type="dxa"/>
            <w:vAlign w:val="bottom"/>
            <w:vMerge w:val="restart"/>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vMerge w:val="restart"/>
          </w:tcPr>
          <w:p>
            <w:pPr>
              <w:ind w:left="80"/>
              <w:spacing w:after="0"/>
              <w:rPr>
                <w:sz w:val="20"/>
                <w:szCs w:val="20"/>
                <w:color w:val="auto"/>
              </w:rPr>
            </w:pPr>
            <w:r>
              <w:rPr>
                <w:rFonts w:ascii="Arial" w:cs="Arial" w:eastAsia="Arial" w:hAnsi="Arial"/>
                <w:sz w:val="18"/>
                <w:szCs w:val="18"/>
                <w:color w:val="auto"/>
              </w:rPr>
              <w:t>Limited partner</w:t>
            </w:r>
          </w:p>
        </w:tc>
        <w:tc>
          <w:tcPr>
            <w:tcW w:w="1160" w:type="dxa"/>
            <w:vAlign w:val="bottom"/>
            <w:vMerge w:val="restart"/>
          </w:tcPr>
          <w:p>
            <w:pPr>
              <w:jc w:val="center"/>
              <w:ind w:left="92"/>
              <w:spacing w:after="0"/>
              <w:rPr>
                <w:sz w:val="20"/>
                <w:szCs w:val="20"/>
                <w:color w:val="auto"/>
              </w:rPr>
            </w:pPr>
            <w:r>
              <w:rPr>
                <w:rFonts w:ascii="Arial" w:cs="Arial" w:eastAsia="Arial" w:hAnsi="Arial"/>
                <w:sz w:val="18"/>
                <w:szCs w:val="18"/>
                <w:color w:val="auto"/>
                <w:w w:val="90"/>
              </w:rPr>
              <w:t>99.9%</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partnership</w:t>
            </w:r>
          </w:p>
        </w:tc>
        <w:tc>
          <w:tcPr>
            <w:tcW w:w="22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0" w:type="dxa"/>
            <w:vAlign w:val="bottom"/>
            <w:gridSpan w:val="2"/>
            <w:vMerge w:val="continue"/>
          </w:tcPr>
          <w:p>
            <w:pPr>
              <w:spacing w:after="0"/>
              <w:rPr>
                <w:sz w:val="9"/>
                <w:szCs w:val="9"/>
                <w:color w:val="auto"/>
              </w:rPr>
            </w:pPr>
          </w:p>
        </w:tc>
        <w:tc>
          <w:tcPr>
            <w:tcW w:w="2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FLV PLAZA DEL MERCADO, LLC, a</w:t>
            </w:r>
          </w:p>
        </w:tc>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Sole member</w:t>
            </w:r>
          </w:p>
        </w:tc>
        <w:tc>
          <w:tcPr>
            <w:tcW w:w="11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1"/>
              </w:rPr>
              <w:t>100%</w:t>
            </w:r>
          </w:p>
        </w:tc>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2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FLV PLAZA DEL MERCADO, LP, a</w:t>
            </w:r>
          </w:p>
        </w:tc>
        <w:tc>
          <w:tcPr>
            <w:tcW w:w="2240" w:type="dxa"/>
            <w:vAlign w:val="bottom"/>
          </w:tcPr>
          <w:p>
            <w:pPr>
              <w:ind w:left="140"/>
              <w:spacing w:after="0"/>
              <w:rPr>
                <w:sz w:val="20"/>
                <w:szCs w:val="20"/>
                <w:color w:val="auto"/>
              </w:rPr>
            </w:pPr>
            <w:r>
              <w:rPr>
                <w:rFonts w:ascii="Arial" w:cs="Arial" w:eastAsia="Arial" w:hAnsi="Arial"/>
                <w:sz w:val="18"/>
                <w:szCs w:val="18"/>
                <w:color w:val="auto"/>
              </w:rPr>
              <w:t>FLV Plaza del Mercado,</w:t>
            </w:r>
          </w:p>
        </w:tc>
        <w:tc>
          <w:tcPr>
            <w:tcW w:w="162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1160" w:type="dxa"/>
            <w:vAlign w:val="bottom"/>
          </w:tcPr>
          <w:p>
            <w:pPr>
              <w:jc w:val="center"/>
              <w:ind w:left="112"/>
              <w:spacing w:after="0"/>
              <w:rPr>
                <w:sz w:val="20"/>
                <w:szCs w:val="20"/>
                <w:color w:val="auto"/>
              </w:rPr>
            </w:pPr>
            <w:r>
              <w:rPr>
                <w:rFonts w:ascii="Arial" w:cs="Arial" w:eastAsia="Arial" w:hAnsi="Arial"/>
                <w:sz w:val="18"/>
                <w:szCs w:val="18"/>
                <w:color w:val="auto"/>
                <w:w w:val="90"/>
              </w:rPr>
              <w:t>.1%</w:t>
            </w:r>
          </w:p>
        </w:tc>
        <w:tc>
          <w:tcPr>
            <w:tcW w:w="3200" w:type="dxa"/>
            <w:vAlign w:val="bottom"/>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2240" w:type="dxa"/>
            <w:vAlign w:val="bottom"/>
          </w:tcPr>
          <w:p>
            <w:pPr>
              <w:ind w:left="140"/>
              <w:spacing w:after="0"/>
              <w:rPr>
                <w:sz w:val="20"/>
                <w:szCs w:val="20"/>
                <w:color w:val="auto"/>
              </w:rPr>
            </w:pPr>
            <w:r>
              <w:rPr>
                <w:rFonts w:ascii="Arial" w:cs="Arial" w:eastAsia="Arial" w:hAnsi="Arial"/>
                <w:sz w:val="18"/>
                <w:szCs w:val="18"/>
                <w:color w:val="auto"/>
              </w:rPr>
              <w:t>LLC</w:t>
            </w: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240" w:type="dxa"/>
            <w:vAlign w:val="bottom"/>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tcPr>
          <w:p>
            <w:pPr>
              <w:ind w:left="80"/>
              <w:spacing w:after="0"/>
              <w:rPr>
                <w:sz w:val="20"/>
                <w:szCs w:val="20"/>
                <w:color w:val="auto"/>
              </w:rPr>
            </w:pPr>
            <w:r>
              <w:rPr>
                <w:rFonts w:ascii="Arial" w:cs="Arial" w:eastAsia="Arial" w:hAnsi="Arial"/>
                <w:sz w:val="18"/>
                <w:szCs w:val="18"/>
                <w:color w:val="auto"/>
              </w:rPr>
              <w:t>Limited partner</w:t>
            </w:r>
          </w:p>
        </w:tc>
        <w:tc>
          <w:tcPr>
            <w:tcW w:w="1160" w:type="dxa"/>
            <w:vAlign w:val="bottom"/>
          </w:tcPr>
          <w:p>
            <w:pPr>
              <w:jc w:val="center"/>
              <w:ind w:left="92"/>
              <w:spacing w:after="0"/>
              <w:rPr>
                <w:sz w:val="20"/>
                <w:szCs w:val="20"/>
                <w:color w:val="auto"/>
              </w:rPr>
            </w:pPr>
            <w:r>
              <w:rPr>
                <w:rFonts w:ascii="Arial" w:cs="Arial" w:eastAsia="Arial" w:hAnsi="Arial"/>
                <w:sz w:val="18"/>
                <w:szCs w:val="18"/>
                <w:color w:val="auto"/>
                <w:w w:val="90"/>
              </w:rPr>
              <w:t>99.9%</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FLV GREENLAWN PLAZA GP, LLC, a</w:t>
            </w:r>
          </w:p>
        </w:tc>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Sole member</w:t>
            </w:r>
          </w:p>
        </w:tc>
        <w:tc>
          <w:tcPr>
            <w:tcW w:w="11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1"/>
              </w:rPr>
              <w:t>100%</w:t>
            </w:r>
          </w:p>
        </w:tc>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2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FLV GREENLAWN PLAZA, LP, a</w:t>
            </w:r>
          </w:p>
        </w:tc>
        <w:tc>
          <w:tcPr>
            <w:tcW w:w="2240" w:type="dxa"/>
            <w:vAlign w:val="bottom"/>
          </w:tcPr>
          <w:p>
            <w:pPr>
              <w:ind w:left="140"/>
              <w:spacing w:after="0"/>
              <w:rPr>
                <w:sz w:val="20"/>
                <w:szCs w:val="20"/>
                <w:color w:val="auto"/>
              </w:rPr>
            </w:pPr>
            <w:r>
              <w:rPr>
                <w:rFonts w:ascii="Arial" w:cs="Arial" w:eastAsia="Arial" w:hAnsi="Arial"/>
                <w:sz w:val="18"/>
                <w:szCs w:val="18"/>
                <w:color w:val="auto"/>
                <w:w w:val="98"/>
              </w:rPr>
              <w:t>FLV Greenlawn Plaza GP,</w:t>
            </w:r>
          </w:p>
        </w:tc>
        <w:tc>
          <w:tcPr>
            <w:tcW w:w="162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1160" w:type="dxa"/>
            <w:vAlign w:val="bottom"/>
          </w:tcPr>
          <w:p>
            <w:pPr>
              <w:jc w:val="center"/>
              <w:ind w:left="112"/>
              <w:spacing w:after="0"/>
              <w:rPr>
                <w:sz w:val="20"/>
                <w:szCs w:val="20"/>
                <w:color w:val="auto"/>
              </w:rPr>
            </w:pPr>
            <w:r>
              <w:rPr>
                <w:rFonts w:ascii="Arial" w:cs="Arial" w:eastAsia="Arial" w:hAnsi="Arial"/>
                <w:sz w:val="18"/>
                <w:szCs w:val="18"/>
                <w:color w:val="auto"/>
                <w:w w:val="90"/>
              </w:rPr>
              <w:t>.1%</w:t>
            </w:r>
          </w:p>
        </w:tc>
        <w:tc>
          <w:tcPr>
            <w:tcW w:w="3200" w:type="dxa"/>
            <w:vAlign w:val="bottom"/>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Delaware limited partnership</w:t>
            </w:r>
          </w:p>
        </w:tc>
        <w:tc>
          <w:tcPr>
            <w:tcW w:w="2240" w:type="dxa"/>
            <w:vAlign w:val="bottom"/>
          </w:tcPr>
          <w:p>
            <w:pPr>
              <w:ind w:left="140"/>
              <w:spacing w:after="0"/>
              <w:rPr>
                <w:sz w:val="20"/>
                <w:szCs w:val="20"/>
                <w:color w:val="auto"/>
              </w:rPr>
            </w:pPr>
            <w:r>
              <w:rPr>
                <w:rFonts w:ascii="Arial" w:cs="Arial" w:eastAsia="Arial" w:hAnsi="Arial"/>
                <w:sz w:val="18"/>
                <w:szCs w:val="18"/>
                <w:color w:val="auto"/>
              </w:rPr>
              <w:t>LLC</w:t>
            </w: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240" w:type="dxa"/>
            <w:vAlign w:val="bottom"/>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tcPr>
          <w:p>
            <w:pPr>
              <w:ind w:left="80"/>
              <w:spacing w:after="0"/>
              <w:rPr>
                <w:sz w:val="20"/>
                <w:szCs w:val="20"/>
                <w:color w:val="auto"/>
              </w:rPr>
            </w:pPr>
            <w:r>
              <w:rPr>
                <w:rFonts w:ascii="Arial" w:cs="Arial" w:eastAsia="Arial" w:hAnsi="Arial"/>
                <w:sz w:val="18"/>
                <w:szCs w:val="18"/>
                <w:color w:val="auto"/>
              </w:rPr>
              <w:t>Limited partner</w:t>
            </w:r>
          </w:p>
        </w:tc>
        <w:tc>
          <w:tcPr>
            <w:tcW w:w="1160" w:type="dxa"/>
            <w:vAlign w:val="bottom"/>
          </w:tcPr>
          <w:p>
            <w:pPr>
              <w:jc w:val="center"/>
              <w:ind w:left="92"/>
              <w:spacing w:after="0"/>
              <w:rPr>
                <w:sz w:val="20"/>
                <w:szCs w:val="20"/>
                <w:color w:val="auto"/>
              </w:rPr>
            </w:pPr>
            <w:r>
              <w:rPr>
                <w:rFonts w:ascii="Arial" w:cs="Arial" w:eastAsia="Arial" w:hAnsi="Arial"/>
                <w:sz w:val="18"/>
                <w:szCs w:val="18"/>
                <w:color w:val="auto"/>
                <w:w w:val="90"/>
              </w:rPr>
              <w:t>99.9%</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FLV BARCROFT PLAZA GP, LLC, a</w:t>
            </w:r>
          </w:p>
        </w:tc>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Sole member</w:t>
            </w:r>
          </w:p>
        </w:tc>
        <w:tc>
          <w:tcPr>
            <w:tcW w:w="11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1"/>
              </w:rPr>
              <w:t>100%</w:t>
            </w:r>
          </w:p>
        </w:tc>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2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w w:val="95"/>
              </w:rPr>
              <w:t>FLV BARCROFT PLAZA, LP, a Delaware</w:t>
            </w:r>
          </w:p>
        </w:tc>
        <w:tc>
          <w:tcPr>
            <w:tcW w:w="2240" w:type="dxa"/>
            <w:vAlign w:val="bottom"/>
          </w:tcPr>
          <w:p>
            <w:pPr>
              <w:ind w:left="140"/>
              <w:spacing w:after="0"/>
              <w:rPr>
                <w:sz w:val="20"/>
                <w:szCs w:val="20"/>
                <w:color w:val="auto"/>
              </w:rPr>
            </w:pPr>
            <w:r>
              <w:rPr>
                <w:rFonts w:ascii="Arial" w:cs="Arial" w:eastAsia="Arial" w:hAnsi="Arial"/>
                <w:sz w:val="18"/>
                <w:szCs w:val="18"/>
                <w:color w:val="auto"/>
                <w:w w:val="92"/>
              </w:rPr>
              <w:t>FLV Barcroft Plaza GP, LLC</w:t>
            </w:r>
          </w:p>
        </w:tc>
        <w:tc>
          <w:tcPr>
            <w:tcW w:w="162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1160" w:type="dxa"/>
            <w:vAlign w:val="bottom"/>
          </w:tcPr>
          <w:p>
            <w:pPr>
              <w:jc w:val="center"/>
              <w:ind w:left="112"/>
              <w:spacing w:after="0"/>
              <w:rPr>
                <w:sz w:val="20"/>
                <w:szCs w:val="20"/>
                <w:color w:val="auto"/>
              </w:rPr>
            </w:pPr>
            <w:r>
              <w:rPr>
                <w:rFonts w:ascii="Arial" w:cs="Arial" w:eastAsia="Arial" w:hAnsi="Arial"/>
                <w:sz w:val="18"/>
                <w:szCs w:val="18"/>
                <w:color w:val="auto"/>
                <w:w w:val="90"/>
              </w:rPr>
              <w:t>.1%</w:t>
            </w:r>
          </w:p>
        </w:tc>
        <w:tc>
          <w:tcPr>
            <w:tcW w:w="3200" w:type="dxa"/>
            <w:vAlign w:val="bottom"/>
          </w:tcPr>
          <w:p>
            <w:pPr>
              <w:ind w:left="24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limited partnership</w:t>
            </w:r>
          </w:p>
        </w:tc>
        <w:tc>
          <w:tcPr>
            <w:tcW w:w="2240" w:type="dxa"/>
            <w:vAlign w:val="bottom"/>
          </w:tcPr>
          <w:p>
            <w:pPr>
              <w:ind w:left="140"/>
              <w:spacing w:after="0"/>
              <w:rPr>
                <w:sz w:val="20"/>
                <w:szCs w:val="20"/>
                <w:color w:val="auto"/>
              </w:rPr>
            </w:pPr>
            <w:r>
              <w:rPr>
                <w:rFonts w:ascii="Arial" w:cs="Arial" w:eastAsia="Arial" w:hAnsi="Arial"/>
                <w:sz w:val="18"/>
                <w:szCs w:val="18"/>
                <w:color w:val="auto"/>
              </w:rPr>
              <w:t>Federal/Lion Venture LP</w:t>
            </w:r>
          </w:p>
        </w:tc>
        <w:tc>
          <w:tcPr>
            <w:tcW w:w="1620" w:type="dxa"/>
            <w:vAlign w:val="bottom"/>
          </w:tcPr>
          <w:p>
            <w:pPr>
              <w:ind w:left="80"/>
              <w:spacing w:after="0"/>
              <w:rPr>
                <w:sz w:val="20"/>
                <w:szCs w:val="20"/>
                <w:color w:val="auto"/>
              </w:rPr>
            </w:pPr>
            <w:r>
              <w:rPr>
                <w:rFonts w:ascii="Arial" w:cs="Arial" w:eastAsia="Arial" w:hAnsi="Arial"/>
                <w:sz w:val="18"/>
                <w:szCs w:val="18"/>
                <w:color w:val="auto"/>
              </w:rPr>
              <w:t>Limited partner</w:t>
            </w:r>
          </w:p>
        </w:tc>
        <w:tc>
          <w:tcPr>
            <w:tcW w:w="1160" w:type="dxa"/>
            <w:vAlign w:val="bottom"/>
          </w:tcPr>
          <w:p>
            <w:pPr>
              <w:jc w:val="center"/>
              <w:ind w:left="92"/>
              <w:spacing w:after="0"/>
              <w:rPr>
                <w:sz w:val="20"/>
                <w:szCs w:val="20"/>
                <w:color w:val="auto"/>
              </w:rPr>
            </w:pPr>
            <w:r>
              <w:rPr>
                <w:rFonts w:ascii="Arial" w:cs="Arial" w:eastAsia="Arial" w:hAnsi="Arial"/>
                <w:sz w:val="18"/>
                <w:szCs w:val="18"/>
                <w:color w:val="auto"/>
                <w:w w:val="90"/>
              </w:rPr>
              <w:t>99.9%</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5"/>
              </w:rPr>
              <w:t>FLV FREE STATE GP, LLC, a Delaware</w:t>
            </w: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Federal/Lion Venture LP</w:t>
            </w:r>
          </w:p>
        </w:tc>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Sole member</w:t>
            </w:r>
          </w:p>
        </w:tc>
        <w:tc>
          <w:tcPr>
            <w:tcW w:w="11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1"/>
              </w:rPr>
              <w:t>100%</w:t>
            </w:r>
          </w:p>
        </w:tc>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affiliate</w:t>
            </w:r>
          </w:p>
        </w:tc>
      </w:tr>
      <w:tr>
        <w:trPr>
          <w:trHeight w:val="22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2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r>
      <w:tr>
        <w:trPr>
          <w:trHeight w:val="316"/>
        </w:trPr>
        <w:tc>
          <w:tcPr>
            <w:tcW w:w="3120" w:type="dxa"/>
            <w:vAlign w:val="bottom"/>
          </w:tcPr>
          <w:p>
            <w:pPr>
              <w:spacing w:after="0"/>
              <w:rPr>
                <w:sz w:val="20"/>
                <w:szCs w:val="20"/>
                <w:color w:val="auto"/>
              </w:rPr>
            </w:pPr>
            <w:r>
              <w:rPr>
                <w:rFonts w:ascii="Arial" w:cs="Arial" w:eastAsia="Arial" w:hAnsi="Arial"/>
                <w:sz w:val="18"/>
                <w:szCs w:val="18"/>
                <w:color w:val="auto"/>
              </w:rPr>
              <w:t>FLV FREE STATE LIMITED</w:t>
            </w:r>
          </w:p>
        </w:tc>
        <w:tc>
          <w:tcPr>
            <w:tcW w:w="2220" w:type="dxa"/>
            <w:vAlign w:val="bottom"/>
          </w:tcPr>
          <w:p>
            <w:pPr>
              <w:ind w:left="220"/>
              <w:spacing w:after="0"/>
              <w:rPr>
                <w:sz w:val="20"/>
                <w:szCs w:val="20"/>
                <w:color w:val="auto"/>
              </w:rPr>
            </w:pPr>
            <w:r>
              <w:rPr>
                <w:rFonts w:ascii="Arial" w:cs="Arial" w:eastAsia="Arial" w:hAnsi="Arial"/>
                <w:sz w:val="18"/>
                <w:szCs w:val="18"/>
                <w:color w:val="auto"/>
                <w:w w:val="93"/>
              </w:rPr>
              <w:t>FLV Greenlawn Plaza GP,</w:t>
            </w:r>
          </w:p>
        </w:tc>
        <w:tc>
          <w:tcPr>
            <w:tcW w:w="1720" w:type="dxa"/>
            <w:vAlign w:val="bottom"/>
          </w:tcPr>
          <w:p>
            <w:pPr>
              <w:ind w:left="180"/>
              <w:spacing w:after="0"/>
              <w:rPr>
                <w:sz w:val="20"/>
                <w:szCs w:val="20"/>
                <w:color w:val="auto"/>
              </w:rPr>
            </w:pPr>
            <w:r>
              <w:rPr>
                <w:rFonts w:ascii="Arial" w:cs="Arial" w:eastAsia="Arial" w:hAnsi="Arial"/>
                <w:sz w:val="18"/>
                <w:szCs w:val="18"/>
                <w:color w:val="auto"/>
              </w:rPr>
              <w:t>General partner</w:t>
            </w:r>
          </w:p>
        </w:tc>
        <w:tc>
          <w:tcPr>
            <w:tcW w:w="1160" w:type="dxa"/>
            <w:vAlign w:val="bottom"/>
          </w:tcPr>
          <w:p>
            <w:pPr>
              <w:jc w:val="center"/>
              <w:ind w:left="112"/>
              <w:spacing w:after="0"/>
              <w:rPr>
                <w:sz w:val="20"/>
                <w:szCs w:val="20"/>
                <w:color w:val="auto"/>
              </w:rPr>
            </w:pPr>
            <w:r>
              <w:rPr>
                <w:rFonts w:ascii="Arial" w:cs="Arial" w:eastAsia="Arial" w:hAnsi="Arial"/>
                <w:sz w:val="18"/>
                <w:szCs w:val="18"/>
                <w:color w:val="auto"/>
                <w:w w:val="90"/>
              </w:rPr>
              <w:t>.1%</w:t>
            </w:r>
          </w:p>
        </w:tc>
        <w:tc>
          <w:tcPr>
            <w:tcW w:w="3200" w:type="dxa"/>
            <w:vAlign w:val="bottom"/>
          </w:tcPr>
          <w:p>
            <w:pPr>
              <w:ind w:left="240"/>
              <w:spacing w:after="0"/>
              <w:rPr>
                <w:sz w:val="20"/>
                <w:szCs w:val="20"/>
                <w:color w:val="auto"/>
              </w:rPr>
            </w:pPr>
            <w:r>
              <w:rPr>
                <w:rFonts w:ascii="Arial" w:cs="Arial" w:eastAsia="Arial" w:hAnsi="Arial"/>
                <w:sz w:val="18"/>
                <w:szCs w:val="18"/>
                <w:color w:val="auto"/>
              </w:rPr>
              <w:t>Unconsolidated affiliate</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PARTNERSHIP, a Delaware limited</w:t>
            </w:r>
          </w:p>
        </w:tc>
        <w:tc>
          <w:tcPr>
            <w:tcW w:w="2220" w:type="dxa"/>
            <w:vAlign w:val="bottom"/>
          </w:tcPr>
          <w:p>
            <w:pPr>
              <w:ind w:left="220"/>
              <w:spacing w:after="0"/>
              <w:rPr>
                <w:sz w:val="20"/>
                <w:szCs w:val="20"/>
                <w:color w:val="auto"/>
              </w:rPr>
            </w:pPr>
            <w:r>
              <w:rPr>
                <w:rFonts w:ascii="Arial" w:cs="Arial" w:eastAsia="Arial" w:hAnsi="Arial"/>
                <w:sz w:val="18"/>
                <w:szCs w:val="18"/>
                <w:color w:val="auto"/>
              </w:rPr>
              <w:t>LLC</w:t>
            </w: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partnership</w:t>
            </w:r>
          </w:p>
        </w:tc>
        <w:tc>
          <w:tcPr>
            <w:tcW w:w="2220" w:type="dxa"/>
            <w:vAlign w:val="bottom"/>
          </w:tcPr>
          <w:p>
            <w:pPr>
              <w:ind w:left="220"/>
              <w:spacing w:after="0"/>
              <w:rPr>
                <w:sz w:val="20"/>
                <w:szCs w:val="20"/>
                <w:color w:val="auto"/>
              </w:rPr>
            </w:pPr>
            <w:r>
              <w:rPr>
                <w:rFonts w:ascii="Arial" w:cs="Arial" w:eastAsia="Arial" w:hAnsi="Arial"/>
                <w:sz w:val="18"/>
                <w:szCs w:val="18"/>
                <w:color w:val="auto"/>
              </w:rPr>
              <w:t>Federal/Lion Venture LP</w:t>
            </w:r>
          </w:p>
        </w:tc>
        <w:tc>
          <w:tcPr>
            <w:tcW w:w="1720" w:type="dxa"/>
            <w:vAlign w:val="bottom"/>
          </w:tcPr>
          <w:p>
            <w:pPr>
              <w:ind w:left="180"/>
              <w:spacing w:after="0"/>
              <w:rPr>
                <w:sz w:val="20"/>
                <w:szCs w:val="20"/>
                <w:color w:val="auto"/>
              </w:rPr>
            </w:pPr>
            <w:r>
              <w:rPr>
                <w:rFonts w:ascii="Arial" w:cs="Arial" w:eastAsia="Arial" w:hAnsi="Arial"/>
                <w:sz w:val="18"/>
                <w:szCs w:val="18"/>
                <w:color w:val="auto"/>
              </w:rPr>
              <w:t>Limited partner</w:t>
            </w:r>
          </w:p>
        </w:tc>
        <w:tc>
          <w:tcPr>
            <w:tcW w:w="1160" w:type="dxa"/>
            <w:vAlign w:val="bottom"/>
          </w:tcPr>
          <w:p>
            <w:pPr>
              <w:jc w:val="center"/>
              <w:ind w:left="92"/>
              <w:spacing w:after="0"/>
              <w:rPr>
                <w:sz w:val="20"/>
                <w:szCs w:val="20"/>
                <w:color w:val="auto"/>
              </w:rPr>
            </w:pPr>
            <w:r>
              <w:rPr>
                <w:rFonts w:ascii="Arial" w:cs="Arial" w:eastAsia="Arial" w:hAnsi="Arial"/>
                <w:sz w:val="18"/>
                <w:szCs w:val="18"/>
                <w:color w:val="auto"/>
                <w:w w:val="90"/>
              </w:rPr>
              <w:t>99.9%</w:t>
            </w:r>
          </w:p>
        </w:tc>
        <w:tc>
          <w:tcPr>
            <w:tcW w:w="320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Margo Building and Villa Cornet Building Condominium Owners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Villa Cornet Condominium Owners Association, a California non-profit mutual benefit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2007</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9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8"/>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b w:val="1"/>
                <w:bCs w:val="1"/>
                <w:color w:val="auto"/>
              </w:rPr>
              <w:t>City</w:t>
            </w:r>
          </w:p>
        </w:tc>
        <w:tc>
          <w:tcPr>
            <w:tcW w:w="1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ST</w:t>
            </w:r>
          </w:p>
        </w:tc>
      </w:tr>
      <w:tr>
        <w:trPr>
          <w:trHeight w:val="284"/>
        </w:trPr>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8"/>
              </w:rPr>
              <w:t>Wholly Owned Properties</w:t>
            </w:r>
          </w:p>
        </w:tc>
        <w:tc>
          <w:tcPr>
            <w:tcW w:w="5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228"/>
        </w:trPr>
        <w:tc>
          <w:tcPr>
            <w:tcW w:w="1120" w:type="dxa"/>
            <w:vAlign w:val="bottom"/>
            <w:gridSpan w:val="2"/>
          </w:tcPr>
          <w:p>
            <w:pPr>
              <w:spacing w:after="0"/>
              <w:rPr>
                <w:sz w:val="20"/>
                <w:szCs w:val="20"/>
                <w:color w:val="auto"/>
              </w:rPr>
            </w:pPr>
            <w:r>
              <w:rPr>
                <w:rFonts w:ascii="Arial" w:cs="Arial" w:eastAsia="Arial" w:hAnsi="Arial"/>
                <w:sz w:val="18"/>
                <w:szCs w:val="18"/>
                <w:color w:val="auto"/>
              </w:rPr>
              <w:t>010-1002</w:t>
            </w:r>
          </w:p>
        </w:tc>
        <w:tc>
          <w:tcPr>
            <w:tcW w:w="7740" w:type="dxa"/>
            <w:vAlign w:val="bottom"/>
            <w:gridSpan w:val="2"/>
          </w:tcPr>
          <w:p>
            <w:pPr>
              <w:spacing w:after="0"/>
              <w:rPr>
                <w:sz w:val="20"/>
                <w:szCs w:val="20"/>
                <w:color w:val="auto"/>
              </w:rPr>
            </w:pPr>
            <w:r>
              <w:rPr>
                <w:rFonts w:ascii="Arial" w:cs="Arial" w:eastAsia="Arial" w:hAnsi="Arial"/>
                <w:sz w:val="18"/>
                <w:szCs w:val="18"/>
                <w:color w:val="auto"/>
              </w:rPr>
              <w:t>Andorra Shopping Center</w:t>
            </w:r>
          </w:p>
        </w:tc>
        <w:tc>
          <w:tcPr>
            <w:tcW w:w="1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Philadelphia</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040-1240</w:t>
            </w:r>
          </w:p>
        </w:tc>
        <w:tc>
          <w:tcPr>
            <w:tcW w:w="7740" w:type="dxa"/>
            <w:vAlign w:val="bottom"/>
            <w:gridSpan w:val="2"/>
          </w:tcPr>
          <w:p>
            <w:pPr>
              <w:spacing w:after="0"/>
              <w:rPr>
                <w:sz w:val="20"/>
                <w:szCs w:val="20"/>
                <w:color w:val="auto"/>
              </w:rPr>
            </w:pPr>
            <w:r>
              <w:rPr>
                <w:rFonts w:ascii="Arial" w:cs="Arial" w:eastAsia="Arial" w:hAnsi="Arial"/>
                <w:sz w:val="18"/>
                <w:szCs w:val="18"/>
                <w:color w:val="auto"/>
              </w:rPr>
              <w:t>Governor Plaza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Glen Burnie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500-1444</w:t>
            </w:r>
          </w:p>
        </w:tc>
        <w:tc>
          <w:tcPr>
            <w:tcW w:w="7740" w:type="dxa"/>
            <w:vAlign w:val="bottom"/>
            <w:gridSpan w:val="2"/>
          </w:tcPr>
          <w:p>
            <w:pPr>
              <w:spacing w:after="0"/>
              <w:rPr>
                <w:sz w:val="20"/>
                <w:szCs w:val="20"/>
                <w:color w:val="auto"/>
              </w:rPr>
            </w:pPr>
            <w:r>
              <w:rPr>
                <w:rFonts w:ascii="Arial" w:cs="Arial" w:eastAsia="Arial" w:hAnsi="Arial"/>
                <w:sz w:val="18"/>
                <w:szCs w:val="18"/>
                <w:color w:val="auto"/>
              </w:rPr>
              <w:t>Loehmann’s-Link Office Bld</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Fairfax</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500-1445</w:t>
            </w:r>
          </w:p>
        </w:tc>
        <w:tc>
          <w:tcPr>
            <w:tcW w:w="7740" w:type="dxa"/>
            <w:vAlign w:val="bottom"/>
            <w:gridSpan w:val="2"/>
          </w:tcPr>
          <w:p>
            <w:pPr>
              <w:spacing w:after="0"/>
              <w:rPr>
                <w:sz w:val="20"/>
                <w:szCs w:val="20"/>
                <w:color w:val="auto"/>
              </w:rPr>
            </w:pPr>
            <w:r>
              <w:rPr>
                <w:rFonts w:ascii="Arial" w:cs="Arial" w:eastAsia="Arial" w:hAnsi="Arial"/>
                <w:sz w:val="18"/>
                <w:szCs w:val="18"/>
                <w:color w:val="auto"/>
              </w:rPr>
              <w:t>Loehmann’s Link Shopping Ctr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Fairfax</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500-1446</w:t>
            </w:r>
          </w:p>
        </w:tc>
        <w:tc>
          <w:tcPr>
            <w:tcW w:w="7740" w:type="dxa"/>
            <w:vAlign w:val="bottom"/>
            <w:gridSpan w:val="2"/>
          </w:tcPr>
          <w:p>
            <w:pPr>
              <w:spacing w:after="0"/>
              <w:rPr>
                <w:sz w:val="20"/>
                <w:szCs w:val="20"/>
                <w:color w:val="auto"/>
              </w:rPr>
            </w:pPr>
            <w:r>
              <w:rPr>
                <w:rFonts w:ascii="Arial" w:cs="Arial" w:eastAsia="Arial" w:hAnsi="Arial"/>
                <w:sz w:val="18"/>
                <w:szCs w:val="18"/>
                <w:color w:val="auto"/>
              </w:rPr>
              <w:t>Loehmann’s Redstone Office Bld</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Fairfax</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500-1447</w:t>
            </w:r>
          </w:p>
        </w:tc>
        <w:tc>
          <w:tcPr>
            <w:tcW w:w="7740" w:type="dxa"/>
            <w:vAlign w:val="bottom"/>
            <w:gridSpan w:val="2"/>
          </w:tcPr>
          <w:p>
            <w:pPr>
              <w:spacing w:after="0"/>
              <w:rPr>
                <w:sz w:val="20"/>
                <w:szCs w:val="20"/>
                <w:color w:val="auto"/>
              </w:rPr>
            </w:pPr>
            <w:r>
              <w:rPr>
                <w:rFonts w:ascii="Arial" w:cs="Arial" w:eastAsia="Arial" w:hAnsi="Arial"/>
                <w:sz w:val="18"/>
                <w:szCs w:val="18"/>
                <w:color w:val="auto"/>
              </w:rPr>
              <w:t>Loehmann’s Redstone Shop Ctr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Fairfax</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080-1600</w:t>
            </w:r>
          </w:p>
        </w:tc>
        <w:tc>
          <w:tcPr>
            <w:tcW w:w="7740" w:type="dxa"/>
            <w:vAlign w:val="bottom"/>
            <w:gridSpan w:val="2"/>
          </w:tcPr>
          <w:p>
            <w:pPr>
              <w:spacing w:after="0"/>
              <w:rPr>
                <w:sz w:val="20"/>
                <w:szCs w:val="20"/>
                <w:color w:val="auto"/>
              </w:rPr>
            </w:pPr>
            <w:r>
              <w:rPr>
                <w:rFonts w:ascii="Arial" w:cs="Arial" w:eastAsia="Arial" w:hAnsi="Arial"/>
                <w:sz w:val="18"/>
                <w:szCs w:val="18"/>
                <w:color w:val="auto"/>
              </w:rPr>
              <w:t>Perring Plaza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Baltimore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100-1630</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1-Retail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100-1632</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1B-Retail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100-1634</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1C-Retail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100-1638</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3-Retail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100-1642</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4-Retail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100-1644</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5-Retail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100-1646</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6A-Retail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100-1650</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7-Retail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100-1652</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8A-Retail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100-1662</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11A-Retail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100-1668</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13/15 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100-1674</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K-Retail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100-1651</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7-Residential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100-1653</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8A-Residential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100-1669</w:t>
            </w:r>
          </w:p>
        </w:tc>
        <w:tc>
          <w:tcPr>
            <w:tcW w:w="7740" w:type="dxa"/>
            <w:vAlign w:val="bottom"/>
            <w:gridSpan w:val="2"/>
          </w:tcPr>
          <w:p>
            <w:pPr>
              <w:spacing w:after="0"/>
              <w:rPr>
                <w:sz w:val="20"/>
                <w:szCs w:val="20"/>
                <w:color w:val="auto"/>
              </w:rPr>
            </w:pPr>
            <w:r>
              <w:rPr>
                <w:rFonts w:ascii="Arial" w:cs="Arial" w:eastAsia="Arial" w:hAnsi="Arial"/>
                <w:sz w:val="18"/>
                <w:szCs w:val="18"/>
                <w:color w:val="auto"/>
              </w:rPr>
              <w:t>Santana Row Bld 13/15 Off</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160-1800</w:t>
            </w:r>
          </w:p>
        </w:tc>
        <w:tc>
          <w:tcPr>
            <w:tcW w:w="7740" w:type="dxa"/>
            <w:vAlign w:val="bottom"/>
            <w:gridSpan w:val="2"/>
          </w:tcPr>
          <w:p>
            <w:pPr>
              <w:spacing w:after="0"/>
              <w:rPr>
                <w:sz w:val="20"/>
                <w:szCs w:val="20"/>
                <w:color w:val="auto"/>
              </w:rPr>
            </w:pPr>
            <w:r>
              <w:rPr>
                <w:rFonts w:ascii="Arial" w:cs="Arial" w:eastAsia="Arial" w:hAnsi="Arial"/>
                <w:sz w:val="18"/>
                <w:szCs w:val="18"/>
                <w:color w:val="auto"/>
              </w:rPr>
              <w:t>Westgate Mall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Jose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170-1730</w:t>
            </w:r>
          </w:p>
        </w:tc>
        <w:tc>
          <w:tcPr>
            <w:tcW w:w="7740" w:type="dxa"/>
            <w:vAlign w:val="bottom"/>
            <w:gridSpan w:val="2"/>
          </w:tcPr>
          <w:p>
            <w:pPr>
              <w:spacing w:after="0"/>
              <w:rPr>
                <w:sz w:val="20"/>
                <w:szCs w:val="20"/>
                <w:color w:val="auto"/>
              </w:rPr>
            </w:pPr>
            <w:r>
              <w:rPr>
                <w:rFonts w:ascii="Arial" w:cs="Arial" w:eastAsia="Arial" w:hAnsi="Arial"/>
                <w:sz w:val="18"/>
                <w:szCs w:val="18"/>
                <w:color w:val="auto"/>
              </w:rPr>
              <w:t>Sturtevant Street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Somerville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170-1732</w:t>
            </w:r>
          </w:p>
        </w:tc>
        <w:tc>
          <w:tcPr>
            <w:tcW w:w="7740" w:type="dxa"/>
            <w:vAlign w:val="bottom"/>
            <w:gridSpan w:val="2"/>
          </w:tcPr>
          <w:p>
            <w:pPr>
              <w:spacing w:after="0"/>
              <w:rPr>
                <w:sz w:val="20"/>
                <w:szCs w:val="20"/>
                <w:color w:val="auto"/>
              </w:rPr>
            </w:pPr>
            <w:r>
              <w:rPr>
                <w:rFonts w:ascii="Arial" w:cs="Arial" w:eastAsia="Arial" w:hAnsi="Arial"/>
                <w:sz w:val="18"/>
                <w:szCs w:val="18"/>
                <w:color w:val="auto"/>
              </w:rPr>
              <w:t>147 Foley Street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Somerville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180-1008</w:t>
            </w:r>
          </w:p>
        </w:tc>
        <w:tc>
          <w:tcPr>
            <w:tcW w:w="7740" w:type="dxa"/>
            <w:vAlign w:val="bottom"/>
            <w:gridSpan w:val="2"/>
          </w:tcPr>
          <w:p>
            <w:pPr>
              <w:spacing w:after="0"/>
              <w:rPr>
                <w:sz w:val="20"/>
                <w:szCs w:val="20"/>
                <w:color w:val="auto"/>
              </w:rPr>
            </w:pPr>
            <w:r>
              <w:rPr>
                <w:rFonts w:ascii="Arial" w:cs="Arial" w:eastAsia="Arial" w:hAnsi="Arial"/>
                <w:sz w:val="18"/>
                <w:szCs w:val="18"/>
                <w:color w:val="auto"/>
              </w:rPr>
              <w:t>Assembly Square</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Somerville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210-2100</w:t>
            </w:r>
          </w:p>
        </w:tc>
        <w:tc>
          <w:tcPr>
            <w:tcW w:w="7740" w:type="dxa"/>
            <w:vAlign w:val="bottom"/>
            <w:gridSpan w:val="2"/>
          </w:tcPr>
          <w:p>
            <w:pPr>
              <w:spacing w:after="0"/>
              <w:rPr>
                <w:sz w:val="20"/>
                <w:szCs w:val="20"/>
                <w:color w:val="auto"/>
              </w:rPr>
            </w:pPr>
            <w:r>
              <w:rPr>
                <w:rFonts w:ascii="Arial" w:cs="Arial" w:eastAsia="Arial" w:hAnsi="Arial"/>
                <w:sz w:val="18"/>
                <w:szCs w:val="18"/>
                <w:color w:val="auto"/>
              </w:rPr>
              <w:t>Linden Square</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Wellesley</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211-2111</w:t>
            </w:r>
          </w:p>
        </w:tc>
        <w:tc>
          <w:tcPr>
            <w:tcW w:w="7740" w:type="dxa"/>
            <w:vAlign w:val="bottom"/>
            <w:gridSpan w:val="2"/>
          </w:tcPr>
          <w:p>
            <w:pPr>
              <w:spacing w:after="0"/>
              <w:rPr>
                <w:sz w:val="20"/>
                <w:szCs w:val="20"/>
                <w:color w:val="auto"/>
              </w:rPr>
            </w:pPr>
            <w:r>
              <w:rPr>
                <w:rFonts w:ascii="Arial" w:cs="Arial" w:eastAsia="Arial" w:hAnsi="Arial"/>
                <w:sz w:val="18"/>
                <w:szCs w:val="18"/>
                <w:color w:val="auto"/>
              </w:rPr>
              <w:t>1020 Revere Beach Parkway</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Chelsea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213-2130</w:t>
            </w:r>
          </w:p>
        </w:tc>
        <w:tc>
          <w:tcPr>
            <w:tcW w:w="7740" w:type="dxa"/>
            <w:vAlign w:val="bottom"/>
            <w:gridSpan w:val="2"/>
          </w:tcPr>
          <w:p>
            <w:pPr>
              <w:spacing w:after="0"/>
              <w:rPr>
                <w:sz w:val="20"/>
                <w:szCs w:val="20"/>
                <w:color w:val="auto"/>
              </w:rPr>
            </w:pPr>
            <w:r>
              <w:rPr>
                <w:rFonts w:ascii="Arial" w:cs="Arial" w:eastAsia="Arial" w:hAnsi="Arial"/>
                <w:sz w:val="18"/>
                <w:szCs w:val="18"/>
                <w:color w:val="auto"/>
              </w:rPr>
              <w:t>North Dartmouth LLC</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North Dartmouth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220-2200</w:t>
            </w:r>
          </w:p>
        </w:tc>
        <w:tc>
          <w:tcPr>
            <w:tcW w:w="7740" w:type="dxa"/>
            <w:vAlign w:val="bottom"/>
            <w:gridSpan w:val="2"/>
          </w:tcPr>
          <w:p>
            <w:pPr>
              <w:spacing w:after="0"/>
              <w:rPr>
                <w:sz w:val="20"/>
                <w:szCs w:val="20"/>
                <w:color w:val="auto"/>
              </w:rPr>
            </w:pPr>
            <w:r>
              <w:rPr>
                <w:rFonts w:ascii="Arial" w:cs="Arial" w:eastAsia="Arial" w:hAnsi="Arial"/>
                <w:sz w:val="18"/>
                <w:szCs w:val="18"/>
                <w:color w:val="auto"/>
              </w:rPr>
              <w:t>White Marsh Ground Leases</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White Marsh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223-2230</w:t>
            </w:r>
          </w:p>
        </w:tc>
        <w:tc>
          <w:tcPr>
            <w:tcW w:w="7740" w:type="dxa"/>
            <w:vAlign w:val="bottom"/>
            <w:gridSpan w:val="2"/>
          </w:tcPr>
          <w:p>
            <w:pPr>
              <w:spacing w:after="0"/>
              <w:rPr>
                <w:sz w:val="20"/>
                <w:szCs w:val="20"/>
                <w:color w:val="auto"/>
              </w:rPr>
            </w:pPr>
            <w:r>
              <w:rPr>
                <w:rFonts w:ascii="Arial" w:cs="Arial" w:eastAsia="Arial" w:hAnsi="Arial"/>
                <w:sz w:val="18"/>
                <w:szCs w:val="18"/>
                <w:color w:val="auto"/>
              </w:rPr>
              <w:t>Fairfield Inn (Hotel Ground Lease)</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White Marsh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224-2240</w:t>
            </w:r>
          </w:p>
        </w:tc>
        <w:tc>
          <w:tcPr>
            <w:tcW w:w="7740" w:type="dxa"/>
            <w:vAlign w:val="bottom"/>
            <w:gridSpan w:val="2"/>
          </w:tcPr>
          <w:p>
            <w:pPr>
              <w:spacing w:after="0"/>
              <w:rPr>
                <w:sz w:val="20"/>
                <w:szCs w:val="20"/>
                <w:color w:val="auto"/>
              </w:rPr>
            </w:pPr>
            <w:r>
              <w:rPr>
                <w:rFonts w:ascii="Arial" w:cs="Arial" w:eastAsia="Arial" w:hAnsi="Arial"/>
                <w:sz w:val="18"/>
                <w:szCs w:val="18"/>
                <w:color w:val="auto"/>
              </w:rPr>
              <w:t>Shoppes at Nottingham Sq II</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White Marsh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228-2280</w:t>
            </w:r>
          </w:p>
        </w:tc>
        <w:tc>
          <w:tcPr>
            <w:tcW w:w="7740" w:type="dxa"/>
            <w:vAlign w:val="bottom"/>
            <w:gridSpan w:val="2"/>
          </w:tcPr>
          <w:p>
            <w:pPr>
              <w:spacing w:after="0"/>
              <w:rPr>
                <w:sz w:val="20"/>
                <w:szCs w:val="20"/>
                <w:color w:val="auto"/>
              </w:rPr>
            </w:pPr>
            <w:r>
              <w:rPr>
                <w:rFonts w:ascii="Arial" w:cs="Arial" w:eastAsia="Arial" w:hAnsi="Arial"/>
                <w:sz w:val="18"/>
                <w:szCs w:val="18"/>
                <w:color w:val="auto"/>
              </w:rPr>
              <w:t>Shoppes at Nottingham Sq I</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White Marsh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229-2290</w:t>
            </w:r>
          </w:p>
        </w:tc>
        <w:tc>
          <w:tcPr>
            <w:tcW w:w="7740" w:type="dxa"/>
            <w:vAlign w:val="bottom"/>
            <w:gridSpan w:val="2"/>
          </w:tcPr>
          <w:p>
            <w:pPr>
              <w:spacing w:after="0"/>
              <w:rPr>
                <w:sz w:val="20"/>
                <w:szCs w:val="20"/>
                <w:color w:val="auto"/>
              </w:rPr>
            </w:pPr>
            <w:r>
              <w:rPr>
                <w:rFonts w:ascii="Arial" w:cs="Arial" w:eastAsia="Arial" w:hAnsi="Arial"/>
                <w:sz w:val="18"/>
                <w:szCs w:val="18"/>
                <w:color w:val="auto"/>
              </w:rPr>
              <w:t>RPBT Ground Leases</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White Marsh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229-2291</w:t>
            </w:r>
          </w:p>
        </w:tc>
        <w:tc>
          <w:tcPr>
            <w:tcW w:w="7740" w:type="dxa"/>
            <w:vAlign w:val="bottom"/>
            <w:gridSpan w:val="2"/>
          </w:tcPr>
          <w:p>
            <w:pPr>
              <w:spacing w:after="0"/>
              <w:rPr>
                <w:sz w:val="20"/>
                <w:szCs w:val="20"/>
                <w:color w:val="auto"/>
              </w:rPr>
            </w:pPr>
            <w:r>
              <w:rPr>
                <w:rFonts w:ascii="Arial" w:cs="Arial" w:eastAsia="Arial" w:hAnsi="Arial"/>
                <w:sz w:val="18"/>
                <w:szCs w:val="18"/>
                <w:color w:val="auto"/>
              </w:rPr>
              <w:t>The Avenue - Parking</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White Marsh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230-2300</w:t>
            </w:r>
          </w:p>
        </w:tc>
        <w:tc>
          <w:tcPr>
            <w:tcW w:w="7740" w:type="dxa"/>
            <w:vAlign w:val="bottom"/>
            <w:gridSpan w:val="2"/>
          </w:tcPr>
          <w:p>
            <w:pPr>
              <w:spacing w:after="0"/>
              <w:rPr>
                <w:sz w:val="20"/>
                <w:szCs w:val="20"/>
                <w:color w:val="auto"/>
              </w:rPr>
            </w:pPr>
            <w:r>
              <w:rPr>
                <w:rFonts w:ascii="Arial" w:cs="Arial" w:eastAsia="Arial" w:hAnsi="Arial"/>
                <w:sz w:val="18"/>
                <w:szCs w:val="18"/>
                <w:color w:val="auto"/>
              </w:rPr>
              <w:t>Panera Bread - Nottingham</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White Marsh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400-1020</w:t>
            </w:r>
          </w:p>
        </w:tc>
        <w:tc>
          <w:tcPr>
            <w:tcW w:w="7740" w:type="dxa"/>
            <w:vAlign w:val="bottom"/>
            <w:gridSpan w:val="2"/>
          </w:tcPr>
          <w:p>
            <w:pPr>
              <w:spacing w:after="0"/>
              <w:rPr>
                <w:sz w:val="20"/>
                <w:szCs w:val="20"/>
                <w:color w:val="auto"/>
              </w:rPr>
            </w:pPr>
            <w:r>
              <w:rPr>
                <w:rFonts w:ascii="Arial" w:cs="Arial" w:eastAsia="Arial" w:hAnsi="Arial"/>
                <w:sz w:val="18"/>
                <w:szCs w:val="18"/>
                <w:color w:val="auto"/>
              </w:rPr>
              <w:t>Beth Ave Shops W W 1-Arl East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400-1021</w:t>
            </w:r>
          </w:p>
        </w:tc>
        <w:tc>
          <w:tcPr>
            <w:tcW w:w="7740" w:type="dxa"/>
            <w:vAlign w:val="bottom"/>
            <w:gridSpan w:val="2"/>
          </w:tcPr>
          <w:p>
            <w:pPr>
              <w:spacing w:after="0"/>
              <w:rPr>
                <w:sz w:val="20"/>
                <w:szCs w:val="20"/>
                <w:color w:val="auto"/>
              </w:rPr>
            </w:pPr>
            <w:r>
              <w:rPr>
                <w:rFonts w:ascii="Arial" w:cs="Arial" w:eastAsia="Arial" w:hAnsi="Arial"/>
                <w:sz w:val="18"/>
                <w:szCs w:val="18"/>
                <w:color w:val="auto"/>
              </w:rPr>
              <w:t>Bethesda Ave Shops W W 2</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400-1022</w:t>
            </w:r>
          </w:p>
        </w:tc>
        <w:tc>
          <w:tcPr>
            <w:tcW w:w="7740" w:type="dxa"/>
            <w:vAlign w:val="bottom"/>
            <w:gridSpan w:val="2"/>
          </w:tcPr>
          <w:p>
            <w:pPr>
              <w:spacing w:after="0"/>
              <w:rPr>
                <w:sz w:val="20"/>
                <w:szCs w:val="20"/>
                <w:color w:val="auto"/>
              </w:rPr>
            </w:pPr>
            <w:r>
              <w:rPr>
                <w:rFonts w:ascii="Arial" w:cs="Arial" w:eastAsia="Arial" w:hAnsi="Arial"/>
                <w:sz w:val="18"/>
                <w:szCs w:val="18"/>
                <w:color w:val="auto"/>
              </w:rPr>
              <w:t>Bethesda Ave Offices W W 2</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400-1023</w:t>
            </w:r>
          </w:p>
        </w:tc>
        <w:tc>
          <w:tcPr>
            <w:tcW w:w="7740" w:type="dxa"/>
            <w:vAlign w:val="bottom"/>
            <w:gridSpan w:val="2"/>
          </w:tcPr>
          <w:p>
            <w:pPr>
              <w:spacing w:after="0"/>
              <w:rPr>
                <w:sz w:val="20"/>
                <w:szCs w:val="20"/>
                <w:color w:val="auto"/>
              </w:rPr>
            </w:pPr>
            <w:r>
              <w:rPr>
                <w:rFonts w:ascii="Arial" w:cs="Arial" w:eastAsia="Arial" w:hAnsi="Arial"/>
                <w:sz w:val="18"/>
                <w:szCs w:val="18"/>
                <w:color w:val="auto"/>
              </w:rPr>
              <w:t>Bethesda Ave Shops W W 3</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400-1024</w:t>
            </w:r>
          </w:p>
        </w:tc>
        <w:tc>
          <w:tcPr>
            <w:tcW w:w="7740" w:type="dxa"/>
            <w:vAlign w:val="bottom"/>
            <w:gridSpan w:val="2"/>
          </w:tcPr>
          <w:p>
            <w:pPr>
              <w:spacing w:after="0"/>
              <w:rPr>
                <w:sz w:val="20"/>
                <w:szCs w:val="20"/>
                <w:color w:val="auto"/>
              </w:rPr>
            </w:pPr>
            <w:r>
              <w:rPr>
                <w:rFonts w:ascii="Arial" w:cs="Arial" w:eastAsia="Arial" w:hAnsi="Arial"/>
                <w:sz w:val="18"/>
                <w:szCs w:val="18"/>
                <w:color w:val="auto"/>
              </w:rPr>
              <w:t>Bethesda Ave Shops W W 4</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400-1025</w:t>
            </w:r>
          </w:p>
        </w:tc>
        <w:tc>
          <w:tcPr>
            <w:tcW w:w="7740" w:type="dxa"/>
            <w:vAlign w:val="bottom"/>
            <w:gridSpan w:val="2"/>
          </w:tcPr>
          <w:p>
            <w:pPr>
              <w:spacing w:after="0"/>
              <w:rPr>
                <w:sz w:val="20"/>
                <w:szCs w:val="20"/>
                <w:color w:val="auto"/>
              </w:rPr>
            </w:pPr>
            <w:r>
              <w:rPr>
                <w:rFonts w:ascii="Arial" w:cs="Arial" w:eastAsia="Arial" w:hAnsi="Arial"/>
                <w:sz w:val="18"/>
                <w:szCs w:val="18"/>
                <w:color w:val="auto"/>
              </w:rPr>
              <w:t>Bethesda Ave Offices W W 4</w:t>
            </w:r>
          </w:p>
        </w:tc>
        <w:tc>
          <w:tcPr>
            <w:tcW w:w="1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bl>
    <w:p>
      <w:pPr>
        <w:sectPr>
          <w:pgSz w:w="11900" w:h="16838" w:orient="portrait"/>
          <w:cols w:equalWidth="0" w:num="1">
            <w:col w:w="11420"/>
          </w:cols>
          <w:pgMar w:left="240" w:top="273" w:right="239" w:bottom="1440" w:gutter="0" w:footer="0" w:header="0"/>
        </w:sectPr>
      </w:pPr>
    </w:p>
    <w:bookmarkStart w:id="361" w:name="page362"/>
    <w:bookmarkEnd w:id="3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8"/>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City</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w:t>
            </w:r>
          </w:p>
        </w:tc>
      </w:tr>
      <w:tr>
        <w:trPr>
          <w:trHeight w:val="316"/>
        </w:trPr>
        <w:tc>
          <w:tcPr>
            <w:tcW w:w="1120" w:type="dxa"/>
            <w:vAlign w:val="bottom"/>
            <w:gridSpan w:val="2"/>
          </w:tcPr>
          <w:p>
            <w:pPr>
              <w:spacing w:after="0"/>
              <w:rPr>
                <w:sz w:val="20"/>
                <w:szCs w:val="20"/>
                <w:color w:val="auto"/>
              </w:rPr>
            </w:pPr>
            <w:r>
              <w:rPr>
                <w:rFonts w:ascii="Arial" w:cs="Arial" w:eastAsia="Arial" w:hAnsi="Arial"/>
                <w:sz w:val="18"/>
                <w:szCs w:val="18"/>
                <w:color w:val="auto"/>
              </w:rPr>
              <w:t>400-1026</w:t>
            </w:r>
          </w:p>
        </w:tc>
        <w:tc>
          <w:tcPr>
            <w:tcW w:w="7740" w:type="dxa"/>
            <w:vAlign w:val="bottom"/>
          </w:tcPr>
          <w:p>
            <w:pPr>
              <w:spacing w:after="0"/>
              <w:rPr>
                <w:sz w:val="20"/>
                <w:szCs w:val="20"/>
                <w:color w:val="auto"/>
              </w:rPr>
            </w:pPr>
            <w:r>
              <w:rPr>
                <w:rFonts w:ascii="Arial" w:cs="Arial" w:eastAsia="Arial" w:hAnsi="Arial"/>
                <w:sz w:val="18"/>
                <w:szCs w:val="18"/>
                <w:color w:val="auto"/>
              </w:rPr>
              <w:t>Bethesda Ave Shops W W 5</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400-1027</w:t>
            </w:r>
          </w:p>
        </w:tc>
        <w:tc>
          <w:tcPr>
            <w:tcW w:w="7740" w:type="dxa"/>
            <w:vAlign w:val="bottom"/>
          </w:tcPr>
          <w:p>
            <w:pPr>
              <w:spacing w:after="0"/>
              <w:rPr>
                <w:sz w:val="20"/>
                <w:szCs w:val="20"/>
                <w:color w:val="auto"/>
              </w:rPr>
            </w:pPr>
            <w:r>
              <w:rPr>
                <w:rFonts w:ascii="Arial" w:cs="Arial" w:eastAsia="Arial" w:hAnsi="Arial"/>
                <w:sz w:val="18"/>
                <w:szCs w:val="18"/>
                <w:color w:val="auto"/>
              </w:rPr>
              <w:t>Bethesda Ave Offices W W 5</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400-1028</w:t>
            </w:r>
          </w:p>
        </w:tc>
        <w:tc>
          <w:tcPr>
            <w:tcW w:w="7740" w:type="dxa"/>
            <w:vAlign w:val="bottom"/>
          </w:tcPr>
          <w:p>
            <w:pPr>
              <w:spacing w:after="0"/>
              <w:rPr>
                <w:sz w:val="20"/>
                <w:szCs w:val="20"/>
                <w:color w:val="auto"/>
              </w:rPr>
            </w:pPr>
            <w:r>
              <w:rPr>
                <w:rFonts w:ascii="Arial" w:cs="Arial" w:eastAsia="Arial" w:hAnsi="Arial"/>
                <w:sz w:val="18"/>
                <w:szCs w:val="18"/>
                <w:color w:val="auto"/>
              </w:rPr>
              <w:t>Bethesda Ave Shops II</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400-1029</w:t>
            </w:r>
          </w:p>
        </w:tc>
        <w:tc>
          <w:tcPr>
            <w:tcW w:w="7740" w:type="dxa"/>
            <w:vAlign w:val="bottom"/>
          </w:tcPr>
          <w:p>
            <w:pPr>
              <w:spacing w:after="0"/>
              <w:rPr>
                <w:sz w:val="20"/>
                <w:szCs w:val="20"/>
                <w:color w:val="auto"/>
              </w:rPr>
            </w:pPr>
            <w:r>
              <w:rPr>
                <w:rFonts w:ascii="Arial" w:cs="Arial" w:eastAsia="Arial" w:hAnsi="Arial"/>
                <w:sz w:val="18"/>
                <w:szCs w:val="18"/>
                <w:color w:val="auto"/>
              </w:rPr>
              <w:t>Bethesda Ave Shops III</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400-1030</w:t>
            </w:r>
          </w:p>
        </w:tc>
        <w:tc>
          <w:tcPr>
            <w:tcW w:w="7740" w:type="dxa"/>
            <w:vAlign w:val="bottom"/>
          </w:tcPr>
          <w:p>
            <w:pPr>
              <w:spacing w:after="0"/>
              <w:rPr>
                <w:sz w:val="20"/>
                <w:szCs w:val="20"/>
                <w:color w:val="auto"/>
              </w:rPr>
            </w:pPr>
            <w:r>
              <w:rPr>
                <w:rFonts w:ascii="Arial" w:cs="Arial" w:eastAsia="Arial" w:hAnsi="Arial"/>
                <w:sz w:val="18"/>
                <w:szCs w:val="18"/>
                <w:color w:val="auto"/>
              </w:rPr>
              <w:t>Bethesda Ave Shops Ravengard</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400-1031</w:t>
            </w:r>
          </w:p>
        </w:tc>
        <w:tc>
          <w:tcPr>
            <w:tcW w:w="7740" w:type="dxa"/>
            <w:vAlign w:val="bottom"/>
          </w:tcPr>
          <w:p>
            <w:pPr>
              <w:spacing w:after="0"/>
              <w:rPr>
                <w:sz w:val="20"/>
                <w:szCs w:val="20"/>
                <w:color w:val="auto"/>
              </w:rPr>
            </w:pPr>
            <w:r>
              <w:rPr>
                <w:rFonts w:ascii="Arial" w:cs="Arial" w:eastAsia="Arial" w:hAnsi="Arial"/>
                <w:sz w:val="18"/>
                <w:szCs w:val="18"/>
                <w:color w:val="auto"/>
              </w:rPr>
              <w:t>Bethesda Ave Shops Parking Lot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400-1032</w:t>
            </w:r>
          </w:p>
        </w:tc>
        <w:tc>
          <w:tcPr>
            <w:tcW w:w="7740" w:type="dxa"/>
            <w:vAlign w:val="bottom"/>
          </w:tcPr>
          <w:p>
            <w:pPr>
              <w:spacing w:after="0"/>
              <w:rPr>
                <w:sz w:val="20"/>
                <w:szCs w:val="20"/>
                <w:color w:val="auto"/>
              </w:rPr>
            </w:pPr>
            <w:r>
              <w:rPr>
                <w:rFonts w:ascii="Arial" w:cs="Arial" w:eastAsia="Arial" w:hAnsi="Arial"/>
                <w:sz w:val="18"/>
                <w:szCs w:val="18"/>
                <w:color w:val="auto"/>
              </w:rPr>
              <w:t>4900 Hampden Lane</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400-3031</w:t>
            </w:r>
          </w:p>
        </w:tc>
        <w:tc>
          <w:tcPr>
            <w:tcW w:w="7740" w:type="dxa"/>
            <w:vAlign w:val="bottom"/>
          </w:tcPr>
          <w:p>
            <w:pPr>
              <w:spacing w:after="0"/>
              <w:rPr>
                <w:sz w:val="20"/>
                <w:szCs w:val="20"/>
                <w:color w:val="auto"/>
              </w:rPr>
            </w:pPr>
            <w:r>
              <w:rPr>
                <w:rFonts w:ascii="Arial" w:cs="Arial" w:eastAsia="Arial" w:hAnsi="Arial"/>
                <w:sz w:val="18"/>
                <w:szCs w:val="18"/>
                <w:color w:val="auto"/>
              </w:rPr>
              <w:t>Elm St - Retail (Bethesda)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400-3032</w:t>
            </w:r>
          </w:p>
        </w:tc>
        <w:tc>
          <w:tcPr>
            <w:tcW w:w="7740" w:type="dxa"/>
            <w:vAlign w:val="bottom"/>
          </w:tcPr>
          <w:p>
            <w:pPr>
              <w:spacing w:after="0"/>
              <w:rPr>
                <w:sz w:val="20"/>
                <w:szCs w:val="20"/>
                <w:color w:val="auto"/>
              </w:rPr>
            </w:pPr>
            <w:r>
              <w:rPr>
                <w:rFonts w:ascii="Arial" w:cs="Arial" w:eastAsia="Arial" w:hAnsi="Arial"/>
                <w:sz w:val="18"/>
                <w:szCs w:val="18"/>
                <w:color w:val="auto"/>
              </w:rPr>
              <w:t>Kilbane/Jaffe Parcels</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400-3033</w:t>
            </w:r>
          </w:p>
        </w:tc>
        <w:tc>
          <w:tcPr>
            <w:tcW w:w="7740" w:type="dxa"/>
            <w:vAlign w:val="bottom"/>
          </w:tcPr>
          <w:p>
            <w:pPr>
              <w:spacing w:after="0"/>
              <w:rPr>
                <w:sz w:val="20"/>
                <w:szCs w:val="20"/>
                <w:color w:val="auto"/>
              </w:rPr>
            </w:pPr>
            <w:r>
              <w:rPr>
                <w:rFonts w:ascii="Arial" w:cs="Arial" w:eastAsia="Arial" w:hAnsi="Arial"/>
                <w:sz w:val="18"/>
                <w:szCs w:val="18"/>
                <w:color w:val="auto"/>
              </w:rPr>
              <w:t>Elm Street - Office (Bethesda)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400-3034</w:t>
            </w:r>
          </w:p>
        </w:tc>
        <w:tc>
          <w:tcPr>
            <w:tcW w:w="7740" w:type="dxa"/>
            <w:vAlign w:val="bottom"/>
          </w:tcPr>
          <w:p>
            <w:pPr>
              <w:spacing w:after="0"/>
              <w:rPr>
                <w:sz w:val="20"/>
                <w:szCs w:val="20"/>
                <w:color w:val="auto"/>
              </w:rPr>
            </w:pPr>
            <w:r>
              <w:rPr>
                <w:rFonts w:ascii="Arial" w:cs="Arial" w:eastAsia="Arial" w:hAnsi="Arial"/>
                <w:sz w:val="18"/>
                <w:szCs w:val="18"/>
                <w:color w:val="auto"/>
              </w:rPr>
              <w:t>Woodmont East - 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400-3035</w:t>
            </w:r>
          </w:p>
        </w:tc>
        <w:tc>
          <w:tcPr>
            <w:tcW w:w="7740" w:type="dxa"/>
            <w:vAlign w:val="bottom"/>
          </w:tcPr>
          <w:p>
            <w:pPr>
              <w:spacing w:after="0"/>
              <w:rPr>
                <w:sz w:val="20"/>
                <w:szCs w:val="20"/>
                <w:color w:val="auto"/>
              </w:rPr>
            </w:pPr>
            <w:r>
              <w:rPr>
                <w:rFonts w:ascii="Arial" w:cs="Arial" w:eastAsia="Arial" w:hAnsi="Arial"/>
                <w:sz w:val="18"/>
                <w:szCs w:val="18"/>
                <w:color w:val="auto"/>
              </w:rPr>
              <w:t>Woodmont East - Offices</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400-3100</w:t>
            </w:r>
          </w:p>
        </w:tc>
        <w:tc>
          <w:tcPr>
            <w:tcW w:w="7740" w:type="dxa"/>
            <w:vAlign w:val="bottom"/>
          </w:tcPr>
          <w:p>
            <w:pPr>
              <w:spacing w:after="0"/>
              <w:rPr>
                <w:sz w:val="20"/>
                <w:szCs w:val="20"/>
                <w:color w:val="auto"/>
              </w:rPr>
            </w:pPr>
            <w:r>
              <w:rPr>
                <w:rFonts w:ascii="Arial" w:cs="Arial" w:eastAsia="Arial" w:hAnsi="Arial"/>
                <w:sz w:val="18"/>
                <w:szCs w:val="18"/>
                <w:color w:val="auto"/>
              </w:rPr>
              <w:t>64 Greenwich Ave.</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Greenwich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400-3101</w:t>
            </w:r>
          </w:p>
        </w:tc>
        <w:tc>
          <w:tcPr>
            <w:tcW w:w="7740" w:type="dxa"/>
            <w:vAlign w:val="bottom"/>
          </w:tcPr>
          <w:p>
            <w:pPr>
              <w:spacing w:after="0"/>
              <w:rPr>
                <w:sz w:val="20"/>
                <w:szCs w:val="20"/>
                <w:color w:val="auto"/>
              </w:rPr>
            </w:pPr>
            <w:r>
              <w:rPr>
                <w:rFonts w:ascii="Arial" w:cs="Arial" w:eastAsia="Arial" w:hAnsi="Arial"/>
                <w:sz w:val="18"/>
                <w:szCs w:val="18"/>
                <w:color w:val="auto"/>
              </w:rPr>
              <w:t>205 Greenwich Ave (Saks)</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Greenwich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400-3400</w:t>
            </w:r>
          </w:p>
        </w:tc>
        <w:tc>
          <w:tcPr>
            <w:tcW w:w="7740" w:type="dxa"/>
            <w:vAlign w:val="bottom"/>
          </w:tcPr>
          <w:p>
            <w:pPr>
              <w:spacing w:after="0"/>
              <w:rPr>
                <w:sz w:val="20"/>
                <w:szCs w:val="20"/>
                <w:color w:val="auto"/>
              </w:rPr>
            </w:pPr>
            <w:r>
              <w:rPr>
                <w:rFonts w:ascii="Arial" w:cs="Arial" w:eastAsia="Arial" w:hAnsi="Arial"/>
                <w:sz w:val="18"/>
                <w:szCs w:val="18"/>
                <w:color w:val="auto"/>
              </w:rPr>
              <w:t>Fresh Meadows (K Mart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Queens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400-3401</w:t>
            </w:r>
          </w:p>
        </w:tc>
        <w:tc>
          <w:tcPr>
            <w:tcW w:w="7740" w:type="dxa"/>
            <w:vAlign w:val="bottom"/>
          </w:tcPr>
          <w:p>
            <w:pPr>
              <w:spacing w:after="0"/>
              <w:rPr>
                <w:sz w:val="20"/>
                <w:szCs w:val="20"/>
                <w:color w:val="auto"/>
              </w:rPr>
            </w:pPr>
            <w:r>
              <w:rPr>
                <w:rFonts w:ascii="Arial" w:cs="Arial" w:eastAsia="Arial" w:hAnsi="Arial"/>
                <w:sz w:val="18"/>
                <w:szCs w:val="18"/>
                <w:color w:val="auto"/>
              </w:rPr>
              <w:t>Fresh Meadows (Filene’s Ctr)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Queens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400-3402</w:t>
            </w:r>
          </w:p>
        </w:tc>
        <w:tc>
          <w:tcPr>
            <w:tcW w:w="7740" w:type="dxa"/>
            <w:vAlign w:val="bottom"/>
          </w:tcPr>
          <w:p>
            <w:pPr>
              <w:spacing w:after="0"/>
              <w:rPr>
                <w:sz w:val="20"/>
                <w:szCs w:val="20"/>
                <w:color w:val="auto"/>
              </w:rPr>
            </w:pPr>
            <w:r>
              <w:rPr>
                <w:rFonts w:ascii="Arial" w:cs="Arial" w:eastAsia="Arial" w:hAnsi="Arial"/>
                <w:sz w:val="18"/>
                <w:szCs w:val="18"/>
                <w:color w:val="auto"/>
              </w:rPr>
              <w:t>Fresh Meadows (73rd Ave Strip)</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Queens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400-3403</w:t>
            </w:r>
          </w:p>
        </w:tc>
        <w:tc>
          <w:tcPr>
            <w:tcW w:w="7740" w:type="dxa"/>
            <w:vAlign w:val="bottom"/>
          </w:tcPr>
          <w:p>
            <w:pPr>
              <w:spacing w:after="0"/>
              <w:rPr>
                <w:sz w:val="20"/>
                <w:szCs w:val="20"/>
                <w:color w:val="auto"/>
              </w:rPr>
            </w:pPr>
            <w:r>
              <w:rPr>
                <w:rFonts w:ascii="Arial" w:cs="Arial" w:eastAsia="Arial" w:hAnsi="Arial"/>
                <w:sz w:val="18"/>
                <w:szCs w:val="18"/>
                <w:color w:val="auto"/>
              </w:rPr>
              <w:t>Fresh Meadows (69th Ave Strip)</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Queens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400-3500</w:t>
            </w:r>
          </w:p>
        </w:tc>
        <w:tc>
          <w:tcPr>
            <w:tcW w:w="7740" w:type="dxa"/>
            <w:vAlign w:val="bottom"/>
          </w:tcPr>
          <w:p>
            <w:pPr>
              <w:spacing w:after="0"/>
              <w:rPr>
                <w:sz w:val="20"/>
                <w:szCs w:val="20"/>
                <w:color w:val="auto"/>
              </w:rPr>
            </w:pPr>
            <w:r>
              <w:rPr>
                <w:rFonts w:ascii="Arial" w:cs="Arial" w:eastAsia="Arial" w:hAnsi="Arial"/>
                <w:sz w:val="18"/>
                <w:szCs w:val="18"/>
                <w:color w:val="auto"/>
              </w:rPr>
              <w:t>150 Post Street (SF)</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Francisco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400-3525</w:t>
            </w:r>
          </w:p>
        </w:tc>
        <w:tc>
          <w:tcPr>
            <w:tcW w:w="7740" w:type="dxa"/>
            <w:vAlign w:val="bottom"/>
          </w:tcPr>
          <w:p>
            <w:pPr>
              <w:spacing w:after="0"/>
              <w:rPr>
                <w:sz w:val="20"/>
                <w:szCs w:val="20"/>
                <w:color w:val="auto"/>
              </w:rPr>
            </w:pPr>
            <w:r>
              <w:rPr>
                <w:rFonts w:ascii="Arial" w:cs="Arial" w:eastAsia="Arial" w:hAnsi="Arial"/>
                <w:sz w:val="18"/>
                <w:szCs w:val="18"/>
                <w:color w:val="auto"/>
              </w:rPr>
              <w:t>1344 3rd Street (Santa Monica)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Santa Monica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400-3600</w:t>
            </w:r>
          </w:p>
        </w:tc>
        <w:tc>
          <w:tcPr>
            <w:tcW w:w="7740" w:type="dxa"/>
            <w:vAlign w:val="bottom"/>
          </w:tcPr>
          <w:p>
            <w:pPr>
              <w:spacing w:after="0"/>
              <w:rPr>
                <w:sz w:val="20"/>
                <w:szCs w:val="20"/>
                <w:color w:val="auto"/>
              </w:rPr>
            </w:pPr>
            <w:r>
              <w:rPr>
                <w:rFonts w:ascii="Arial" w:cs="Arial" w:eastAsia="Arial" w:hAnsi="Arial"/>
                <w:sz w:val="18"/>
                <w:szCs w:val="18"/>
                <w:color w:val="auto"/>
              </w:rPr>
              <w:t>Sam’s Park &amp; Shop</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Washington, D.C.</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9"/>
              </w:rPr>
              <w:t>DC</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400-3601</w:t>
            </w:r>
          </w:p>
        </w:tc>
        <w:tc>
          <w:tcPr>
            <w:tcW w:w="7740" w:type="dxa"/>
            <w:vAlign w:val="bottom"/>
          </w:tcPr>
          <w:p>
            <w:pPr>
              <w:spacing w:after="0"/>
              <w:rPr>
                <w:sz w:val="20"/>
                <w:szCs w:val="20"/>
                <w:color w:val="auto"/>
              </w:rPr>
            </w:pPr>
            <w:r>
              <w:rPr>
                <w:rFonts w:ascii="Arial" w:cs="Arial" w:eastAsia="Arial" w:hAnsi="Arial"/>
                <w:sz w:val="18"/>
                <w:szCs w:val="18"/>
                <w:color w:val="auto"/>
              </w:rPr>
              <w:t>Village at Shirlington-Retail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Arlington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400-3602</w:t>
            </w:r>
          </w:p>
        </w:tc>
        <w:tc>
          <w:tcPr>
            <w:tcW w:w="7740" w:type="dxa"/>
            <w:vAlign w:val="bottom"/>
          </w:tcPr>
          <w:p>
            <w:pPr>
              <w:spacing w:after="0"/>
              <w:rPr>
                <w:sz w:val="20"/>
                <w:szCs w:val="20"/>
                <w:color w:val="auto"/>
              </w:rPr>
            </w:pPr>
            <w:r>
              <w:rPr>
                <w:rFonts w:ascii="Arial" w:cs="Arial" w:eastAsia="Arial" w:hAnsi="Arial"/>
                <w:sz w:val="18"/>
                <w:szCs w:val="18"/>
                <w:color w:val="auto"/>
              </w:rPr>
              <w:t>Village at Shirlington-Office</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Arlington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400-3603</w:t>
            </w:r>
          </w:p>
        </w:tc>
        <w:tc>
          <w:tcPr>
            <w:tcW w:w="7740" w:type="dxa"/>
            <w:vAlign w:val="bottom"/>
          </w:tcPr>
          <w:p>
            <w:pPr>
              <w:spacing w:after="0"/>
              <w:rPr>
                <w:sz w:val="20"/>
                <w:szCs w:val="20"/>
                <w:color w:val="auto"/>
              </w:rPr>
            </w:pPr>
            <w:r>
              <w:rPr>
                <w:rFonts w:ascii="Arial" w:cs="Arial" w:eastAsia="Arial" w:hAnsi="Arial"/>
                <w:sz w:val="18"/>
                <w:szCs w:val="18"/>
                <w:color w:val="auto"/>
              </w:rPr>
              <w:t>Pentagon Row</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Arlington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400-3604</w:t>
            </w:r>
          </w:p>
        </w:tc>
        <w:tc>
          <w:tcPr>
            <w:tcW w:w="7740" w:type="dxa"/>
            <w:vAlign w:val="bottom"/>
          </w:tcPr>
          <w:p>
            <w:pPr>
              <w:spacing w:after="0"/>
              <w:rPr>
                <w:sz w:val="20"/>
                <w:szCs w:val="20"/>
                <w:color w:val="auto"/>
              </w:rPr>
            </w:pPr>
            <w:r>
              <w:rPr>
                <w:rFonts w:ascii="Arial" w:cs="Arial" w:eastAsia="Arial" w:hAnsi="Arial"/>
                <w:sz w:val="18"/>
                <w:szCs w:val="18"/>
                <w:color w:val="auto"/>
              </w:rPr>
              <w:t>Friendship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Washington, D.C.</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9"/>
              </w:rPr>
              <w:t>DC</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420-4300</w:t>
            </w:r>
          </w:p>
        </w:tc>
        <w:tc>
          <w:tcPr>
            <w:tcW w:w="7740" w:type="dxa"/>
            <w:vAlign w:val="bottom"/>
          </w:tcPr>
          <w:p>
            <w:pPr>
              <w:spacing w:after="0"/>
              <w:rPr>
                <w:sz w:val="20"/>
                <w:szCs w:val="20"/>
                <w:color w:val="auto"/>
              </w:rPr>
            </w:pPr>
            <w:r>
              <w:rPr>
                <w:rFonts w:ascii="Arial" w:cs="Arial" w:eastAsia="Arial" w:hAnsi="Arial"/>
                <w:sz w:val="18"/>
                <w:szCs w:val="18"/>
                <w:color w:val="auto"/>
              </w:rPr>
              <w:t>14 N.Fair Oaks Ave (Pasadena)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Pasadena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420-4500</w:t>
            </w:r>
          </w:p>
        </w:tc>
        <w:tc>
          <w:tcPr>
            <w:tcW w:w="7740" w:type="dxa"/>
            <w:vAlign w:val="bottom"/>
          </w:tcPr>
          <w:p>
            <w:pPr>
              <w:spacing w:after="0"/>
              <w:rPr>
                <w:sz w:val="20"/>
                <w:szCs w:val="20"/>
                <w:color w:val="auto"/>
              </w:rPr>
            </w:pPr>
            <w:r>
              <w:rPr>
                <w:rFonts w:ascii="Arial" w:cs="Arial" w:eastAsia="Arial" w:hAnsi="Arial"/>
                <w:sz w:val="18"/>
                <w:szCs w:val="18"/>
                <w:color w:val="auto"/>
              </w:rPr>
              <w:t>643-653 5th Ave. (S D)</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Diego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420-4502</w:t>
            </w:r>
          </w:p>
        </w:tc>
        <w:tc>
          <w:tcPr>
            <w:tcW w:w="7740" w:type="dxa"/>
            <w:vAlign w:val="bottom"/>
          </w:tcPr>
          <w:p>
            <w:pPr>
              <w:spacing w:after="0"/>
              <w:rPr>
                <w:sz w:val="20"/>
                <w:szCs w:val="20"/>
                <w:color w:val="auto"/>
              </w:rPr>
            </w:pPr>
            <w:r>
              <w:rPr>
                <w:rFonts w:ascii="Arial" w:cs="Arial" w:eastAsia="Arial" w:hAnsi="Arial"/>
                <w:sz w:val="18"/>
                <w:szCs w:val="18"/>
                <w:color w:val="auto"/>
              </w:rPr>
              <w:t>665 5th Ave. (S D)</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Diego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420-4503</w:t>
            </w:r>
          </w:p>
        </w:tc>
        <w:tc>
          <w:tcPr>
            <w:tcW w:w="7740" w:type="dxa"/>
            <w:vAlign w:val="bottom"/>
          </w:tcPr>
          <w:p>
            <w:pPr>
              <w:spacing w:after="0"/>
              <w:rPr>
                <w:sz w:val="20"/>
                <w:szCs w:val="20"/>
                <w:color w:val="auto"/>
              </w:rPr>
            </w:pPr>
            <w:r>
              <w:rPr>
                <w:rFonts w:ascii="Arial" w:cs="Arial" w:eastAsia="Arial" w:hAnsi="Arial"/>
                <w:sz w:val="18"/>
                <w:szCs w:val="18"/>
                <w:color w:val="auto"/>
              </w:rPr>
              <w:t>825-831 5th Ave. (S D)</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Diego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420-4700</w:t>
            </w:r>
          </w:p>
        </w:tc>
        <w:tc>
          <w:tcPr>
            <w:tcW w:w="7740" w:type="dxa"/>
            <w:vAlign w:val="bottom"/>
          </w:tcPr>
          <w:p>
            <w:pPr>
              <w:spacing w:after="0"/>
              <w:rPr>
                <w:sz w:val="20"/>
                <w:szCs w:val="20"/>
                <w:color w:val="auto"/>
              </w:rPr>
            </w:pPr>
            <w:r>
              <w:rPr>
                <w:rFonts w:ascii="Arial" w:cs="Arial" w:eastAsia="Arial" w:hAnsi="Arial"/>
                <w:sz w:val="18"/>
                <w:szCs w:val="18"/>
                <w:color w:val="auto"/>
              </w:rPr>
              <w:t>301 Arizona/1251-1253 3rd St.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Santa Monica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420-4702</w:t>
            </w:r>
          </w:p>
        </w:tc>
        <w:tc>
          <w:tcPr>
            <w:tcW w:w="7740" w:type="dxa"/>
            <w:vAlign w:val="bottom"/>
          </w:tcPr>
          <w:p>
            <w:pPr>
              <w:spacing w:after="0"/>
              <w:rPr>
                <w:sz w:val="20"/>
                <w:szCs w:val="20"/>
                <w:color w:val="auto"/>
              </w:rPr>
            </w:pPr>
            <w:r>
              <w:rPr>
                <w:rFonts w:ascii="Arial" w:cs="Arial" w:eastAsia="Arial" w:hAnsi="Arial"/>
                <w:sz w:val="18"/>
                <w:szCs w:val="18"/>
                <w:color w:val="auto"/>
              </w:rPr>
              <w:t>1225 3rd St. (Santa Monica)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Santa Monica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420-4704</w:t>
            </w:r>
          </w:p>
        </w:tc>
        <w:tc>
          <w:tcPr>
            <w:tcW w:w="7740" w:type="dxa"/>
            <w:vAlign w:val="bottom"/>
          </w:tcPr>
          <w:p>
            <w:pPr>
              <w:spacing w:after="0"/>
              <w:rPr>
                <w:sz w:val="20"/>
                <w:szCs w:val="20"/>
                <w:color w:val="auto"/>
              </w:rPr>
            </w:pPr>
            <w:r>
              <w:rPr>
                <w:rFonts w:ascii="Arial" w:cs="Arial" w:eastAsia="Arial" w:hAnsi="Arial"/>
                <w:sz w:val="18"/>
                <w:szCs w:val="18"/>
                <w:color w:val="auto"/>
              </w:rPr>
              <w:t>1337 3rd St. (Santa Monica)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Santa Monica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420-4705</w:t>
            </w:r>
          </w:p>
        </w:tc>
        <w:tc>
          <w:tcPr>
            <w:tcW w:w="7740" w:type="dxa"/>
            <w:vAlign w:val="bottom"/>
          </w:tcPr>
          <w:p>
            <w:pPr>
              <w:spacing w:after="0"/>
              <w:rPr>
                <w:sz w:val="20"/>
                <w:szCs w:val="20"/>
                <w:color w:val="auto"/>
              </w:rPr>
            </w:pPr>
            <w:r>
              <w:rPr>
                <w:rFonts w:ascii="Arial" w:cs="Arial" w:eastAsia="Arial" w:hAnsi="Arial"/>
                <w:sz w:val="18"/>
                <w:szCs w:val="18"/>
                <w:color w:val="auto"/>
              </w:rPr>
              <w:t>1343-1349 3rd St(Santa Monica)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Santa Monica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421-4701</w:t>
            </w:r>
          </w:p>
        </w:tc>
        <w:tc>
          <w:tcPr>
            <w:tcW w:w="7740" w:type="dxa"/>
            <w:vAlign w:val="bottom"/>
          </w:tcPr>
          <w:p>
            <w:pPr>
              <w:spacing w:after="0"/>
              <w:rPr>
                <w:sz w:val="20"/>
                <w:szCs w:val="20"/>
                <w:color w:val="auto"/>
              </w:rPr>
            </w:pPr>
            <w:r>
              <w:rPr>
                <w:rFonts w:ascii="Arial" w:cs="Arial" w:eastAsia="Arial" w:hAnsi="Arial"/>
                <w:sz w:val="18"/>
                <w:szCs w:val="18"/>
                <w:color w:val="auto"/>
              </w:rPr>
              <w:t>1202 3rd St. (Santa Monica)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Santa Monica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422-4706</w:t>
            </w:r>
          </w:p>
        </w:tc>
        <w:tc>
          <w:tcPr>
            <w:tcW w:w="7740" w:type="dxa"/>
            <w:vAlign w:val="bottom"/>
          </w:tcPr>
          <w:p>
            <w:pPr>
              <w:spacing w:after="0"/>
              <w:rPr>
                <w:sz w:val="20"/>
                <w:szCs w:val="20"/>
                <w:color w:val="auto"/>
              </w:rPr>
            </w:pPr>
            <w:r>
              <w:rPr>
                <w:rFonts w:ascii="Arial" w:cs="Arial" w:eastAsia="Arial" w:hAnsi="Arial"/>
                <w:sz w:val="18"/>
                <w:szCs w:val="18"/>
                <w:color w:val="auto"/>
              </w:rPr>
              <w:t>1222 3rd St. (Santa Monica)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Santa Monica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424-4301</w:t>
            </w:r>
          </w:p>
        </w:tc>
        <w:tc>
          <w:tcPr>
            <w:tcW w:w="7740" w:type="dxa"/>
            <w:vAlign w:val="bottom"/>
          </w:tcPr>
          <w:p>
            <w:pPr>
              <w:spacing w:after="0"/>
              <w:rPr>
                <w:sz w:val="20"/>
                <w:szCs w:val="20"/>
                <w:color w:val="auto"/>
              </w:rPr>
            </w:pPr>
            <w:r>
              <w:rPr>
                <w:rFonts w:ascii="Arial" w:cs="Arial" w:eastAsia="Arial" w:hAnsi="Arial"/>
                <w:sz w:val="18"/>
                <w:szCs w:val="18"/>
                <w:color w:val="auto"/>
              </w:rPr>
              <w:t>140-168 W Colorado(Tanner Mkt)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Pasadena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428-4708</w:t>
            </w:r>
          </w:p>
        </w:tc>
        <w:tc>
          <w:tcPr>
            <w:tcW w:w="7740" w:type="dxa"/>
            <w:vAlign w:val="bottom"/>
          </w:tcPr>
          <w:p>
            <w:pPr>
              <w:spacing w:after="0"/>
              <w:rPr>
                <w:sz w:val="20"/>
                <w:szCs w:val="20"/>
                <w:color w:val="auto"/>
              </w:rPr>
            </w:pPr>
            <w:r>
              <w:rPr>
                <w:rFonts w:ascii="Arial" w:cs="Arial" w:eastAsia="Arial" w:hAnsi="Arial"/>
                <w:sz w:val="18"/>
                <w:szCs w:val="18"/>
                <w:color w:val="auto"/>
              </w:rPr>
              <w:t>214 Wilshire Blvd (SM)</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Santa Monica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440-5002</w:t>
            </w:r>
          </w:p>
        </w:tc>
        <w:tc>
          <w:tcPr>
            <w:tcW w:w="7740" w:type="dxa"/>
            <w:vAlign w:val="bottom"/>
          </w:tcPr>
          <w:p>
            <w:pPr>
              <w:spacing w:after="0"/>
              <w:rPr>
                <w:sz w:val="20"/>
                <w:szCs w:val="20"/>
                <w:color w:val="auto"/>
              </w:rPr>
            </w:pPr>
            <w:r>
              <w:rPr>
                <w:rFonts w:ascii="Arial" w:cs="Arial" w:eastAsia="Arial" w:hAnsi="Arial"/>
                <w:sz w:val="18"/>
                <w:szCs w:val="18"/>
                <w:color w:val="auto"/>
              </w:rPr>
              <w:t>108-22 Queens Blvd (Midway Th)</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Forest Hills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450-5500</w:t>
            </w:r>
          </w:p>
        </w:tc>
        <w:tc>
          <w:tcPr>
            <w:tcW w:w="7740" w:type="dxa"/>
            <w:vAlign w:val="bottom"/>
          </w:tcPr>
          <w:p>
            <w:pPr>
              <w:spacing w:after="0"/>
              <w:rPr>
                <w:sz w:val="20"/>
                <w:szCs w:val="20"/>
                <w:color w:val="auto"/>
              </w:rPr>
            </w:pPr>
            <w:r>
              <w:rPr>
                <w:rFonts w:ascii="Arial" w:cs="Arial" w:eastAsia="Arial" w:hAnsi="Arial"/>
                <w:sz w:val="18"/>
                <w:szCs w:val="18"/>
                <w:color w:val="auto"/>
              </w:rPr>
              <w:t>Old Town Center (Los Gatos)</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Los Gatos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451-5601</w:t>
            </w:r>
          </w:p>
        </w:tc>
        <w:tc>
          <w:tcPr>
            <w:tcW w:w="7740" w:type="dxa"/>
            <w:vAlign w:val="bottom"/>
          </w:tcPr>
          <w:p>
            <w:pPr>
              <w:spacing w:after="0"/>
              <w:rPr>
                <w:sz w:val="20"/>
                <w:szCs w:val="20"/>
                <w:color w:val="auto"/>
              </w:rPr>
            </w:pPr>
            <w:r>
              <w:rPr>
                <w:rFonts w:ascii="Arial" w:cs="Arial" w:eastAsia="Arial" w:hAnsi="Arial"/>
                <w:sz w:val="18"/>
                <w:szCs w:val="18"/>
                <w:color w:val="auto"/>
              </w:rPr>
              <w:t>301-303 E Houston St (Vogue)</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451-5602</w:t>
            </w:r>
          </w:p>
        </w:tc>
        <w:tc>
          <w:tcPr>
            <w:tcW w:w="7740" w:type="dxa"/>
            <w:vAlign w:val="bottom"/>
          </w:tcPr>
          <w:p>
            <w:pPr>
              <w:spacing w:after="0"/>
              <w:rPr>
                <w:sz w:val="20"/>
                <w:szCs w:val="20"/>
                <w:color w:val="auto"/>
              </w:rPr>
            </w:pPr>
            <w:r>
              <w:rPr>
                <w:rFonts w:ascii="Arial" w:cs="Arial" w:eastAsia="Arial" w:hAnsi="Arial"/>
                <w:sz w:val="18"/>
                <w:szCs w:val="18"/>
                <w:color w:val="auto"/>
              </w:rPr>
              <w:t>225-233 E Houston St (Schaum)</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451-5603</w:t>
            </w:r>
          </w:p>
        </w:tc>
        <w:tc>
          <w:tcPr>
            <w:tcW w:w="7740" w:type="dxa"/>
            <w:vAlign w:val="bottom"/>
          </w:tcPr>
          <w:p>
            <w:pPr>
              <w:spacing w:after="0"/>
              <w:rPr>
                <w:sz w:val="20"/>
                <w:szCs w:val="20"/>
                <w:color w:val="auto"/>
              </w:rPr>
            </w:pPr>
            <w:r>
              <w:rPr>
                <w:rFonts w:ascii="Arial" w:cs="Arial" w:eastAsia="Arial" w:hAnsi="Arial"/>
                <w:sz w:val="18"/>
                <w:szCs w:val="18"/>
                <w:color w:val="auto"/>
              </w:rPr>
              <w:t>St Mary’s &amp; E Houston(W Hotel)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451-5606</w:t>
            </w:r>
          </w:p>
        </w:tc>
        <w:tc>
          <w:tcPr>
            <w:tcW w:w="7740" w:type="dxa"/>
            <w:vAlign w:val="bottom"/>
          </w:tcPr>
          <w:p>
            <w:pPr>
              <w:spacing w:after="0"/>
              <w:rPr>
                <w:sz w:val="20"/>
                <w:szCs w:val="20"/>
                <w:color w:val="auto"/>
              </w:rPr>
            </w:pPr>
            <w:r>
              <w:rPr>
                <w:rFonts w:ascii="Arial" w:cs="Arial" w:eastAsia="Arial" w:hAnsi="Arial"/>
                <w:sz w:val="18"/>
                <w:szCs w:val="18"/>
                <w:color w:val="auto"/>
              </w:rPr>
              <w:t>111 Jefferson St (Pkg Lot)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451-5607</w:t>
            </w:r>
          </w:p>
        </w:tc>
        <w:tc>
          <w:tcPr>
            <w:tcW w:w="7740" w:type="dxa"/>
            <w:vAlign w:val="bottom"/>
          </w:tcPr>
          <w:p>
            <w:pPr>
              <w:spacing w:after="0"/>
              <w:rPr>
                <w:sz w:val="20"/>
                <w:szCs w:val="20"/>
                <w:color w:val="auto"/>
              </w:rPr>
            </w:pPr>
            <w:r>
              <w:rPr>
                <w:rFonts w:ascii="Arial" w:cs="Arial" w:eastAsia="Arial" w:hAnsi="Arial"/>
                <w:sz w:val="18"/>
                <w:szCs w:val="18"/>
                <w:color w:val="auto"/>
              </w:rPr>
              <w:t>300-302 E Houston St(Walgreen)</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451-5608</w:t>
            </w:r>
          </w:p>
        </w:tc>
        <w:tc>
          <w:tcPr>
            <w:tcW w:w="7740" w:type="dxa"/>
            <w:vAlign w:val="bottom"/>
          </w:tcPr>
          <w:p>
            <w:pPr>
              <w:spacing w:after="0"/>
              <w:rPr>
                <w:sz w:val="20"/>
                <w:szCs w:val="20"/>
                <w:color w:val="auto"/>
              </w:rPr>
            </w:pPr>
            <w:r>
              <w:rPr>
                <w:rFonts w:ascii="Arial" w:cs="Arial" w:eastAsia="Arial" w:hAnsi="Arial"/>
                <w:sz w:val="18"/>
                <w:szCs w:val="18"/>
                <w:color w:val="auto"/>
              </w:rPr>
              <w:t>221-223 E Houston St(Court Bl)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451-5609</w:t>
            </w:r>
          </w:p>
        </w:tc>
        <w:tc>
          <w:tcPr>
            <w:tcW w:w="7740" w:type="dxa"/>
            <w:vAlign w:val="bottom"/>
          </w:tcPr>
          <w:p>
            <w:pPr>
              <w:spacing w:after="0"/>
              <w:rPr>
                <w:sz w:val="20"/>
                <w:szCs w:val="20"/>
                <w:color w:val="auto"/>
              </w:rPr>
            </w:pPr>
            <w:r>
              <w:rPr>
                <w:rFonts w:ascii="Arial" w:cs="Arial" w:eastAsia="Arial" w:hAnsi="Arial"/>
                <w:sz w:val="18"/>
                <w:szCs w:val="18"/>
                <w:color w:val="auto"/>
              </w:rPr>
              <w:t>219 E Houston St (Carl)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451-5610</w:t>
            </w:r>
          </w:p>
        </w:tc>
        <w:tc>
          <w:tcPr>
            <w:tcW w:w="7740" w:type="dxa"/>
            <w:vAlign w:val="bottom"/>
          </w:tcPr>
          <w:p>
            <w:pPr>
              <w:spacing w:after="0"/>
              <w:rPr>
                <w:sz w:val="20"/>
                <w:szCs w:val="20"/>
                <w:color w:val="auto"/>
              </w:rPr>
            </w:pPr>
            <w:r>
              <w:rPr>
                <w:rFonts w:ascii="Arial" w:cs="Arial" w:eastAsia="Arial" w:hAnsi="Arial"/>
                <w:sz w:val="18"/>
                <w:szCs w:val="18"/>
                <w:color w:val="auto"/>
              </w:rPr>
              <w:t>311-315 E Houston St (Kress)</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451-5611</w:t>
            </w:r>
          </w:p>
        </w:tc>
        <w:tc>
          <w:tcPr>
            <w:tcW w:w="7740" w:type="dxa"/>
            <w:vAlign w:val="bottom"/>
          </w:tcPr>
          <w:p>
            <w:pPr>
              <w:spacing w:after="0"/>
              <w:rPr>
                <w:sz w:val="20"/>
                <w:szCs w:val="20"/>
                <w:color w:val="auto"/>
              </w:rPr>
            </w:pPr>
            <w:r>
              <w:rPr>
                <w:rFonts w:ascii="Arial" w:cs="Arial" w:eastAsia="Arial" w:hAnsi="Arial"/>
                <w:sz w:val="18"/>
                <w:szCs w:val="18"/>
                <w:color w:val="auto"/>
              </w:rPr>
              <w:t>306-308 E Houston St (Stuart)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451-5612</w:t>
            </w:r>
          </w:p>
        </w:tc>
        <w:tc>
          <w:tcPr>
            <w:tcW w:w="7740" w:type="dxa"/>
            <w:vAlign w:val="bottom"/>
          </w:tcPr>
          <w:p>
            <w:pPr>
              <w:spacing w:after="0"/>
              <w:rPr>
                <w:sz w:val="20"/>
                <w:szCs w:val="20"/>
                <w:color w:val="auto"/>
              </w:rPr>
            </w:pPr>
            <w:r>
              <w:rPr>
                <w:rFonts w:ascii="Arial" w:cs="Arial" w:eastAsia="Arial" w:hAnsi="Arial"/>
                <w:sz w:val="18"/>
                <w:szCs w:val="18"/>
                <w:color w:val="auto"/>
              </w:rPr>
              <w:t>400 E Houston St (Maverick)</w:t>
            </w:r>
          </w:p>
        </w:tc>
        <w:tc>
          <w:tcPr>
            <w:tcW w:w="1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r>
    </w:tbl>
    <w:p>
      <w:pPr>
        <w:sectPr>
          <w:pgSz w:w="11900" w:h="16838" w:orient="portrait"/>
          <w:cols w:equalWidth="0" w:num="1">
            <w:col w:w="11420"/>
          </w:cols>
          <w:pgMar w:left="240" w:top="263" w:right="239" w:bottom="1440" w:gutter="0" w:footer="0" w:header="0"/>
        </w:sectPr>
      </w:pPr>
    </w:p>
    <w:bookmarkStart w:id="362" w:name="page363"/>
    <w:bookmarkEnd w:id="3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6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8"/>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7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City</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w:t>
            </w:r>
          </w:p>
        </w:tc>
      </w:tr>
      <w:tr>
        <w:trPr>
          <w:trHeight w:val="316"/>
        </w:trPr>
        <w:tc>
          <w:tcPr>
            <w:tcW w:w="1120" w:type="dxa"/>
            <w:vAlign w:val="bottom"/>
            <w:gridSpan w:val="2"/>
          </w:tcPr>
          <w:p>
            <w:pPr>
              <w:spacing w:after="0"/>
              <w:rPr>
                <w:sz w:val="20"/>
                <w:szCs w:val="20"/>
                <w:color w:val="auto"/>
              </w:rPr>
            </w:pPr>
            <w:r>
              <w:rPr>
                <w:rFonts w:ascii="Arial" w:cs="Arial" w:eastAsia="Arial" w:hAnsi="Arial"/>
                <w:sz w:val="18"/>
                <w:szCs w:val="18"/>
                <w:color w:val="auto"/>
              </w:rPr>
              <w:t>500-1010</w:t>
            </w:r>
          </w:p>
        </w:tc>
        <w:tc>
          <w:tcPr>
            <w:tcW w:w="7740" w:type="dxa"/>
            <w:vAlign w:val="bottom"/>
            <w:gridSpan w:val="2"/>
          </w:tcPr>
          <w:p>
            <w:pPr>
              <w:spacing w:after="0"/>
              <w:rPr>
                <w:sz w:val="20"/>
                <w:szCs w:val="20"/>
                <w:color w:val="auto"/>
              </w:rPr>
            </w:pPr>
            <w:r>
              <w:rPr>
                <w:rFonts w:ascii="Arial" w:cs="Arial" w:eastAsia="Arial" w:hAnsi="Arial"/>
                <w:sz w:val="18"/>
                <w:szCs w:val="18"/>
                <w:color w:val="auto"/>
              </w:rPr>
              <w:t>Bala Cynwyd Shopping Center</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Bala Cynwyd</w:t>
            </w:r>
          </w:p>
        </w:tc>
        <w:tc>
          <w:tcPr>
            <w:tcW w:w="1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500-1050</w:t>
            </w:r>
          </w:p>
        </w:tc>
        <w:tc>
          <w:tcPr>
            <w:tcW w:w="7740" w:type="dxa"/>
            <w:vAlign w:val="bottom"/>
            <w:gridSpan w:val="2"/>
          </w:tcPr>
          <w:p>
            <w:pPr>
              <w:spacing w:after="0"/>
              <w:rPr>
                <w:sz w:val="20"/>
                <w:szCs w:val="20"/>
                <w:color w:val="auto"/>
              </w:rPr>
            </w:pPr>
            <w:r>
              <w:rPr>
                <w:rFonts w:ascii="Arial" w:cs="Arial" w:eastAsia="Arial" w:hAnsi="Arial"/>
                <w:sz w:val="18"/>
                <w:szCs w:val="18"/>
                <w:color w:val="auto"/>
              </w:rPr>
              <w:t>Bristol Plaza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Bristol</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500-1090</w:t>
            </w:r>
          </w:p>
        </w:tc>
        <w:tc>
          <w:tcPr>
            <w:tcW w:w="7740" w:type="dxa"/>
            <w:vAlign w:val="bottom"/>
            <w:gridSpan w:val="2"/>
          </w:tcPr>
          <w:p>
            <w:pPr>
              <w:spacing w:after="0"/>
              <w:rPr>
                <w:sz w:val="20"/>
                <w:szCs w:val="20"/>
                <w:color w:val="auto"/>
              </w:rPr>
            </w:pPr>
            <w:r>
              <w:rPr>
                <w:rFonts w:ascii="Arial" w:cs="Arial" w:eastAsia="Arial" w:hAnsi="Arial"/>
                <w:sz w:val="18"/>
                <w:szCs w:val="18"/>
                <w:color w:val="auto"/>
              </w:rPr>
              <w:t>Crossroads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Highland Park</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500-1097</w:t>
            </w:r>
          </w:p>
        </w:tc>
        <w:tc>
          <w:tcPr>
            <w:tcW w:w="7740" w:type="dxa"/>
            <w:vAlign w:val="bottom"/>
            <w:gridSpan w:val="2"/>
          </w:tcPr>
          <w:p>
            <w:pPr>
              <w:spacing w:after="0"/>
              <w:rPr>
                <w:sz w:val="20"/>
                <w:szCs w:val="20"/>
                <w:color w:val="auto"/>
              </w:rPr>
            </w:pPr>
            <w:r>
              <w:rPr>
                <w:rFonts w:ascii="Arial" w:cs="Arial" w:eastAsia="Arial" w:hAnsi="Arial"/>
                <w:sz w:val="18"/>
                <w:szCs w:val="18"/>
                <w:color w:val="auto"/>
              </w:rPr>
              <w:t>Crow Canyon Crest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Ramon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500-1125</w:t>
            </w:r>
          </w:p>
        </w:tc>
        <w:tc>
          <w:tcPr>
            <w:tcW w:w="7740" w:type="dxa"/>
            <w:vAlign w:val="bottom"/>
            <w:gridSpan w:val="2"/>
          </w:tcPr>
          <w:p>
            <w:pPr>
              <w:spacing w:after="0"/>
              <w:rPr>
                <w:sz w:val="20"/>
                <w:szCs w:val="20"/>
                <w:color w:val="auto"/>
              </w:rPr>
            </w:pPr>
            <w:r>
              <w:rPr>
                <w:rFonts w:ascii="Arial" w:cs="Arial" w:eastAsia="Arial" w:hAnsi="Arial"/>
                <w:sz w:val="18"/>
                <w:szCs w:val="18"/>
                <w:color w:val="auto"/>
              </w:rPr>
              <w:t>Dedham Plaza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Dedham</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500-1160</w:t>
            </w:r>
          </w:p>
        </w:tc>
        <w:tc>
          <w:tcPr>
            <w:tcW w:w="7740" w:type="dxa"/>
            <w:vAlign w:val="bottom"/>
            <w:gridSpan w:val="2"/>
          </w:tcPr>
          <w:p>
            <w:pPr>
              <w:spacing w:after="0"/>
              <w:rPr>
                <w:sz w:val="20"/>
                <w:szCs w:val="20"/>
                <w:color w:val="auto"/>
              </w:rPr>
            </w:pPr>
            <w:r>
              <w:rPr>
                <w:rFonts w:ascii="Arial" w:cs="Arial" w:eastAsia="Arial" w:hAnsi="Arial"/>
                <w:sz w:val="18"/>
                <w:szCs w:val="18"/>
                <w:color w:val="auto"/>
              </w:rPr>
              <w:t>Eastgate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Chapel Hill</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9"/>
              </w:rPr>
              <w:t>NC</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500-1180</w:t>
            </w:r>
          </w:p>
        </w:tc>
        <w:tc>
          <w:tcPr>
            <w:tcW w:w="7740" w:type="dxa"/>
            <w:vAlign w:val="bottom"/>
            <w:gridSpan w:val="2"/>
          </w:tcPr>
          <w:p>
            <w:pPr>
              <w:spacing w:after="0"/>
              <w:rPr>
                <w:sz w:val="20"/>
                <w:szCs w:val="20"/>
                <w:color w:val="auto"/>
              </w:rPr>
            </w:pPr>
            <w:r>
              <w:rPr>
                <w:rFonts w:ascii="Arial" w:cs="Arial" w:eastAsia="Arial" w:hAnsi="Arial"/>
                <w:sz w:val="18"/>
                <w:szCs w:val="18"/>
                <w:color w:val="auto"/>
              </w:rPr>
              <w:t>Ellisburg Circle Shopping Ctr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Cherry Hill</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500-1200</w:t>
            </w:r>
          </w:p>
        </w:tc>
        <w:tc>
          <w:tcPr>
            <w:tcW w:w="7740" w:type="dxa"/>
            <w:vAlign w:val="bottom"/>
            <w:gridSpan w:val="2"/>
          </w:tcPr>
          <w:p>
            <w:pPr>
              <w:spacing w:after="0"/>
              <w:rPr>
                <w:sz w:val="20"/>
                <w:szCs w:val="20"/>
                <w:color w:val="auto"/>
              </w:rPr>
            </w:pPr>
            <w:r>
              <w:rPr>
                <w:rFonts w:ascii="Arial" w:cs="Arial" w:eastAsia="Arial" w:hAnsi="Arial"/>
                <w:sz w:val="18"/>
                <w:szCs w:val="18"/>
                <w:color w:val="auto"/>
              </w:rPr>
              <w:t>Falls Plaza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Falls Church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500-1201</w:t>
            </w:r>
          </w:p>
        </w:tc>
        <w:tc>
          <w:tcPr>
            <w:tcW w:w="7740" w:type="dxa"/>
            <w:vAlign w:val="bottom"/>
            <w:gridSpan w:val="2"/>
          </w:tcPr>
          <w:p>
            <w:pPr>
              <w:spacing w:after="0"/>
              <w:rPr>
                <w:sz w:val="20"/>
                <w:szCs w:val="20"/>
                <w:color w:val="auto"/>
              </w:rPr>
            </w:pPr>
            <w:r>
              <w:rPr>
                <w:rFonts w:ascii="Arial" w:cs="Arial" w:eastAsia="Arial" w:hAnsi="Arial"/>
                <w:sz w:val="18"/>
                <w:szCs w:val="18"/>
                <w:color w:val="auto"/>
              </w:rPr>
              <w:t>Feasterville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Feasterville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500-1202</w:t>
            </w:r>
          </w:p>
        </w:tc>
        <w:tc>
          <w:tcPr>
            <w:tcW w:w="7740" w:type="dxa"/>
            <w:vAlign w:val="bottom"/>
            <w:gridSpan w:val="2"/>
          </w:tcPr>
          <w:p>
            <w:pPr>
              <w:spacing w:after="0"/>
              <w:rPr>
                <w:sz w:val="20"/>
                <w:szCs w:val="20"/>
                <w:color w:val="auto"/>
              </w:rPr>
            </w:pPr>
            <w:r>
              <w:rPr>
                <w:rFonts w:ascii="Arial" w:cs="Arial" w:eastAsia="Arial" w:hAnsi="Arial"/>
                <w:sz w:val="18"/>
                <w:szCs w:val="18"/>
                <w:color w:val="auto"/>
              </w:rPr>
              <w:t>Flourtown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Flourtown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500-1217</w:t>
            </w:r>
          </w:p>
        </w:tc>
        <w:tc>
          <w:tcPr>
            <w:tcW w:w="7740" w:type="dxa"/>
            <w:vAlign w:val="bottom"/>
            <w:gridSpan w:val="2"/>
          </w:tcPr>
          <w:p>
            <w:pPr>
              <w:spacing w:after="0"/>
              <w:rPr>
                <w:sz w:val="20"/>
                <w:szCs w:val="20"/>
                <w:color w:val="auto"/>
              </w:rPr>
            </w:pPr>
            <w:r>
              <w:rPr>
                <w:rFonts w:ascii="Arial" w:cs="Arial" w:eastAsia="Arial" w:hAnsi="Arial"/>
                <w:sz w:val="18"/>
                <w:szCs w:val="18"/>
                <w:color w:val="auto"/>
              </w:rPr>
              <w:t>Finley Square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Downers Grove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500-1220</w:t>
            </w:r>
          </w:p>
        </w:tc>
        <w:tc>
          <w:tcPr>
            <w:tcW w:w="7740" w:type="dxa"/>
            <w:vAlign w:val="bottom"/>
            <w:gridSpan w:val="2"/>
          </w:tcPr>
          <w:p>
            <w:pPr>
              <w:spacing w:after="0"/>
              <w:rPr>
                <w:sz w:val="20"/>
                <w:szCs w:val="20"/>
                <w:color w:val="auto"/>
              </w:rPr>
            </w:pPr>
            <w:r>
              <w:rPr>
                <w:rFonts w:ascii="Arial" w:cs="Arial" w:eastAsia="Arial" w:hAnsi="Arial"/>
                <w:sz w:val="18"/>
                <w:szCs w:val="18"/>
                <w:color w:val="auto"/>
              </w:rPr>
              <w:t>Gratiot Plaza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Rosevile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MI</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500-1235</w:t>
            </w:r>
          </w:p>
        </w:tc>
        <w:tc>
          <w:tcPr>
            <w:tcW w:w="7740" w:type="dxa"/>
            <w:vAlign w:val="bottom"/>
            <w:gridSpan w:val="2"/>
          </w:tcPr>
          <w:p>
            <w:pPr>
              <w:spacing w:after="0"/>
              <w:rPr>
                <w:sz w:val="20"/>
                <w:szCs w:val="20"/>
                <w:color w:val="auto"/>
              </w:rPr>
            </w:pPr>
            <w:r>
              <w:rPr>
                <w:rFonts w:ascii="Arial" w:cs="Arial" w:eastAsia="Arial" w:hAnsi="Arial"/>
                <w:sz w:val="18"/>
                <w:szCs w:val="18"/>
                <w:color w:val="auto"/>
              </w:rPr>
              <w:t>Gaithersburg Square S C</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Gaithersburg</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500-1236</w:t>
            </w:r>
          </w:p>
        </w:tc>
        <w:tc>
          <w:tcPr>
            <w:tcW w:w="7740" w:type="dxa"/>
            <w:vAlign w:val="bottom"/>
            <w:gridSpan w:val="2"/>
          </w:tcPr>
          <w:p>
            <w:pPr>
              <w:spacing w:after="0"/>
              <w:rPr>
                <w:sz w:val="20"/>
                <w:szCs w:val="20"/>
                <w:color w:val="auto"/>
              </w:rPr>
            </w:pPr>
            <w:r>
              <w:rPr>
                <w:rFonts w:ascii="Arial" w:cs="Arial" w:eastAsia="Arial" w:hAnsi="Arial"/>
                <w:sz w:val="18"/>
                <w:szCs w:val="18"/>
                <w:color w:val="auto"/>
              </w:rPr>
              <w:t>Gaithersburg Square Office Bld</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Gaithersburg</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500-1245</w:t>
            </w:r>
          </w:p>
        </w:tc>
        <w:tc>
          <w:tcPr>
            <w:tcW w:w="7740" w:type="dxa"/>
            <w:vAlign w:val="bottom"/>
            <w:gridSpan w:val="2"/>
          </w:tcPr>
          <w:p>
            <w:pPr>
              <w:spacing w:after="0"/>
              <w:rPr>
                <w:sz w:val="20"/>
                <w:szCs w:val="20"/>
                <w:color w:val="auto"/>
              </w:rPr>
            </w:pPr>
            <w:r>
              <w:rPr>
                <w:rFonts w:ascii="Arial" w:cs="Arial" w:eastAsia="Arial" w:hAnsi="Arial"/>
                <w:sz w:val="18"/>
                <w:szCs w:val="18"/>
                <w:color w:val="auto"/>
              </w:rPr>
              <w:t>Garden Market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Western Springs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500-1315</w:t>
            </w:r>
          </w:p>
        </w:tc>
        <w:tc>
          <w:tcPr>
            <w:tcW w:w="7740" w:type="dxa"/>
            <w:vAlign w:val="bottom"/>
            <w:gridSpan w:val="2"/>
          </w:tcPr>
          <w:p>
            <w:pPr>
              <w:spacing w:after="0"/>
              <w:rPr>
                <w:sz w:val="20"/>
                <w:szCs w:val="20"/>
                <w:color w:val="auto"/>
              </w:rPr>
            </w:pPr>
            <w:r>
              <w:rPr>
                <w:rFonts w:ascii="Arial" w:cs="Arial" w:eastAsia="Arial" w:hAnsi="Arial"/>
                <w:sz w:val="18"/>
                <w:szCs w:val="18"/>
                <w:color w:val="auto"/>
              </w:rPr>
              <w:t>Idylwood Plaza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Falls Church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500-1326</w:t>
            </w:r>
          </w:p>
        </w:tc>
        <w:tc>
          <w:tcPr>
            <w:tcW w:w="7740" w:type="dxa"/>
            <w:vAlign w:val="bottom"/>
            <w:gridSpan w:val="2"/>
          </w:tcPr>
          <w:p>
            <w:pPr>
              <w:spacing w:after="0"/>
              <w:rPr>
                <w:sz w:val="20"/>
                <w:szCs w:val="20"/>
                <w:color w:val="auto"/>
              </w:rPr>
            </w:pPr>
            <w:r>
              <w:rPr>
                <w:rFonts w:ascii="Arial" w:cs="Arial" w:eastAsia="Arial" w:hAnsi="Arial"/>
                <w:sz w:val="18"/>
                <w:szCs w:val="18"/>
                <w:color w:val="auto"/>
              </w:rPr>
              <w:t>Huntington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Huntington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500-1440</w:t>
            </w:r>
          </w:p>
        </w:tc>
        <w:tc>
          <w:tcPr>
            <w:tcW w:w="7740" w:type="dxa"/>
            <w:vAlign w:val="bottom"/>
            <w:gridSpan w:val="2"/>
          </w:tcPr>
          <w:p>
            <w:pPr>
              <w:spacing w:after="0"/>
              <w:rPr>
                <w:sz w:val="20"/>
                <w:szCs w:val="20"/>
                <w:color w:val="auto"/>
              </w:rPr>
            </w:pPr>
            <w:r>
              <w:rPr>
                <w:rFonts w:ascii="Arial" w:cs="Arial" w:eastAsia="Arial" w:hAnsi="Arial"/>
                <w:sz w:val="18"/>
                <w:szCs w:val="18"/>
                <w:color w:val="auto"/>
              </w:rPr>
              <w:t>Lancaster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Lancaster</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500-1441</w:t>
            </w:r>
          </w:p>
        </w:tc>
        <w:tc>
          <w:tcPr>
            <w:tcW w:w="7740" w:type="dxa"/>
            <w:vAlign w:val="bottom"/>
            <w:gridSpan w:val="2"/>
          </w:tcPr>
          <w:p>
            <w:pPr>
              <w:spacing w:after="0"/>
              <w:rPr>
                <w:sz w:val="20"/>
                <w:szCs w:val="20"/>
                <w:color w:val="auto"/>
              </w:rPr>
            </w:pPr>
            <w:r>
              <w:rPr>
                <w:rFonts w:ascii="Arial" w:cs="Arial" w:eastAsia="Arial" w:hAnsi="Arial"/>
                <w:sz w:val="18"/>
                <w:szCs w:val="18"/>
                <w:color w:val="auto"/>
              </w:rPr>
              <w:t>Langhorne Square S C</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Levitttown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500-1443</w:t>
            </w:r>
          </w:p>
        </w:tc>
        <w:tc>
          <w:tcPr>
            <w:tcW w:w="7740" w:type="dxa"/>
            <w:vAlign w:val="bottom"/>
            <w:gridSpan w:val="2"/>
          </w:tcPr>
          <w:p>
            <w:pPr>
              <w:spacing w:after="0"/>
              <w:rPr>
                <w:sz w:val="20"/>
                <w:szCs w:val="20"/>
                <w:color w:val="auto"/>
              </w:rPr>
            </w:pPr>
            <w:r>
              <w:rPr>
                <w:rFonts w:ascii="Arial" w:cs="Arial" w:eastAsia="Arial" w:hAnsi="Arial"/>
                <w:sz w:val="18"/>
                <w:szCs w:val="18"/>
                <w:color w:val="auto"/>
              </w:rPr>
              <w:t>Laurel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Laurel</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500-1475</w:t>
            </w:r>
          </w:p>
        </w:tc>
        <w:tc>
          <w:tcPr>
            <w:tcW w:w="7740" w:type="dxa"/>
            <w:vAlign w:val="bottom"/>
            <w:gridSpan w:val="2"/>
          </w:tcPr>
          <w:p>
            <w:pPr>
              <w:spacing w:after="0"/>
              <w:rPr>
                <w:sz w:val="20"/>
                <w:szCs w:val="20"/>
                <w:color w:val="auto"/>
              </w:rPr>
            </w:pPr>
            <w:r>
              <w:rPr>
                <w:rFonts w:ascii="Arial" w:cs="Arial" w:eastAsia="Arial" w:hAnsi="Arial"/>
                <w:sz w:val="18"/>
                <w:szCs w:val="18"/>
                <w:color w:val="auto"/>
              </w:rPr>
              <w:t>Mercer Mall</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Trenton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500-1476</w:t>
            </w:r>
          </w:p>
        </w:tc>
        <w:tc>
          <w:tcPr>
            <w:tcW w:w="7740" w:type="dxa"/>
            <w:vAlign w:val="bottom"/>
            <w:gridSpan w:val="2"/>
          </w:tcPr>
          <w:p>
            <w:pPr>
              <w:spacing w:after="0"/>
              <w:rPr>
                <w:sz w:val="20"/>
                <w:szCs w:val="20"/>
                <w:color w:val="auto"/>
              </w:rPr>
            </w:pPr>
            <w:r>
              <w:rPr>
                <w:rFonts w:ascii="Arial" w:cs="Arial" w:eastAsia="Arial" w:hAnsi="Arial"/>
                <w:sz w:val="18"/>
                <w:szCs w:val="18"/>
                <w:color w:val="auto"/>
              </w:rPr>
              <w:t>Mercer Mall-Loupinski/Moore</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Trenton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500-1480</w:t>
            </w:r>
          </w:p>
        </w:tc>
        <w:tc>
          <w:tcPr>
            <w:tcW w:w="7740" w:type="dxa"/>
            <w:vAlign w:val="bottom"/>
            <w:gridSpan w:val="2"/>
          </w:tcPr>
          <w:p>
            <w:pPr>
              <w:spacing w:after="0"/>
              <w:rPr>
                <w:sz w:val="20"/>
                <w:szCs w:val="20"/>
                <w:color w:val="auto"/>
              </w:rPr>
            </w:pPr>
            <w:r>
              <w:rPr>
                <w:rFonts w:ascii="Arial" w:cs="Arial" w:eastAsia="Arial" w:hAnsi="Arial"/>
                <w:sz w:val="18"/>
                <w:szCs w:val="18"/>
                <w:color w:val="auto"/>
              </w:rPr>
              <w:t>Mid-Pike Plaza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Rockville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500-1500</w:t>
            </w:r>
          </w:p>
        </w:tc>
        <w:tc>
          <w:tcPr>
            <w:tcW w:w="7740" w:type="dxa"/>
            <w:vAlign w:val="bottom"/>
            <w:gridSpan w:val="2"/>
          </w:tcPr>
          <w:p>
            <w:pPr>
              <w:spacing w:after="0"/>
              <w:rPr>
                <w:sz w:val="20"/>
                <w:szCs w:val="20"/>
                <w:color w:val="auto"/>
              </w:rPr>
            </w:pPr>
            <w:r>
              <w:rPr>
                <w:rFonts w:ascii="Arial" w:cs="Arial" w:eastAsia="Arial" w:hAnsi="Arial"/>
                <w:sz w:val="18"/>
                <w:szCs w:val="18"/>
                <w:color w:val="auto"/>
              </w:rPr>
              <w:t>Town Center of New Britain</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New Britain</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500-1520</w:t>
            </w:r>
          </w:p>
        </w:tc>
        <w:tc>
          <w:tcPr>
            <w:tcW w:w="7740" w:type="dxa"/>
            <w:vAlign w:val="bottom"/>
            <w:gridSpan w:val="2"/>
          </w:tcPr>
          <w:p>
            <w:pPr>
              <w:spacing w:after="0"/>
              <w:rPr>
                <w:sz w:val="20"/>
                <w:szCs w:val="20"/>
                <w:color w:val="auto"/>
              </w:rPr>
            </w:pPr>
            <w:r>
              <w:rPr>
                <w:rFonts w:ascii="Arial" w:cs="Arial" w:eastAsia="Arial" w:hAnsi="Arial"/>
                <w:sz w:val="18"/>
                <w:szCs w:val="18"/>
                <w:color w:val="auto"/>
              </w:rPr>
              <w:t>Northeast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Philadelphia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500-1525</w:t>
            </w:r>
          </w:p>
        </w:tc>
        <w:tc>
          <w:tcPr>
            <w:tcW w:w="7740" w:type="dxa"/>
            <w:vAlign w:val="bottom"/>
            <w:gridSpan w:val="2"/>
          </w:tcPr>
          <w:p>
            <w:pPr>
              <w:spacing w:after="0"/>
              <w:rPr>
                <w:sz w:val="20"/>
                <w:szCs w:val="20"/>
                <w:color w:val="auto"/>
              </w:rPr>
            </w:pPr>
            <w:r>
              <w:rPr>
                <w:rFonts w:ascii="Arial" w:cs="Arial" w:eastAsia="Arial" w:hAnsi="Arial"/>
                <w:sz w:val="18"/>
                <w:szCs w:val="18"/>
                <w:color w:val="auto"/>
              </w:rPr>
              <w:t>North Lake Commons</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Lake Zurich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500-1560</w:t>
            </w:r>
          </w:p>
        </w:tc>
        <w:tc>
          <w:tcPr>
            <w:tcW w:w="7740" w:type="dxa"/>
            <w:vAlign w:val="bottom"/>
            <w:gridSpan w:val="2"/>
          </w:tcPr>
          <w:p>
            <w:pPr>
              <w:spacing w:after="0"/>
              <w:rPr>
                <w:sz w:val="20"/>
                <w:szCs w:val="20"/>
                <w:color w:val="auto"/>
              </w:rPr>
            </w:pPr>
            <w:r>
              <w:rPr>
                <w:rFonts w:ascii="Arial" w:cs="Arial" w:eastAsia="Arial" w:hAnsi="Arial"/>
                <w:sz w:val="18"/>
                <w:szCs w:val="18"/>
                <w:color w:val="auto"/>
              </w:rPr>
              <w:t>Old Keene Mill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Springfield</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500-1580</w:t>
            </w:r>
          </w:p>
        </w:tc>
        <w:tc>
          <w:tcPr>
            <w:tcW w:w="7740" w:type="dxa"/>
            <w:vAlign w:val="bottom"/>
            <w:gridSpan w:val="2"/>
          </w:tcPr>
          <w:p>
            <w:pPr>
              <w:spacing w:after="0"/>
              <w:rPr>
                <w:sz w:val="20"/>
                <w:szCs w:val="20"/>
                <w:color w:val="auto"/>
              </w:rPr>
            </w:pPr>
            <w:r>
              <w:rPr>
                <w:rFonts w:ascii="Arial" w:cs="Arial" w:eastAsia="Arial" w:hAnsi="Arial"/>
                <w:sz w:val="18"/>
                <w:szCs w:val="18"/>
                <w:color w:val="auto"/>
              </w:rPr>
              <w:t>Pan Am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Fairfax</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500-1610</w:t>
            </w:r>
          </w:p>
        </w:tc>
        <w:tc>
          <w:tcPr>
            <w:tcW w:w="7740" w:type="dxa"/>
            <w:vAlign w:val="bottom"/>
            <w:gridSpan w:val="2"/>
          </w:tcPr>
          <w:p>
            <w:pPr>
              <w:spacing w:after="0"/>
              <w:rPr>
                <w:sz w:val="20"/>
                <w:szCs w:val="20"/>
                <w:color w:val="auto"/>
              </w:rPr>
            </w:pPr>
            <w:r>
              <w:rPr>
                <w:rFonts w:ascii="Arial" w:cs="Arial" w:eastAsia="Arial" w:hAnsi="Arial"/>
                <w:sz w:val="18"/>
                <w:szCs w:val="18"/>
                <w:color w:val="auto"/>
              </w:rPr>
              <w:t>Queen Anne Plaza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Norwell</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500-1625</w:t>
            </w:r>
          </w:p>
        </w:tc>
        <w:tc>
          <w:tcPr>
            <w:tcW w:w="7740" w:type="dxa"/>
            <w:vAlign w:val="bottom"/>
            <w:gridSpan w:val="2"/>
          </w:tcPr>
          <w:p>
            <w:pPr>
              <w:spacing w:after="0"/>
              <w:rPr>
                <w:sz w:val="20"/>
                <w:szCs w:val="20"/>
                <w:color w:val="auto"/>
              </w:rPr>
            </w:pPr>
            <w:r>
              <w:rPr>
                <w:rFonts w:ascii="Arial" w:cs="Arial" w:eastAsia="Arial" w:hAnsi="Arial"/>
                <w:sz w:val="18"/>
                <w:szCs w:val="18"/>
                <w:color w:val="auto"/>
              </w:rPr>
              <w:t>Quince Orchard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Gaithersburg</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500-1626</w:t>
            </w:r>
          </w:p>
        </w:tc>
        <w:tc>
          <w:tcPr>
            <w:tcW w:w="7740" w:type="dxa"/>
            <w:vAlign w:val="bottom"/>
            <w:gridSpan w:val="2"/>
          </w:tcPr>
          <w:p>
            <w:pPr>
              <w:spacing w:after="0"/>
              <w:rPr>
                <w:sz w:val="20"/>
                <w:szCs w:val="20"/>
                <w:color w:val="auto"/>
              </w:rPr>
            </w:pPr>
            <w:r>
              <w:rPr>
                <w:rFonts w:ascii="Arial" w:cs="Arial" w:eastAsia="Arial" w:hAnsi="Arial"/>
                <w:sz w:val="18"/>
                <w:szCs w:val="18"/>
                <w:color w:val="auto"/>
              </w:rPr>
              <w:t>Quince Orchard Office Building</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Gaithersburg</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500-1627</w:t>
            </w:r>
          </w:p>
        </w:tc>
        <w:tc>
          <w:tcPr>
            <w:tcW w:w="7740" w:type="dxa"/>
            <w:vAlign w:val="bottom"/>
            <w:gridSpan w:val="2"/>
          </w:tcPr>
          <w:p>
            <w:pPr>
              <w:spacing w:after="0"/>
              <w:rPr>
                <w:sz w:val="20"/>
                <w:szCs w:val="20"/>
                <w:color w:val="auto"/>
              </w:rPr>
            </w:pPr>
            <w:r>
              <w:rPr>
                <w:rFonts w:ascii="Arial" w:cs="Arial" w:eastAsia="Arial" w:hAnsi="Arial"/>
                <w:sz w:val="18"/>
                <w:szCs w:val="18"/>
                <w:color w:val="auto"/>
              </w:rPr>
              <w:t>7770 Richmond Highway</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Alexandria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500-1700</w:t>
            </w:r>
          </w:p>
        </w:tc>
        <w:tc>
          <w:tcPr>
            <w:tcW w:w="7740" w:type="dxa"/>
            <w:vAlign w:val="bottom"/>
            <w:gridSpan w:val="2"/>
          </w:tcPr>
          <w:p>
            <w:pPr>
              <w:spacing w:after="0"/>
              <w:rPr>
                <w:sz w:val="20"/>
                <w:szCs w:val="20"/>
                <w:color w:val="auto"/>
              </w:rPr>
            </w:pPr>
            <w:r>
              <w:rPr>
                <w:rFonts w:ascii="Arial" w:cs="Arial" w:eastAsia="Arial" w:hAnsi="Arial"/>
                <w:sz w:val="18"/>
                <w:szCs w:val="18"/>
                <w:color w:val="auto"/>
              </w:rPr>
              <w:t>Saugus Plaza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Saugus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500-1750</w:t>
            </w:r>
          </w:p>
        </w:tc>
        <w:tc>
          <w:tcPr>
            <w:tcW w:w="7740" w:type="dxa"/>
            <w:vAlign w:val="bottom"/>
            <w:gridSpan w:val="2"/>
          </w:tcPr>
          <w:p>
            <w:pPr>
              <w:spacing w:after="0"/>
              <w:rPr>
                <w:sz w:val="20"/>
                <w:szCs w:val="20"/>
                <w:color w:val="auto"/>
              </w:rPr>
            </w:pPr>
            <w:r>
              <w:rPr>
                <w:rFonts w:ascii="Arial" w:cs="Arial" w:eastAsia="Arial" w:hAnsi="Arial"/>
                <w:sz w:val="18"/>
                <w:szCs w:val="18"/>
                <w:color w:val="auto"/>
              </w:rPr>
              <w:t>Tower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Springfield</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500-1761</w:t>
            </w:r>
          </w:p>
        </w:tc>
        <w:tc>
          <w:tcPr>
            <w:tcW w:w="7740" w:type="dxa"/>
            <w:vAlign w:val="bottom"/>
            <w:gridSpan w:val="2"/>
          </w:tcPr>
          <w:p>
            <w:pPr>
              <w:spacing w:after="0"/>
              <w:rPr>
                <w:sz w:val="20"/>
                <w:szCs w:val="20"/>
                <w:color w:val="auto"/>
              </w:rPr>
            </w:pPr>
            <w:r>
              <w:rPr>
                <w:rFonts w:ascii="Arial" w:cs="Arial" w:eastAsia="Arial" w:hAnsi="Arial"/>
                <w:sz w:val="18"/>
                <w:szCs w:val="18"/>
                <w:color w:val="auto"/>
              </w:rPr>
              <w:t>Troy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Parsippany-Troy</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500-1880</w:t>
            </w:r>
          </w:p>
        </w:tc>
        <w:tc>
          <w:tcPr>
            <w:tcW w:w="7740" w:type="dxa"/>
            <w:vAlign w:val="bottom"/>
            <w:gridSpan w:val="2"/>
          </w:tcPr>
          <w:p>
            <w:pPr>
              <w:spacing w:after="0"/>
              <w:rPr>
                <w:sz w:val="20"/>
                <w:szCs w:val="20"/>
                <w:color w:val="auto"/>
              </w:rPr>
            </w:pPr>
            <w:r>
              <w:rPr>
                <w:rFonts w:ascii="Arial" w:cs="Arial" w:eastAsia="Arial" w:hAnsi="Arial"/>
                <w:sz w:val="18"/>
                <w:szCs w:val="18"/>
                <w:color w:val="auto"/>
              </w:rPr>
              <w:t>Falls Plaza - East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Falls Church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500-1883</w:t>
            </w:r>
          </w:p>
        </w:tc>
        <w:tc>
          <w:tcPr>
            <w:tcW w:w="7740" w:type="dxa"/>
            <w:vAlign w:val="bottom"/>
            <w:gridSpan w:val="2"/>
          </w:tcPr>
          <w:p>
            <w:pPr>
              <w:spacing w:after="0"/>
              <w:rPr>
                <w:sz w:val="20"/>
                <w:szCs w:val="20"/>
                <w:color w:val="auto"/>
              </w:rPr>
            </w:pPr>
            <w:r>
              <w:rPr>
                <w:rFonts w:ascii="Arial" w:cs="Arial" w:eastAsia="Arial" w:hAnsi="Arial"/>
                <w:sz w:val="18"/>
                <w:szCs w:val="18"/>
                <w:color w:val="auto"/>
              </w:rPr>
              <w:t>The Shops at Willow Lawn</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Richmond</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500-1889</w:t>
            </w:r>
          </w:p>
        </w:tc>
        <w:tc>
          <w:tcPr>
            <w:tcW w:w="7740" w:type="dxa"/>
            <w:vAlign w:val="bottom"/>
            <w:gridSpan w:val="2"/>
          </w:tcPr>
          <w:p>
            <w:pPr>
              <w:spacing w:after="0"/>
              <w:rPr>
                <w:sz w:val="20"/>
                <w:szCs w:val="20"/>
                <w:color w:val="auto"/>
              </w:rPr>
            </w:pPr>
            <w:r>
              <w:rPr>
                <w:rFonts w:ascii="Arial" w:cs="Arial" w:eastAsia="Arial" w:hAnsi="Arial"/>
                <w:sz w:val="18"/>
                <w:szCs w:val="18"/>
                <w:color w:val="auto"/>
              </w:rPr>
              <w:t>Willow Grove Shopping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Willow Grove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400-1910</w:t>
            </w:r>
          </w:p>
        </w:tc>
        <w:tc>
          <w:tcPr>
            <w:tcW w:w="7740" w:type="dxa"/>
            <w:vAlign w:val="bottom"/>
            <w:gridSpan w:val="2"/>
          </w:tcPr>
          <w:p>
            <w:pPr>
              <w:spacing w:after="0"/>
              <w:rPr>
                <w:sz w:val="20"/>
                <w:szCs w:val="20"/>
                <w:color w:val="auto"/>
              </w:rPr>
            </w:pPr>
            <w:r>
              <w:rPr>
                <w:rFonts w:ascii="Arial" w:cs="Arial" w:eastAsia="Arial" w:hAnsi="Arial"/>
                <w:sz w:val="18"/>
                <w:szCs w:val="18"/>
                <w:color w:val="auto"/>
              </w:rPr>
              <w:t>Rockville Town Square</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Rockville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500-1911</w:t>
            </w:r>
          </w:p>
        </w:tc>
        <w:tc>
          <w:tcPr>
            <w:tcW w:w="7740" w:type="dxa"/>
            <w:vAlign w:val="bottom"/>
            <w:gridSpan w:val="2"/>
          </w:tcPr>
          <w:p>
            <w:pPr>
              <w:spacing w:after="0"/>
              <w:rPr>
                <w:sz w:val="20"/>
                <w:szCs w:val="20"/>
                <w:color w:val="auto"/>
              </w:rPr>
            </w:pPr>
            <w:r>
              <w:rPr>
                <w:rFonts w:ascii="Arial" w:cs="Arial" w:eastAsia="Arial" w:hAnsi="Arial"/>
                <w:sz w:val="18"/>
                <w:szCs w:val="18"/>
                <w:color w:val="auto"/>
              </w:rPr>
              <w:t>Rockville Town Square 2</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Rockville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500-2060</w:t>
            </w:r>
          </w:p>
        </w:tc>
        <w:tc>
          <w:tcPr>
            <w:tcW w:w="7740" w:type="dxa"/>
            <w:vAlign w:val="bottom"/>
            <w:gridSpan w:val="2"/>
          </w:tcPr>
          <w:p>
            <w:pPr>
              <w:spacing w:after="0"/>
              <w:rPr>
                <w:sz w:val="20"/>
                <w:szCs w:val="20"/>
                <w:color w:val="auto"/>
              </w:rPr>
            </w:pPr>
            <w:r>
              <w:rPr>
                <w:rFonts w:ascii="Arial" w:cs="Arial" w:eastAsia="Arial" w:hAnsi="Arial"/>
                <w:sz w:val="18"/>
                <w:szCs w:val="18"/>
                <w:color w:val="auto"/>
              </w:rPr>
              <w:t>Rollingwood Apartments</w:t>
            </w:r>
          </w:p>
        </w:tc>
        <w:tc>
          <w:tcPr>
            <w:tcW w:w="1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Silver Spring</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86"/>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Controlled Properties</w:t>
            </w: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8"/>
        </w:trPr>
        <w:tc>
          <w:tcPr>
            <w:tcW w:w="1120" w:type="dxa"/>
            <w:vAlign w:val="bottom"/>
            <w:gridSpan w:val="2"/>
          </w:tcPr>
          <w:p>
            <w:pPr>
              <w:spacing w:after="0"/>
              <w:rPr>
                <w:sz w:val="20"/>
                <w:szCs w:val="20"/>
                <w:color w:val="auto"/>
              </w:rPr>
            </w:pPr>
            <w:r>
              <w:rPr>
                <w:rFonts w:ascii="Arial" w:cs="Arial" w:eastAsia="Arial" w:hAnsi="Arial"/>
                <w:sz w:val="18"/>
                <w:szCs w:val="18"/>
                <w:color w:val="auto"/>
              </w:rPr>
              <w:t>110-1605</w:t>
            </w:r>
          </w:p>
        </w:tc>
        <w:tc>
          <w:tcPr>
            <w:tcW w:w="7740" w:type="dxa"/>
            <w:vAlign w:val="bottom"/>
            <w:gridSpan w:val="2"/>
          </w:tcPr>
          <w:p>
            <w:pPr>
              <w:spacing w:after="0"/>
              <w:rPr>
                <w:sz w:val="20"/>
                <w:szCs w:val="20"/>
                <w:color w:val="auto"/>
              </w:rPr>
            </w:pPr>
            <w:r>
              <w:rPr>
                <w:rFonts w:ascii="Arial" w:cs="Arial" w:eastAsia="Arial" w:hAnsi="Arial"/>
                <w:sz w:val="18"/>
                <w:szCs w:val="18"/>
                <w:color w:val="auto"/>
              </w:rPr>
              <w:t>Pike 7</w:t>
            </w:r>
          </w:p>
        </w:tc>
        <w:tc>
          <w:tcPr>
            <w:tcW w:w="1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Vienna</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490-1085</w:t>
            </w:r>
          </w:p>
        </w:tc>
        <w:tc>
          <w:tcPr>
            <w:tcW w:w="7740" w:type="dxa"/>
            <w:vAlign w:val="bottom"/>
            <w:gridSpan w:val="2"/>
          </w:tcPr>
          <w:p>
            <w:pPr>
              <w:spacing w:after="0"/>
              <w:rPr>
                <w:sz w:val="20"/>
                <w:szCs w:val="20"/>
                <w:color w:val="auto"/>
              </w:rPr>
            </w:pPr>
            <w:r>
              <w:rPr>
                <w:rFonts w:ascii="Arial" w:cs="Arial" w:eastAsia="Arial" w:hAnsi="Arial"/>
                <w:sz w:val="18"/>
                <w:szCs w:val="18"/>
                <w:color w:val="auto"/>
              </w:rPr>
              <w:t>Courthouse Center</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Rockville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490-1400</w:t>
            </w:r>
          </w:p>
        </w:tc>
        <w:tc>
          <w:tcPr>
            <w:tcW w:w="7740" w:type="dxa"/>
            <w:vAlign w:val="bottom"/>
            <w:gridSpan w:val="2"/>
          </w:tcPr>
          <w:p>
            <w:pPr>
              <w:spacing w:after="0"/>
              <w:rPr>
                <w:sz w:val="20"/>
                <w:szCs w:val="20"/>
                <w:color w:val="auto"/>
              </w:rPr>
            </w:pPr>
            <w:r>
              <w:rPr>
                <w:rFonts w:ascii="Arial" w:cs="Arial" w:eastAsia="Arial" w:hAnsi="Arial"/>
                <w:sz w:val="18"/>
                <w:szCs w:val="18"/>
                <w:color w:val="auto"/>
              </w:rPr>
              <w:t>Kings Court</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Los Gatos</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490-1720</w:t>
            </w:r>
          </w:p>
        </w:tc>
        <w:tc>
          <w:tcPr>
            <w:tcW w:w="7740" w:type="dxa"/>
            <w:vAlign w:val="bottom"/>
            <w:gridSpan w:val="2"/>
          </w:tcPr>
          <w:p>
            <w:pPr>
              <w:spacing w:after="0"/>
              <w:rPr>
                <w:sz w:val="20"/>
                <w:szCs w:val="20"/>
                <w:color w:val="auto"/>
              </w:rPr>
            </w:pPr>
            <w:r>
              <w:rPr>
                <w:rFonts w:ascii="Arial" w:cs="Arial" w:eastAsia="Arial" w:hAnsi="Arial"/>
                <w:sz w:val="18"/>
                <w:szCs w:val="18"/>
                <w:color w:val="auto"/>
              </w:rPr>
              <w:t>South Valley Shopping Center</w:t>
            </w:r>
          </w:p>
        </w:tc>
        <w:tc>
          <w:tcPr>
            <w:tcW w:w="1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Alexandria</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r>
    </w:tbl>
    <w:p>
      <w:pPr>
        <w:sectPr>
          <w:pgSz w:w="11900" w:h="16838" w:orient="portrait"/>
          <w:cols w:equalWidth="0" w:num="1">
            <w:col w:w="11420"/>
          </w:cols>
          <w:pgMar w:left="240" w:top="263" w:right="239" w:bottom="1440" w:gutter="0" w:footer="0" w:header="0"/>
        </w:sectPr>
      </w:pPr>
    </w:p>
    <w:bookmarkStart w:id="363" w:name="page364"/>
    <w:bookmarkEnd w:id="3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20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8"/>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b w:val="1"/>
                <w:bCs w:val="1"/>
                <w:color w:val="auto"/>
              </w:rPr>
              <w:t>City</w:t>
            </w:r>
          </w:p>
        </w:tc>
        <w:tc>
          <w:tcPr>
            <w:tcW w:w="1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ST</w:t>
            </w:r>
          </w:p>
        </w:tc>
      </w:tr>
      <w:tr>
        <w:trPr>
          <w:trHeight w:val="284"/>
        </w:trPr>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77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Non-Controlled Properties</w:t>
            </w:r>
          </w:p>
        </w:tc>
        <w:tc>
          <w:tcPr>
            <w:tcW w:w="120" w:type="dxa"/>
            <w:vAlign w:val="bottom"/>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228"/>
        </w:trPr>
        <w:tc>
          <w:tcPr>
            <w:tcW w:w="1120" w:type="dxa"/>
            <w:vAlign w:val="bottom"/>
            <w:gridSpan w:val="2"/>
          </w:tcPr>
          <w:p>
            <w:pPr>
              <w:spacing w:after="0"/>
              <w:rPr>
                <w:sz w:val="20"/>
                <w:szCs w:val="20"/>
                <w:color w:val="auto"/>
              </w:rPr>
            </w:pPr>
            <w:r>
              <w:rPr>
                <w:rFonts w:ascii="Arial" w:cs="Arial" w:eastAsia="Arial" w:hAnsi="Arial"/>
                <w:sz w:val="18"/>
                <w:szCs w:val="18"/>
                <w:color w:val="auto"/>
              </w:rPr>
              <w:t>030-1080</w:t>
            </w: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Congressional Plaza</w:t>
            </w:r>
          </w:p>
        </w:tc>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Rockville</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030-1081</w:t>
            </w:r>
          </w:p>
        </w:tc>
        <w:tc>
          <w:tcPr>
            <w:tcW w:w="7740" w:type="dxa"/>
            <w:vAlign w:val="bottom"/>
            <w:gridSpan w:val="2"/>
          </w:tcPr>
          <w:p>
            <w:pPr>
              <w:spacing w:after="0"/>
              <w:rPr>
                <w:sz w:val="20"/>
                <w:szCs w:val="20"/>
                <w:color w:val="auto"/>
              </w:rPr>
            </w:pPr>
            <w:r>
              <w:rPr>
                <w:rFonts w:ascii="Arial" w:cs="Arial" w:eastAsia="Arial" w:hAnsi="Arial"/>
                <w:sz w:val="18"/>
                <w:szCs w:val="18"/>
                <w:color w:val="auto"/>
              </w:rPr>
              <w:t>Congressional Plaza Apartments</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Rockville</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090-1190</w:t>
            </w:r>
          </w:p>
        </w:tc>
        <w:tc>
          <w:tcPr>
            <w:tcW w:w="7740" w:type="dxa"/>
            <w:vAlign w:val="bottom"/>
            <w:gridSpan w:val="2"/>
          </w:tcPr>
          <w:p>
            <w:pPr>
              <w:spacing w:after="0"/>
              <w:rPr>
                <w:sz w:val="20"/>
                <w:szCs w:val="20"/>
                <w:color w:val="auto"/>
              </w:rPr>
            </w:pPr>
            <w:r>
              <w:rPr>
                <w:rFonts w:ascii="Arial" w:cs="Arial" w:eastAsia="Arial" w:hAnsi="Arial"/>
                <w:sz w:val="18"/>
                <w:szCs w:val="18"/>
                <w:color w:val="auto"/>
              </w:rPr>
              <w:t>Escondido Promenade</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Escondido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423-4200</w:t>
            </w:r>
          </w:p>
        </w:tc>
        <w:tc>
          <w:tcPr>
            <w:tcW w:w="7740" w:type="dxa"/>
            <w:vAlign w:val="bottom"/>
            <w:gridSpan w:val="2"/>
          </w:tcPr>
          <w:p>
            <w:pPr>
              <w:spacing w:after="0"/>
              <w:rPr>
                <w:sz w:val="20"/>
                <w:szCs w:val="20"/>
                <w:color w:val="auto"/>
              </w:rPr>
            </w:pPr>
            <w:r>
              <w:rPr>
                <w:rFonts w:ascii="Arial" w:cs="Arial" w:eastAsia="Arial" w:hAnsi="Arial"/>
                <w:sz w:val="18"/>
                <w:szCs w:val="18"/>
                <w:color w:val="auto"/>
              </w:rPr>
              <w:t>1221-1227 Hermosa Ave(Hermosa)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Hermosa Beach</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423-4504</w:t>
            </w:r>
          </w:p>
        </w:tc>
        <w:tc>
          <w:tcPr>
            <w:tcW w:w="7740" w:type="dxa"/>
            <w:vAlign w:val="bottom"/>
            <w:gridSpan w:val="2"/>
          </w:tcPr>
          <w:p>
            <w:pPr>
              <w:spacing w:after="0"/>
              <w:rPr>
                <w:sz w:val="20"/>
                <w:szCs w:val="20"/>
                <w:color w:val="auto"/>
              </w:rPr>
            </w:pPr>
            <w:r>
              <w:rPr>
                <w:rFonts w:ascii="Arial" w:cs="Arial" w:eastAsia="Arial" w:hAnsi="Arial"/>
                <w:sz w:val="18"/>
                <w:szCs w:val="18"/>
                <w:color w:val="auto"/>
              </w:rPr>
              <w:t>953-955 5th Ave (S D)</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 Diego</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423-4707</w:t>
            </w:r>
          </w:p>
        </w:tc>
        <w:tc>
          <w:tcPr>
            <w:tcW w:w="7740" w:type="dxa"/>
            <w:vAlign w:val="bottom"/>
            <w:gridSpan w:val="2"/>
          </w:tcPr>
          <w:p>
            <w:pPr>
              <w:spacing w:after="0"/>
              <w:rPr>
                <w:sz w:val="20"/>
                <w:szCs w:val="20"/>
                <w:color w:val="auto"/>
              </w:rPr>
            </w:pPr>
            <w:r>
              <w:rPr>
                <w:rFonts w:ascii="Arial" w:cs="Arial" w:eastAsia="Arial" w:hAnsi="Arial"/>
                <w:sz w:val="18"/>
                <w:szCs w:val="18"/>
                <w:color w:val="auto"/>
              </w:rPr>
              <w:t>1232-1240 3rd St(Santa Monica)</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Santa Monica</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425-4225</w:t>
            </w:r>
          </w:p>
        </w:tc>
        <w:tc>
          <w:tcPr>
            <w:tcW w:w="7740" w:type="dxa"/>
            <w:vAlign w:val="bottom"/>
            <w:gridSpan w:val="2"/>
          </w:tcPr>
          <w:p>
            <w:pPr>
              <w:spacing w:after="0"/>
              <w:rPr>
                <w:sz w:val="20"/>
                <w:szCs w:val="20"/>
                <w:color w:val="auto"/>
              </w:rPr>
            </w:pPr>
            <w:r>
              <w:rPr>
                <w:rFonts w:ascii="Arial" w:cs="Arial" w:eastAsia="Arial" w:hAnsi="Arial"/>
                <w:sz w:val="18"/>
                <w:szCs w:val="18"/>
                <w:color w:val="auto"/>
              </w:rPr>
              <w:t>Galaxy Bldg (Hollywood)</w:t>
            </w: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Hollywood</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425-4226</w:t>
            </w:r>
          </w:p>
        </w:tc>
        <w:tc>
          <w:tcPr>
            <w:tcW w:w="7740" w:type="dxa"/>
            <w:vAlign w:val="bottom"/>
            <w:gridSpan w:val="2"/>
          </w:tcPr>
          <w:p>
            <w:pPr>
              <w:spacing w:after="0"/>
              <w:rPr>
                <w:sz w:val="20"/>
                <w:szCs w:val="20"/>
                <w:color w:val="auto"/>
              </w:rPr>
            </w:pPr>
            <w:r>
              <w:rPr>
                <w:rFonts w:ascii="Arial" w:cs="Arial" w:eastAsia="Arial" w:hAnsi="Arial"/>
                <w:sz w:val="18"/>
                <w:szCs w:val="18"/>
                <w:color w:val="auto"/>
              </w:rPr>
              <w:t>7001 Hollywood Blvd (Peterson)</w:t>
            </w:r>
          </w:p>
        </w:tc>
        <w:tc>
          <w:tcPr>
            <w:tcW w:w="1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Hollywood</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Permitted Liens in Existence as of Date of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properties are currently subject to liens: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Encumbered Properties</w:t>
            </w:r>
          </w:p>
        </w:tc>
        <w:tc>
          <w:tcPr>
            <w:tcW w:w="3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1120" w:type="dxa"/>
            <w:vAlign w:val="bottom"/>
          </w:tcPr>
          <w:p>
            <w:pPr>
              <w:spacing w:after="0"/>
              <w:rPr>
                <w:sz w:val="20"/>
                <w:szCs w:val="20"/>
                <w:color w:val="auto"/>
              </w:rPr>
            </w:pPr>
            <w:r>
              <w:rPr>
                <w:rFonts w:ascii="Arial" w:cs="Arial" w:eastAsia="Arial" w:hAnsi="Arial"/>
                <w:sz w:val="18"/>
                <w:szCs w:val="18"/>
                <w:color w:val="auto"/>
              </w:rPr>
              <w:t>120-1450</w:t>
            </w:r>
          </w:p>
        </w:tc>
        <w:tc>
          <w:tcPr>
            <w:tcW w:w="5200" w:type="dxa"/>
            <w:vAlign w:val="bottom"/>
            <w:gridSpan w:val="2"/>
          </w:tcPr>
          <w:p>
            <w:pPr>
              <w:spacing w:after="0"/>
              <w:rPr>
                <w:sz w:val="20"/>
                <w:szCs w:val="20"/>
                <w:color w:val="auto"/>
              </w:rPr>
            </w:pPr>
            <w:r>
              <w:rPr>
                <w:rFonts w:ascii="Arial" w:cs="Arial" w:eastAsia="Arial" w:hAnsi="Arial"/>
                <w:sz w:val="18"/>
                <w:szCs w:val="18"/>
                <w:color w:val="auto"/>
              </w:rPr>
              <w:t>Leesburg Plaza</w:t>
            </w:r>
          </w:p>
        </w:tc>
        <w:tc>
          <w:tcPr>
            <w:tcW w:w="4260" w:type="dxa"/>
            <w:vAlign w:val="bottom"/>
          </w:tcPr>
          <w:p>
            <w:pPr>
              <w:ind w:left="2660"/>
              <w:spacing w:after="0"/>
              <w:rPr>
                <w:sz w:val="20"/>
                <w:szCs w:val="20"/>
                <w:color w:val="auto"/>
              </w:rPr>
            </w:pPr>
            <w:r>
              <w:rPr>
                <w:rFonts w:ascii="Arial" w:cs="Arial" w:eastAsia="Arial" w:hAnsi="Arial"/>
                <w:sz w:val="18"/>
                <w:szCs w:val="18"/>
                <w:color w:val="auto"/>
              </w:rPr>
              <w:t>Leesburg</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130-1215</w:t>
            </w:r>
          </w:p>
        </w:tc>
        <w:tc>
          <w:tcPr>
            <w:tcW w:w="5200" w:type="dxa"/>
            <w:vAlign w:val="bottom"/>
            <w:gridSpan w:val="2"/>
          </w:tcPr>
          <w:p>
            <w:pPr>
              <w:spacing w:after="0"/>
              <w:rPr>
                <w:sz w:val="20"/>
                <w:szCs w:val="20"/>
                <w:color w:val="auto"/>
              </w:rPr>
            </w:pPr>
            <w:r>
              <w:rPr>
                <w:rFonts w:ascii="Arial" w:cs="Arial" w:eastAsia="Arial" w:hAnsi="Arial"/>
                <w:sz w:val="18"/>
                <w:szCs w:val="18"/>
                <w:color w:val="auto"/>
              </w:rPr>
              <w:t>Federal Plaza</w:t>
            </w:r>
          </w:p>
        </w:tc>
        <w:tc>
          <w:tcPr>
            <w:tcW w:w="4260" w:type="dxa"/>
            <w:vAlign w:val="bottom"/>
          </w:tcPr>
          <w:p>
            <w:pPr>
              <w:ind w:left="2660"/>
              <w:spacing w:after="0"/>
              <w:rPr>
                <w:sz w:val="20"/>
                <w:szCs w:val="20"/>
                <w:color w:val="auto"/>
              </w:rPr>
            </w:pPr>
            <w:r>
              <w:rPr>
                <w:rFonts w:ascii="Arial" w:cs="Arial" w:eastAsia="Arial" w:hAnsi="Arial"/>
                <w:sz w:val="18"/>
                <w:szCs w:val="18"/>
                <w:color w:val="auto"/>
              </w:rPr>
              <w:t>Rockville</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222-2220</w:t>
            </w:r>
          </w:p>
        </w:tc>
        <w:tc>
          <w:tcPr>
            <w:tcW w:w="5200" w:type="dxa"/>
            <w:vAlign w:val="bottom"/>
            <w:gridSpan w:val="2"/>
          </w:tcPr>
          <w:p>
            <w:pPr>
              <w:spacing w:after="0"/>
              <w:rPr>
                <w:sz w:val="20"/>
                <w:szCs w:val="20"/>
                <w:color w:val="auto"/>
              </w:rPr>
            </w:pPr>
            <w:r>
              <w:rPr>
                <w:rFonts w:ascii="Arial" w:cs="Arial" w:eastAsia="Arial" w:hAnsi="Arial"/>
                <w:sz w:val="18"/>
                <w:szCs w:val="18"/>
                <w:color w:val="auto"/>
              </w:rPr>
              <w:t>Byron Station</w:t>
            </w:r>
          </w:p>
        </w:tc>
        <w:tc>
          <w:tcPr>
            <w:tcW w:w="4260" w:type="dxa"/>
            <w:vAlign w:val="bottom"/>
          </w:tcPr>
          <w:p>
            <w:pPr>
              <w:ind w:left="2660"/>
              <w:spacing w:after="0"/>
              <w:rPr>
                <w:sz w:val="20"/>
                <w:szCs w:val="20"/>
                <w:color w:val="auto"/>
              </w:rPr>
            </w:pPr>
            <w:r>
              <w:rPr>
                <w:rFonts w:ascii="Arial" w:cs="Arial" w:eastAsia="Arial" w:hAnsi="Arial"/>
                <w:sz w:val="18"/>
                <w:szCs w:val="18"/>
                <w:color w:val="auto"/>
              </w:rPr>
              <w:t>White Marsh</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227-2270</w:t>
            </w:r>
          </w:p>
        </w:tc>
        <w:tc>
          <w:tcPr>
            <w:tcW w:w="520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4260" w:type="dxa"/>
            <w:vAlign w:val="bottom"/>
          </w:tcPr>
          <w:p>
            <w:pPr>
              <w:ind w:left="2660"/>
              <w:spacing w:after="0"/>
              <w:rPr>
                <w:sz w:val="20"/>
                <w:szCs w:val="20"/>
                <w:color w:val="auto"/>
              </w:rPr>
            </w:pPr>
            <w:r>
              <w:rPr>
                <w:rFonts w:ascii="Arial" w:cs="Arial" w:eastAsia="Arial" w:hAnsi="Arial"/>
                <w:sz w:val="18"/>
                <w:szCs w:val="18"/>
                <w:color w:val="auto"/>
              </w:rPr>
              <w:t>White Marsh</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233-2202</w:t>
            </w:r>
          </w:p>
        </w:tc>
        <w:tc>
          <w:tcPr>
            <w:tcW w:w="5200" w:type="dxa"/>
            <w:vAlign w:val="bottom"/>
            <w:gridSpan w:val="2"/>
          </w:tcPr>
          <w:p>
            <w:pPr>
              <w:spacing w:after="0"/>
              <w:rPr>
                <w:sz w:val="20"/>
                <w:szCs w:val="20"/>
                <w:color w:val="auto"/>
              </w:rPr>
            </w:pPr>
            <w:r>
              <w:rPr>
                <w:rFonts w:ascii="Arial" w:cs="Arial" w:eastAsia="Arial" w:hAnsi="Arial"/>
                <w:sz w:val="18"/>
                <w:szCs w:val="18"/>
                <w:color w:val="auto"/>
              </w:rPr>
              <w:t>THE AVENUE at White Marsh</w:t>
            </w:r>
          </w:p>
        </w:tc>
        <w:tc>
          <w:tcPr>
            <w:tcW w:w="4260" w:type="dxa"/>
            <w:vAlign w:val="bottom"/>
          </w:tcPr>
          <w:p>
            <w:pPr>
              <w:ind w:left="2660"/>
              <w:spacing w:after="0"/>
              <w:rPr>
                <w:sz w:val="20"/>
                <w:szCs w:val="20"/>
                <w:color w:val="auto"/>
              </w:rPr>
            </w:pPr>
            <w:r>
              <w:rPr>
                <w:rFonts w:ascii="Arial" w:cs="Arial" w:eastAsia="Arial" w:hAnsi="Arial"/>
                <w:sz w:val="18"/>
                <w:szCs w:val="18"/>
                <w:color w:val="auto"/>
              </w:rPr>
              <w:t>White Marsh</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490-1490</w:t>
            </w:r>
          </w:p>
        </w:tc>
        <w:tc>
          <w:tcPr>
            <w:tcW w:w="5200" w:type="dxa"/>
            <w:vAlign w:val="bottom"/>
            <w:gridSpan w:val="2"/>
          </w:tcPr>
          <w:p>
            <w:pPr>
              <w:spacing w:after="0"/>
              <w:rPr>
                <w:sz w:val="20"/>
                <w:szCs w:val="20"/>
                <w:color w:val="auto"/>
              </w:rPr>
            </w:pPr>
            <w:r>
              <w:rPr>
                <w:rFonts w:ascii="Arial" w:cs="Arial" w:eastAsia="Arial" w:hAnsi="Arial"/>
                <w:sz w:val="18"/>
                <w:szCs w:val="18"/>
                <w:color w:val="auto"/>
              </w:rPr>
              <w:t>Mount Vernon Shopping Center</w:t>
            </w:r>
          </w:p>
        </w:tc>
        <w:tc>
          <w:tcPr>
            <w:tcW w:w="4260" w:type="dxa"/>
            <w:vAlign w:val="bottom"/>
          </w:tcPr>
          <w:p>
            <w:pPr>
              <w:ind w:left="2660"/>
              <w:spacing w:after="0"/>
              <w:rPr>
                <w:sz w:val="20"/>
                <w:szCs w:val="20"/>
                <w:color w:val="auto"/>
              </w:rPr>
            </w:pPr>
            <w:r>
              <w:rPr>
                <w:rFonts w:ascii="Arial" w:cs="Arial" w:eastAsia="Arial" w:hAnsi="Arial"/>
                <w:sz w:val="18"/>
                <w:szCs w:val="18"/>
                <w:color w:val="auto"/>
              </w:rPr>
              <w:t>Alexandria</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500-1047</w:t>
            </w:r>
          </w:p>
        </w:tc>
        <w:tc>
          <w:tcPr>
            <w:tcW w:w="5200" w:type="dxa"/>
            <w:vAlign w:val="bottom"/>
            <w:gridSpan w:val="2"/>
          </w:tcPr>
          <w:p>
            <w:pPr>
              <w:spacing w:after="0"/>
              <w:rPr>
                <w:sz w:val="20"/>
                <w:szCs w:val="20"/>
                <w:color w:val="auto"/>
              </w:rPr>
            </w:pPr>
            <w:r>
              <w:rPr>
                <w:rFonts w:ascii="Arial" w:cs="Arial" w:eastAsia="Arial" w:hAnsi="Arial"/>
                <w:sz w:val="18"/>
                <w:szCs w:val="18"/>
                <w:color w:val="auto"/>
              </w:rPr>
              <w:t>Brick Plaza</w:t>
            </w:r>
          </w:p>
        </w:tc>
        <w:tc>
          <w:tcPr>
            <w:tcW w:w="4260" w:type="dxa"/>
            <w:vAlign w:val="bottom"/>
          </w:tcPr>
          <w:p>
            <w:pPr>
              <w:ind w:left="2660"/>
              <w:spacing w:after="0"/>
              <w:rPr>
                <w:sz w:val="20"/>
                <w:szCs w:val="20"/>
                <w:color w:val="auto"/>
              </w:rPr>
            </w:pPr>
            <w:r>
              <w:rPr>
                <w:rFonts w:ascii="Arial" w:cs="Arial" w:eastAsia="Arial" w:hAnsi="Arial"/>
                <w:sz w:val="18"/>
                <w:szCs w:val="18"/>
                <w:color w:val="auto"/>
              </w:rPr>
              <w:t>Brick</w:t>
            </w:r>
          </w:p>
        </w:tc>
        <w:tc>
          <w:tcPr>
            <w:tcW w:w="840" w:type="dxa"/>
            <w:vAlign w:val="bottom"/>
          </w:tcPr>
          <w:p>
            <w:pPr>
              <w:ind w:left="560"/>
              <w:spacing w:after="0"/>
              <w:rPr>
                <w:sz w:val="20"/>
                <w:szCs w:val="20"/>
                <w:color w:val="auto"/>
              </w:rPr>
            </w:pPr>
            <w:r>
              <w:rPr>
                <w:rFonts w:ascii="Arial" w:cs="Arial" w:eastAsia="Arial" w:hAnsi="Arial"/>
                <w:sz w:val="18"/>
                <w:szCs w:val="18"/>
                <w:color w:val="auto"/>
              </w:rPr>
              <w:t>NJ</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500-1313</w:t>
            </w:r>
          </w:p>
        </w:tc>
        <w:tc>
          <w:tcPr>
            <w:tcW w:w="5200" w:type="dxa"/>
            <w:vAlign w:val="bottom"/>
            <w:gridSpan w:val="2"/>
          </w:tcPr>
          <w:p>
            <w:pPr>
              <w:spacing w:after="0"/>
              <w:rPr>
                <w:sz w:val="20"/>
                <w:szCs w:val="20"/>
                <w:color w:val="auto"/>
              </w:rPr>
            </w:pPr>
            <w:r>
              <w:rPr>
                <w:rFonts w:ascii="Arial" w:cs="Arial" w:eastAsia="Arial" w:hAnsi="Arial"/>
                <w:sz w:val="18"/>
                <w:szCs w:val="18"/>
                <w:color w:val="auto"/>
              </w:rPr>
              <w:t>Hauppauge Shopping Center</w:t>
            </w:r>
          </w:p>
        </w:tc>
        <w:tc>
          <w:tcPr>
            <w:tcW w:w="4260" w:type="dxa"/>
            <w:vAlign w:val="bottom"/>
          </w:tcPr>
          <w:p>
            <w:pPr>
              <w:ind w:left="2660"/>
              <w:spacing w:after="0"/>
              <w:rPr>
                <w:sz w:val="20"/>
                <w:szCs w:val="20"/>
                <w:color w:val="auto"/>
              </w:rPr>
            </w:pPr>
            <w:r>
              <w:rPr>
                <w:rFonts w:ascii="Arial" w:cs="Arial" w:eastAsia="Arial" w:hAnsi="Arial"/>
                <w:sz w:val="18"/>
                <w:szCs w:val="18"/>
                <w:color w:val="auto"/>
              </w:rPr>
              <w:t>Hauppauge</w:t>
            </w:r>
          </w:p>
        </w:tc>
        <w:tc>
          <w:tcPr>
            <w:tcW w:w="840" w:type="dxa"/>
            <w:vAlign w:val="bottom"/>
          </w:tcPr>
          <w:p>
            <w:pPr>
              <w:ind w:left="560"/>
              <w:spacing w:after="0"/>
              <w:rPr>
                <w:sz w:val="20"/>
                <w:szCs w:val="20"/>
                <w:color w:val="auto"/>
              </w:rPr>
            </w:pPr>
            <w:r>
              <w:rPr>
                <w:rFonts w:ascii="Arial" w:cs="Arial" w:eastAsia="Arial" w:hAnsi="Arial"/>
                <w:sz w:val="18"/>
                <w:szCs w:val="18"/>
                <w:color w:val="auto"/>
              </w:rPr>
              <w:t>NY</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500-1442</w:t>
            </w:r>
          </w:p>
        </w:tc>
        <w:tc>
          <w:tcPr>
            <w:tcW w:w="5200" w:type="dxa"/>
            <w:vAlign w:val="bottom"/>
            <w:gridSpan w:val="2"/>
          </w:tcPr>
          <w:p>
            <w:pPr>
              <w:spacing w:after="0"/>
              <w:rPr>
                <w:sz w:val="20"/>
                <w:szCs w:val="20"/>
                <w:color w:val="auto"/>
              </w:rPr>
            </w:pPr>
            <w:r>
              <w:rPr>
                <w:rFonts w:ascii="Arial" w:cs="Arial" w:eastAsia="Arial" w:hAnsi="Arial"/>
                <w:sz w:val="18"/>
                <w:szCs w:val="18"/>
                <w:color w:val="auto"/>
              </w:rPr>
              <w:t>Lawrence Park Shopping Center</w:t>
            </w:r>
          </w:p>
        </w:tc>
        <w:tc>
          <w:tcPr>
            <w:tcW w:w="4260" w:type="dxa"/>
            <w:vAlign w:val="bottom"/>
          </w:tcPr>
          <w:p>
            <w:pPr>
              <w:ind w:left="2660"/>
              <w:spacing w:after="0"/>
              <w:rPr>
                <w:sz w:val="20"/>
                <w:szCs w:val="20"/>
                <w:color w:val="auto"/>
              </w:rPr>
            </w:pPr>
            <w:r>
              <w:rPr>
                <w:rFonts w:ascii="Arial" w:cs="Arial" w:eastAsia="Arial" w:hAnsi="Arial"/>
                <w:sz w:val="18"/>
                <w:szCs w:val="18"/>
                <w:color w:val="auto"/>
              </w:rPr>
              <w:t>Broomall</w:t>
            </w:r>
          </w:p>
        </w:tc>
        <w:tc>
          <w:tcPr>
            <w:tcW w:w="840" w:type="dxa"/>
            <w:vAlign w:val="bottom"/>
          </w:tcPr>
          <w:p>
            <w:pPr>
              <w:ind w:left="560"/>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500-1470</w:t>
            </w:r>
          </w:p>
        </w:tc>
        <w:tc>
          <w:tcPr>
            <w:tcW w:w="5200" w:type="dxa"/>
            <w:vAlign w:val="bottom"/>
            <w:gridSpan w:val="2"/>
          </w:tcPr>
          <w:p>
            <w:pPr>
              <w:spacing w:after="0"/>
              <w:rPr>
                <w:sz w:val="20"/>
                <w:szCs w:val="20"/>
                <w:color w:val="auto"/>
              </w:rPr>
            </w:pPr>
            <w:r>
              <w:rPr>
                <w:rFonts w:ascii="Arial" w:cs="Arial" w:eastAsia="Arial" w:hAnsi="Arial"/>
                <w:sz w:val="18"/>
                <w:szCs w:val="18"/>
                <w:color w:val="auto"/>
              </w:rPr>
              <w:t>Melville Mall</w:t>
            </w:r>
          </w:p>
        </w:tc>
        <w:tc>
          <w:tcPr>
            <w:tcW w:w="4260" w:type="dxa"/>
            <w:vAlign w:val="bottom"/>
          </w:tcPr>
          <w:p>
            <w:pPr>
              <w:ind w:left="2660"/>
              <w:spacing w:after="0"/>
              <w:rPr>
                <w:sz w:val="20"/>
                <w:szCs w:val="20"/>
                <w:color w:val="auto"/>
              </w:rPr>
            </w:pPr>
            <w:r>
              <w:rPr>
                <w:rFonts w:ascii="Arial" w:cs="Arial" w:eastAsia="Arial" w:hAnsi="Arial"/>
                <w:sz w:val="18"/>
                <w:szCs w:val="18"/>
                <w:color w:val="auto"/>
              </w:rPr>
              <w:t>Huntington</w:t>
            </w:r>
          </w:p>
        </w:tc>
        <w:tc>
          <w:tcPr>
            <w:tcW w:w="840" w:type="dxa"/>
            <w:vAlign w:val="bottom"/>
          </w:tcPr>
          <w:p>
            <w:pPr>
              <w:ind w:left="560"/>
              <w:spacing w:after="0"/>
              <w:rPr>
                <w:sz w:val="20"/>
                <w:szCs w:val="20"/>
                <w:color w:val="auto"/>
              </w:rPr>
            </w:pPr>
            <w:r>
              <w:rPr>
                <w:rFonts w:ascii="Arial" w:cs="Arial" w:eastAsia="Arial" w:hAnsi="Arial"/>
                <w:sz w:val="18"/>
                <w:szCs w:val="18"/>
                <w:color w:val="auto"/>
              </w:rPr>
              <w:t>NY</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500-1763</w:t>
            </w:r>
          </w:p>
        </w:tc>
        <w:tc>
          <w:tcPr>
            <w:tcW w:w="5200" w:type="dxa"/>
            <w:vAlign w:val="bottom"/>
            <w:gridSpan w:val="2"/>
          </w:tcPr>
          <w:p>
            <w:pPr>
              <w:spacing w:after="0"/>
              <w:rPr>
                <w:sz w:val="20"/>
                <w:szCs w:val="20"/>
                <w:color w:val="auto"/>
              </w:rPr>
            </w:pPr>
            <w:r>
              <w:rPr>
                <w:rFonts w:ascii="Arial" w:cs="Arial" w:eastAsia="Arial" w:hAnsi="Arial"/>
                <w:sz w:val="18"/>
                <w:szCs w:val="18"/>
                <w:color w:val="auto"/>
              </w:rPr>
              <w:t>Tysons Station S C</w:t>
            </w:r>
          </w:p>
        </w:tc>
        <w:tc>
          <w:tcPr>
            <w:tcW w:w="4260" w:type="dxa"/>
            <w:vAlign w:val="bottom"/>
          </w:tcPr>
          <w:p>
            <w:pPr>
              <w:ind w:left="2660"/>
              <w:spacing w:after="0"/>
              <w:rPr>
                <w:sz w:val="20"/>
                <w:szCs w:val="20"/>
                <w:color w:val="auto"/>
              </w:rPr>
            </w:pPr>
            <w:r>
              <w:rPr>
                <w:rFonts w:ascii="Arial" w:cs="Arial" w:eastAsia="Arial" w:hAnsi="Arial"/>
                <w:sz w:val="18"/>
                <w:szCs w:val="18"/>
                <w:color w:val="auto"/>
              </w:rPr>
              <w:t>Falls Church</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500-1881</w:t>
            </w:r>
          </w:p>
        </w:tc>
        <w:tc>
          <w:tcPr>
            <w:tcW w:w="5200" w:type="dxa"/>
            <w:vAlign w:val="bottom"/>
            <w:gridSpan w:val="2"/>
          </w:tcPr>
          <w:p>
            <w:pPr>
              <w:spacing w:after="0"/>
              <w:rPr>
                <w:sz w:val="20"/>
                <w:szCs w:val="20"/>
                <w:color w:val="auto"/>
              </w:rPr>
            </w:pPr>
            <w:r>
              <w:rPr>
                <w:rFonts w:ascii="Arial" w:cs="Arial" w:eastAsia="Arial" w:hAnsi="Arial"/>
                <w:sz w:val="18"/>
                <w:szCs w:val="18"/>
                <w:color w:val="auto"/>
              </w:rPr>
              <w:t>Wildwood Shopping Center</w:t>
            </w:r>
          </w:p>
        </w:tc>
        <w:tc>
          <w:tcPr>
            <w:tcW w:w="4260" w:type="dxa"/>
            <w:vAlign w:val="bottom"/>
          </w:tcPr>
          <w:p>
            <w:pPr>
              <w:ind w:left="2660"/>
              <w:spacing w:after="0"/>
              <w:rPr>
                <w:sz w:val="20"/>
                <w:szCs w:val="20"/>
                <w:color w:val="auto"/>
              </w:rPr>
            </w:pPr>
            <w:r>
              <w:rPr>
                <w:rFonts w:ascii="Arial" w:cs="Arial" w:eastAsia="Arial" w:hAnsi="Arial"/>
                <w:sz w:val="18"/>
                <w:szCs w:val="18"/>
                <w:color w:val="auto"/>
              </w:rPr>
              <w:t>Bethesda</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500-1900</w:t>
            </w:r>
          </w:p>
        </w:tc>
        <w:tc>
          <w:tcPr>
            <w:tcW w:w="5200" w:type="dxa"/>
            <w:vAlign w:val="bottom"/>
            <w:gridSpan w:val="2"/>
          </w:tcPr>
          <w:p>
            <w:pPr>
              <w:spacing w:after="0"/>
              <w:rPr>
                <w:sz w:val="20"/>
                <w:szCs w:val="20"/>
                <w:color w:val="auto"/>
              </w:rPr>
            </w:pPr>
            <w:r>
              <w:rPr>
                <w:rFonts w:ascii="Arial" w:cs="Arial" w:eastAsia="Arial" w:hAnsi="Arial"/>
                <w:sz w:val="18"/>
                <w:szCs w:val="18"/>
                <w:color w:val="auto"/>
              </w:rPr>
              <w:t>Wynnewood Shopping Center</w:t>
            </w:r>
          </w:p>
        </w:tc>
        <w:tc>
          <w:tcPr>
            <w:tcW w:w="4260" w:type="dxa"/>
            <w:vAlign w:val="bottom"/>
          </w:tcPr>
          <w:p>
            <w:pPr>
              <w:ind w:left="2660"/>
              <w:spacing w:after="0"/>
              <w:rPr>
                <w:sz w:val="20"/>
                <w:szCs w:val="20"/>
                <w:color w:val="auto"/>
              </w:rPr>
            </w:pPr>
            <w:r>
              <w:rPr>
                <w:rFonts w:ascii="Arial" w:cs="Arial" w:eastAsia="Arial" w:hAnsi="Arial"/>
                <w:sz w:val="18"/>
                <w:szCs w:val="18"/>
                <w:color w:val="auto"/>
              </w:rPr>
              <w:t>Wynnewood</w:t>
            </w:r>
          </w:p>
        </w:tc>
        <w:tc>
          <w:tcPr>
            <w:tcW w:w="840" w:type="dxa"/>
            <w:vAlign w:val="bottom"/>
          </w:tcPr>
          <w:p>
            <w:pPr>
              <w:ind w:left="560"/>
              <w:spacing w:after="0"/>
              <w:rPr>
                <w:sz w:val="20"/>
                <w:szCs w:val="20"/>
                <w:color w:val="auto"/>
              </w:rPr>
            </w:pPr>
            <w:r>
              <w:rPr>
                <w:rFonts w:ascii="Arial" w:cs="Arial" w:eastAsia="Arial" w:hAnsi="Arial"/>
                <w:sz w:val="18"/>
                <w:szCs w:val="18"/>
                <w:color w:val="auto"/>
              </w:rPr>
              <w:t>PA</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500-2070</w:t>
            </w:r>
          </w:p>
        </w:tc>
        <w:tc>
          <w:tcPr>
            <w:tcW w:w="5200" w:type="dxa"/>
            <w:vAlign w:val="bottom"/>
            <w:gridSpan w:val="2"/>
          </w:tcPr>
          <w:p>
            <w:pPr>
              <w:spacing w:after="0"/>
              <w:rPr>
                <w:sz w:val="20"/>
                <w:szCs w:val="20"/>
                <w:color w:val="auto"/>
              </w:rPr>
            </w:pPr>
            <w:r>
              <w:rPr>
                <w:rFonts w:ascii="Arial" w:cs="Arial" w:eastAsia="Arial" w:hAnsi="Arial"/>
                <w:sz w:val="18"/>
                <w:szCs w:val="18"/>
                <w:color w:val="auto"/>
              </w:rPr>
              <w:t>Barracks Road</w:t>
            </w:r>
          </w:p>
        </w:tc>
        <w:tc>
          <w:tcPr>
            <w:tcW w:w="4260" w:type="dxa"/>
            <w:vAlign w:val="bottom"/>
          </w:tcPr>
          <w:p>
            <w:pPr>
              <w:ind w:left="2660"/>
              <w:spacing w:after="0"/>
              <w:rPr>
                <w:sz w:val="20"/>
                <w:szCs w:val="20"/>
                <w:color w:val="auto"/>
              </w:rPr>
            </w:pPr>
            <w:r>
              <w:rPr>
                <w:rFonts w:ascii="Arial" w:cs="Arial" w:eastAsia="Arial" w:hAnsi="Arial"/>
                <w:sz w:val="18"/>
                <w:szCs w:val="18"/>
                <w:color w:val="auto"/>
              </w:rPr>
              <w:t>Charlottesville</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150-1477</w:t>
            </w:r>
          </w:p>
        </w:tc>
        <w:tc>
          <w:tcPr>
            <w:tcW w:w="5200" w:type="dxa"/>
            <w:vAlign w:val="bottom"/>
            <w:gridSpan w:val="2"/>
          </w:tcPr>
          <w:p>
            <w:pPr>
              <w:spacing w:after="0"/>
              <w:rPr>
                <w:sz w:val="20"/>
                <w:szCs w:val="20"/>
                <w:color w:val="auto"/>
              </w:rPr>
            </w:pPr>
            <w:r>
              <w:rPr>
                <w:rFonts w:ascii="Arial" w:cs="Arial" w:eastAsia="Arial" w:hAnsi="Arial"/>
                <w:sz w:val="18"/>
                <w:szCs w:val="18"/>
                <w:color w:val="auto"/>
              </w:rPr>
              <w:t>Mercer Mall - H&amp;H BBQ</w:t>
            </w:r>
          </w:p>
        </w:tc>
        <w:tc>
          <w:tcPr>
            <w:tcW w:w="4260" w:type="dxa"/>
            <w:vAlign w:val="bottom"/>
          </w:tcPr>
          <w:p>
            <w:pPr>
              <w:ind w:left="2660"/>
              <w:spacing w:after="0"/>
              <w:rPr>
                <w:sz w:val="20"/>
                <w:szCs w:val="20"/>
                <w:color w:val="auto"/>
              </w:rPr>
            </w:pPr>
            <w:r>
              <w:rPr>
                <w:rFonts w:ascii="Arial" w:cs="Arial" w:eastAsia="Arial" w:hAnsi="Arial"/>
                <w:sz w:val="18"/>
                <w:szCs w:val="18"/>
                <w:color w:val="auto"/>
              </w:rPr>
              <w:t>Trenton</w:t>
            </w:r>
          </w:p>
        </w:tc>
        <w:tc>
          <w:tcPr>
            <w:tcW w:w="840" w:type="dxa"/>
            <w:vAlign w:val="bottom"/>
          </w:tcPr>
          <w:p>
            <w:pPr>
              <w:ind w:left="560"/>
              <w:spacing w:after="0"/>
              <w:rPr>
                <w:sz w:val="20"/>
                <w:szCs w:val="20"/>
                <w:color w:val="auto"/>
              </w:rPr>
            </w:pPr>
            <w:r>
              <w:rPr>
                <w:rFonts w:ascii="Arial" w:cs="Arial" w:eastAsia="Arial" w:hAnsi="Arial"/>
                <w:sz w:val="18"/>
                <w:szCs w:val="18"/>
                <w:color w:val="auto"/>
              </w:rPr>
              <w:t>NJ</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151-1478</w:t>
            </w:r>
          </w:p>
        </w:tc>
        <w:tc>
          <w:tcPr>
            <w:tcW w:w="5200" w:type="dxa"/>
            <w:vAlign w:val="bottom"/>
            <w:gridSpan w:val="2"/>
          </w:tcPr>
          <w:p>
            <w:pPr>
              <w:spacing w:after="0"/>
              <w:rPr>
                <w:sz w:val="20"/>
                <w:szCs w:val="20"/>
                <w:color w:val="auto"/>
              </w:rPr>
            </w:pPr>
            <w:r>
              <w:rPr>
                <w:rFonts w:ascii="Arial" w:cs="Arial" w:eastAsia="Arial" w:hAnsi="Arial"/>
                <w:sz w:val="18"/>
                <w:szCs w:val="18"/>
                <w:color w:val="auto"/>
              </w:rPr>
              <w:t>FR Mercer Mall, LLC (H&amp;H BBQ)</w:t>
            </w:r>
          </w:p>
        </w:tc>
        <w:tc>
          <w:tcPr>
            <w:tcW w:w="4260" w:type="dxa"/>
            <w:vAlign w:val="bottom"/>
          </w:tcPr>
          <w:p>
            <w:pPr>
              <w:ind w:left="2660"/>
              <w:spacing w:after="0"/>
              <w:rPr>
                <w:sz w:val="20"/>
                <w:szCs w:val="20"/>
                <w:color w:val="auto"/>
              </w:rPr>
            </w:pPr>
            <w:r>
              <w:rPr>
                <w:rFonts w:ascii="Arial" w:cs="Arial" w:eastAsia="Arial" w:hAnsi="Arial"/>
                <w:sz w:val="18"/>
                <w:szCs w:val="18"/>
                <w:color w:val="auto"/>
              </w:rPr>
              <w:t>Lawrenceville</w:t>
            </w:r>
          </w:p>
        </w:tc>
        <w:tc>
          <w:tcPr>
            <w:tcW w:w="840" w:type="dxa"/>
            <w:vAlign w:val="bottom"/>
          </w:tcPr>
          <w:p>
            <w:pPr>
              <w:ind w:left="560"/>
              <w:spacing w:after="0"/>
              <w:rPr>
                <w:sz w:val="20"/>
                <w:szCs w:val="20"/>
                <w:color w:val="auto"/>
              </w:rPr>
            </w:pPr>
            <w:r>
              <w:rPr>
                <w:rFonts w:ascii="Arial" w:cs="Arial" w:eastAsia="Arial" w:hAnsi="Arial"/>
                <w:sz w:val="18"/>
                <w:szCs w:val="18"/>
                <w:color w:val="auto"/>
              </w:rPr>
              <w:t>NJ</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191-1096</w:t>
            </w:r>
          </w:p>
        </w:tc>
        <w:tc>
          <w:tcPr>
            <w:tcW w:w="5200" w:type="dxa"/>
            <w:vAlign w:val="bottom"/>
            <w:gridSpan w:val="2"/>
          </w:tcPr>
          <w:p>
            <w:pPr>
              <w:spacing w:after="0"/>
              <w:rPr>
                <w:sz w:val="20"/>
                <w:szCs w:val="20"/>
                <w:color w:val="auto"/>
              </w:rPr>
            </w:pPr>
            <w:r>
              <w:rPr>
                <w:rFonts w:ascii="Arial" w:cs="Arial" w:eastAsia="Arial" w:hAnsi="Arial"/>
                <w:sz w:val="18"/>
                <w:szCs w:val="18"/>
                <w:color w:val="auto"/>
              </w:rPr>
              <w:t>Crow Canyon</w:t>
            </w:r>
          </w:p>
        </w:tc>
        <w:tc>
          <w:tcPr>
            <w:tcW w:w="4260" w:type="dxa"/>
            <w:vAlign w:val="bottom"/>
          </w:tcPr>
          <w:p>
            <w:pPr>
              <w:ind w:left="2660"/>
              <w:spacing w:after="0"/>
              <w:rPr>
                <w:sz w:val="20"/>
                <w:szCs w:val="20"/>
                <w:color w:val="auto"/>
              </w:rPr>
            </w:pPr>
            <w:r>
              <w:rPr>
                <w:rFonts w:ascii="Arial" w:cs="Arial" w:eastAsia="Arial" w:hAnsi="Arial"/>
                <w:sz w:val="18"/>
                <w:szCs w:val="18"/>
                <w:color w:val="auto"/>
              </w:rPr>
              <w:t>San Ramon</w:t>
            </w:r>
          </w:p>
        </w:tc>
        <w:tc>
          <w:tcPr>
            <w:tcW w:w="840" w:type="dxa"/>
            <w:vAlign w:val="bottom"/>
          </w:tcPr>
          <w:p>
            <w:pPr>
              <w:ind w:left="560"/>
              <w:spacing w:after="0"/>
              <w:rPr>
                <w:sz w:val="20"/>
                <w:szCs w:val="20"/>
                <w:color w:val="auto"/>
              </w:rPr>
            </w:pPr>
            <w:r>
              <w:rPr>
                <w:rFonts w:ascii="Arial" w:cs="Arial" w:eastAsia="Arial" w:hAnsi="Arial"/>
                <w:sz w:val="18"/>
                <w:szCs w:val="18"/>
                <w:color w:val="auto"/>
              </w:rPr>
              <w:t>CA</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211-2110</w:t>
            </w:r>
          </w:p>
        </w:tc>
        <w:tc>
          <w:tcPr>
            <w:tcW w:w="5200" w:type="dxa"/>
            <w:vAlign w:val="bottom"/>
            <w:gridSpan w:val="2"/>
          </w:tcPr>
          <w:p>
            <w:pPr>
              <w:spacing w:after="0"/>
              <w:rPr>
                <w:sz w:val="20"/>
                <w:szCs w:val="20"/>
                <w:color w:val="auto"/>
              </w:rPr>
            </w:pPr>
            <w:r>
              <w:rPr>
                <w:rFonts w:ascii="Arial" w:cs="Arial" w:eastAsia="Arial" w:hAnsi="Arial"/>
                <w:sz w:val="18"/>
                <w:szCs w:val="18"/>
                <w:color w:val="auto"/>
              </w:rPr>
              <w:t>Chelsea Commons LLC (Unit 1)</w:t>
            </w:r>
          </w:p>
        </w:tc>
        <w:tc>
          <w:tcPr>
            <w:tcW w:w="4260" w:type="dxa"/>
            <w:vAlign w:val="bottom"/>
          </w:tcPr>
          <w:p>
            <w:pPr>
              <w:ind w:left="2660"/>
              <w:spacing w:after="0"/>
              <w:rPr>
                <w:sz w:val="20"/>
                <w:szCs w:val="20"/>
                <w:color w:val="auto"/>
              </w:rPr>
            </w:pPr>
            <w:r>
              <w:rPr>
                <w:rFonts w:ascii="Arial" w:cs="Arial" w:eastAsia="Arial" w:hAnsi="Arial"/>
                <w:sz w:val="18"/>
                <w:szCs w:val="18"/>
                <w:color w:val="auto"/>
              </w:rPr>
              <w:t>Chelsea</w:t>
            </w:r>
          </w:p>
        </w:tc>
        <w:tc>
          <w:tcPr>
            <w:tcW w:w="840" w:type="dxa"/>
            <w:vAlign w:val="bottom"/>
          </w:tcPr>
          <w:p>
            <w:pPr>
              <w:ind w:left="560"/>
              <w:spacing w:after="0"/>
              <w:rPr>
                <w:sz w:val="20"/>
                <w:szCs w:val="20"/>
                <w:color w:val="auto"/>
              </w:rPr>
            </w:pPr>
            <w:r>
              <w:rPr>
                <w:rFonts w:ascii="Arial" w:cs="Arial" w:eastAsia="Arial" w:hAnsi="Arial"/>
                <w:sz w:val="18"/>
                <w:szCs w:val="18"/>
                <w:color w:val="auto"/>
                <w:w w:val="96"/>
              </w:rPr>
              <w:t>MA</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192-1722</w:t>
            </w:r>
          </w:p>
        </w:tc>
        <w:tc>
          <w:tcPr>
            <w:tcW w:w="5200" w:type="dxa"/>
            <w:vAlign w:val="bottom"/>
            <w:gridSpan w:val="2"/>
          </w:tcPr>
          <w:p>
            <w:pPr>
              <w:spacing w:after="0"/>
              <w:rPr>
                <w:sz w:val="20"/>
                <w:szCs w:val="20"/>
                <w:color w:val="auto"/>
              </w:rPr>
            </w:pPr>
            <w:r>
              <w:rPr>
                <w:rFonts w:ascii="Arial" w:cs="Arial" w:eastAsia="Arial" w:hAnsi="Arial"/>
                <w:sz w:val="18"/>
                <w:szCs w:val="18"/>
                <w:color w:val="auto"/>
              </w:rPr>
              <w:t>Shoppers’ World</w:t>
            </w:r>
          </w:p>
        </w:tc>
        <w:tc>
          <w:tcPr>
            <w:tcW w:w="4260" w:type="dxa"/>
            <w:vAlign w:val="bottom"/>
          </w:tcPr>
          <w:p>
            <w:pPr>
              <w:ind w:left="2660"/>
              <w:spacing w:after="0"/>
              <w:rPr>
                <w:sz w:val="20"/>
                <w:szCs w:val="20"/>
                <w:color w:val="auto"/>
              </w:rPr>
            </w:pPr>
            <w:r>
              <w:rPr>
                <w:rFonts w:ascii="Arial" w:cs="Arial" w:eastAsia="Arial" w:hAnsi="Arial"/>
                <w:sz w:val="18"/>
                <w:szCs w:val="18"/>
                <w:color w:val="auto"/>
              </w:rPr>
              <w:t>Charlottesville</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bl>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Unconsolidated JV Properties</w:t>
            </w:r>
          </w:p>
        </w:tc>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8"/>
        </w:trPr>
        <w:tc>
          <w:tcPr>
            <w:tcW w:w="1120" w:type="dxa"/>
            <w:vAlign w:val="bottom"/>
          </w:tcPr>
          <w:p>
            <w:pPr>
              <w:jc w:val="right"/>
              <w:ind w:right="352"/>
              <w:spacing w:after="0"/>
              <w:rPr>
                <w:sz w:val="20"/>
                <w:szCs w:val="20"/>
                <w:color w:val="auto"/>
              </w:rPr>
            </w:pPr>
            <w:r>
              <w:rPr>
                <w:rFonts w:ascii="Arial" w:cs="Arial" w:eastAsia="Arial" w:hAnsi="Arial"/>
                <w:sz w:val="18"/>
                <w:szCs w:val="18"/>
                <w:color w:val="auto"/>
                <w:w w:val="86"/>
              </w:rPr>
              <w:t>801-8010</w:t>
            </w: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Plaza del Mercado</w:t>
            </w:r>
          </w:p>
        </w:tc>
        <w:tc>
          <w:tcPr>
            <w:tcW w:w="2820" w:type="dxa"/>
            <w:vAlign w:val="bottom"/>
          </w:tcPr>
          <w:p>
            <w:pPr>
              <w:spacing w:after="0"/>
              <w:rPr>
                <w:sz w:val="19"/>
                <w:szCs w:val="19"/>
                <w:color w:val="auto"/>
              </w:rPr>
            </w:pPr>
          </w:p>
        </w:tc>
        <w:tc>
          <w:tcPr>
            <w:tcW w:w="4400" w:type="dxa"/>
            <w:vAlign w:val="bottom"/>
          </w:tcPr>
          <w:p>
            <w:pPr>
              <w:ind w:left="2800"/>
              <w:spacing w:after="0"/>
              <w:rPr>
                <w:sz w:val="20"/>
                <w:szCs w:val="20"/>
                <w:color w:val="auto"/>
              </w:rPr>
            </w:pPr>
            <w:r>
              <w:rPr>
                <w:rFonts w:ascii="Arial" w:cs="Arial" w:eastAsia="Arial" w:hAnsi="Arial"/>
                <w:sz w:val="18"/>
                <w:szCs w:val="18"/>
                <w:color w:val="auto"/>
              </w:rPr>
              <w:t>Silver Spring</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120" w:type="dxa"/>
            <w:vAlign w:val="bottom"/>
          </w:tcPr>
          <w:p>
            <w:pPr>
              <w:jc w:val="right"/>
              <w:ind w:right="352"/>
              <w:spacing w:after="0"/>
              <w:rPr>
                <w:sz w:val="20"/>
                <w:szCs w:val="20"/>
                <w:color w:val="auto"/>
              </w:rPr>
            </w:pPr>
            <w:r>
              <w:rPr>
                <w:rFonts w:ascii="Arial" w:cs="Arial" w:eastAsia="Arial" w:hAnsi="Arial"/>
                <w:sz w:val="18"/>
                <w:szCs w:val="18"/>
                <w:color w:val="auto"/>
                <w:w w:val="86"/>
              </w:rPr>
              <w:t>802-8020</w:t>
            </w:r>
          </w:p>
        </w:tc>
        <w:tc>
          <w:tcPr>
            <w:tcW w:w="5060" w:type="dxa"/>
            <w:vAlign w:val="bottom"/>
            <w:gridSpan w:val="2"/>
          </w:tcPr>
          <w:p>
            <w:pPr>
              <w:spacing w:after="0"/>
              <w:rPr>
                <w:sz w:val="20"/>
                <w:szCs w:val="20"/>
                <w:color w:val="auto"/>
              </w:rPr>
            </w:pPr>
            <w:r>
              <w:rPr>
                <w:rFonts w:ascii="Arial" w:cs="Arial" w:eastAsia="Arial" w:hAnsi="Arial"/>
                <w:sz w:val="18"/>
                <w:szCs w:val="18"/>
                <w:color w:val="auto"/>
              </w:rPr>
              <w:t>Campus Plaza</w:t>
            </w:r>
          </w:p>
        </w:tc>
        <w:tc>
          <w:tcPr>
            <w:tcW w:w="4400" w:type="dxa"/>
            <w:vAlign w:val="bottom"/>
          </w:tcPr>
          <w:p>
            <w:pPr>
              <w:ind w:left="2800"/>
              <w:spacing w:after="0"/>
              <w:rPr>
                <w:sz w:val="20"/>
                <w:szCs w:val="20"/>
                <w:color w:val="auto"/>
              </w:rPr>
            </w:pPr>
            <w:r>
              <w:rPr>
                <w:rFonts w:ascii="Arial" w:cs="Arial" w:eastAsia="Arial" w:hAnsi="Arial"/>
                <w:sz w:val="18"/>
                <w:szCs w:val="18"/>
                <w:color w:val="auto"/>
              </w:rPr>
              <w:t>Bridgewater</w:t>
            </w:r>
          </w:p>
        </w:tc>
        <w:tc>
          <w:tcPr>
            <w:tcW w:w="840" w:type="dxa"/>
            <w:vAlign w:val="bottom"/>
          </w:tcPr>
          <w:p>
            <w:pPr>
              <w:ind w:left="560"/>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tcPr>
          <w:p>
            <w:pPr>
              <w:jc w:val="right"/>
              <w:ind w:right="352"/>
              <w:spacing w:after="0"/>
              <w:rPr>
                <w:sz w:val="20"/>
                <w:szCs w:val="20"/>
                <w:color w:val="auto"/>
              </w:rPr>
            </w:pPr>
            <w:r>
              <w:rPr>
                <w:rFonts w:ascii="Arial" w:cs="Arial" w:eastAsia="Arial" w:hAnsi="Arial"/>
                <w:sz w:val="18"/>
                <w:szCs w:val="18"/>
                <w:color w:val="auto"/>
                <w:w w:val="86"/>
              </w:rPr>
              <w:t>803-8030</w:t>
            </w:r>
          </w:p>
        </w:tc>
        <w:tc>
          <w:tcPr>
            <w:tcW w:w="5060" w:type="dxa"/>
            <w:vAlign w:val="bottom"/>
            <w:gridSpan w:val="2"/>
          </w:tcPr>
          <w:p>
            <w:pPr>
              <w:spacing w:after="0"/>
              <w:rPr>
                <w:sz w:val="20"/>
                <w:szCs w:val="20"/>
                <w:color w:val="auto"/>
              </w:rPr>
            </w:pPr>
            <w:r>
              <w:rPr>
                <w:rFonts w:ascii="Arial" w:cs="Arial" w:eastAsia="Arial" w:hAnsi="Arial"/>
                <w:sz w:val="18"/>
                <w:szCs w:val="18"/>
                <w:color w:val="auto"/>
              </w:rPr>
              <w:t>Pleasant Shops</w:t>
            </w:r>
          </w:p>
        </w:tc>
        <w:tc>
          <w:tcPr>
            <w:tcW w:w="4400" w:type="dxa"/>
            <w:vAlign w:val="bottom"/>
          </w:tcPr>
          <w:p>
            <w:pPr>
              <w:ind w:left="2800"/>
              <w:spacing w:after="0"/>
              <w:rPr>
                <w:sz w:val="20"/>
                <w:szCs w:val="20"/>
                <w:color w:val="auto"/>
              </w:rPr>
            </w:pPr>
            <w:r>
              <w:rPr>
                <w:rFonts w:ascii="Arial" w:cs="Arial" w:eastAsia="Arial" w:hAnsi="Arial"/>
                <w:sz w:val="18"/>
                <w:szCs w:val="18"/>
                <w:color w:val="auto"/>
              </w:rPr>
              <w:t>Weymouth</w:t>
            </w:r>
          </w:p>
        </w:tc>
        <w:tc>
          <w:tcPr>
            <w:tcW w:w="840" w:type="dxa"/>
            <w:vAlign w:val="bottom"/>
          </w:tcPr>
          <w:p>
            <w:pPr>
              <w:ind w:left="560"/>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tcPr>
          <w:p>
            <w:pPr>
              <w:jc w:val="right"/>
              <w:ind w:right="352"/>
              <w:spacing w:after="0"/>
              <w:rPr>
                <w:sz w:val="20"/>
                <w:szCs w:val="20"/>
                <w:color w:val="auto"/>
              </w:rPr>
            </w:pPr>
            <w:r>
              <w:rPr>
                <w:rFonts w:ascii="Arial" w:cs="Arial" w:eastAsia="Arial" w:hAnsi="Arial"/>
                <w:sz w:val="18"/>
                <w:szCs w:val="18"/>
                <w:color w:val="auto"/>
                <w:w w:val="86"/>
              </w:rPr>
              <w:t>804-8040</w:t>
            </w:r>
          </w:p>
        </w:tc>
        <w:tc>
          <w:tcPr>
            <w:tcW w:w="5060" w:type="dxa"/>
            <w:vAlign w:val="bottom"/>
            <w:gridSpan w:val="2"/>
          </w:tcPr>
          <w:p>
            <w:pPr>
              <w:spacing w:after="0"/>
              <w:rPr>
                <w:sz w:val="20"/>
                <w:szCs w:val="20"/>
                <w:color w:val="auto"/>
              </w:rPr>
            </w:pPr>
            <w:r>
              <w:rPr>
                <w:rFonts w:ascii="Arial" w:cs="Arial" w:eastAsia="Arial" w:hAnsi="Arial"/>
                <w:sz w:val="18"/>
                <w:szCs w:val="18"/>
                <w:color w:val="auto"/>
              </w:rPr>
              <w:t>Atlantic Plaza</w:t>
            </w:r>
          </w:p>
        </w:tc>
        <w:tc>
          <w:tcPr>
            <w:tcW w:w="4400" w:type="dxa"/>
            <w:vAlign w:val="bottom"/>
          </w:tcPr>
          <w:p>
            <w:pPr>
              <w:ind w:left="2800"/>
              <w:spacing w:after="0"/>
              <w:rPr>
                <w:sz w:val="20"/>
                <w:szCs w:val="20"/>
                <w:color w:val="auto"/>
              </w:rPr>
            </w:pPr>
            <w:r>
              <w:rPr>
                <w:rFonts w:ascii="Arial" w:cs="Arial" w:eastAsia="Arial" w:hAnsi="Arial"/>
                <w:sz w:val="18"/>
                <w:szCs w:val="18"/>
                <w:color w:val="auto"/>
              </w:rPr>
              <w:t>North Reading</w:t>
            </w:r>
          </w:p>
        </w:tc>
        <w:tc>
          <w:tcPr>
            <w:tcW w:w="840" w:type="dxa"/>
            <w:vAlign w:val="bottom"/>
          </w:tcPr>
          <w:p>
            <w:pPr>
              <w:ind w:left="560"/>
              <w:spacing w:after="0"/>
              <w:rPr>
                <w:sz w:val="20"/>
                <w:szCs w:val="20"/>
                <w:color w:val="auto"/>
              </w:rPr>
            </w:pPr>
            <w:r>
              <w:rPr>
                <w:rFonts w:ascii="Arial" w:cs="Arial" w:eastAsia="Arial" w:hAnsi="Arial"/>
                <w:sz w:val="18"/>
                <w:szCs w:val="18"/>
                <w:color w:val="auto"/>
                <w:w w:val="96"/>
              </w:rPr>
              <w:t>MA</w:t>
            </w:r>
          </w:p>
        </w:tc>
      </w:tr>
      <w:tr>
        <w:trPr>
          <w:trHeight w:val="216"/>
        </w:trPr>
        <w:tc>
          <w:tcPr>
            <w:tcW w:w="1120" w:type="dxa"/>
            <w:vAlign w:val="bottom"/>
          </w:tcPr>
          <w:p>
            <w:pPr>
              <w:jc w:val="right"/>
              <w:ind w:right="352"/>
              <w:spacing w:after="0"/>
              <w:rPr>
                <w:sz w:val="20"/>
                <w:szCs w:val="20"/>
                <w:color w:val="auto"/>
              </w:rPr>
            </w:pPr>
            <w:r>
              <w:rPr>
                <w:rFonts w:ascii="Arial" w:cs="Arial" w:eastAsia="Arial" w:hAnsi="Arial"/>
                <w:sz w:val="18"/>
                <w:szCs w:val="18"/>
                <w:color w:val="auto"/>
                <w:w w:val="86"/>
              </w:rPr>
              <w:t>805-8050</w:t>
            </w:r>
          </w:p>
        </w:tc>
        <w:tc>
          <w:tcPr>
            <w:tcW w:w="5060" w:type="dxa"/>
            <w:vAlign w:val="bottom"/>
            <w:gridSpan w:val="2"/>
          </w:tcPr>
          <w:p>
            <w:pPr>
              <w:spacing w:after="0"/>
              <w:rPr>
                <w:sz w:val="20"/>
                <w:szCs w:val="20"/>
                <w:color w:val="auto"/>
              </w:rPr>
            </w:pPr>
            <w:r>
              <w:rPr>
                <w:rFonts w:ascii="Arial" w:cs="Arial" w:eastAsia="Arial" w:hAnsi="Arial"/>
                <w:sz w:val="18"/>
                <w:szCs w:val="18"/>
                <w:color w:val="auto"/>
              </w:rPr>
              <w:t>Greenlawn Plaza</w:t>
            </w:r>
          </w:p>
        </w:tc>
        <w:tc>
          <w:tcPr>
            <w:tcW w:w="4400" w:type="dxa"/>
            <w:vAlign w:val="bottom"/>
          </w:tcPr>
          <w:p>
            <w:pPr>
              <w:ind w:left="2800"/>
              <w:spacing w:after="0"/>
              <w:rPr>
                <w:sz w:val="20"/>
                <w:szCs w:val="20"/>
                <w:color w:val="auto"/>
              </w:rPr>
            </w:pPr>
            <w:r>
              <w:rPr>
                <w:rFonts w:ascii="Arial" w:cs="Arial" w:eastAsia="Arial" w:hAnsi="Arial"/>
                <w:sz w:val="18"/>
                <w:szCs w:val="18"/>
                <w:color w:val="auto"/>
              </w:rPr>
              <w:t>Huntington</w:t>
            </w:r>
          </w:p>
        </w:tc>
        <w:tc>
          <w:tcPr>
            <w:tcW w:w="840" w:type="dxa"/>
            <w:vAlign w:val="bottom"/>
          </w:tcPr>
          <w:p>
            <w:pPr>
              <w:ind w:left="560"/>
              <w:spacing w:after="0"/>
              <w:rPr>
                <w:sz w:val="20"/>
                <w:szCs w:val="20"/>
                <w:color w:val="auto"/>
              </w:rPr>
            </w:pPr>
            <w:r>
              <w:rPr>
                <w:rFonts w:ascii="Arial" w:cs="Arial" w:eastAsia="Arial" w:hAnsi="Arial"/>
                <w:sz w:val="18"/>
                <w:szCs w:val="18"/>
                <w:color w:val="auto"/>
              </w:rPr>
              <w:t>NY</w:t>
            </w:r>
          </w:p>
        </w:tc>
      </w:tr>
      <w:tr>
        <w:trPr>
          <w:trHeight w:val="216"/>
        </w:trPr>
        <w:tc>
          <w:tcPr>
            <w:tcW w:w="1120" w:type="dxa"/>
            <w:vAlign w:val="bottom"/>
          </w:tcPr>
          <w:p>
            <w:pPr>
              <w:jc w:val="right"/>
              <w:ind w:right="352"/>
              <w:spacing w:after="0"/>
              <w:rPr>
                <w:sz w:val="20"/>
                <w:szCs w:val="20"/>
                <w:color w:val="auto"/>
              </w:rPr>
            </w:pPr>
            <w:r>
              <w:rPr>
                <w:rFonts w:ascii="Arial" w:cs="Arial" w:eastAsia="Arial" w:hAnsi="Arial"/>
                <w:sz w:val="18"/>
                <w:szCs w:val="18"/>
                <w:color w:val="auto"/>
                <w:w w:val="86"/>
              </w:rPr>
              <w:t>806-8060</w:t>
            </w:r>
          </w:p>
        </w:tc>
        <w:tc>
          <w:tcPr>
            <w:tcW w:w="5060" w:type="dxa"/>
            <w:vAlign w:val="bottom"/>
            <w:gridSpan w:val="2"/>
          </w:tcPr>
          <w:p>
            <w:pPr>
              <w:spacing w:after="0"/>
              <w:rPr>
                <w:sz w:val="20"/>
                <w:szCs w:val="20"/>
                <w:color w:val="auto"/>
              </w:rPr>
            </w:pPr>
            <w:r>
              <w:rPr>
                <w:rFonts w:ascii="Arial" w:cs="Arial" w:eastAsia="Arial" w:hAnsi="Arial"/>
                <w:sz w:val="18"/>
                <w:szCs w:val="18"/>
                <w:color w:val="auto"/>
              </w:rPr>
              <w:t>Barcroft Plaza</w:t>
            </w:r>
          </w:p>
        </w:tc>
        <w:tc>
          <w:tcPr>
            <w:tcW w:w="4400" w:type="dxa"/>
            <w:vAlign w:val="bottom"/>
          </w:tcPr>
          <w:p>
            <w:pPr>
              <w:ind w:left="2800"/>
              <w:spacing w:after="0"/>
              <w:rPr>
                <w:sz w:val="20"/>
                <w:szCs w:val="20"/>
                <w:color w:val="auto"/>
              </w:rPr>
            </w:pPr>
            <w:r>
              <w:rPr>
                <w:rFonts w:ascii="Arial" w:cs="Arial" w:eastAsia="Arial" w:hAnsi="Arial"/>
                <w:sz w:val="18"/>
                <w:szCs w:val="18"/>
                <w:color w:val="auto"/>
              </w:rPr>
              <w:t>Falls Church</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16"/>
        </w:trPr>
        <w:tc>
          <w:tcPr>
            <w:tcW w:w="1120" w:type="dxa"/>
            <w:vAlign w:val="bottom"/>
          </w:tcPr>
          <w:p>
            <w:pPr>
              <w:jc w:val="right"/>
              <w:ind w:right="352"/>
              <w:spacing w:after="0"/>
              <w:rPr>
                <w:sz w:val="20"/>
                <w:szCs w:val="20"/>
                <w:color w:val="auto"/>
              </w:rPr>
            </w:pPr>
            <w:r>
              <w:rPr>
                <w:rFonts w:ascii="Arial" w:cs="Arial" w:eastAsia="Arial" w:hAnsi="Arial"/>
                <w:sz w:val="18"/>
                <w:szCs w:val="18"/>
                <w:color w:val="auto"/>
                <w:w w:val="86"/>
              </w:rPr>
              <w:t>806-8061</w:t>
            </w:r>
          </w:p>
        </w:tc>
        <w:tc>
          <w:tcPr>
            <w:tcW w:w="5060" w:type="dxa"/>
            <w:vAlign w:val="bottom"/>
            <w:gridSpan w:val="2"/>
          </w:tcPr>
          <w:p>
            <w:pPr>
              <w:spacing w:after="0"/>
              <w:rPr>
                <w:sz w:val="20"/>
                <w:szCs w:val="20"/>
                <w:color w:val="auto"/>
              </w:rPr>
            </w:pPr>
            <w:r>
              <w:rPr>
                <w:rFonts w:ascii="Arial" w:cs="Arial" w:eastAsia="Arial" w:hAnsi="Arial"/>
                <w:sz w:val="18"/>
                <w:szCs w:val="18"/>
                <w:color w:val="auto"/>
              </w:rPr>
              <w:t>Lake Barcroft</w:t>
            </w:r>
          </w:p>
        </w:tc>
        <w:tc>
          <w:tcPr>
            <w:tcW w:w="4400" w:type="dxa"/>
            <w:vAlign w:val="bottom"/>
          </w:tcPr>
          <w:p>
            <w:pPr>
              <w:ind w:left="2800"/>
              <w:spacing w:after="0"/>
              <w:rPr>
                <w:sz w:val="20"/>
                <w:szCs w:val="20"/>
                <w:color w:val="auto"/>
              </w:rPr>
            </w:pPr>
            <w:r>
              <w:rPr>
                <w:rFonts w:ascii="Arial" w:cs="Arial" w:eastAsia="Arial" w:hAnsi="Arial"/>
                <w:sz w:val="18"/>
                <w:szCs w:val="18"/>
                <w:color w:val="auto"/>
              </w:rPr>
              <w:t>Falls Church</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22"/>
        </w:trPr>
        <w:tc>
          <w:tcPr>
            <w:tcW w:w="1120" w:type="dxa"/>
            <w:vAlign w:val="bottom"/>
          </w:tcPr>
          <w:p>
            <w:pPr>
              <w:jc w:val="right"/>
              <w:ind w:right="352"/>
              <w:spacing w:after="0"/>
              <w:rPr>
                <w:sz w:val="20"/>
                <w:szCs w:val="20"/>
                <w:color w:val="auto"/>
              </w:rPr>
            </w:pPr>
            <w:r>
              <w:rPr>
                <w:rFonts w:ascii="Arial" w:cs="Arial" w:eastAsia="Arial" w:hAnsi="Arial"/>
                <w:sz w:val="18"/>
                <w:szCs w:val="18"/>
                <w:color w:val="auto"/>
                <w:w w:val="86"/>
              </w:rPr>
              <w:t>807-8070</w:t>
            </w:r>
          </w:p>
        </w:tc>
        <w:tc>
          <w:tcPr>
            <w:tcW w:w="5060" w:type="dxa"/>
            <w:vAlign w:val="bottom"/>
            <w:gridSpan w:val="2"/>
          </w:tcPr>
          <w:p>
            <w:pPr>
              <w:spacing w:after="0"/>
              <w:rPr>
                <w:sz w:val="20"/>
                <w:szCs w:val="20"/>
                <w:color w:val="auto"/>
              </w:rPr>
            </w:pPr>
            <w:r>
              <w:rPr>
                <w:rFonts w:ascii="Arial" w:cs="Arial" w:eastAsia="Arial" w:hAnsi="Arial"/>
                <w:sz w:val="18"/>
                <w:szCs w:val="18"/>
                <w:color w:val="auto"/>
              </w:rPr>
              <w:t>Free State</w:t>
            </w:r>
          </w:p>
        </w:tc>
        <w:tc>
          <w:tcPr>
            <w:tcW w:w="4400" w:type="dxa"/>
            <w:vAlign w:val="bottom"/>
          </w:tcPr>
          <w:p>
            <w:pPr>
              <w:ind w:left="2800"/>
              <w:spacing w:after="0"/>
              <w:rPr>
                <w:sz w:val="20"/>
                <w:szCs w:val="20"/>
                <w:color w:val="auto"/>
              </w:rPr>
            </w:pPr>
            <w:r>
              <w:rPr>
                <w:rFonts w:ascii="Arial" w:cs="Arial" w:eastAsia="Arial" w:hAnsi="Arial"/>
                <w:sz w:val="18"/>
                <w:szCs w:val="18"/>
                <w:color w:val="auto"/>
              </w:rPr>
              <w:t>Bowie</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bl>
    <w:p>
      <w:pPr>
        <w:sectPr>
          <w:pgSz w:w="11900" w:h="16838" w:orient="portrait"/>
          <w:cols w:equalWidth="0" w:num="1">
            <w:col w:w="11420"/>
          </w:cols>
          <w:pgMar w:left="240" w:top="263" w:right="239" w:bottom="1440" w:gutter="0" w:footer="0" w:header="0"/>
        </w:sectPr>
      </w:pPr>
    </w:p>
    <w:bookmarkStart w:id="364" w:name="page365"/>
    <w:bookmarkEnd w:id="364"/>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Interest Rate as of</w:t>
            </w:r>
          </w:p>
        </w:tc>
        <w:tc>
          <w:tcPr>
            <w:tcW w:w="7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Balance as of</w:t>
            </w: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w:t>
            </w:r>
          </w:p>
        </w:tc>
        <w:tc>
          <w:tcPr>
            <w:tcW w:w="74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September</w:t>
            </w:r>
          </w:p>
        </w:tc>
        <w:tc>
          <w:tcPr>
            <w:tcW w:w="360" w:type="dxa"/>
            <w:vAlign w:val="bottom"/>
          </w:tcPr>
          <w:p>
            <w:pPr>
              <w:spacing w:after="0"/>
              <w:rPr>
                <w:sz w:val="12"/>
                <w:szCs w:val="12"/>
                <w:color w:val="auto"/>
              </w:rPr>
            </w:pPr>
          </w:p>
        </w:tc>
        <w:tc>
          <w:tcPr>
            <w:tcW w:w="318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Counterparty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92"/>
              </w:rPr>
              <w:t>Maturity Date</w:t>
            </w:r>
          </w:p>
        </w:tc>
        <w:tc>
          <w:tcPr>
            <w:tcW w:w="144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88"/>
              </w:rPr>
              <w:t>30, 2007</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30, 2007</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(in</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thousands)</w:t>
            </w: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Mortgage Loans (a)</w:t>
            </w:r>
          </w:p>
        </w:tc>
        <w:tc>
          <w:tcPr>
            <w:tcW w:w="2300" w:type="dxa"/>
            <w:vAlign w:val="bottom"/>
            <w:tcBorders>
              <w:bottom w:val="single" w:sz="8" w:color="CCEEFF"/>
            </w:tcBorders>
            <w:gridSpan w:val="3"/>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b w:val="1"/>
                <w:bCs w:val="1"/>
                <w:i w:val="1"/>
                <w:iCs w:val="1"/>
                <w:color w:val="auto"/>
              </w:rPr>
              <w:t>Secured Fixed Rate</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10/01/08</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6.510%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9,665</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164 E Houston Street</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10/06/08</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7.500%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Solomon Schlosser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Byron Station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12/31/08</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6.060%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M&amp;T Trust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Mercer Mall</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04/01/09</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8.375%</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4,458</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Merrill Lynch Credit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Federal Plaza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06/01/11</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6.750%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33,803</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Bear Steams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Tysons Station</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09/01/11</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7.400%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6,255</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SunLife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White Marsh Plaza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04/01/13</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6.040%</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10,410</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Nationwide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Crow Canyon</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08/11/13</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5.400%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21,680</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Credit Suisse First Boston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Melville Mall</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09/01/14</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5.250%</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25,250</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TransAmerica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THE AVENUE at White Marsh</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01/01/15</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5.460%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61,281</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w w:val="99"/>
              </w:rPr>
              <w:t>Teachers Insurance and Annuity Assoc.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Barracks Road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7.950%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42,149</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Hauppauge</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7.950%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15,889</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7.950%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29,875</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Wildwood</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7.950%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26,260</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7.950%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30,446</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Brick Plaza</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7.415%</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31,257</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01/31/21</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5.910%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6,010</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Genworth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Mount Vernon</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04/15/28</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5.660%</w:t>
            </w:r>
          </w:p>
        </w:tc>
        <w:tc>
          <w:tcPr>
            <w:tcW w:w="740" w:type="dxa"/>
            <w:vAlign w:val="bottom"/>
          </w:tcPr>
          <w:p>
            <w:pPr>
              <w:ind w:left="80"/>
              <w:spacing w:after="0"/>
              <w:rPr>
                <w:sz w:val="20"/>
                <w:szCs w:val="20"/>
                <w:color w:val="auto"/>
              </w:rPr>
            </w:pPr>
            <w:r>
              <w:rPr>
                <w:rFonts w:ascii="Arial" w:cs="Arial" w:eastAsia="Arial" w:hAnsi="Arial"/>
                <w:sz w:val="18"/>
                <w:szCs w:val="18"/>
                <w:color w:val="auto"/>
              </w:rPr>
              <w:t>(d)</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12,041</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Thrivent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01/15/31</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5.360%</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CapLease Debt Funding LP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376,233</w:t>
            </w:r>
          </w:p>
        </w:tc>
        <w:tc>
          <w:tcPr>
            <w:tcW w:w="3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Notes Payable</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01/31/13</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w:t>
            </w: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b w:val="1"/>
                <w:bCs w:val="1"/>
                <w:i w:val="1"/>
                <w:iCs w:val="1"/>
                <w:color w:val="auto"/>
              </w:rPr>
              <w:t>Unsecured Variable Rate</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Revolving credit facility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07/27/10</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LIBOR + .425%</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168,000</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Escondido (Municipal bonds)</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10/01/16</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3.730%</w:t>
            </w:r>
          </w:p>
        </w:tc>
        <w:tc>
          <w:tcPr>
            <w:tcW w:w="740" w:type="dxa"/>
            <w:vAlign w:val="bottom"/>
          </w:tcPr>
          <w:p>
            <w:pPr>
              <w:ind w:left="80"/>
              <w:spacing w:after="0"/>
              <w:rPr>
                <w:sz w:val="20"/>
                <w:szCs w:val="20"/>
                <w:color w:val="auto"/>
              </w:rPr>
            </w:pPr>
            <w:r>
              <w:rPr>
                <w:rFonts w:ascii="Arial" w:cs="Arial" w:eastAsia="Arial" w:hAnsi="Arial"/>
                <w:sz w:val="18"/>
                <w:szCs w:val="18"/>
                <w:color w:val="auto"/>
              </w:rPr>
              <w:t>(e)</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178,873</w:t>
            </w: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800" w:type="dxa"/>
            <w:vAlign w:val="bottom"/>
            <w:gridSpan w:val="7"/>
          </w:tcPr>
          <w:p>
            <w:pPr>
              <w:spacing w:after="0"/>
              <w:rPr>
                <w:sz w:val="20"/>
                <w:szCs w:val="20"/>
                <w:color w:val="auto"/>
              </w:rPr>
            </w:pPr>
            <w:r>
              <w:rPr>
                <w:rFonts w:ascii="Arial" w:cs="Arial" w:eastAsia="Arial" w:hAnsi="Arial"/>
                <w:sz w:val="18"/>
                <w:szCs w:val="18"/>
                <w:b w:val="1"/>
                <w:bCs w:val="1"/>
                <w:color w:val="auto"/>
              </w:rPr>
              <w:t>Senior Notes and Debentures</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6.125% Notes</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11/15/07</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6.325%</w:t>
            </w:r>
          </w:p>
        </w:tc>
        <w:tc>
          <w:tcPr>
            <w:tcW w:w="740" w:type="dxa"/>
            <w:vAlign w:val="bottom"/>
          </w:tcPr>
          <w:p>
            <w:pPr>
              <w:ind w:left="80"/>
              <w:spacing w:after="0"/>
              <w:rPr>
                <w:sz w:val="20"/>
                <w:szCs w:val="20"/>
                <w:color w:val="auto"/>
              </w:rPr>
            </w:pPr>
            <w:r>
              <w:rPr>
                <w:rFonts w:ascii="Arial" w:cs="Arial" w:eastAsia="Arial" w:hAnsi="Arial"/>
                <w:sz w:val="18"/>
                <w:szCs w:val="18"/>
                <w:color w:val="auto"/>
              </w:rPr>
              <w:t>(f)</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8.75% Notes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12/01/09</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8.750%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4.50% Notes</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02/15/11</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4.500%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6.00% Notes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07/15/12</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6.000%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5.40% Notes</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12/01/13</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5.400%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135,000</w:t>
            </w:r>
          </w:p>
        </w:tc>
        <w:tc>
          <w:tcPr>
            <w:tcW w:w="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06/01/16</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5.650%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w:t>
            </w: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6.20% Notes</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01/15/17</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6.200%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7.48% Debentures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08/15/26</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7.480%</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6.82% Medium Term Notes</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08/01/27</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6.820%</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1,125,000</w:t>
            </w: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800" w:type="dxa"/>
            <w:vAlign w:val="bottom"/>
            <w:gridSpan w:val="7"/>
          </w:tcPr>
          <w:p>
            <w:pPr>
              <w:spacing w:after="0"/>
              <w:rPr>
                <w:sz w:val="20"/>
                <w:szCs w:val="20"/>
                <w:color w:val="auto"/>
              </w:rPr>
            </w:pPr>
            <w:r>
              <w:rPr>
                <w:rFonts w:ascii="Arial" w:cs="Arial" w:eastAsia="Arial" w:hAnsi="Arial"/>
                <w:sz w:val="18"/>
                <w:szCs w:val="18"/>
                <w:b w:val="1"/>
                <w:bCs w:val="1"/>
                <w:color w:val="auto"/>
              </w:rPr>
              <w:t>Letter of Credit</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Beneficiary</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Township of Lower Merion</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City of San Antonio, Texas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City of Escondido Promenade Project</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w:t>
            </w:r>
          </w:p>
        </w:tc>
        <w:tc>
          <w:tcPr>
            <w:tcW w:w="20" w:type="dxa"/>
            <w:vAlign w:val="bottom"/>
          </w:tcPr>
          <w:p>
            <w:pPr>
              <w:spacing w:after="0"/>
              <w:rPr>
                <w:sz w:val="19"/>
                <w:szCs w:val="19"/>
                <w:color w:val="auto"/>
              </w:rPr>
            </w:pP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Bank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10,649</w:t>
            </w: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800" w:type="dxa"/>
            <w:vAlign w:val="bottom"/>
            <w:gridSpan w:val="7"/>
          </w:tcPr>
          <w:p>
            <w:pPr>
              <w:spacing w:after="0"/>
              <w:rPr>
                <w:sz w:val="20"/>
                <w:szCs w:val="20"/>
                <w:color w:val="auto"/>
              </w:rPr>
            </w:pPr>
            <w:r>
              <w:rPr>
                <w:rFonts w:ascii="Arial" w:cs="Arial" w:eastAsia="Arial" w:hAnsi="Arial"/>
                <w:sz w:val="18"/>
                <w:szCs w:val="18"/>
                <w:b w:val="1"/>
                <w:bCs w:val="1"/>
                <w:color w:val="auto"/>
              </w:rPr>
              <w:t>Capital Lease Obligations</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1/1/2059</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7.884% - 9.92%</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12,576</w:t>
            </w: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Miller Properties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tcPr>
          <w:p>
            <w:pPr>
              <w:ind w:left="420"/>
              <w:spacing w:after="0"/>
              <w:rPr>
                <w:sz w:val="20"/>
                <w:szCs w:val="20"/>
                <w:color w:val="auto"/>
              </w:rPr>
            </w:pPr>
            <w:r>
              <w:rPr>
                <w:rFonts w:ascii="Arial" w:cs="Arial" w:eastAsia="Arial" w:hAnsi="Arial"/>
                <w:sz w:val="18"/>
                <w:szCs w:val="18"/>
                <w:color w:val="auto"/>
              </w:rPr>
              <w:t>Lancaster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3/27/2076</w:t>
            </w: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6.500%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4,907</w:t>
            </w:r>
          </w:p>
        </w:tc>
        <w:tc>
          <w:tcPr>
            <w:tcW w:w="3540" w:type="dxa"/>
            <w:vAlign w:val="bottom"/>
            <w:gridSpan w:val="2"/>
          </w:tcPr>
          <w:p>
            <w:pPr>
              <w:ind w:left="360"/>
              <w:spacing w:after="0"/>
              <w:rPr>
                <w:sz w:val="20"/>
                <w:szCs w:val="20"/>
                <w:color w:val="auto"/>
              </w:rPr>
            </w:pPr>
            <w:r>
              <w:rPr>
                <w:rFonts w:ascii="Arial" w:cs="Arial" w:eastAsia="Arial" w:hAnsi="Arial"/>
                <w:sz w:val="18"/>
                <w:szCs w:val="18"/>
                <w:color w:val="auto"/>
              </w:rPr>
              <w:t>Manheim Associates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Mercer Mall</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10/14/2028</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52,641</w:t>
            </w:r>
          </w:p>
        </w:tc>
        <w:tc>
          <w:tcPr>
            <w:tcW w:w="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Mercer Mall Property Group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70,124</w:t>
            </w:r>
          </w:p>
        </w:tc>
        <w:tc>
          <w:tcPr>
            <w:tcW w:w="3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900" w:hanging="446"/>
        <w:spacing w:after="0"/>
        <w:tabs>
          <w:tab w:leader="none" w:pos="90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($23.2 million) of the $77.4 million debt of the partnership with Clarion Lion Properties Fund.</w:t>
      </w:r>
    </w:p>
    <w:p>
      <w:pPr>
        <w:spacing w:after="0" w:line="38" w:lineRule="exact"/>
        <w:rPr>
          <w:rFonts w:ascii="Arial" w:cs="Arial" w:eastAsia="Arial" w:hAnsi="Arial"/>
          <w:sz w:val="16"/>
          <w:szCs w:val="16"/>
          <w:color w:val="auto"/>
        </w:rPr>
      </w:pPr>
    </w:p>
    <w:p>
      <w:pPr>
        <w:ind w:left="900" w:right="120" w:hanging="446"/>
        <w:spacing w:after="0" w:line="281" w:lineRule="auto"/>
        <w:tabs>
          <w:tab w:leader="none" w:pos="90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stated interest rate represents the weighted average interest rate for two mortgage loans secured by this property. The loan balance represents an interest-only note of $4.35 million at a stated rate of 6.18% and the remaining balance at a stated rate of 5.96%.</w:t>
      </w:r>
    </w:p>
    <w:p>
      <w:pPr>
        <w:spacing w:after="0" w:line="1" w:lineRule="exact"/>
        <w:rPr>
          <w:rFonts w:ascii="Arial" w:cs="Arial" w:eastAsia="Arial" w:hAnsi="Arial"/>
          <w:sz w:val="16"/>
          <w:szCs w:val="16"/>
          <w:color w:val="auto"/>
        </w:rPr>
      </w:pPr>
    </w:p>
    <w:p>
      <w:pPr>
        <w:jc w:val="both"/>
        <w:ind w:left="900" w:right="320" w:hanging="446"/>
        <w:spacing w:after="0" w:line="250" w:lineRule="auto"/>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Trust acquired control of Melville Mall through a 20 year master lease and secondary financing. Because the Trust controls this property and retains substantially all of the economic benefit and risk associated with it, this property is consolidated and the mortgage loan is reflected on the balance sheet though it is not a legal obligation of the Trust.</w:t>
      </w:r>
    </w:p>
    <w:p>
      <w:pPr>
        <w:spacing w:after="0" w:line="1" w:lineRule="exact"/>
        <w:rPr>
          <w:rFonts w:ascii="Arial" w:cs="Arial" w:eastAsia="Arial" w:hAnsi="Arial"/>
          <w:sz w:val="18"/>
          <w:szCs w:val="18"/>
          <w:color w:val="auto"/>
        </w:rPr>
      </w:pPr>
    </w:p>
    <w:p>
      <w:pPr>
        <w:ind w:left="900" w:right="100" w:hanging="446"/>
        <w:spacing w:after="0" w:line="250" w:lineRule="auto"/>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anytime thereafter.</w:t>
      </w:r>
    </w:p>
    <w:p>
      <w:pPr>
        <w:ind w:left="900" w:hanging="446"/>
        <w:spacing w:after="0"/>
        <w:tabs>
          <w:tab w:leader="none" w:pos="90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32" w:lineRule="exact"/>
        <w:rPr>
          <w:rFonts w:ascii="Arial" w:cs="Arial" w:eastAsia="Arial" w:hAnsi="Arial"/>
          <w:sz w:val="16"/>
          <w:szCs w:val="16"/>
          <w:color w:val="auto"/>
        </w:rPr>
      </w:pPr>
    </w:p>
    <w:p>
      <w:pPr>
        <w:ind w:left="900" w:hanging="446"/>
        <w:spacing w:after="0"/>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This debt is being repaid and replaced with the Credit Agreement.</w:t>
      </w:r>
    </w:p>
    <w:p>
      <w:pPr>
        <w:sectPr>
          <w:pgSz w:w="11900" w:h="16859" w:orient="portrait"/>
          <w:cols w:equalWidth="0" w:num="1">
            <w:col w:w="11420"/>
          </w:cols>
          <w:pgMar w:left="240" w:top="274" w:right="239" w:bottom="0" w:gutter="0" w:footer="0" w:header="0"/>
        </w:sectPr>
      </w:pPr>
    </w:p>
    <w:bookmarkStart w:id="365" w:name="page366"/>
    <w:bookmarkEnd w:id="365"/>
    <w:p>
      <w:pPr>
        <w:ind w:left="900" w:hanging="446"/>
        <w:spacing w:after="0"/>
        <w:tabs>
          <w:tab w:leader="none" w:pos="90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90" w:lineRule="exact"/>
        <w:rPr>
          <w:sz w:val="20"/>
          <w:szCs w:val="20"/>
          <w:color w:val="auto"/>
        </w:rPr>
      </w:pPr>
    </w:p>
    <w:p>
      <w:pPr>
        <w:ind w:firstLine="8"/>
        <w:spacing w:after="0" w:line="306" w:lineRule="auto"/>
        <w:tabs>
          <w:tab w:leader="none" w:pos="17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San Antonio TIF - If the tax revenues within the TIF zone are not sufficient to pay debt service on obligations issued by the City of San Antonio that were used to fund public improvements around properties we own in the TIF distict, we would be required to provide funding for the shortfall. Funding obligation applied from 10/1/02 through 9/30/14. We do not anticipate the funding obligation to exceed $600,000 in any one year or $3 million in aggregate.</w:t>
      </w:r>
    </w:p>
    <w:p>
      <w:pPr>
        <w:spacing w:after="0" w:line="106" w:lineRule="exact"/>
        <w:rPr>
          <w:rFonts w:ascii="Arial" w:cs="Arial" w:eastAsia="Arial" w:hAnsi="Arial"/>
          <w:sz w:val="16"/>
          <w:szCs w:val="16"/>
          <w:color w:val="auto"/>
        </w:rPr>
      </w:pPr>
    </w:p>
    <w:p>
      <w:pPr>
        <w:ind w:right="320" w:firstLine="8"/>
        <w:spacing w:after="0" w:line="286" w:lineRule="auto"/>
        <w:tabs>
          <w:tab w:leader="none" w:pos="17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Redevelopment Bonds - in connection with current redevelopment projects, local governmental authorities typically require deposting a bond to secure performance on work on public infrastructure. If we fail to perform the work or perform faulty work, we may be obligated to pay on these bonds. The current</w:t>
      </w:r>
    </w:p>
    <w:p>
      <w:pPr>
        <w:spacing w:after="0"/>
        <w:tabs>
          <w:tab w:leader="none" w:pos="3900" w:val="left"/>
        </w:tabs>
        <w:rPr>
          <w:sz w:val="20"/>
          <w:szCs w:val="20"/>
          <w:color w:val="auto"/>
        </w:rPr>
      </w:pPr>
      <w:r>
        <w:rPr>
          <w:rFonts w:ascii="Arial" w:cs="Arial" w:eastAsia="Arial" w:hAnsi="Arial"/>
          <w:sz w:val="18"/>
          <w:szCs w:val="18"/>
          <w:color w:val="auto"/>
        </w:rPr>
        <w:t>amount outstanding under these bonds is $</w:t>
      </w:r>
      <w:r>
        <w:rPr>
          <w:sz w:val="20"/>
          <w:szCs w:val="20"/>
          <w:color w:val="auto"/>
        </w:rPr>
        <w:tab/>
      </w:r>
      <w:r>
        <w:rPr>
          <w:rFonts w:ascii="Arial" w:cs="Arial" w:eastAsia="Arial" w:hAnsi="Arial"/>
          <w:sz w:val="14"/>
          <w:szCs w:val="14"/>
          <w:color w:val="auto"/>
        </w:rPr>
        <w:t>.</w:t>
      </w:r>
    </w:p>
    <w:p>
      <w:pPr>
        <w:sectPr>
          <w:pgSz w:w="11900" w:h="16838" w:orient="portrait"/>
          <w:cols w:equalWidth="0" w:num="1">
            <w:col w:w="11380"/>
          </w:cols>
          <w:pgMar w:left="240" w:top="131" w:right="279" w:bottom="1440" w:gutter="0" w:footer="0" w:header="0"/>
        </w:sectPr>
      </w:pPr>
    </w:p>
    <w:bookmarkStart w:id="366" w:name="page367"/>
    <w:bookmarkEnd w:id="36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LITIGATION</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A trial as to liability only was held in June 2006 and a jury rendered a verdict against us. A trial on the issue of damages has been set for March 2008. The complaint did not specify the amount of damages claimed. We have now received reports from our experts and the plaintiffs experts which show potential damages ranging from $600,000 to $24 million. We cannot make a reasonable estimate of potential damages until discovery is completed on the damages issue and the court rules on various legal issues impacting the calculation of damages. We intend to appeal the jury verdict; however, no appeal of the judgment can be taken until the trial on damages has been completed. If we are not successful in overturning the jury verdict, we will be liable for damages. Depending on the amount of damages awarded, it is possible, there could be a material adverse impact on our net income in the period in which it is both probable that we will have to pay the damages and such damages can be reasonably estimated. In any event, management does not believe it will have a material impact on our financial position.</w:t>
      </w:r>
    </w:p>
    <w:p>
      <w:pPr>
        <w:spacing w:after="0" w:line="1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has been concluded and post-trial briefs have been filed, but no decision has been rendered. One of the plaintiffs in the matter has filed for bankruptcy protection and as a result, the judge in our case has stayed further proceedings in the case. If we are found liable once the stay has been lifted, a trial will be held to determine the amount of damages. Based on the information available to us, we believe there is a reasonable possibility that we will be found liable. If a verdict is rendered against us, we will seek indemnification from the third party management company that negotiated the lease on our behalf. We cannot assess with any certainty at this time the potential damages for which we would be liable if a verdict is rendered against us or the potential amounts we might recover against the third party management company; however, if a verdict is rendered against us, there may be a material adverse impact on our net income in the period during which our indemnification claim is pending.</w:t>
      </w:r>
    </w:p>
    <w:p>
      <w:pPr>
        <w:sectPr>
          <w:pgSz w:w="11900" w:h="16838" w:orient="portrait"/>
          <w:cols w:equalWidth="0" w:num="1">
            <w:col w:w="11400"/>
          </w:cols>
          <w:pgMar w:left="240" w:top="273" w:right="259"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Eligible Property</w:t>
            </w: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3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City</w:t>
            </w:r>
          </w:p>
        </w:tc>
        <w:tc>
          <w:tcPr>
            <w:tcW w:w="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Retail/Multif</w:t>
            </w:r>
          </w:p>
        </w:tc>
        <w:tc>
          <w:tcPr>
            <w:tcW w:w="1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Exceptions</w:t>
            </w:r>
          </w:p>
        </w:tc>
      </w:tr>
      <w:tr>
        <w:trPr>
          <w:trHeight w:val="27"/>
        </w:trPr>
        <w:tc>
          <w:tcPr>
            <w:tcW w:w="1160" w:type="dxa"/>
            <w:vAlign w:val="bottom"/>
            <w:gridSpan w:val="2"/>
            <w:shd w:val="clear" w:color="auto" w:fill="000000"/>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r>
      <w:tr>
        <w:trPr>
          <w:trHeight w:val="316"/>
        </w:trPr>
        <w:tc>
          <w:tcPr>
            <w:tcW w:w="1160" w:type="dxa"/>
            <w:vAlign w:val="bottom"/>
            <w:gridSpan w:val="2"/>
          </w:tcPr>
          <w:p>
            <w:pPr>
              <w:spacing w:after="0"/>
              <w:rPr>
                <w:sz w:val="20"/>
                <w:szCs w:val="20"/>
                <w:color w:val="auto"/>
              </w:rPr>
            </w:pPr>
            <w:r>
              <w:rPr>
                <w:rFonts w:ascii="Arial" w:cs="Arial" w:eastAsia="Arial" w:hAnsi="Arial"/>
                <w:sz w:val="18"/>
                <w:szCs w:val="18"/>
                <w:color w:val="auto"/>
              </w:rPr>
              <w:t>010-1002</w:t>
            </w:r>
          </w:p>
        </w:tc>
        <w:tc>
          <w:tcPr>
            <w:tcW w:w="4340" w:type="dxa"/>
            <w:vAlign w:val="bottom"/>
          </w:tcPr>
          <w:p>
            <w:pPr>
              <w:spacing w:after="0"/>
              <w:rPr>
                <w:sz w:val="20"/>
                <w:szCs w:val="20"/>
                <w:color w:val="auto"/>
              </w:rPr>
            </w:pPr>
            <w:r>
              <w:rPr>
                <w:rFonts w:ascii="Arial" w:cs="Arial" w:eastAsia="Arial" w:hAnsi="Arial"/>
                <w:sz w:val="18"/>
                <w:szCs w:val="18"/>
                <w:color w:val="auto"/>
              </w:rPr>
              <w:t>Andorra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Philadelphia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030-1080</w:t>
            </w:r>
          </w:p>
        </w:tc>
        <w:tc>
          <w:tcPr>
            <w:tcW w:w="4340" w:type="dxa"/>
            <w:vAlign w:val="bottom"/>
          </w:tcPr>
          <w:p>
            <w:pPr>
              <w:spacing w:after="0"/>
              <w:rPr>
                <w:sz w:val="20"/>
                <w:szCs w:val="20"/>
                <w:color w:val="auto"/>
              </w:rPr>
            </w:pPr>
            <w:r>
              <w:rPr>
                <w:rFonts w:ascii="Arial" w:cs="Arial" w:eastAsia="Arial" w:hAnsi="Arial"/>
                <w:sz w:val="18"/>
                <w:szCs w:val="18"/>
                <w:color w:val="auto"/>
              </w:rPr>
              <w:t>Congressional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030-1081</w:t>
            </w:r>
          </w:p>
        </w:tc>
        <w:tc>
          <w:tcPr>
            <w:tcW w:w="4340" w:type="dxa"/>
            <w:vAlign w:val="bottom"/>
          </w:tcPr>
          <w:p>
            <w:pPr>
              <w:spacing w:after="0"/>
              <w:rPr>
                <w:sz w:val="20"/>
                <w:szCs w:val="20"/>
                <w:color w:val="auto"/>
              </w:rPr>
            </w:pPr>
            <w:r>
              <w:rPr>
                <w:rFonts w:ascii="Arial" w:cs="Arial" w:eastAsia="Arial" w:hAnsi="Arial"/>
                <w:sz w:val="18"/>
                <w:szCs w:val="18"/>
                <w:color w:val="auto"/>
              </w:rPr>
              <w:t>Congressional Plaza Apartments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Multifamily</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040-1240</w:t>
            </w:r>
          </w:p>
        </w:tc>
        <w:tc>
          <w:tcPr>
            <w:tcW w:w="4340" w:type="dxa"/>
            <w:vAlign w:val="bottom"/>
          </w:tcPr>
          <w:p>
            <w:pPr>
              <w:spacing w:after="0"/>
              <w:rPr>
                <w:sz w:val="20"/>
                <w:szCs w:val="20"/>
                <w:color w:val="auto"/>
              </w:rPr>
            </w:pPr>
            <w:r>
              <w:rPr>
                <w:rFonts w:ascii="Arial" w:cs="Arial" w:eastAsia="Arial" w:hAnsi="Arial"/>
                <w:sz w:val="18"/>
                <w:szCs w:val="18"/>
                <w:color w:val="auto"/>
              </w:rPr>
              <w:t>Governor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Glen Burnie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060-1444</w:t>
            </w:r>
          </w:p>
        </w:tc>
        <w:tc>
          <w:tcPr>
            <w:tcW w:w="4340" w:type="dxa"/>
            <w:vAlign w:val="bottom"/>
          </w:tcPr>
          <w:p>
            <w:pPr>
              <w:spacing w:after="0"/>
              <w:rPr>
                <w:sz w:val="20"/>
                <w:szCs w:val="20"/>
                <w:color w:val="auto"/>
              </w:rPr>
            </w:pPr>
            <w:r>
              <w:rPr>
                <w:rFonts w:ascii="Arial" w:cs="Arial" w:eastAsia="Arial" w:hAnsi="Arial"/>
                <w:sz w:val="18"/>
                <w:szCs w:val="18"/>
                <w:color w:val="auto"/>
              </w:rPr>
              <w:t>Loehmann’s Link Office Building</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060-1445</w:t>
            </w:r>
          </w:p>
        </w:tc>
        <w:tc>
          <w:tcPr>
            <w:tcW w:w="4340" w:type="dxa"/>
            <w:vAlign w:val="bottom"/>
          </w:tcPr>
          <w:p>
            <w:pPr>
              <w:spacing w:after="0"/>
              <w:rPr>
                <w:sz w:val="20"/>
                <w:szCs w:val="20"/>
                <w:color w:val="auto"/>
              </w:rPr>
            </w:pPr>
            <w:r>
              <w:rPr>
                <w:rFonts w:ascii="Arial" w:cs="Arial" w:eastAsia="Arial" w:hAnsi="Arial"/>
                <w:sz w:val="18"/>
                <w:szCs w:val="18"/>
                <w:color w:val="auto"/>
              </w:rPr>
              <w:t>Loehmann’s Link Shopping Ctr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060-1446</w:t>
            </w:r>
          </w:p>
        </w:tc>
        <w:tc>
          <w:tcPr>
            <w:tcW w:w="4340" w:type="dxa"/>
            <w:vAlign w:val="bottom"/>
          </w:tcPr>
          <w:p>
            <w:pPr>
              <w:spacing w:after="0"/>
              <w:rPr>
                <w:sz w:val="20"/>
                <w:szCs w:val="20"/>
                <w:color w:val="auto"/>
              </w:rPr>
            </w:pPr>
            <w:r>
              <w:rPr>
                <w:rFonts w:ascii="Arial" w:cs="Arial" w:eastAsia="Arial" w:hAnsi="Arial"/>
                <w:sz w:val="18"/>
                <w:szCs w:val="18"/>
                <w:color w:val="auto"/>
              </w:rPr>
              <w:t>Loehmann’s Redstone Office Bld</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060-1447</w:t>
            </w:r>
          </w:p>
        </w:tc>
        <w:tc>
          <w:tcPr>
            <w:tcW w:w="4340" w:type="dxa"/>
            <w:vAlign w:val="bottom"/>
          </w:tcPr>
          <w:p>
            <w:pPr>
              <w:spacing w:after="0"/>
              <w:rPr>
                <w:sz w:val="20"/>
                <w:szCs w:val="20"/>
                <w:color w:val="auto"/>
              </w:rPr>
            </w:pPr>
            <w:r>
              <w:rPr>
                <w:rFonts w:ascii="Arial" w:cs="Arial" w:eastAsia="Arial" w:hAnsi="Arial"/>
                <w:sz w:val="18"/>
                <w:szCs w:val="18"/>
                <w:color w:val="auto"/>
              </w:rPr>
              <w:t>Loehmann’s Redstone Shop Ctr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080-1600</w:t>
            </w:r>
          </w:p>
        </w:tc>
        <w:tc>
          <w:tcPr>
            <w:tcW w:w="4340" w:type="dxa"/>
            <w:vAlign w:val="bottom"/>
          </w:tcPr>
          <w:p>
            <w:pPr>
              <w:spacing w:after="0"/>
              <w:rPr>
                <w:sz w:val="20"/>
                <w:szCs w:val="20"/>
                <w:color w:val="auto"/>
              </w:rPr>
            </w:pPr>
            <w:r>
              <w:rPr>
                <w:rFonts w:ascii="Arial" w:cs="Arial" w:eastAsia="Arial" w:hAnsi="Arial"/>
                <w:sz w:val="18"/>
                <w:szCs w:val="18"/>
                <w:color w:val="auto"/>
              </w:rPr>
              <w:t>Perring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Baltimore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090-1190</w:t>
            </w:r>
          </w:p>
        </w:tc>
        <w:tc>
          <w:tcPr>
            <w:tcW w:w="4340" w:type="dxa"/>
            <w:vAlign w:val="bottom"/>
          </w:tcPr>
          <w:p>
            <w:pPr>
              <w:spacing w:after="0"/>
              <w:rPr>
                <w:sz w:val="20"/>
                <w:szCs w:val="20"/>
                <w:color w:val="auto"/>
              </w:rPr>
            </w:pPr>
            <w:r>
              <w:rPr>
                <w:rFonts w:ascii="Arial" w:cs="Arial" w:eastAsia="Arial" w:hAnsi="Arial"/>
                <w:sz w:val="18"/>
                <w:szCs w:val="18"/>
                <w:color w:val="auto"/>
              </w:rPr>
              <w:t>Escondido Promenade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Escondido</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100-1630</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1-Retail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100-1632</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1B-Retail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100-1634</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1C-Retail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100-1638</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3-Retail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100-1642</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4-Retail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100-1644</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5-Retail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100-1646</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6A-Retail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100-1650</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7-Retail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100-1652</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8A-Retail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100-1662</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11A-Retail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100-1668</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13/15-Retail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100-1674</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K-Retail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100-1651</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7-Residential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Multifamily</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100-1653</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8A-Residential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Multifamily</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100-1669</w:t>
            </w:r>
          </w:p>
        </w:tc>
        <w:tc>
          <w:tcPr>
            <w:tcW w:w="4340" w:type="dxa"/>
            <w:vAlign w:val="bottom"/>
          </w:tcPr>
          <w:p>
            <w:pPr>
              <w:spacing w:after="0"/>
              <w:rPr>
                <w:sz w:val="20"/>
                <w:szCs w:val="20"/>
                <w:color w:val="auto"/>
              </w:rPr>
            </w:pPr>
            <w:r>
              <w:rPr>
                <w:rFonts w:ascii="Arial" w:cs="Arial" w:eastAsia="Arial" w:hAnsi="Arial"/>
                <w:sz w:val="18"/>
                <w:szCs w:val="18"/>
                <w:color w:val="auto"/>
              </w:rPr>
              <w:t>Santana Row Building 13/15-Office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110-1605</w:t>
            </w:r>
          </w:p>
        </w:tc>
        <w:tc>
          <w:tcPr>
            <w:tcW w:w="4340" w:type="dxa"/>
            <w:vAlign w:val="bottom"/>
          </w:tcPr>
          <w:p>
            <w:pPr>
              <w:spacing w:after="0"/>
              <w:rPr>
                <w:sz w:val="20"/>
                <w:szCs w:val="20"/>
                <w:color w:val="auto"/>
              </w:rPr>
            </w:pPr>
            <w:r>
              <w:rPr>
                <w:rFonts w:ascii="Arial" w:cs="Arial" w:eastAsia="Arial" w:hAnsi="Arial"/>
                <w:sz w:val="18"/>
                <w:szCs w:val="18"/>
                <w:color w:val="auto"/>
              </w:rPr>
              <w:t>Pike 7</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4"/>
              </w:rPr>
              <w:t>Tysons Corner</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160-1800</w:t>
            </w:r>
          </w:p>
        </w:tc>
        <w:tc>
          <w:tcPr>
            <w:tcW w:w="4340" w:type="dxa"/>
            <w:vAlign w:val="bottom"/>
          </w:tcPr>
          <w:p>
            <w:pPr>
              <w:spacing w:after="0"/>
              <w:rPr>
                <w:sz w:val="20"/>
                <w:szCs w:val="20"/>
                <w:color w:val="auto"/>
              </w:rPr>
            </w:pPr>
            <w:r>
              <w:rPr>
                <w:rFonts w:ascii="Arial" w:cs="Arial" w:eastAsia="Arial" w:hAnsi="Arial"/>
                <w:sz w:val="18"/>
                <w:szCs w:val="18"/>
                <w:color w:val="auto"/>
              </w:rPr>
              <w:t>Westgate Mall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170-1730</w:t>
            </w:r>
          </w:p>
        </w:tc>
        <w:tc>
          <w:tcPr>
            <w:tcW w:w="4340" w:type="dxa"/>
            <w:vAlign w:val="bottom"/>
          </w:tcPr>
          <w:p>
            <w:pPr>
              <w:spacing w:after="0"/>
              <w:rPr>
                <w:sz w:val="20"/>
                <w:szCs w:val="20"/>
                <w:color w:val="auto"/>
              </w:rPr>
            </w:pPr>
            <w:r>
              <w:rPr>
                <w:rFonts w:ascii="Arial" w:cs="Arial" w:eastAsia="Arial" w:hAnsi="Arial"/>
                <w:sz w:val="18"/>
                <w:szCs w:val="18"/>
                <w:color w:val="auto"/>
              </w:rPr>
              <w:t>Sturtevant Street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Somerville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170-1732</w:t>
            </w:r>
          </w:p>
        </w:tc>
        <w:tc>
          <w:tcPr>
            <w:tcW w:w="4340" w:type="dxa"/>
            <w:vAlign w:val="bottom"/>
          </w:tcPr>
          <w:p>
            <w:pPr>
              <w:spacing w:after="0"/>
              <w:rPr>
                <w:sz w:val="20"/>
                <w:szCs w:val="20"/>
                <w:color w:val="auto"/>
              </w:rPr>
            </w:pPr>
            <w:r>
              <w:rPr>
                <w:rFonts w:ascii="Arial" w:cs="Arial" w:eastAsia="Arial" w:hAnsi="Arial"/>
                <w:sz w:val="18"/>
                <w:szCs w:val="18"/>
                <w:color w:val="auto"/>
              </w:rPr>
              <w:t>147 Foley Street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Somerville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180-1008</w:t>
            </w:r>
          </w:p>
        </w:tc>
        <w:tc>
          <w:tcPr>
            <w:tcW w:w="4340" w:type="dxa"/>
            <w:vAlign w:val="bottom"/>
          </w:tcPr>
          <w:p>
            <w:pPr>
              <w:spacing w:after="0"/>
              <w:rPr>
                <w:sz w:val="20"/>
                <w:szCs w:val="20"/>
                <w:color w:val="auto"/>
              </w:rPr>
            </w:pPr>
            <w:r>
              <w:rPr>
                <w:rFonts w:ascii="Arial" w:cs="Arial" w:eastAsia="Arial" w:hAnsi="Arial"/>
                <w:sz w:val="18"/>
                <w:szCs w:val="18"/>
                <w:color w:val="auto"/>
              </w:rPr>
              <w:t>Assembly Square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Somerville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274" w:right="239" w:bottom="1440" w:gutter="0" w:footer="0" w:header="0"/>
        </w:sectPr>
      </w:pPr>
    </w:p>
    <w:bookmarkStart w:id="368" w:name="page369"/>
    <w:bookmarkEnd w:id="3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Eligible Property</w:t>
            </w: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3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City</w:t>
            </w:r>
          </w:p>
        </w:tc>
        <w:tc>
          <w:tcPr>
            <w:tcW w:w="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Retail/Multif</w:t>
            </w:r>
          </w:p>
        </w:tc>
        <w:tc>
          <w:tcPr>
            <w:tcW w:w="1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Exceptions</w:t>
            </w:r>
          </w:p>
        </w:tc>
      </w:tr>
      <w:tr>
        <w:trPr>
          <w:trHeight w:val="27"/>
        </w:trPr>
        <w:tc>
          <w:tcPr>
            <w:tcW w:w="1160" w:type="dxa"/>
            <w:vAlign w:val="bottom"/>
            <w:gridSpan w:val="2"/>
            <w:shd w:val="clear" w:color="auto" w:fill="000000"/>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r>
      <w:tr>
        <w:trPr>
          <w:trHeight w:val="316"/>
        </w:trPr>
        <w:tc>
          <w:tcPr>
            <w:tcW w:w="1160" w:type="dxa"/>
            <w:vAlign w:val="bottom"/>
            <w:gridSpan w:val="2"/>
          </w:tcPr>
          <w:p>
            <w:pPr>
              <w:spacing w:after="0"/>
              <w:rPr>
                <w:sz w:val="20"/>
                <w:szCs w:val="20"/>
                <w:color w:val="auto"/>
              </w:rPr>
            </w:pPr>
            <w:r>
              <w:rPr>
                <w:rFonts w:ascii="Arial" w:cs="Arial" w:eastAsia="Arial" w:hAnsi="Arial"/>
                <w:sz w:val="18"/>
                <w:szCs w:val="18"/>
                <w:color w:val="auto"/>
              </w:rPr>
              <w:t>210-2100</w:t>
            </w:r>
          </w:p>
        </w:tc>
        <w:tc>
          <w:tcPr>
            <w:tcW w:w="4340" w:type="dxa"/>
            <w:vAlign w:val="bottom"/>
          </w:tcPr>
          <w:p>
            <w:pPr>
              <w:spacing w:after="0"/>
              <w:rPr>
                <w:sz w:val="20"/>
                <w:szCs w:val="20"/>
                <w:color w:val="auto"/>
              </w:rPr>
            </w:pPr>
            <w:r>
              <w:rPr>
                <w:rFonts w:ascii="Arial" w:cs="Arial" w:eastAsia="Arial" w:hAnsi="Arial"/>
                <w:sz w:val="18"/>
                <w:szCs w:val="18"/>
                <w:color w:val="auto"/>
              </w:rPr>
              <w:t>Linden Square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Wellesley</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211-2111</w:t>
            </w:r>
          </w:p>
        </w:tc>
        <w:tc>
          <w:tcPr>
            <w:tcW w:w="4340" w:type="dxa"/>
            <w:vAlign w:val="bottom"/>
          </w:tcPr>
          <w:p>
            <w:pPr>
              <w:spacing w:after="0"/>
              <w:rPr>
                <w:sz w:val="20"/>
                <w:szCs w:val="20"/>
                <w:color w:val="auto"/>
              </w:rPr>
            </w:pPr>
            <w:r>
              <w:rPr>
                <w:rFonts w:ascii="Arial" w:cs="Arial" w:eastAsia="Arial" w:hAnsi="Arial"/>
                <w:sz w:val="18"/>
                <w:szCs w:val="18"/>
                <w:color w:val="auto"/>
              </w:rPr>
              <w:t>1020 Revere Beach Parkway (Units 2 &amp; 3)</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Chelsea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213-2130</w:t>
            </w:r>
          </w:p>
        </w:tc>
        <w:tc>
          <w:tcPr>
            <w:tcW w:w="4340" w:type="dxa"/>
            <w:vAlign w:val="bottom"/>
          </w:tcPr>
          <w:p>
            <w:pPr>
              <w:spacing w:after="0"/>
              <w:rPr>
                <w:sz w:val="20"/>
                <w:szCs w:val="20"/>
                <w:color w:val="auto"/>
              </w:rPr>
            </w:pPr>
            <w:r>
              <w:rPr>
                <w:rFonts w:ascii="Arial" w:cs="Arial" w:eastAsia="Arial" w:hAnsi="Arial"/>
                <w:sz w:val="18"/>
                <w:szCs w:val="18"/>
                <w:color w:val="auto"/>
              </w:rPr>
              <w:t>North Dartmouth LLC</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North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Dartmouth</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220-2200</w:t>
            </w:r>
          </w:p>
        </w:tc>
        <w:tc>
          <w:tcPr>
            <w:tcW w:w="4340" w:type="dxa"/>
            <w:vAlign w:val="bottom"/>
          </w:tcPr>
          <w:p>
            <w:pPr>
              <w:spacing w:after="0"/>
              <w:rPr>
                <w:sz w:val="20"/>
                <w:szCs w:val="20"/>
                <w:color w:val="auto"/>
              </w:rPr>
            </w:pPr>
            <w:r>
              <w:rPr>
                <w:rFonts w:ascii="Arial" w:cs="Arial" w:eastAsia="Arial" w:hAnsi="Arial"/>
                <w:sz w:val="18"/>
                <w:szCs w:val="18"/>
                <w:color w:val="auto"/>
              </w:rPr>
              <w:t>White Marsh Ground Leases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223-2230</w:t>
            </w:r>
          </w:p>
        </w:tc>
        <w:tc>
          <w:tcPr>
            <w:tcW w:w="4340" w:type="dxa"/>
            <w:vAlign w:val="bottom"/>
          </w:tcPr>
          <w:p>
            <w:pPr>
              <w:spacing w:after="0"/>
              <w:rPr>
                <w:sz w:val="20"/>
                <w:szCs w:val="20"/>
                <w:color w:val="auto"/>
              </w:rPr>
            </w:pPr>
            <w:r>
              <w:rPr>
                <w:rFonts w:ascii="Arial" w:cs="Arial" w:eastAsia="Arial" w:hAnsi="Arial"/>
                <w:sz w:val="18"/>
                <w:szCs w:val="18"/>
                <w:color w:val="auto"/>
              </w:rPr>
              <w:t>Fairfield Inn (Hotel Ground Lease)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224-2240</w:t>
            </w:r>
          </w:p>
        </w:tc>
        <w:tc>
          <w:tcPr>
            <w:tcW w:w="4340" w:type="dxa"/>
            <w:vAlign w:val="bottom"/>
          </w:tcPr>
          <w:p>
            <w:pPr>
              <w:spacing w:after="0"/>
              <w:rPr>
                <w:sz w:val="20"/>
                <w:szCs w:val="20"/>
                <w:color w:val="auto"/>
              </w:rPr>
            </w:pPr>
            <w:r>
              <w:rPr>
                <w:rFonts w:ascii="Arial" w:cs="Arial" w:eastAsia="Arial" w:hAnsi="Arial"/>
                <w:sz w:val="18"/>
                <w:szCs w:val="18"/>
                <w:color w:val="auto"/>
              </w:rPr>
              <w:t>Shoppes at Nottingham Square II</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228-2280</w:t>
            </w:r>
          </w:p>
        </w:tc>
        <w:tc>
          <w:tcPr>
            <w:tcW w:w="4340" w:type="dxa"/>
            <w:vAlign w:val="bottom"/>
          </w:tcPr>
          <w:p>
            <w:pPr>
              <w:spacing w:after="0"/>
              <w:rPr>
                <w:sz w:val="20"/>
                <w:szCs w:val="20"/>
                <w:color w:val="auto"/>
              </w:rPr>
            </w:pPr>
            <w:r>
              <w:rPr>
                <w:rFonts w:ascii="Arial" w:cs="Arial" w:eastAsia="Arial" w:hAnsi="Arial"/>
                <w:sz w:val="18"/>
                <w:szCs w:val="18"/>
                <w:color w:val="auto"/>
              </w:rPr>
              <w:t>Shopes at Nottingham Square I</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229-2290</w:t>
            </w:r>
          </w:p>
        </w:tc>
        <w:tc>
          <w:tcPr>
            <w:tcW w:w="4340" w:type="dxa"/>
            <w:vAlign w:val="bottom"/>
          </w:tcPr>
          <w:p>
            <w:pPr>
              <w:spacing w:after="0"/>
              <w:rPr>
                <w:sz w:val="20"/>
                <w:szCs w:val="20"/>
                <w:color w:val="auto"/>
              </w:rPr>
            </w:pPr>
            <w:r>
              <w:rPr>
                <w:rFonts w:ascii="Arial" w:cs="Arial" w:eastAsia="Arial" w:hAnsi="Arial"/>
                <w:sz w:val="18"/>
                <w:szCs w:val="18"/>
                <w:color w:val="auto"/>
              </w:rPr>
              <w:t>RPBT Ground Leases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229-2291</w:t>
            </w:r>
          </w:p>
        </w:tc>
        <w:tc>
          <w:tcPr>
            <w:tcW w:w="4340" w:type="dxa"/>
            <w:vAlign w:val="bottom"/>
          </w:tcPr>
          <w:p>
            <w:pPr>
              <w:spacing w:after="0"/>
              <w:rPr>
                <w:sz w:val="20"/>
                <w:szCs w:val="20"/>
                <w:color w:val="auto"/>
              </w:rPr>
            </w:pPr>
            <w:r>
              <w:rPr>
                <w:rFonts w:ascii="Arial" w:cs="Arial" w:eastAsia="Arial" w:hAnsi="Arial"/>
                <w:sz w:val="18"/>
                <w:szCs w:val="18"/>
                <w:color w:val="auto"/>
              </w:rPr>
              <w:t>The Avenue - Parking</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230-2300</w:t>
            </w:r>
          </w:p>
        </w:tc>
        <w:tc>
          <w:tcPr>
            <w:tcW w:w="4340" w:type="dxa"/>
            <w:vAlign w:val="bottom"/>
          </w:tcPr>
          <w:p>
            <w:pPr>
              <w:spacing w:after="0"/>
              <w:rPr>
                <w:sz w:val="20"/>
                <w:szCs w:val="20"/>
                <w:color w:val="auto"/>
              </w:rPr>
            </w:pPr>
            <w:r>
              <w:rPr>
                <w:rFonts w:ascii="Arial" w:cs="Arial" w:eastAsia="Arial" w:hAnsi="Arial"/>
                <w:sz w:val="18"/>
                <w:szCs w:val="18"/>
                <w:color w:val="auto"/>
              </w:rPr>
              <w:t>Panera Bread - Nottingham</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400-1020</w:t>
            </w:r>
          </w:p>
        </w:tc>
        <w:tc>
          <w:tcPr>
            <w:tcW w:w="4340" w:type="dxa"/>
            <w:vAlign w:val="bottom"/>
          </w:tcPr>
          <w:p>
            <w:pPr>
              <w:spacing w:after="0"/>
              <w:rPr>
                <w:sz w:val="20"/>
                <w:szCs w:val="20"/>
                <w:color w:val="auto"/>
              </w:rPr>
            </w:pPr>
            <w:r>
              <w:rPr>
                <w:rFonts w:ascii="Arial" w:cs="Arial" w:eastAsia="Arial" w:hAnsi="Arial"/>
                <w:sz w:val="18"/>
                <w:szCs w:val="18"/>
                <w:color w:val="auto"/>
              </w:rPr>
              <w:t>Bethesda Ave Shops W W 1-Arl East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400-1021</w:t>
            </w:r>
          </w:p>
        </w:tc>
        <w:tc>
          <w:tcPr>
            <w:tcW w:w="4340" w:type="dxa"/>
            <w:vAlign w:val="bottom"/>
          </w:tcPr>
          <w:p>
            <w:pPr>
              <w:spacing w:after="0"/>
              <w:rPr>
                <w:sz w:val="20"/>
                <w:szCs w:val="20"/>
                <w:color w:val="auto"/>
              </w:rPr>
            </w:pPr>
            <w:r>
              <w:rPr>
                <w:rFonts w:ascii="Arial" w:cs="Arial" w:eastAsia="Arial" w:hAnsi="Arial"/>
                <w:sz w:val="18"/>
                <w:szCs w:val="18"/>
                <w:color w:val="auto"/>
              </w:rPr>
              <w:t>Bethesda Ave Shops W W 2</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400-1022</w:t>
            </w:r>
          </w:p>
        </w:tc>
        <w:tc>
          <w:tcPr>
            <w:tcW w:w="4340" w:type="dxa"/>
            <w:vAlign w:val="bottom"/>
          </w:tcPr>
          <w:p>
            <w:pPr>
              <w:spacing w:after="0"/>
              <w:rPr>
                <w:sz w:val="20"/>
                <w:szCs w:val="20"/>
                <w:color w:val="auto"/>
              </w:rPr>
            </w:pPr>
            <w:r>
              <w:rPr>
                <w:rFonts w:ascii="Arial" w:cs="Arial" w:eastAsia="Arial" w:hAnsi="Arial"/>
                <w:sz w:val="18"/>
                <w:szCs w:val="18"/>
                <w:color w:val="auto"/>
              </w:rPr>
              <w:t>Bethesda Ave Offices W W 2</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400-1023</w:t>
            </w:r>
          </w:p>
        </w:tc>
        <w:tc>
          <w:tcPr>
            <w:tcW w:w="4340" w:type="dxa"/>
            <w:vAlign w:val="bottom"/>
          </w:tcPr>
          <w:p>
            <w:pPr>
              <w:spacing w:after="0"/>
              <w:rPr>
                <w:sz w:val="20"/>
                <w:szCs w:val="20"/>
                <w:color w:val="auto"/>
              </w:rPr>
            </w:pPr>
            <w:r>
              <w:rPr>
                <w:rFonts w:ascii="Arial" w:cs="Arial" w:eastAsia="Arial" w:hAnsi="Arial"/>
                <w:sz w:val="18"/>
                <w:szCs w:val="18"/>
                <w:color w:val="auto"/>
              </w:rPr>
              <w:t>Bethesda Ave Shops W W 3</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400-1024</w:t>
            </w:r>
          </w:p>
        </w:tc>
        <w:tc>
          <w:tcPr>
            <w:tcW w:w="4340" w:type="dxa"/>
            <w:vAlign w:val="bottom"/>
          </w:tcPr>
          <w:p>
            <w:pPr>
              <w:spacing w:after="0"/>
              <w:rPr>
                <w:sz w:val="20"/>
                <w:szCs w:val="20"/>
                <w:color w:val="auto"/>
              </w:rPr>
            </w:pPr>
            <w:r>
              <w:rPr>
                <w:rFonts w:ascii="Arial" w:cs="Arial" w:eastAsia="Arial" w:hAnsi="Arial"/>
                <w:sz w:val="18"/>
                <w:szCs w:val="18"/>
                <w:color w:val="auto"/>
              </w:rPr>
              <w:t>Bethesda Ave Shops W W 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400-1025</w:t>
            </w:r>
          </w:p>
        </w:tc>
        <w:tc>
          <w:tcPr>
            <w:tcW w:w="4340" w:type="dxa"/>
            <w:vAlign w:val="bottom"/>
          </w:tcPr>
          <w:p>
            <w:pPr>
              <w:spacing w:after="0"/>
              <w:rPr>
                <w:sz w:val="20"/>
                <w:szCs w:val="20"/>
                <w:color w:val="auto"/>
              </w:rPr>
            </w:pPr>
            <w:r>
              <w:rPr>
                <w:rFonts w:ascii="Arial" w:cs="Arial" w:eastAsia="Arial" w:hAnsi="Arial"/>
                <w:sz w:val="18"/>
                <w:szCs w:val="18"/>
                <w:color w:val="auto"/>
              </w:rPr>
              <w:t>Bethesda Ave Offices W W 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400-1026</w:t>
            </w:r>
          </w:p>
        </w:tc>
        <w:tc>
          <w:tcPr>
            <w:tcW w:w="4340" w:type="dxa"/>
            <w:vAlign w:val="bottom"/>
          </w:tcPr>
          <w:p>
            <w:pPr>
              <w:spacing w:after="0"/>
              <w:rPr>
                <w:sz w:val="20"/>
                <w:szCs w:val="20"/>
                <w:color w:val="auto"/>
              </w:rPr>
            </w:pPr>
            <w:r>
              <w:rPr>
                <w:rFonts w:ascii="Arial" w:cs="Arial" w:eastAsia="Arial" w:hAnsi="Arial"/>
                <w:sz w:val="18"/>
                <w:szCs w:val="18"/>
                <w:color w:val="auto"/>
              </w:rPr>
              <w:t>Bethesda Ave Shops W W 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400-1027</w:t>
            </w:r>
          </w:p>
        </w:tc>
        <w:tc>
          <w:tcPr>
            <w:tcW w:w="4340" w:type="dxa"/>
            <w:vAlign w:val="bottom"/>
          </w:tcPr>
          <w:p>
            <w:pPr>
              <w:spacing w:after="0"/>
              <w:rPr>
                <w:sz w:val="20"/>
                <w:szCs w:val="20"/>
                <w:color w:val="auto"/>
              </w:rPr>
            </w:pPr>
            <w:r>
              <w:rPr>
                <w:rFonts w:ascii="Arial" w:cs="Arial" w:eastAsia="Arial" w:hAnsi="Arial"/>
                <w:sz w:val="18"/>
                <w:szCs w:val="18"/>
                <w:color w:val="auto"/>
              </w:rPr>
              <w:t>Bethesda Ave Offices W W 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400-1028</w:t>
            </w:r>
          </w:p>
        </w:tc>
        <w:tc>
          <w:tcPr>
            <w:tcW w:w="4340" w:type="dxa"/>
            <w:vAlign w:val="bottom"/>
          </w:tcPr>
          <w:p>
            <w:pPr>
              <w:spacing w:after="0"/>
              <w:rPr>
                <w:sz w:val="20"/>
                <w:szCs w:val="20"/>
                <w:color w:val="auto"/>
              </w:rPr>
            </w:pPr>
            <w:r>
              <w:rPr>
                <w:rFonts w:ascii="Arial" w:cs="Arial" w:eastAsia="Arial" w:hAnsi="Arial"/>
                <w:sz w:val="18"/>
                <w:szCs w:val="18"/>
                <w:color w:val="auto"/>
              </w:rPr>
              <w:t>Bethesda Ave Shops II</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Leasehold for a small</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portion of the property</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1"/>
              </w:rPr>
              <w:t>terminates 12/31/25 with</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obligation of FRIT, as</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7"/>
              </w:rPr>
              <w:t>tenant, to purchase the</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property on that date.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400-1029</w:t>
            </w:r>
          </w:p>
        </w:tc>
        <w:tc>
          <w:tcPr>
            <w:tcW w:w="4340" w:type="dxa"/>
            <w:vAlign w:val="bottom"/>
          </w:tcPr>
          <w:p>
            <w:pPr>
              <w:spacing w:after="0"/>
              <w:rPr>
                <w:sz w:val="20"/>
                <w:szCs w:val="20"/>
                <w:color w:val="auto"/>
              </w:rPr>
            </w:pPr>
            <w:r>
              <w:rPr>
                <w:rFonts w:ascii="Arial" w:cs="Arial" w:eastAsia="Arial" w:hAnsi="Arial"/>
                <w:sz w:val="18"/>
                <w:szCs w:val="18"/>
                <w:color w:val="auto"/>
              </w:rPr>
              <w:t>Bethesda Ave Shops III</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400-1030</w:t>
            </w:r>
          </w:p>
        </w:tc>
        <w:tc>
          <w:tcPr>
            <w:tcW w:w="4340" w:type="dxa"/>
            <w:vAlign w:val="bottom"/>
          </w:tcPr>
          <w:p>
            <w:pPr>
              <w:spacing w:after="0"/>
              <w:rPr>
                <w:sz w:val="20"/>
                <w:szCs w:val="20"/>
                <w:color w:val="auto"/>
              </w:rPr>
            </w:pPr>
            <w:r>
              <w:rPr>
                <w:rFonts w:ascii="Arial" w:cs="Arial" w:eastAsia="Arial" w:hAnsi="Arial"/>
                <w:sz w:val="18"/>
                <w:szCs w:val="18"/>
                <w:color w:val="auto"/>
              </w:rPr>
              <w:t>Ravengard</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400-1031</w:t>
            </w:r>
          </w:p>
        </w:tc>
        <w:tc>
          <w:tcPr>
            <w:tcW w:w="4340" w:type="dxa"/>
            <w:vAlign w:val="bottom"/>
          </w:tcPr>
          <w:p>
            <w:pPr>
              <w:spacing w:after="0"/>
              <w:rPr>
                <w:sz w:val="20"/>
                <w:szCs w:val="20"/>
                <w:color w:val="auto"/>
              </w:rPr>
            </w:pPr>
            <w:r>
              <w:rPr>
                <w:rFonts w:ascii="Arial" w:cs="Arial" w:eastAsia="Arial" w:hAnsi="Arial"/>
                <w:sz w:val="18"/>
                <w:szCs w:val="18"/>
                <w:color w:val="auto"/>
              </w:rPr>
              <w:t>Bethesda Ave Shops Parking Lot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400-1032</w:t>
            </w:r>
          </w:p>
        </w:tc>
        <w:tc>
          <w:tcPr>
            <w:tcW w:w="4340" w:type="dxa"/>
            <w:vAlign w:val="bottom"/>
          </w:tcPr>
          <w:p>
            <w:pPr>
              <w:spacing w:after="0"/>
              <w:rPr>
                <w:sz w:val="20"/>
                <w:szCs w:val="20"/>
                <w:color w:val="auto"/>
              </w:rPr>
            </w:pPr>
            <w:r>
              <w:rPr>
                <w:rFonts w:ascii="Arial" w:cs="Arial" w:eastAsia="Arial" w:hAnsi="Arial"/>
                <w:sz w:val="18"/>
                <w:szCs w:val="18"/>
                <w:color w:val="auto"/>
              </w:rPr>
              <w:t>4900 Hampden Lane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400-3031</w:t>
            </w:r>
          </w:p>
        </w:tc>
        <w:tc>
          <w:tcPr>
            <w:tcW w:w="4340" w:type="dxa"/>
            <w:vAlign w:val="bottom"/>
          </w:tcPr>
          <w:p>
            <w:pPr>
              <w:spacing w:after="0"/>
              <w:rPr>
                <w:sz w:val="20"/>
                <w:szCs w:val="20"/>
                <w:color w:val="auto"/>
              </w:rPr>
            </w:pPr>
            <w:r>
              <w:rPr>
                <w:rFonts w:ascii="Arial" w:cs="Arial" w:eastAsia="Arial" w:hAnsi="Arial"/>
                <w:sz w:val="18"/>
                <w:szCs w:val="18"/>
                <w:color w:val="auto"/>
              </w:rPr>
              <w:t>Elm Street-Retail (Bethesda)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400-3032</w:t>
            </w:r>
          </w:p>
        </w:tc>
        <w:tc>
          <w:tcPr>
            <w:tcW w:w="4340" w:type="dxa"/>
            <w:vAlign w:val="bottom"/>
          </w:tcPr>
          <w:p>
            <w:pPr>
              <w:spacing w:after="0"/>
              <w:rPr>
                <w:sz w:val="20"/>
                <w:szCs w:val="20"/>
                <w:color w:val="auto"/>
              </w:rPr>
            </w:pPr>
            <w:r>
              <w:rPr>
                <w:rFonts w:ascii="Arial" w:cs="Arial" w:eastAsia="Arial" w:hAnsi="Arial"/>
                <w:sz w:val="18"/>
                <w:szCs w:val="18"/>
                <w:color w:val="auto"/>
              </w:rPr>
              <w:t>Kilbane/Jaffe Parcels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400-3033</w:t>
            </w:r>
          </w:p>
        </w:tc>
        <w:tc>
          <w:tcPr>
            <w:tcW w:w="4340" w:type="dxa"/>
            <w:vAlign w:val="bottom"/>
          </w:tcPr>
          <w:p>
            <w:pPr>
              <w:spacing w:after="0"/>
              <w:rPr>
                <w:sz w:val="20"/>
                <w:szCs w:val="20"/>
                <w:color w:val="auto"/>
              </w:rPr>
            </w:pPr>
            <w:r>
              <w:rPr>
                <w:rFonts w:ascii="Arial" w:cs="Arial" w:eastAsia="Arial" w:hAnsi="Arial"/>
                <w:sz w:val="18"/>
                <w:szCs w:val="18"/>
                <w:color w:val="auto"/>
              </w:rPr>
              <w:t>Elm Street - Office (Bethesda)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400-3034</w:t>
            </w:r>
          </w:p>
        </w:tc>
        <w:tc>
          <w:tcPr>
            <w:tcW w:w="4340" w:type="dxa"/>
            <w:vAlign w:val="bottom"/>
          </w:tcPr>
          <w:p>
            <w:pPr>
              <w:spacing w:after="0"/>
              <w:rPr>
                <w:sz w:val="20"/>
                <w:szCs w:val="20"/>
                <w:color w:val="auto"/>
              </w:rPr>
            </w:pPr>
            <w:r>
              <w:rPr>
                <w:rFonts w:ascii="Arial" w:cs="Arial" w:eastAsia="Arial" w:hAnsi="Arial"/>
                <w:sz w:val="18"/>
                <w:szCs w:val="18"/>
                <w:color w:val="auto"/>
              </w:rPr>
              <w:t>Woodmont East-Retail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400-3035</w:t>
            </w:r>
          </w:p>
        </w:tc>
        <w:tc>
          <w:tcPr>
            <w:tcW w:w="4340" w:type="dxa"/>
            <w:vAlign w:val="bottom"/>
          </w:tcPr>
          <w:p>
            <w:pPr>
              <w:spacing w:after="0"/>
              <w:rPr>
                <w:sz w:val="20"/>
                <w:szCs w:val="20"/>
                <w:color w:val="auto"/>
              </w:rPr>
            </w:pPr>
            <w:r>
              <w:rPr>
                <w:rFonts w:ascii="Arial" w:cs="Arial" w:eastAsia="Arial" w:hAnsi="Arial"/>
                <w:sz w:val="18"/>
                <w:szCs w:val="18"/>
                <w:color w:val="auto"/>
              </w:rPr>
              <w:t>Woodmont East - Offices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400-3100</w:t>
            </w:r>
          </w:p>
        </w:tc>
        <w:tc>
          <w:tcPr>
            <w:tcW w:w="4340" w:type="dxa"/>
            <w:vAlign w:val="bottom"/>
          </w:tcPr>
          <w:p>
            <w:pPr>
              <w:spacing w:after="0"/>
              <w:rPr>
                <w:sz w:val="20"/>
                <w:szCs w:val="20"/>
                <w:color w:val="auto"/>
              </w:rPr>
            </w:pPr>
            <w:r>
              <w:rPr>
                <w:rFonts w:ascii="Arial" w:cs="Arial" w:eastAsia="Arial" w:hAnsi="Arial"/>
                <w:sz w:val="18"/>
                <w:szCs w:val="18"/>
                <w:color w:val="auto"/>
              </w:rPr>
              <w:t>64 Greenwich Ave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Greenwich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CT</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400-3101</w:t>
            </w:r>
          </w:p>
        </w:tc>
        <w:tc>
          <w:tcPr>
            <w:tcW w:w="4340" w:type="dxa"/>
            <w:vAlign w:val="bottom"/>
          </w:tcPr>
          <w:p>
            <w:pPr>
              <w:spacing w:after="0"/>
              <w:rPr>
                <w:sz w:val="20"/>
                <w:szCs w:val="20"/>
                <w:color w:val="auto"/>
              </w:rPr>
            </w:pPr>
            <w:r>
              <w:rPr>
                <w:rFonts w:ascii="Arial" w:cs="Arial" w:eastAsia="Arial" w:hAnsi="Arial"/>
                <w:sz w:val="18"/>
                <w:szCs w:val="18"/>
                <w:color w:val="auto"/>
              </w:rPr>
              <w:t>205 Greenwich Ave (Saks)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Greenwich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CT</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400-3400</w:t>
            </w:r>
          </w:p>
        </w:tc>
        <w:tc>
          <w:tcPr>
            <w:tcW w:w="4340" w:type="dxa"/>
            <w:vAlign w:val="bottom"/>
          </w:tcPr>
          <w:p>
            <w:pPr>
              <w:spacing w:after="0"/>
              <w:rPr>
                <w:sz w:val="20"/>
                <w:szCs w:val="20"/>
                <w:color w:val="auto"/>
              </w:rPr>
            </w:pPr>
            <w:r>
              <w:rPr>
                <w:rFonts w:ascii="Arial" w:cs="Arial" w:eastAsia="Arial" w:hAnsi="Arial"/>
                <w:sz w:val="18"/>
                <w:szCs w:val="18"/>
                <w:color w:val="auto"/>
              </w:rPr>
              <w:t>Fresh Meadows (Kmart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Queens</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400-3401</w:t>
            </w:r>
          </w:p>
        </w:tc>
        <w:tc>
          <w:tcPr>
            <w:tcW w:w="4340" w:type="dxa"/>
            <w:vAlign w:val="bottom"/>
          </w:tcPr>
          <w:p>
            <w:pPr>
              <w:spacing w:after="0"/>
              <w:rPr>
                <w:sz w:val="20"/>
                <w:szCs w:val="20"/>
                <w:color w:val="auto"/>
              </w:rPr>
            </w:pPr>
            <w:r>
              <w:rPr>
                <w:rFonts w:ascii="Arial" w:cs="Arial" w:eastAsia="Arial" w:hAnsi="Arial"/>
                <w:sz w:val="18"/>
                <w:szCs w:val="18"/>
                <w:color w:val="auto"/>
              </w:rPr>
              <w:t>Fresh Meadows (Filene’s Ctr)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Queens</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NY</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465" w:right="239" w:bottom="1440" w:gutter="0" w:footer="0" w:header="0"/>
        </w:sectPr>
      </w:pPr>
    </w:p>
    <w:bookmarkStart w:id="369" w:name="page370"/>
    <w:bookmarkEnd w:id="3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2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Eligible Property</w:t>
            </w:r>
          </w:p>
        </w:tc>
      </w:tr>
      <w:tr>
        <w:trPr>
          <w:trHeight w:val="168"/>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Retail/Multif</w:t>
            </w:r>
          </w:p>
        </w:tc>
        <w:tc>
          <w:tcPr>
            <w:tcW w:w="120" w:type="dxa"/>
            <w:vAlign w:val="bottom"/>
          </w:tcPr>
          <w:p>
            <w:pPr>
              <w:spacing w:after="0"/>
              <w:rPr>
                <w:sz w:val="14"/>
                <w:szCs w:val="1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Exceptions</w:t>
            </w:r>
          </w:p>
        </w:tc>
      </w:tr>
      <w:tr>
        <w:trPr>
          <w:trHeight w:val="316"/>
        </w:trPr>
        <w:tc>
          <w:tcPr>
            <w:tcW w:w="920" w:type="dxa"/>
            <w:vAlign w:val="bottom"/>
            <w:gridSpan w:val="2"/>
          </w:tcPr>
          <w:p>
            <w:pPr>
              <w:spacing w:after="0"/>
              <w:rPr>
                <w:sz w:val="20"/>
                <w:szCs w:val="20"/>
                <w:color w:val="auto"/>
              </w:rPr>
            </w:pPr>
            <w:r>
              <w:rPr>
                <w:rFonts w:ascii="Arial" w:cs="Arial" w:eastAsia="Arial" w:hAnsi="Arial"/>
                <w:sz w:val="18"/>
                <w:szCs w:val="18"/>
                <w:color w:val="auto"/>
              </w:rPr>
              <w:t>400-3402</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Fresh Meadows (73rd Ave Strip)</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Queens</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NY</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400-3403</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Fresh Meadows (69th Ave Strip)</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Queens</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400-3500</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150 Post Street (SF)</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7"/>
              </w:rPr>
              <w:t>San Francisco</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400-3525</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1344 3rd Street (Santa Monica)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400-3600</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Sam’s Park &amp; Shop</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Washington</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2"/>
              </w:rPr>
              <w:t>DC</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400-3601</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Village at Shirlington-Retail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Arlington</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9"/>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400-3602</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Village at Shirlington-Office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Arlington</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9"/>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400-3603</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Pentagon Row</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Arlington</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9"/>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400-3604</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Friendship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Washington</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2"/>
              </w:rPr>
              <w:t>DC</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420-4300</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14 N Fair Oaks (Pasadena)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Pasadena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420-4500</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643-653 5th Ave (S D)</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Diego</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420-4502</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665 5th Ave (S D)</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Diego</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420-4503</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825-831 5th Ave (S D)</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Diego</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420-4700</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301 Arizona/1251-1253 3rd Street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420-4702</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1225 3rd Street (Santa Monica)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420-4704</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1337 3rd Street (Santa Monica)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420-4705</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1343-1349 3rd Street (Santa Monica)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421-4701</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1202 3rd Street (Santa Monica)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422-4706</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1222 3rd Street (Santa Monica)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423-4200</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1221-1227 Hermosa Ave (Hermosa)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86"/>
              </w:rPr>
              <w:t>Hermosa Beach</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423-4504</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953-955 5th Ave (S D)</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Diego</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423-4707</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1232-1240 3rd Street (Santa Monica)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424-4301</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140-168 W Colorado (Tanner Mkt)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Pasadena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Ground lease expires</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10/31/2016 (including</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option) and parking</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ground lease expires</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9"/>
              </w:rPr>
              <w:t>12/15/2014 (no option)</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425-4225</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Galaxy Bldg - Hollywood</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Hollywood</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425-4226</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7001 Hollywood Bldg (Peterson)</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Hollywood</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428-4708</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214 Wilshire (SM)</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440-5002</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108-22 Queens Blvd</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Forest Hills</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450-5500</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Old Town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Los Gatos</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451-5601</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301-303 E Houston St (Vogue)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451-5602</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225-233 E Houston St (Schaum)</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451-5603</w:t>
            </w: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St. Mary’s &amp; E. Houston (W Hotel)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Small portion</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encumbered by self</w:t>
            </w:r>
          </w:p>
        </w:tc>
      </w:tr>
    </w:tbl>
    <w:p>
      <w:pPr>
        <w:ind w:left="9600"/>
        <w:spacing w:after="0"/>
        <w:rPr>
          <w:sz w:val="20"/>
          <w:szCs w:val="20"/>
          <w:color w:val="auto"/>
        </w:rPr>
      </w:pPr>
      <w:r>
        <w:rPr>
          <w:rFonts w:ascii="Arial" w:cs="Arial" w:eastAsia="Arial" w:hAnsi="Arial"/>
          <w:sz w:val="18"/>
          <w:szCs w:val="18"/>
          <w:color w:val="auto"/>
        </w:rPr>
        <w:t>amortizing mortgage</w:t>
      </w:r>
    </w:p>
    <w:p>
      <w:pPr>
        <w:spacing w:after="0" w:line="9"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which has been fully</w:t>
      </w:r>
    </w:p>
    <w:p>
      <w:pPr>
        <w:spacing w:after="0" w:line="9"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funded into an escrow</w:t>
      </w:r>
    </w:p>
    <w:p>
      <w:pPr>
        <w:spacing w:after="0" w:line="9" w:lineRule="exact"/>
        <w:rPr>
          <w:sz w:val="20"/>
          <w:szCs w:val="20"/>
          <w:color w:val="auto"/>
        </w:rPr>
      </w:pPr>
    </w:p>
    <w:p>
      <w:pPr>
        <w:ind w:left="9600"/>
        <w:spacing w:after="0"/>
        <w:rPr>
          <w:sz w:val="20"/>
          <w:szCs w:val="20"/>
          <w:color w:val="auto"/>
        </w:rPr>
      </w:pPr>
      <w:r>
        <w:rPr>
          <w:rFonts w:ascii="Arial" w:cs="Arial" w:eastAsia="Arial" w:hAnsi="Arial"/>
          <w:sz w:val="16"/>
          <w:szCs w:val="16"/>
          <w:color w:val="auto"/>
        </w:rPr>
        <w:t>account maintained by a</w:t>
      </w:r>
    </w:p>
    <w:p>
      <w:pPr>
        <w:spacing w:after="0" w:line="32"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third party.</w:t>
      </w:r>
    </w:p>
    <w:p>
      <w:pPr>
        <w:sectPr>
          <w:pgSz w:w="11900" w:h="16838" w:orient="portrait"/>
          <w:cols w:equalWidth="0" w:num="1">
            <w:col w:w="11420"/>
          </w:cols>
          <w:pgMar w:left="240" w:top="263" w:right="23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Eligible Property</w:t>
            </w: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6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City</w:t>
            </w:r>
          </w:p>
        </w:tc>
        <w:tc>
          <w:tcPr>
            <w:tcW w:w="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Retail/Multif</w:t>
            </w:r>
          </w:p>
        </w:tc>
        <w:tc>
          <w:tcPr>
            <w:tcW w:w="1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Exceptions</w:t>
            </w:r>
          </w:p>
        </w:tc>
      </w:tr>
      <w:tr>
        <w:trPr>
          <w:trHeight w:val="195"/>
        </w:trPr>
        <w:tc>
          <w:tcPr>
            <w:tcW w:w="1160" w:type="dxa"/>
            <w:vAlign w:val="bottom"/>
            <w:gridSpan w:val="2"/>
          </w:tcPr>
          <w:p>
            <w:pPr>
              <w:spacing w:after="0" w:line="195" w:lineRule="exact"/>
              <w:rPr>
                <w:sz w:val="20"/>
                <w:szCs w:val="20"/>
                <w:color w:val="auto"/>
              </w:rPr>
            </w:pPr>
            <w:r>
              <w:rPr>
                <w:rFonts w:ascii="Arial" w:cs="Arial" w:eastAsia="Arial" w:hAnsi="Arial"/>
                <w:sz w:val="18"/>
                <w:szCs w:val="18"/>
                <w:color w:val="auto"/>
              </w:rPr>
              <w:t>451-5606</w:t>
            </w: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111 Jefferson St (Pkg Lot)</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TX</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451-5607</w:t>
            </w:r>
          </w:p>
        </w:tc>
        <w:tc>
          <w:tcPr>
            <w:tcW w:w="4340" w:type="dxa"/>
            <w:vAlign w:val="bottom"/>
          </w:tcPr>
          <w:p>
            <w:pPr>
              <w:spacing w:after="0"/>
              <w:rPr>
                <w:sz w:val="20"/>
                <w:szCs w:val="20"/>
                <w:color w:val="auto"/>
              </w:rPr>
            </w:pPr>
            <w:r>
              <w:rPr>
                <w:rFonts w:ascii="Arial" w:cs="Arial" w:eastAsia="Arial" w:hAnsi="Arial"/>
                <w:sz w:val="18"/>
                <w:szCs w:val="18"/>
                <w:color w:val="auto"/>
              </w:rPr>
              <w:t>300-302 E Houston St (Walgreen)</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451-5608</w:t>
            </w:r>
          </w:p>
        </w:tc>
        <w:tc>
          <w:tcPr>
            <w:tcW w:w="4340" w:type="dxa"/>
            <w:vAlign w:val="bottom"/>
          </w:tcPr>
          <w:p>
            <w:pPr>
              <w:spacing w:after="0"/>
              <w:rPr>
                <w:sz w:val="20"/>
                <w:szCs w:val="20"/>
                <w:color w:val="auto"/>
              </w:rPr>
            </w:pPr>
            <w:r>
              <w:rPr>
                <w:rFonts w:ascii="Arial" w:cs="Arial" w:eastAsia="Arial" w:hAnsi="Arial"/>
                <w:sz w:val="18"/>
                <w:szCs w:val="18"/>
                <w:color w:val="auto"/>
              </w:rPr>
              <w:t>221-223 E Houston St (Court Bl)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451-5609</w:t>
            </w:r>
          </w:p>
        </w:tc>
        <w:tc>
          <w:tcPr>
            <w:tcW w:w="4340" w:type="dxa"/>
            <w:vAlign w:val="bottom"/>
          </w:tcPr>
          <w:p>
            <w:pPr>
              <w:spacing w:after="0"/>
              <w:rPr>
                <w:sz w:val="20"/>
                <w:szCs w:val="20"/>
                <w:color w:val="auto"/>
              </w:rPr>
            </w:pPr>
            <w:r>
              <w:rPr>
                <w:rFonts w:ascii="Arial" w:cs="Arial" w:eastAsia="Arial" w:hAnsi="Arial"/>
                <w:sz w:val="18"/>
                <w:szCs w:val="18"/>
                <w:color w:val="auto"/>
              </w:rPr>
              <w:t>219 E Houston St (Carl)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451-5610</w:t>
            </w:r>
          </w:p>
        </w:tc>
        <w:tc>
          <w:tcPr>
            <w:tcW w:w="4340" w:type="dxa"/>
            <w:vAlign w:val="bottom"/>
          </w:tcPr>
          <w:p>
            <w:pPr>
              <w:spacing w:after="0"/>
              <w:rPr>
                <w:sz w:val="20"/>
                <w:szCs w:val="20"/>
                <w:color w:val="auto"/>
              </w:rPr>
            </w:pPr>
            <w:r>
              <w:rPr>
                <w:rFonts w:ascii="Arial" w:cs="Arial" w:eastAsia="Arial" w:hAnsi="Arial"/>
                <w:sz w:val="18"/>
                <w:szCs w:val="18"/>
                <w:color w:val="auto"/>
              </w:rPr>
              <w:t>311-315 E Houston St (Kress)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451-5611</w:t>
            </w:r>
          </w:p>
        </w:tc>
        <w:tc>
          <w:tcPr>
            <w:tcW w:w="4340" w:type="dxa"/>
            <w:vAlign w:val="bottom"/>
          </w:tcPr>
          <w:p>
            <w:pPr>
              <w:spacing w:after="0"/>
              <w:rPr>
                <w:sz w:val="20"/>
                <w:szCs w:val="20"/>
                <w:color w:val="auto"/>
              </w:rPr>
            </w:pPr>
            <w:r>
              <w:rPr>
                <w:rFonts w:ascii="Arial" w:cs="Arial" w:eastAsia="Arial" w:hAnsi="Arial"/>
                <w:sz w:val="18"/>
                <w:szCs w:val="18"/>
                <w:color w:val="auto"/>
              </w:rPr>
              <w:t>306-308 E Houston St (Stuart)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451-5612</w:t>
            </w:r>
          </w:p>
        </w:tc>
        <w:tc>
          <w:tcPr>
            <w:tcW w:w="4340" w:type="dxa"/>
            <w:vAlign w:val="bottom"/>
          </w:tcPr>
          <w:p>
            <w:pPr>
              <w:spacing w:after="0"/>
              <w:rPr>
                <w:sz w:val="20"/>
                <w:szCs w:val="20"/>
                <w:color w:val="auto"/>
              </w:rPr>
            </w:pPr>
            <w:r>
              <w:rPr>
                <w:rFonts w:ascii="Arial" w:cs="Arial" w:eastAsia="Arial" w:hAnsi="Arial"/>
                <w:sz w:val="18"/>
                <w:szCs w:val="18"/>
                <w:color w:val="auto"/>
              </w:rPr>
              <w:t>400 E Houston St (Maverick)</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Owned pursuant to</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89"/>
              </w:rPr>
              <w:t>ground lease that expires</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in 2008.</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490-1085</w:t>
            </w:r>
          </w:p>
        </w:tc>
        <w:tc>
          <w:tcPr>
            <w:tcW w:w="4340" w:type="dxa"/>
            <w:vAlign w:val="bottom"/>
          </w:tcPr>
          <w:p>
            <w:pPr>
              <w:spacing w:after="0"/>
              <w:rPr>
                <w:sz w:val="20"/>
                <w:szCs w:val="20"/>
                <w:color w:val="auto"/>
              </w:rPr>
            </w:pPr>
            <w:r>
              <w:rPr>
                <w:rFonts w:ascii="Arial" w:cs="Arial" w:eastAsia="Arial" w:hAnsi="Arial"/>
                <w:sz w:val="18"/>
                <w:szCs w:val="18"/>
                <w:color w:val="auto"/>
              </w:rPr>
              <w:t>Courthouse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490-1400</w:t>
            </w:r>
          </w:p>
        </w:tc>
        <w:tc>
          <w:tcPr>
            <w:tcW w:w="4340" w:type="dxa"/>
            <w:vAlign w:val="bottom"/>
          </w:tcPr>
          <w:p>
            <w:pPr>
              <w:spacing w:after="0"/>
              <w:rPr>
                <w:sz w:val="20"/>
                <w:szCs w:val="20"/>
                <w:color w:val="auto"/>
              </w:rPr>
            </w:pPr>
            <w:r>
              <w:rPr>
                <w:rFonts w:ascii="Arial" w:cs="Arial" w:eastAsia="Arial" w:hAnsi="Arial"/>
                <w:sz w:val="18"/>
                <w:szCs w:val="18"/>
                <w:color w:val="auto"/>
              </w:rPr>
              <w:t>Kings Court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Los Gatos</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Owned pursuant to</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89"/>
              </w:rPr>
              <w:t>ground lease that expires</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7/31/2024.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490-1720</w:t>
            </w:r>
          </w:p>
        </w:tc>
        <w:tc>
          <w:tcPr>
            <w:tcW w:w="4340" w:type="dxa"/>
            <w:vAlign w:val="bottom"/>
          </w:tcPr>
          <w:p>
            <w:pPr>
              <w:spacing w:after="0"/>
              <w:rPr>
                <w:sz w:val="20"/>
                <w:szCs w:val="20"/>
                <w:color w:val="auto"/>
              </w:rPr>
            </w:pPr>
            <w:r>
              <w:rPr>
                <w:rFonts w:ascii="Arial" w:cs="Arial" w:eastAsia="Arial" w:hAnsi="Arial"/>
                <w:sz w:val="18"/>
                <w:szCs w:val="18"/>
                <w:color w:val="auto"/>
              </w:rPr>
              <w:t>South Valley</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Alexandria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500-1010</w:t>
            </w:r>
          </w:p>
        </w:tc>
        <w:tc>
          <w:tcPr>
            <w:tcW w:w="4340" w:type="dxa"/>
            <w:vAlign w:val="bottom"/>
          </w:tcPr>
          <w:p>
            <w:pPr>
              <w:spacing w:after="0"/>
              <w:rPr>
                <w:sz w:val="20"/>
                <w:szCs w:val="20"/>
                <w:color w:val="auto"/>
              </w:rPr>
            </w:pPr>
            <w:r>
              <w:rPr>
                <w:rFonts w:ascii="Arial" w:cs="Arial" w:eastAsia="Arial" w:hAnsi="Arial"/>
                <w:sz w:val="18"/>
                <w:szCs w:val="18"/>
                <w:color w:val="auto"/>
              </w:rPr>
              <w:t>Bala Cynwyd</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Bala Cynwyd</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500-1050</w:t>
            </w:r>
          </w:p>
        </w:tc>
        <w:tc>
          <w:tcPr>
            <w:tcW w:w="4340" w:type="dxa"/>
            <w:vAlign w:val="bottom"/>
          </w:tcPr>
          <w:p>
            <w:pPr>
              <w:spacing w:after="0"/>
              <w:rPr>
                <w:sz w:val="20"/>
                <w:szCs w:val="20"/>
                <w:color w:val="auto"/>
              </w:rPr>
            </w:pPr>
            <w:r>
              <w:rPr>
                <w:rFonts w:ascii="Arial" w:cs="Arial" w:eastAsia="Arial" w:hAnsi="Arial"/>
                <w:sz w:val="18"/>
                <w:szCs w:val="18"/>
                <w:color w:val="auto"/>
              </w:rPr>
              <w:t>Bristol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Bristol</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CT</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500-1090</w:t>
            </w:r>
          </w:p>
        </w:tc>
        <w:tc>
          <w:tcPr>
            <w:tcW w:w="4340" w:type="dxa"/>
            <w:vAlign w:val="bottom"/>
          </w:tcPr>
          <w:p>
            <w:pPr>
              <w:spacing w:after="0"/>
              <w:rPr>
                <w:sz w:val="20"/>
                <w:szCs w:val="20"/>
                <w:color w:val="auto"/>
              </w:rPr>
            </w:pPr>
            <w:r>
              <w:rPr>
                <w:rFonts w:ascii="Arial" w:cs="Arial" w:eastAsia="Arial" w:hAnsi="Arial"/>
                <w:sz w:val="18"/>
                <w:szCs w:val="18"/>
                <w:color w:val="auto"/>
              </w:rPr>
              <w:t>Crossroads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9"/>
              </w:rPr>
              <w:t>Highland Park</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500-1125</w:t>
            </w:r>
          </w:p>
        </w:tc>
        <w:tc>
          <w:tcPr>
            <w:tcW w:w="4340" w:type="dxa"/>
            <w:vAlign w:val="bottom"/>
          </w:tcPr>
          <w:p>
            <w:pPr>
              <w:spacing w:after="0"/>
              <w:rPr>
                <w:sz w:val="20"/>
                <w:szCs w:val="20"/>
                <w:color w:val="auto"/>
              </w:rPr>
            </w:pPr>
            <w:r>
              <w:rPr>
                <w:rFonts w:ascii="Arial" w:cs="Arial" w:eastAsia="Arial" w:hAnsi="Arial"/>
                <w:sz w:val="18"/>
                <w:szCs w:val="18"/>
                <w:color w:val="auto"/>
              </w:rPr>
              <w:t>Dedham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Dedham</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500-1160</w:t>
            </w:r>
          </w:p>
        </w:tc>
        <w:tc>
          <w:tcPr>
            <w:tcW w:w="4340" w:type="dxa"/>
            <w:vAlign w:val="bottom"/>
          </w:tcPr>
          <w:p>
            <w:pPr>
              <w:spacing w:after="0"/>
              <w:rPr>
                <w:sz w:val="20"/>
                <w:szCs w:val="20"/>
                <w:color w:val="auto"/>
              </w:rPr>
            </w:pPr>
            <w:r>
              <w:rPr>
                <w:rFonts w:ascii="Arial" w:cs="Arial" w:eastAsia="Arial" w:hAnsi="Arial"/>
                <w:sz w:val="18"/>
                <w:szCs w:val="18"/>
                <w:color w:val="auto"/>
              </w:rPr>
              <w:t>Eastgate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Chapel Hill</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9"/>
              </w:rPr>
              <w:t>NC</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500-1180</w:t>
            </w:r>
          </w:p>
        </w:tc>
        <w:tc>
          <w:tcPr>
            <w:tcW w:w="4340" w:type="dxa"/>
            <w:vAlign w:val="bottom"/>
          </w:tcPr>
          <w:p>
            <w:pPr>
              <w:spacing w:after="0"/>
              <w:rPr>
                <w:sz w:val="20"/>
                <w:szCs w:val="20"/>
                <w:color w:val="auto"/>
              </w:rPr>
            </w:pPr>
            <w:r>
              <w:rPr>
                <w:rFonts w:ascii="Arial" w:cs="Arial" w:eastAsia="Arial" w:hAnsi="Arial"/>
                <w:sz w:val="18"/>
                <w:szCs w:val="18"/>
                <w:color w:val="auto"/>
              </w:rPr>
              <w:t>Ellisburg Circle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Cherry Hill</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500-1200</w:t>
            </w:r>
          </w:p>
        </w:tc>
        <w:tc>
          <w:tcPr>
            <w:tcW w:w="4340" w:type="dxa"/>
            <w:vAlign w:val="bottom"/>
          </w:tcPr>
          <w:p>
            <w:pPr>
              <w:spacing w:after="0"/>
              <w:rPr>
                <w:sz w:val="20"/>
                <w:szCs w:val="20"/>
                <w:color w:val="auto"/>
              </w:rPr>
            </w:pPr>
            <w:r>
              <w:rPr>
                <w:rFonts w:ascii="Arial" w:cs="Arial" w:eastAsia="Arial" w:hAnsi="Arial"/>
                <w:sz w:val="18"/>
                <w:szCs w:val="18"/>
                <w:color w:val="auto"/>
              </w:rPr>
              <w:t>Falls Plaza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Falls Church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500-1201</w:t>
            </w:r>
          </w:p>
        </w:tc>
        <w:tc>
          <w:tcPr>
            <w:tcW w:w="4340" w:type="dxa"/>
            <w:vAlign w:val="bottom"/>
          </w:tcPr>
          <w:p>
            <w:pPr>
              <w:spacing w:after="0"/>
              <w:rPr>
                <w:sz w:val="20"/>
                <w:szCs w:val="20"/>
                <w:color w:val="auto"/>
              </w:rPr>
            </w:pPr>
            <w:r>
              <w:rPr>
                <w:rFonts w:ascii="Arial" w:cs="Arial" w:eastAsia="Arial" w:hAnsi="Arial"/>
                <w:sz w:val="18"/>
                <w:szCs w:val="18"/>
                <w:color w:val="auto"/>
              </w:rPr>
              <w:t>Feasterville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Feasterville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500-1202</w:t>
            </w:r>
          </w:p>
        </w:tc>
        <w:tc>
          <w:tcPr>
            <w:tcW w:w="4340" w:type="dxa"/>
            <w:vAlign w:val="bottom"/>
          </w:tcPr>
          <w:p>
            <w:pPr>
              <w:spacing w:after="0"/>
              <w:rPr>
                <w:sz w:val="20"/>
                <w:szCs w:val="20"/>
                <w:color w:val="auto"/>
              </w:rPr>
            </w:pPr>
            <w:r>
              <w:rPr>
                <w:rFonts w:ascii="Arial" w:cs="Arial" w:eastAsia="Arial" w:hAnsi="Arial"/>
                <w:sz w:val="18"/>
                <w:szCs w:val="18"/>
                <w:color w:val="auto"/>
              </w:rPr>
              <w:t>Flourtown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Flourtown</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500-1217</w:t>
            </w:r>
          </w:p>
        </w:tc>
        <w:tc>
          <w:tcPr>
            <w:tcW w:w="4340" w:type="dxa"/>
            <w:vAlign w:val="bottom"/>
          </w:tcPr>
          <w:p>
            <w:pPr>
              <w:spacing w:after="0"/>
              <w:rPr>
                <w:sz w:val="20"/>
                <w:szCs w:val="20"/>
                <w:color w:val="auto"/>
              </w:rPr>
            </w:pPr>
            <w:r>
              <w:rPr>
                <w:rFonts w:ascii="Arial" w:cs="Arial" w:eastAsia="Arial" w:hAnsi="Arial"/>
                <w:sz w:val="18"/>
                <w:szCs w:val="18"/>
                <w:color w:val="auto"/>
              </w:rPr>
              <w:t>Finley Square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89"/>
              </w:rPr>
              <w:t>Downers Grove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500-1220</w:t>
            </w:r>
          </w:p>
        </w:tc>
        <w:tc>
          <w:tcPr>
            <w:tcW w:w="4340" w:type="dxa"/>
            <w:vAlign w:val="bottom"/>
          </w:tcPr>
          <w:p>
            <w:pPr>
              <w:spacing w:after="0"/>
              <w:rPr>
                <w:sz w:val="20"/>
                <w:szCs w:val="20"/>
                <w:color w:val="auto"/>
              </w:rPr>
            </w:pPr>
            <w:r>
              <w:rPr>
                <w:rFonts w:ascii="Arial" w:cs="Arial" w:eastAsia="Arial" w:hAnsi="Arial"/>
                <w:sz w:val="18"/>
                <w:szCs w:val="18"/>
                <w:color w:val="auto"/>
              </w:rPr>
              <w:t>Gratiot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Roseville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MI</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500-1235</w:t>
            </w:r>
          </w:p>
        </w:tc>
        <w:tc>
          <w:tcPr>
            <w:tcW w:w="4340" w:type="dxa"/>
            <w:vAlign w:val="bottom"/>
          </w:tcPr>
          <w:p>
            <w:pPr>
              <w:spacing w:after="0"/>
              <w:rPr>
                <w:sz w:val="20"/>
                <w:szCs w:val="20"/>
                <w:color w:val="auto"/>
              </w:rPr>
            </w:pPr>
            <w:r>
              <w:rPr>
                <w:rFonts w:ascii="Arial" w:cs="Arial" w:eastAsia="Arial" w:hAnsi="Arial"/>
                <w:sz w:val="18"/>
                <w:szCs w:val="18"/>
                <w:color w:val="auto"/>
              </w:rPr>
              <w:t>Gaithersburg Square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500-1236</w:t>
            </w:r>
          </w:p>
        </w:tc>
        <w:tc>
          <w:tcPr>
            <w:tcW w:w="4340" w:type="dxa"/>
            <w:vAlign w:val="bottom"/>
          </w:tcPr>
          <w:p>
            <w:pPr>
              <w:spacing w:after="0"/>
              <w:rPr>
                <w:sz w:val="20"/>
                <w:szCs w:val="20"/>
                <w:color w:val="auto"/>
              </w:rPr>
            </w:pPr>
            <w:r>
              <w:rPr>
                <w:rFonts w:ascii="Arial" w:cs="Arial" w:eastAsia="Arial" w:hAnsi="Arial"/>
                <w:sz w:val="18"/>
                <w:szCs w:val="18"/>
                <w:color w:val="auto"/>
              </w:rPr>
              <w:t>Gaithersburg Square Office Bld</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500-1245</w:t>
            </w:r>
          </w:p>
        </w:tc>
        <w:tc>
          <w:tcPr>
            <w:tcW w:w="4340" w:type="dxa"/>
            <w:vAlign w:val="bottom"/>
          </w:tcPr>
          <w:p>
            <w:pPr>
              <w:spacing w:after="0"/>
              <w:rPr>
                <w:sz w:val="20"/>
                <w:szCs w:val="20"/>
                <w:color w:val="auto"/>
              </w:rPr>
            </w:pPr>
            <w:r>
              <w:rPr>
                <w:rFonts w:ascii="Arial" w:cs="Arial" w:eastAsia="Arial" w:hAnsi="Arial"/>
                <w:sz w:val="18"/>
                <w:szCs w:val="18"/>
                <w:color w:val="auto"/>
              </w:rPr>
              <w:t>Garden Market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Western</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Springs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500-1315</w:t>
            </w:r>
          </w:p>
        </w:tc>
        <w:tc>
          <w:tcPr>
            <w:tcW w:w="4340" w:type="dxa"/>
            <w:vAlign w:val="bottom"/>
          </w:tcPr>
          <w:p>
            <w:pPr>
              <w:spacing w:after="0"/>
              <w:rPr>
                <w:sz w:val="20"/>
                <w:szCs w:val="20"/>
                <w:color w:val="auto"/>
              </w:rPr>
            </w:pPr>
            <w:r>
              <w:rPr>
                <w:rFonts w:ascii="Arial" w:cs="Arial" w:eastAsia="Arial" w:hAnsi="Arial"/>
                <w:sz w:val="18"/>
                <w:szCs w:val="18"/>
                <w:color w:val="auto"/>
              </w:rPr>
              <w:t>Idylwood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Falls Church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500-1326</w:t>
            </w:r>
          </w:p>
        </w:tc>
        <w:tc>
          <w:tcPr>
            <w:tcW w:w="4340" w:type="dxa"/>
            <w:vAlign w:val="bottom"/>
          </w:tcPr>
          <w:p>
            <w:pPr>
              <w:spacing w:after="0"/>
              <w:rPr>
                <w:sz w:val="20"/>
                <w:szCs w:val="20"/>
                <w:color w:val="auto"/>
              </w:rPr>
            </w:pPr>
            <w:r>
              <w:rPr>
                <w:rFonts w:ascii="Arial" w:cs="Arial" w:eastAsia="Arial" w:hAnsi="Arial"/>
                <w:sz w:val="18"/>
                <w:szCs w:val="18"/>
                <w:color w:val="auto"/>
              </w:rPr>
              <w:t>Huntington</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Huntington</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500-1440</w:t>
            </w:r>
          </w:p>
        </w:tc>
        <w:tc>
          <w:tcPr>
            <w:tcW w:w="4340" w:type="dxa"/>
            <w:vAlign w:val="bottom"/>
          </w:tcPr>
          <w:p>
            <w:pPr>
              <w:spacing w:after="0"/>
              <w:rPr>
                <w:sz w:val="20"/>
                <w:szCs w:val="20"/>
                <w:color w:val="auto"/>
              </w:rPr>
            </w:pPr>
            <w:r>
              <w:rPr>
                <w:rFonts w:ascii="Arial" w:cs="Arial" w:eastAsia="Arial" w:hAnsi="Arial"/>
                <w:sz w:val="18"/>
                <w:szCs w:val="18"/>
                <w:color w:val="auto"/>
              </w:rPr>
              <w:t>Lancaster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Lancaster</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86"/>
              </w:rPr>
              <w:t>Lease expires 3/27/17 but</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2"/>
              </w:rPr>
              <w:t>has 12 remaining 5-year</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extension options</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500-1441</w:t>
            </w:r>
          </w:p>
        </w:tc>
        <w:tc>
          <w:tcPr>
            <w:tcW w:w="4340" w:type="dxa"/>
            <w:vAlign w:val="bottom"/>
          </w:tcPr>
          <w:p>
            <w:pPr>
              <w:spacing w:after="0"/>
              <w:rPr>
                <w:sz w:val="20"/>
                <w:szCs w:val="20"/>
                <w:color w:val="auto"/>
              </w:rPr>
            </w:pPr>
            <w:r>
              <w:rPr>
                <w:rFonts w:ascii="Arial" w:cs="Arial" w:eastAsia="Arial" w:hAnsi="Arial"/>
                <w:sz w:val="18"/>
                <w:szCs w:val="18"/>
                <w:color w:val="auto"/>
              </w:rPr>
              <w:t>Langhorne Square S C</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Levittown</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500-1443</w:t>
            </w:r>
          </w:p>
        </w:tc>
        <w:tc>
          <w:tcPr>
            <w:tcW w:w="4340" w:type="dxa"/>
            <w:vAlign w:val="bottom"/>
          </w:tcPr>
          <w:p>
            <w:pPr>
              <w:spacing w:after="0"/>
              <w:rPr>
                <w:sz w:val="20"/>
                <w:szCs w:val="20"/>
                <w:color w:val="auto"/>
              </w:rPr>
            </w:pPr>
            <w:r>
              <w:rPr>
                <w:rFonts w:ascii="Arial" w:cs="Arial" w:eastAsia="Arial" w:hAnsi="Arial"/>
                <w:sz w:val="18"/>
                <w:szCs w:val="18"/>
                <w:color w:val="auto"/>
              </w:rPr>
              <w:t>Laurel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Laurel</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500-1475</w:t>
            </w:r>
          </w:p>
        </w:tc>
        <w:tc>
          <w:tcPr>
            <w:tcW w:w="4340" w:type="dxa"/>
            <w:vAlign w:val="bottom"/>
          </w:tcPr>
          <w:p>
            <w:pPr>
              <w:spacing w:after="0"/>
              <w:rPr>
                <w:sz w:val="20"/>
                <w:szCs w:val="20"/>
                <w:color w:val="auto"/>
              </w:rPr>
            </w:pPr>
            <w:r>
              <w:rPr>
                <w:rFonts w:ascii="Arial" w:cs="Arial" w:eastAsia="Arial" w:hAnsi="Arial"/>
                <w:sz w:val="18"/>
                <w:szCs w:val="18"/>
                <w:color w:val="auto"/>
              </w:rPr>
              <w:t>Mercer Mall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Lawrenceville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Owned pursuant to</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89"/>
              </w:rPr>
              <w:t>ground lease that expires</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1"/>
              </w:rPr>
              <w:t>9/30/2028 with an option</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87"/>
              </w:rPr>
              <w:t>for the tenant to purchase</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the property at a fixed</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price</w:t>
            </w: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500-1476</w:t>
            </w:r>
          </w:p>
        </w:tc>
        <w:tc>
          <w:tcPr>
            <w:tcW w:w="4340" w:type="dxa"/>
            <w:vAlign w:val="bottom"/>
          </w:tcPr>
          <w:p>
            <w:pPr>
              <w:spacing w:after="0"/>
              <w:rPr>
                <w:sz w:val="20"/>
                <w:szCs w:val="20"/>
                <w:color w:val="auto"/>
              </w:rPr>
            </w:pPr>
            <w:r>
              <w:rPr>
                <w:rFonts w:ascii="Arial" w:cs="Arial" w:eastAsia="Arial" w:hAnsi="Arial"/>
                <w:sz w:val="18"/>
                <w:szCs w:val="18"/>
                <w:color w:val="auto"/>
              </w:rPr>
              <w:t>Mercer Mall - Loupinski/Moore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Lawrenceville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bl>
    <w:p>
      <w:pPr>
        <w:spacing w:after="0"/>
        <w:rPr>
          <w:sz w:val="20"/>
          <w:szCs w:val="20"/>
          <w:color w:val="auto"/>
        </w:rPr>
        <w:sectPr>
          <w:pgSz w:w="11900" w:h="16838" w:orient="portrait"/>
          <w:cols w:equalWidth="0" w:num="1">
            <w:col w:w="11420"/>
          </w:cols>
          <w:pgMar w:left="240" w:top="26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71" w:name="page372"/>
    <w:bookmarkEnd w:id="371"/>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Eligible Property</w:t>
            </w: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3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City</w:t>
            </w:r>
          </w:p>
        </w:tc>
        <w:tc>
          <w:tcPr>
            <w:tcW w:w="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Retail/Multif</w:t>
            </w:r>
          </w:p>
        </w:tc>
        <w:tc>
          <w:tcPr>
            <w:tcW w:w="1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Exceptions</w:t>
            </w:r>
          </w:p>
        </w:tc>
      </w:tr>
      <w:tr>
        <w:trPr>
          <w:trHeight w:val="27"/>
        </w:trPr>
        <w:tc>
          <w:tcPr>
            <w:tcW w:w="1160" w:type="dxa"/>
            <w:vAlign w:val="bottom"/>
            <w:gridSpan w:val="2"/>
            <w:shd w:val="clear" w:color="auto" w:fill="000000"/>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r>
      <w:tr>
        <w:trPr>
          <w:trHeight w:val="316"/>
        </w:trPr>
        <w:tc>
          <w:tcPr>
            <w:tcW w:w="1160" w:type="dxa"/>
            <w:vAlign w:val="bottom"/>
            <w:gridSpan w:val="2"/>
          </w:tcPr>
          <w:p>
            <w:pPr>
              <w:spacing w:after="0"/>
              <w:rPr>
                <w:sz w:val="20"/>
                <w:szCs w:val="20"/>
                <w:color w:val="auto"/>
              </w:rPr>
            </w:pPr>
            <w:r>
              <w:rPr>
                <w:rFonts w:ascii="Arial" w:cs="Arial" w:eastAsia="Arial" w:hAnsi="Arial"/>
                <w:sz w:val="18"/>
                <w:szCs w:val="18"/>
                <w:color w:val="auto"/>
              </w:rPr>
              <w:t>500-1480</w:t>
            </w:r>
          </w:p>
        </w:tc>
        <w:tc>
          <w:tcPr>
            <w:tcW w:w="4340" w:type="dxa"/>
            <w:vAlign w:val="bottom"/>
          </w:tcPr>
          <w:p>
            <w:pPr>
              <w:spacing w:after="0"/>
              <w:rPr>
                <w:sz w:val="20"/>
                <w:szCs w:val="20"/>
                <w:color w:val="auto"/>
              </w:rPr>
            </w:pPr>
            <w:r>
              <w:rPr>
                <w:rFonts w:ascii="Arial" w:cs="Arial" w:eastAsia="Arial" w:hAnsi="Arial"/>
                <w:sz w:val="18"/>
                <w:szCs w:val="18"/>
                <w:color w:val="auto"/>
              </w:rPr>
              <w:t>Mid-Pike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500-1500</w:t>
            </w:r>
          </w:p>
        </w:tc>
        <w:tc>
          <w:tcPr>
            <w:tcW w:w="4340" w:type="dxa"/>
            <w:vAlign w:val="bottom"/>
          </w:tcPr>
          <w:p>
            <w:pPr>
              <w:spacing w:after="0"/>
              <w:rPr>
                <w:sz w:val="20"/>
                <w:szCs w:val="20"/>
                <w:color w:val="auto"/>
              </w:rPr>
            </w:pPr>
            <w:r>
              <w:rPr>
                <w:rFonts w:ascii="Arial" w:cs="Arial" w:eastAsia="Arial" w:hAnsi="Arial"/>
                <w:sz w:val="18"/>
                <w:szCs w:val="18"/>
                <w:color w:val="auto"/>
              </w:rPr>
              <w:t>Town Center of New Britain</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New Britain</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500-1520</w:t>
            </w:r>
          </w:p>
        </w:tc>
        <w:tc>
          <w:tcPr>
            <w:tcW w:w="4340" w:type="dxa"/>
            <w:vAlign w:val="bottom"/>
          </w:tcPr>
          <w:p>
            <w:pPr>
              <w:spacing w:after="0"/>
              <w:rPr>
                <w:sz w:val="20"/>
                <w:szCs w:val="20"/>
                <w:color w:val="auto"/>
              </w:rPr>
            </w:pPr>
            <w:r>
              <w:rPr>
                <w:rFonts w:ascii="Arial" w:cs="Arial" w:eastAsia="Arial" w:hAnsi="Arial"/>
                <w:sz w:val="18"/>
                <w:szCs w:val="18"/>
                <w:color w:val="auto"/>
              </w:rPr>
              <w:t>Northeast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Philadelphia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500-1525</w:t>
            </w:r>
          </w:p>
        </w:tc>
        <w:tc>
          <w:tcPr>
            <w:tcW w:w="4340" w:type="dxa"/>
            <w:vAlign w:val="bottom"/>
          </w:tcPr>
          <w:p>
            <w:pPr>
              <w:spacing w:after="0"/>
              <w:rPr>
                <w:sz w:val="20"/>
                <w:szCs w:val="20"/>
                <w:color w:val="auto"/>
              </w:rPr>
            </w:pPr>
            <w:r>
              <w:rPr>
                <w:rFonts w:ascii="Arial" w:cs="Arial" w:eastAsia="Arial" w:hAnsi="Arial"/>
                <w:sz w:val="18"/>
                <w:szCs w:val="18"/>
                <w:color w:val="auto"/>
              </w:rPr>
              <w:t>North Lake Commons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Lake Zurich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500-1560</w:t>
            </w:r>
          </w:p>
        </w:tc>
        <w:tc>
          <w:tcPr>
            <w:tcW w:w="4340" w:type="dxa"/>
            <w:vAlign w:val="bottom"/>
          </w:tcPr>
          <w:p>
            <w:pPr>
              <w:spacing w:after="0"/>
              <w:rPr>
                <w:sz w:val="20"/>
                <w:szCs w:val="20"/>
                <w:color w:val="auto"/>
              </w:rPr>
            </w:pPr>
            <w:r>
              <w:rPr>
                <w:rFonts w:ascii="Arial" w:cs="Arial" w:eastAsia="Arial" w:hAnsi="Arial"/>
                <w:sz w:val="18"/>
                <w:szCs w:val="18"/>
                <w:color w:val="auto"/>
              </w:rPr>
              <w:t>Old Keene Mill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Springfield</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500-1580</w:t>
            </w:r>
          </w:p>
        </w:tc>
        <w:tc>
          <w:tcPr>
            <w:tcW w:w="4340" w:type="dxa"/>
            <w:vAlign w:val="bottom"/>
          </w:tcPr>
          <w:p>
            <w:pPr>
              <w:spacing w:after="0"/>
              <w:rPr>
                <w:sz w:val="20"/>
                <w:szCs w:val="20"/>
                <w:color w:val="auto"/>
              </w:rPr>
            </w:pPr>
            <w:r>
              <w:rPr>
                <w:rFonts w:ascii="Arial" w:cs="Arial" w:eastAsia="Arial" w:hAnsi="Arial"/>
                <w:sz w:val="18"/>
                <w:szCs w:val="18"/>
                <w:color w:val="auto"/>
              </w:rPr>
              <w:t>Pan Am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500-1610</w:t>
            </w:r>
          </w:p>
        </w:tc>
        <w:tc>
          <w:tcPr>
            <w:tcW w:w="4340" w:type="dxa"/>
            <w:vAlign w:val="bottom"/>
          </w:tcPr>
          <w:p>
            <w:pPr>
              <w:spacing w:after="0"/>
              <w:rPr>
                <w:sz w:val="20"/>
                <w:szCs w:val="20"/>
                <w:color w:val="auto"/>
              </w:rPr>
            </w:pPr>
            <w:r>
              <w:rPr>
                <w:rFonts w:ascii="Arial" w:cs="Arial" w:eastAsia="Arial" w:hAnsi="Arial"/>
                <w:sz w:val="18"/>
                <w:szCs w:val="18"/>
                <w:color w:val="auto"/>
              </w:rPr>
              <w:t>Queen Anne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Norwell</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500-1625</w:t>
            </w:r>
          </w:p>
        </w:tc>
        <w:tc>
          <w:tcPr>
            <w:tcW w:w="4340" w:type="dxa"/>
            <w:vAlign w:val="bottom"/>
          </w:tcPr>
          <w:p>
            <w:pPr>
              <w:spacing w:after="0"/>
              <w:rPr>
                <w:sz w:val="20"/>
                <w:szCs w:val="20"/>
                <w:color w:val="auto"/>
              </w:rPr>
            </w:pPr>
            <w:r>
              <w:rPr>
                <w:rFonts w:ascii="Arial" w:cs="Arial" w:eastAsia="Arial" w:hAnsi="Arial"/>
                <w:sz w:val="18"/>
                <w:szCs w:val="18"/>
                <w:color w:val="auto"/>
              </w:rPr>
              <w:t>Quince Orchard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500-1626</w:t>
            </w:r>
          </w:p>
        </w:tc>
        <w:tc>
          <w:tcPr>
            <w:tcW w:w="4340" w:type="dxa"/>
            <w:vAlign w:val="bottom"/>
          </w:tcPr>
          <w:p>
            <w:pPr>
              <w:spacing w:after="0"/>
              <w:rPr>
                <w:sz w:val="20"/>
                <w:szCs w:val="20"/>
                <w:color w:val="auto"/>
              </w:rPr>
            </w:pPr>
            <w:r>
              <w:rPr>
                <w:rFonts w:ascii="Arial" w:cs="Arial" w:eastAsia="Arial" w:hAnsi="Arial"/>
                <w:sz w:val="18"/>
                <w:szCs w:val="18"/>
                <w:color w:val="auto"/>
              </w:rPr>
              <w:t>Quince Orchard Office Building</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500-1627</w:t>
            </w:r>
          </w:p>
        </w:tc>
        <w:tc>
          <w:tcPr>
            <w:tcW w:w="4340" w:type="dxa"/>
            <w:vAlign w:val="bottom"/>
          </w:tcPr>
          <w:p>
            <w:pPr>
              <w:spacing w:after="0"/>
              <w:rPr>
                <w:sz w:val="20"/>
                <w:szCs w:val="20"/>
                <w:color w:val="auto"/>
              </w:rPr>
            </w:pPr>
            <w:r>
              <w:rPr>
                <w:rFonts w:ascii="Arial" w:cs="Arial" w:eastAsia="Arial" w:hAnsi="Arial"/>
                <w:sz w:val="18"/>
                <w:szCs w:val="18"/>
                <w:color w:val="auto"/>
              </w:rPr>
              <w:t>7700 Richmond Highway</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Alexandria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500-1700</w:t>
            </w:r>
          </w:p>
        </w:tc>
        <w:tc>
          <w:tcPr>
            <w:tcW w:w="4340" w:type="dxa"/>
            <w:vAlign w:val="bottom"/>
          </w:tcPr>
          <w:p>
            <w:pPr>
              <w:spacing w:after="0"/>
              <w:rPr>
                <w:sz w:val="20"/>
                <w:szCs w:val="20"/>
                <w:color w:val="auto"/>
              </w:rPr>
            </w:pPr>
            <w:r>
              <w:rPr>
                <w:rFonts w:ascii="Arial" w:cs="Arial" w:eastAsia="Arial" w:hAnsi="Arial"/>
                <w:sz w:val="18"/>
                <w:szCs w:val="18"/>
                <w:color w:val="auto"/>
              </w:rPr>
              <w:t>Saugus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Saugus</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500-1750</w:t>
            </w:r>
          </w:p>
        </w:tc>
        <w:tc>
          <w:tcPr>
            <w:tcW w:w="4340" w:type="dxa"/>
            <w:vAlign w:val="bottom"/>
          </w:tcPr>
          <w:p>
            <w:pPr>
              <w:spacing w:after="0"/>
              <w:rPr>
                <w:sz w:val="20"/>
                <w:szCs w:val="20"/>
                <w:color w:val="auto"/>
              </w:rPr>
            </w:pPr>
            <w:r>
              <w:rPr>
                <w:rFonts w:ascii="Arial" w:cs="Arial" w:eastAsia="Arial" w:hAnsi="Arial"/>
                <w:sz w:val="18"/>
                <w:szCs w:val="18"/>
                <w:color w:val="auto"/>
              </w:rPr>
              <w:t>Tower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Springfield</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500-1761</w:t>
            </w:r>
          </w:p>
        </w:tc>
        <w:tc>
          <w:tcPr>
            <w:tcW w:w="4340" w:type="dxa"/>
            <w:vAlign w:val="bottom"/>
          </w:tcPr>
          <w:p>
            <w:pPr>
              <w:spacing w:after="0"/>
              <w:rPr>
                <w:sz w:val="20"/>
                <w:szCs w:val="20"/>
                <w:color w:val="auto"/>
              </w:rPr>
            </w:pPr>
            <w:r>
              <w:rPr>
                <w:rFonts w:ascii="Arial" w:cs="Arial" w:eastAsia="Arial" w:hAnsi="Arial"/>
                <w:sz w:val="18"/>
                <w:szCs w:val="18"/>
                <w:color w:val="auto"/>
              </w:rPr>
              <w:t>Troy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Parsippany-</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Troy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500-1880</w:t>
            </w:r>
          </w:p>
        </w:tc>
        <w:tc>
          <w:tcPr>
            <w:tcW w:w="4340" w:type="dxa"/>
            <w:vAlign w:val="bottom"/>
          </w:tcPr>
          <w:p>
            <w:pPr>
              <w:spacing w:after="0"/>
              <w:rPr>
                <w:sz w:val="20"/>
                <w:szCs w:val="20"/>
                <w:color w:val="auto"/>
              </w:rPr>
            </w:pPr>
            <w:r>
              <w:rPr>
                <w:rFonts w:ascii="Arial" w:cs="Arial" w:eastAsia="Arial" w:hAnsi="Arial"/>
                <w:sz w:val="18"/>
                <w:szCs w:val="18"/>
                <w:color w:val="auto"/>
              </w:rPr>
              <w:t>Falls Plaza - East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Falls Church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500-1883</w:t>
            </w:r>
          </w:p>
        </w:tc>
        <w:tc>
          <w:tcPr>
            <w:tcW w:w="4340" w:type="dxa"/>
            <w:vAlign w:val="bottom"/>
          </w:tcPr>
          <w:p>
            <w:pPr>
              <w:spacing w:after="0"/>
              <w:rPr>
                <w:sz w:val="20"/>
                <w:szCs w:val="20"/>
                <w:color w:val="auto"/>
              </w:rPr>
            </w:pPr>
            <w:r>
              <w:rPr>
                <w:rFonts w:ascii="Arial" w:cs="Arial" w:eastAsia="Arial" w:hAnsi="Arial"/>
                <w:sz w:val="18"/>
                <w:szCs w:val="18"/>
                <w:color w:val="auto"/>
              </w:rPr>
              <w:t>The Shops at Willow Lawn</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Richmond</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500-1889</w:t>
            </w:r>
          </w:p>
        </w:tc>
        <w:tc>
          <w:tcPr>
            <w:tcW w:w="4340" w:type="dxa"/>
            <w:vAlign w:val="bottom"/>
          </w:tcPr>
          <w:p>
            <w:pPr>
              <w:spacing w:after="0"/>
              <w:rPr>
                <w:sz w:val="20"/>
                <w:szCs w:val="20"/>
                <w:color w:val="auto"/>
              </w:rPr>
            </w:pPr>
            <w:r>
              <w:rPr>
                <w:rFonts w:ascii="Arial" w:cs="Arial" w:eastAsia="Arial" w:hAnsi="Arial"/>
                <w:sz w:val="18"/>
                <w:szCs w:val="18"/>
                <w:color w:val="auto"/>
              </w:rPr>
              <w:t>Willow Grove Shopping Center</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Willow Grove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500-1910</w:t>
            </w:r>
          </w:p>
        </w:tc>
        <w:tc>
          <w:tcPr>
            <w:tcW w:w="4340" w:type="dxa"/>
            <w:vAlign w:val="bottom"/>
          </w:tcPr>
          <w:p>
            <w:pPr>
              <w:spacing w:after="0"/>
              <w:rPr>
                <w:sz w:val="20"/>
                <w:szCs w:val="20"/>
                <w:color w:val="auto"/>
              </w:rPr>
            </w:pPr>
            <w:r>
              <w:rPr>
                <w:rFonts w:ascii="Arial" w:cs="Arial" w:eastAsia="Arial" w:hAnsi="Arial"/>
                <w:sz w:val="18"/>
                <w:szCs w:val="18"/>
                <w:color w:val="auto"/>
              </w:rPr>
              <w:t>Rockville Town Square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500-1911</w:t>
            </w:r>
          </w:p>
        </w:tc>
        <w:tc>
          <w:tcPr>
            <w:tcW w:w="4340" w:type="dxa"/>
            <w:vAlign w:val="bottom"/>
          </w:tcPr>
          <w:p>
            <w:pPr>
              <w:spacing w:after="0"/>
              <w:rPr>
                <w:sz w:val="20"/>
                <w:szCs w:val="20"/>
                <w:color w:val="auto"/>
              </w:rPr>
            </w:pPr>
            <w:r>
              <w:rPr>
                <w:rFonts w:ascii="Arial" w:cs="Arial" w:eastAsia="Arial" w:hAnsi="Arial"/>
                <w:sz w:val="18"/>
                <w:szCs w:val="18"/>
                <w:color w:val="auto"/>
              </w:rPr>
              <w:t>Rockville Town Square 2</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500-2060</w:t>
            </w:r>
          </w:p>
        </w:tc>
        <w:tc>
          <w:tcPr>
            <w:tcW w:w="4340" w:type="dxa"/>
            <w:vAlign w:val="bottom"/>
          </w:tcPr>
          <w:p>
            <w:pPr>
              <w:spacing w:after="0"/>
              <w:rPr>
                <w:sz w:val="20"/>
                <w:szCs w:val="20"/>
                <w:color w:val="auto"/>
              </w:rPr>
            </w:pPr>
            <w:r>
              <w:rPr>
                <w:rFonts w:ascii="Arial" w:cs="Arial" w:eastAsia="Arial" w:hAnsi="Arial"/>
                <w:sz w:val="18"/>
                <w:szCs w:val="18"/>
                <w:color w:val="auto"/>
              </w:rPr>
              <w:t>Rollingwood Apartments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Silver Spring</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Multifamily</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None</w:t>
            </w: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72" w:name="page373"/>
    <w:bookmarkEnd w:id="37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FORM OF ASSIGNMENT AND ACCEPTANCE AGREEMENT</w:t>
      </w:r>
    </w:p>
    <w:p>
      <w:pPr>
        <w:sectPr>
          <w:pgSz w:w="11900" w:h="16838" w:orient="portrait"/>
          <w:cols w:equalWidth="0" w:num="1">
            <w:col w:w="11400"/>
          </w:cols>
          <w:pgMar w:left="240" w:top="280" w:right="259" w:bottom="1440" w:gutter="0" w:footer="0" w:header="0"/>
        </w:sectPr>
      </w:pPr>
    </w:p>
    <w:p>
      <w:pPr>
        <w:spacing w:after="0" w:line="194" w:lineRule="exact"/>
        <w:rPr>
          <w:sz w:val="20"/>
          <w:szCs w:val="20"/>
          <w:color w:val="auto"/>
        </w:rPr>
      </w:pPr>
    </w:p>
    <w:p>
      <w:pPr>
        <w:ind w:left="460"/>
        <w:spacing w:after="0"/>
        <w:tabs>
          <w:tab w:leader="none" w:pos="6120" w:val="left"/>
          <w:tab w:leader="none" w:pos="6600" w:val="left"/>
        </w:tabs>
        <w:rPr>
          <w:sz w:val="20"/>
          <w:szCs w:val="20"/>
          <w:color w:val="auto"/>
        </w:rPr>
      </w:pPr>
      <w:r>
        <w:rPr>
          <w:rFonts w:ascii="Arial" w:cs="Arial" w:eastAsia="Arial" w:hAnsi="Arial"/>
          <w:sz w:val="18"/>
          <w:szCs w:val="18"/>
          <w:color w:val="auto"/>
        </w:rPr>
        <w:t>THIS ASSIGNMENT AND ACCEPTANCE AGREEMENT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“Agreement”) by and among</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“Assignor”),</w:t>
      </w:r>
    </w:p>
    <w:p>
      <w:pPr>
        <w:spacing w:after="0" w:line="37" w:lineRule="exact"/>
        <w:rPr>
          <w:sz w:val="20"/>
          <w:szCs w:val="20"/>
          <w:color w:val="auto"/>
        </w:rPr>
      </w:pPr>
    </w:p>
    <w:p>
      <w:pPr>
        <w:sectPr>
          <w:pgSz w:w="11900" w:h="16838" w:orient="portrait"/>
          <w:cols w:equalWidth="0" w:num="2">
            <w:col w:w="9220" w:space="720"/>
            <w:col w:w="1460"/>
          </w:cols>
          <w:pgMar w:left="240" w:top="280" w:right="25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(the “Assignee”), and WACHOVIA BANK, NATIONAL ASSOCIATION, as Agent (the “Agent”).</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WHEREAS, the Assignor is a Lender under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the Assignor desires to assign to the Assignee, among other things, all or a portion of the Assignor’s rights under the Credit Agreement, all on the terms and conditions set forth herein;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Agent consents to such assignment on the terms and conditions set forth herein;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hereby are acknowledged by the parties hereto, the parties hereto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Subject to the terms and conditions of this Agreement and in consideration of the payment to be made by the Assignee to the Assignor pursuant to</w:t>
      </w:r>
    </w:p>
    <w:p>
      <w:pPr>
        <w:spacing w:after="0" w:line="3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Section 2 of this Agreement, effective as of , 200 (the “Assignment Date”), the Assignor hereby irrevocably sells, transfers and assigns to the Assignee, without recourse, a $ interest (such interest being the “Assigned Loan”) in and to the Assignor’s Loan and all of the other rights and obligations of the Assignor under the Credit Agreement, such Assignor’s Note and the other Loan Documents (representing % in respect of the aggregate amount of all</w:t>
      </w:r>
    </w:p>
    <w:p>
      <w:pPr>
        <w:spacing w:after="0" w:line="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Lenders’ outstanding Loans), all voting rights of the Assignor associated with the Assigned Loan, all rights to receive interest on the Assigned Loan and all Fees with respect to the Assigned Loan and all other rights and obligations of the Assignor under the Credit Agreement and the other Loan Documents with respect to the Assigned Loan, all as if the Assignee were an original Lender under and signatory to the Credit Agreement holding a Loan equal to the amount of the Assigned Loan. The Assignee, subject to the terms and conditions hereof, hereby assumes all obligations of the Assignor with respect to the Assigned Loan as if the Assignee were an original Lender under and signatory to the Credit Agreement having a Loan equal to the Assigned Loan, which obligations shall include, but shall not be limited to, the obligation of the Assignor to indemnify the Agent as provided therein (the foregoing obligation, together with all other obligations more particularly set forth in the Credit Agreement and the other Loan Documents, collectively, the “Assigned Obligations”). The Assignor shall have no further duties or obligations with respect to, and shall have no further interest in, the Assigned Obligations or the Assigned Loan from and after the Assignment Date.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80" w:right="259" w:bottom="1440" w:gutter="0" w:footer="0" w:header="0"/>
          <w:type w:val="continuous"/>
        </w:sectPr>
      </w:pPr>
    </w:p>
    <w:bookmarkStart w:id="373" w:name="page374"/>
    <w:bookmarkEnd w:id="373"/>
    <w:p>
      <w:pPr>
        <w:ind w:firstLine="464"/>
        <w:spacing w:after="0" w:line="284" w:lineRule="auto"/>
        <w:tabs>
          <w:tab w:leader="none" w:pos="705" w:val="left"/>
        </w:tabs>
        <w:numPr>
          <w:ilvl w:val="0"/>
          <w:numId w:val="2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assignment by the Assignor to the Assignee hereunder is without recourse to the Assignor. The Assignee makes and confirms to the Agent, the Assignor, and the other Lenders all of the representations, warranties and covenants of a Lender under Article XI. of the Credit Agreement. Not in limitation of the foregoing, the Assignee acknowledges and agrees that, except as set forth in Section 4 below, the Assignor is making no representations or warranties with respect to, and the Assignee hereby releases and discharges the Assignor for any responsibility or liability for: (i) the present or future solvency or financial condition of the Borrower, any Subsidiary or any other Loan Party, (ii) any representations, warranties, statements or information made or furnished by the Borrower, any Subsidiary or any other Loan Party in connection with the Credit Agreement or otherwise, (iii) the validity, efficacy, sufficiency, or enforceability of the Credit Agreement, any other Loan Document or any other document or instrument executed in connection therewith, or the collectibility of the Assigned Obligations, (iv) the perfection, priority or validity of any Lien with respect to any collateral at any time securing the Obligations or the Assigned Obligations under the Notes or the Credit Agreement and (v) the performance or failure to perform by the Borrower or any other Loan Party of any obligation under the Credit Agreement or any other Loan Document to which it is a party. Further, the Assignee acknowledges that it has, independently and without reliance upon the Agent, or on any affiliate or subsidiary thereof, the Assignor or any other Lender and based on the financial statements supplied by the Borrower and such other documents and information as it has deemed appropriate, made its own credit and legal analysis and decision to become a Lender under the Credit Agreement. The Assignee also acknowledges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or any other Loan Documents or pursuant to any other obligation. Except as expressly provided in the Credit Agreement, the Agent shall have no duty or responsibility whatsoever, either initially or on a continuing basis, to provide the Assignee with any credit or other information with respect to the Borrower or any other Loan Party or to notify the Assignee of any Default or Event of Default. The Assignee has not relied on the Agent as to any legal or factual matter in connection therewith or in connection with the transactions contemplated thereunder.</w:t>
      </w:r>
    </w:p>
    <w:p>
      <w:pPr>
        <w:spacing w:after="0" w:line="13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Payment by Assignee</w:t>
      </w:r>
      <w:r>
        <w:rPr>
          <w:rFonts w:ascii="Arial" w:cs="Arial" w:eastAsia="Arial" w:hAnsi="Arial"/>
          <w:sz w:val="18"/>
          <w:szCs w:val="18"/>
          <w:color w:val="auto"/>
        </w:rPr>
        <w:t>. In consideration of the assignment made pursuant to Section 1 of this Agreement, the Assignee agrees to pay to the Assignor on the Assignment Date, such amount as they may agree.</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Payments by Assignor</w:t>
      </w:r>
      <w:r>
        <w:rPr>
          <w:rFonts w:ascii="Arial" w:cs="Arial" w:eastAsia="Arial" w:hAnsi="Arial"/>
          <w:sz w:val="18"/>
          <w:szCs w:val="18"/>
          <w:color w:val="auto"/>
        </w:rPr>
        <w:t>. The Assignor agrees to pay to the Agent on the Assignment Date the administration fee, if any, payable under the applicable provisions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Warranties of Assignor</w:t>
      </w:r>
      <w:r>
        <w:rPr>
          <w:rFonts w:ascii="Arial" w:cs="Arial" w:eastAsia="Arial" w:hAnsi="Arial"/>
          <w:sz w:val="16"/>
          <w:szCs w:val="16"/>
          <w:color w:val="auto"/>
        </w:rPr>
        <w:t>. The Assignor hereby represents and warrants to the Assignee that (a) as of the Assignment Date</w:t>
      </w:r>
    </w:p>
    <w:p>
      <w:pPr>
        <w:spacing w:after="0" w:line="38" w:lineRule="exact"/>
        <w:rPr>
          <w:sz w:val="20"/>
          <w:szCs w:val="20"/>
          <w:color w:val="auto"/>
        </w:rPr>
      </w:pPr>
    </w:p>
    <w:p>
      <w:pPr>
        <w:ind w:right="660" w:firstLine="8"/>
        <w:spacing w:after="0" w:line="261" w:lineRule="auto"/>
        <w:tabs>
          <w:tab w:leader="none" w:pos="21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Assignor is a Lender under the Credit Agreement and that the Assignor is not in default of its obligations under the Credit Agreement; and (ii) the outstanding balance of Loan owing to the Assignor (without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374" w:name="page375"/>
    <w:bookmarkEnd w:id="37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reduction by any assignments thereof which have not yet become effective) is $ free and clear of any adverse claim created by the Assignor.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(b) it is the legal and beneficial owner of the Assigned Loan which is</w:t>
      </w:r>
    </w:p>
    <w:p>
      <w:pPr>
        <w:spacing w:after="0" w:line="410" w:lineRule="exact"/>
        <w:rPr>
          <w:sz w:val="20"/>
          <w:szCs w:val="20"/>
          <w:color w:val="auto"/>
        </w:rPr>
      </w:pPr>
    </w:p>
    <w:p>
      <w:pPr>
        <w:sectPr>
          <w:pgSz w:w="11900" w:h="16838" w:orient="portrait"/>
          <w:cols w:equalWidth="0" w:num="2">
            <w:col w:w="5600" w:space="520"/>
            <w:col w:w="5260"/>
          </w:cols>
          <w:pgMar w:left="240" w:top="280" w:right="279" w:bottom="1440" w:gutter="0" w:footer="0" w:header="0"/>
        </w:sectPr>
      </w:pPr>
    </w:p>
    <w:p>
      <w:pPr>
        <w:ind w:right="140" w:firstLine="456"/>
        <w:spacing w:after="0" w:line="302"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Representations, Warranties and Agreements of Assignee</w:t>
      </w:r>
      <w:r>
        <w:rPr>
          <w:rFonts w:ascii="Arial" w:cs="Arial" w:eastAsia="Arial" w:hAnsi="Arial"/>
          <w:sz w:val="15"/>
          <w:szCs w:val="15"/>
          <w:color w:val="auto"/>
        </w:rPr>
        <w:t>. The Assignee (a) represents and warrants that it is (i) legally authorized to enter into this Agreement, (ii) an “accredited investor” (as such term is used in Regulation D of the Securities Act) and (iii) an Eligible Assignee; (b) confirms that it has received a copy of the Credit Agreement, together with copies of the most recent financial statements delivered in connection therewith or pursuant thereto and such other documents and information (including without limitation the Loan Documents) as it has deemed appropriate to make its own credit analysis and decision to enter into this Agreement; (c) appoints and authorizes the Agent to take such action as contractual representative on its behalf and to exercise such powers under the Loan Documents as are delegated to the Agent by the terms thereof together with such powers as are reasonably incidental thereto; and</w:t>
      </w:r>
    </w:p>
    <w:p>
      <w:pPr>
        <w:spacing w:after="0" w:line="1" w:lineRule="exact"/>
        <w:rPr>
          <w:sz w:val="20"/>
          <w:szCs w:val="20"/>
          <w:color w:val="auto"/>
        </w:rPr>
      </w:pPr>
    </w:p>
    <w:p>
      <w:pPr>
        <w:ind w:right="20" w:firstLine="8"/>
        <w:spacing w:after="0" w:line="255" w:lineRule="auto"/>
        <w:tabs>
          <w:tab w:leader="none" w:pos="24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agrees that, if not already a Lender and to the extent of the Assigned Loan, it will become a party to and shall be bound by the Credit Agreement and the other Loan Documents to which the other Lenders are a party on the Assignment Date and will perform in accordance therewith all of the obligations which are required to be performed by it as a Lender.</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Recording and Acknowledgment by the Agent</w:t>
      </w:r>
      <w:r>
        <w:rPr>
          <w:rFonts w:ascii="Arial" w:cs="Arial" w:eastAsia="Arial" w:hAnsi="Arial"/>
          <w:sz w:val="18"/>
          <w:szCs w:val="18"/>
          <w:color w:val="auto"/>
        </w:rPr>
        <w:t>. Following the execution of this Agreement, the Assignor will deliver to the Agent (a) a duly executed copy of this Agreement for acknowledgment and recording by the Agent and (b) the Assignor’s Note. Upon such acknowledgment and recording, from and after the Assignment Date, the Agent shall make all payments in respect of the interest assigned hereby (including payments of principal, interest, Fees and other amounts) to the Assignee. The Assignor and Assignee shall make all appropriate adjustments in payments under the Credit Agreement for periods prior to the Assignment Date directly between themselves.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Addresses</w:t>
      </w:r>
      <w:r>
        <w:rPr>
          <w:rFonts w:ascii="Arial" w:cs="Arial" w:eastAsia="Arial" w:hAnsi="Arial"/>
          <w:sz w:val="18"/>
          <w:szCs w:val="18"/>
          <w:color w:val="auto"/>
        </w:rPr>
        <w:t>. The Assignee specifies as its address for notices and its Lending Office for all Loans, the offices set forth on Schedule 1 attached hereto.</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Instructions</w:t>
      </w:r>
      <w:r>
        <w:rPr>
          <w:rFonts w:ascii="Arial" w:cs="Arial" w:eastAsia="Arial" w:hAnsi="Arial"/>
          <w:sz w:val="18"/>
          <w:szCs w:val="18"/>
          <w:color w:val="auto"/>
        </w:rPr>
        <w:t>. All payments to be made to the Assignee under this Agreement by the Assignor, and all payments to be made to the Assignee under the Credit Agreement, shall be made as provided in the Credit Agreement in accordance with the following instructions set forth on Schedule 1 attached hereto or as the Assignee may otherwise notify the Agent.</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Effectiveness of Assignment</w:t>
      </w:r>
      <w:r>
        <w:rPr>
          <w:rFonts w:ascii="Arial" w:cs="Arial" w:eastAsia="Arial" w:hAnsi="Arial"/>
          <w:sz w:val="18"/>
          <w:szCs w:val="18"/>
          <w:color w:val="auto"/>
        </w:rPr>
        <w:t>. This Agreement, and the assignment and assumption contemplated herein, shall not be effective until (a) this Agreement is executed and delivered by each of the Assignor, the Assignee, the Agent, and if required under Section 12.5.(d) of the Credit Agreement, the Borrower, and (b) the payment to the Assignor of the amounts, if any, owing by the Assignee pursuant to Section 2 hereof and (c) the payment to the Agent of the amounts, if any, owing by the Assignor pursuant to Section 3 hereof. Upon recording and acknowledgment of this Agreement by the Agent, from and after the Assignment Date, (i) the Assignee shall be a party to the Credit Agreement and, to the extent provided in this Agreement, have the rights and obligations of a Lender thereunder to the extent of the Assigned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80" w:right="279" w:bottom="1440" w:gutter="0" w:footer="0" w:header="0"/>
          <w:type w:val="continuous"/>
        </w:sectPr>
      </w:pPr>
    </w:p>
    <w:bookmarkStart w:id="375" w:name="page376"/>
    <w:bookmarkEnd w:id="375"/>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Loan and (ii) the Assignor shall, to the extent provided in this Agreement, relinquish its rights (except as otherwise provided in Section 12.10. of the Credit Agreement) and be released from its obligations under the Credit Agreement with respect to the Assigned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Assignor does not assign its entire interest under the Loan Documents, it shall remain a Lender entitled to all of the benefits and subject to all of the obligations thereunder with respect to its Loan.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taken together, shall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have been inserted herein for convenience only and shall not be construed to be a part hereof.</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amended, changed, waived or modified except by a writing executed by the Assignee and the Assignor;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any amendment, waiver or consent which shall affect the rights or duties of the Agent under this Agreement shall not be effective unless signed by the Agent.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Assignor and the Assignee with respect to the subject matter hereof and supersedes all other prior arrangements and understandings relating to the subject matter hereof.</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and permitted assigns.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Definitions</w:t>
      </w:r>
      <w:r>
        <w:rPr>
          <w:rFonts w:ascii="Arial" w:cs="Arial" w:eastAsia="Arial" w:hAnsi="Arial"/>
          <w:sz w:val="16"/>
          <w:szCs w:val="16"/>
          <w:color w:val="auto"/>
        </w:rPr>
        <w:t>. Terms not otherwise defined herein are used herein with the respective meanings given them in the Credit Agreement.</w:t>
      </w:r>
    </w:p>
    <w:p>
      <w:pPr>
        <w:spacing w:after="0" w:line="19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i w:val="1"/>
          <w:iCs w:val="1"/>
          <w:color w:val="auto"/>
        </w:rPr>
        <w:t xml:space="preserve">[Include this Section only if Borrower’s consent is required under Section 12.5.(d) </w:t>
      </w:r>
      <w:r>
        <w:rPr>
          <w:rFonts w:ascii="Arial" w:cs="Arial" w:eastAsia="Arial" w:hAnsi="Arial"/>
          <w:sz w:val="15"/>
          <w:szCs w:val="15"/>
          <w:color w:val="auto"/>
        </w:rPr>
        <w:t>Section 17.</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Agreements of the Borrower</w:t>
      </w:r>
      <w:r>
        <w:rPr>
          <w:rFonts w:ascii="Arial" w:cs="Arial" w:eastAsia="Arial" w:hAnsi="Arial"/>
          <w:sz w:val="15"/>
          <w:szCs w:val="15"/>
          <w:color w:val="auto"/>
        </w:rPr>
        <w:t>. The Borrower hereby agrees</w:t>
      </w:r>
      <w:r>
        <w:rPr>
          <w:rFonts w:ascii="Arial" w:cs="Arial" w:eastAsia="Arial" w:hAnsi="Arial"/>
          <w:sz w:val="15"/>
          <w:szCs w:val="15"/>
          <w:i w:val="1"/>
          <w:iCs w:val="1"/>
          <w:color w:val="auto"/>
        </w:rPr>
        <w:t xml:space="preserve"> </w:t>
      </w:r>
      <w:r>
        <w:rPr>
          <w:rFonts w:ascii="Arial" w:cs="Arial" w:eastAsia="Arial" w:hAnsi="Arial"/>
          <w:sz w:val="15"/>
          <w:szCs w:val="15"/>
          <w:color w:val="auto"/>
        </w:rPr>
        <w:t>that the Assignee shall be a Lender under the Credit Agreement having a Loan equal to the Assigned Loan. The Borrower agrees that the Assignee shall have all of the rights and remedies of a Lender under the Credit Agreement and the other Loan Documents as if the Assignee were an original Lender under and signatory to the Credit Agreement, including, but not limited to, the right of a Lender to receive payments of principal and interest with respect to the Assigned Obligations, and to receive Fees payable to the Lenders as provided in the Credit Agreement. Further, the Assignee shall be entitled to the indemnification provisions from the Borrower in favor of the Lenders as provided in the Credit Agreement and the other Loan Documents. The Borrower further agrees, upon the execution and delivery of this Agreement, to execute in favor of the Assignee, and if applicable the Assignor, Notes as required by Section 12.5.(d) of the Credit Agreement. Upon receipt by the Assignor of the amounts due the Assignor under Section 2, the Assignor agrees to surrender to the Borrower such Assignor’s Notes.]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79" w:right="259" w:bottom="1440" w:gutter="0" w:footer="0" w:header="0"/>
        </w:sectPr>
      </w:pPr>
    </w:p>
    <w:bookmarkStart w:id="376" w:name="page377"/>
    <w:bookmarkEnd w:id="376"/>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Assignment and Acceptance Agreement as of the date and year first written above.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[Signatures Continued on Following Page]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80"/>
          </w:cols>
          <w:pgMar w:left="240" w:top="280" w:right="47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 signature of the Borrower only if required under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Section 12.5.(d) of the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Agreed and consented to as of the date first written above.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219"/>
          </w:cols>
          <w:pgMar w:left="240" w:top="279" w:right="1440" w:bottom="1440" w:gutter="0" w:footer="0" w:header="0"/>
        </w:sectPr>
      </w:pPr>
    </w:p>
    <w:bookmarkStart w:id="378" w:name="page379"/>
    <w:bookmarkEnd w:id="378"/>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6"/>
          <w:szCs w:val="16"/>
          <w:u w:val="single" w:color="auto"/>
          <w:color w:val="auto"/>
        </w:rPr>
        <w:t>Information Concerning the Assignee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10795</wp:posOffset>
            </wp:positionV>
            <wp:extent cx="288163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1541145</wp:posOffset>
            </wp:positionH>
            <wp:positionV relativeFrom="paragraph">
              <wp:posOffset>165735</wp:posOffset>
            </wp:positionV>
            <wp:extent cx="288163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1541145</wp:posOffset>
            </wp:positionH>
            <wp:positionV relativeFrom="paragraph">
              <wp:posOffset>320040</wp:posOffset>
            </wp:positionV>
            <wp:extent cx="288163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-5715</wp:posOffset>
            </wp:positionV>
            <wp:extent cx="202374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-5715</wp:posOffset>
            </wp:positionV>
            <wp:extent cx="202374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10795</wp:posOffset>
            </wp:positionV>
            <wp:extent cx="288163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1541145</wp:posOffset>
            </wp:positionH>
            <wp:positionV relativeFrom="paragraph">
              <wp:posOffset>165735</wp:posOffset>
            </wp:positionV>
            <wp:extent cx="288163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1541145</wp:posOffset>
            </wp:positionH>
            <wp:positionV relativeFrom="paragraph">
              <wp:posOffset>320040</wp:posOffset>
            </wp:positionV>
            <wp:extent cx="288163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-5715</wp:posOffset>
            </wp:positionV>
            <wp:extent cx="202374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-5715</wp:posOffset>
            </wp:positionV>
            <wp:extent cx="202374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10795</wp:posOffset>
            </wp:positionV>
            <wp:extent cx="288163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1541145</wp:posOffset>
            </wp:positionH>
            <wp:positionV relativeFrom="paragraph">
              <wp:posOffset>165735</wp:posOffset>
            </wp:positionV>
            <wp:extent cx="288163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1541145</wp:posOffset>
            </wp:positionH>
            <wp:positionV relativeFrom="paragraph">
              <wp:posOffset>320040</wp:posOffset>
            </wp:positionV>
            <wp:extent cx="288163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1541145</wp:posOffset>
            </wp:positionH>
            <wp:positionV relativeFrom="paragraph">
              <wp:posOffset>474345</wp:posOffset>
            </wp:positionV>
            <wp:extent cx="288163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9059"/>
          </w:cols>
          <w:pgMar w:left="1400" w:top="280" w:right="1440" w:bottom="1440" w:gutter="0" w:footer="0" w:header="0"/>
        </w:sectPr>
      </w:pPr>
    </w:p>
    <w:bookmarkStart w:id="379" w:name="page380"/>
    <w:bookmarkEnd w:id="37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NOTICE OF BORROWING</w:t>
      </w:r>
    </w:p>
    <w:p>
      <w:pPr>
        <w:spacing w:after="0" w:line="171" w:lineRule="exact"/>
        <w:rPr>
          <w:sz w:val="20"/>
          <w:szCs w:val="20"/>
          <w:color w:val="auto"/>
        </w:rPr>
      </w:pPr>
    </w:p>
    <w:p>
      <w:pPr>
        <w:jc w:val="center"/>
        <w:ind w:left="4980"/>
        <w:spacing w:after="0"/>
        <w:tabs>
          <w:tab w:leader="none" w:pos="200" w:val="left"/>
        </w:tabs>
        <w:rPr>
          <w:sz w:val="20"/>
          <w:szCs w:val="20"/>
          <w:color w:val="auto"/>
        </w:rPr>
      </w:pPr>
      <w:r>
        <w:rPr>
          <w:rFonts w:ascii="Arial" w:cs="Arial" w:eastAsia="Arial" w:hAnsi="Arial"/>
          <w:sz w:val="18"/>
          <w:szCs w:val="18"/>
          <w:color w:val="auto"/>
        </w:rPr>
        <w:t>November</w:t>
        <w:tab/>
        <w:t>,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53" w:lineRule="exact"/>
        <w:rPr>
          <w:sz w:val="20"/>
          <w:szCs w:val="20"/>
          <w:color w:val="auto"/>
        </w:rPr>
      </w:pPr>
    </w:p>
    <w:p>
      <w:pPr>
        <w:ind w:left="900" w:right="340" w:hanging="446"/>
        <w:spacing w:after="0" w:line="268"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Pursuant to Section 2.1.(b) of the Credit Agreement, the Borrower hereby requests that the Lenders make Loans to the Borrower in an aggregate principal amount equal to $200,000,000.</w:t>
      </w:r>
    </w:p>
    <w:p>
      <w:pPr>
        <w:spacing w:after="0" w:line="51" w:lineRule="exact"/>
        <w:rPr>
          <w:sz w:val="20"/>
          <w:szCs w:val="20"/>
          <w:color w:val="auto"/>
        </w:rPr>
      </w:pPr>
    </w:p>
    <w:p>
      <w:pPr>
        <w:ind w:left="460"/>
        <w:spacing w:after="0"/>
        <w:tabs>
          <w:tab w:leader="none" w:pos="880" w:val="left"/>
          <w:tab w:leader="none" w:pos="732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The Borrower requests that such Loans be made available to the Borrower on November</w:t>
      </w:r>
      <w:r>
        <w:rPr>
          <w:sz w:val="20"/>
          <w:szCs w:val="20"/>
          <w:color w:val="auto"/>
        </w:rPr>
        <w:tab/>
      </w:r>
      <w:r>
        <w:rPr>
          <w:rFonts w:ascii="Arial" w:cs="Arial" w:eastAsia="Arial" w:hAnsi="Arial"/>
          <w:sz w:val="15"/>
          <w:szCs w:val="15"/>
          <w:color w:val="auto"/>
        </w:rPr>
        <w:t>, 2007.</w:t>
      </w:r>
    </w:p>
    <w:p>
      <w:pPr>
        <w:spacing w:after="0" w:line="113" w:lineRule="exact"/>
        <w:rPr>
          <w:sz w:val="20"/>
          <w:szCs w:val="20"/>
          <w:color w:val="auto"/>
        </w:rPr>
      </w:pPr>
    </w:p>
    <w:p>
      <w:pPr>
        <w:ind w:left="900" w:hanging="446"/>
        <w:spacing w:after="0"/>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Borrower hereby requests that the requested Loans all be of the following Type:</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[Check one box only]</w:t>
      </w:r>
    </w:p>
    <w:p>
      <w:pPr>
        <w:spacing w:after="0" w:line="123" w:lineRule="exact"/>
        <w:rPr>
          <w:sz w:val="20"/>
          <w:szCs w:val="20"/>
          <w:color w:val="auto"/>
        </w:rPr>
      </w:pPr>
    </w:p>
    <w:p>
      <w:pPr>
        <w:ind w:left="1640" w:hanging="241"/>
        <w:spacing w:after="0"/>
        <w:tabs>
          <w:tab w:leader="none" w:pos="1640" w:val="left"/>
        </w:tabs>
        <w:numPr>
          <w:ilvl w:val="0"/>
          <w:numId w:val="278"/>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23" w:lineRule="exact"/>
        <w:rPr>
          <w:rFonts w:ascii="MS PGothic" w:cs="MS PGothic" w:eastAsia="MS PGothic" w:hAnsi="MS PGothic"/>
          <w:sz w:val="18"/>
          <w:szCs w:val="18"/>
          <w:color w:val="auto"/>
        </w:rPr>
      </w:pPr>
    </w:p>
    <w:p>
      <w:pPr>
        <w:ind w:left="1640" w:hanging="241"/>
        <w:spacing w:after="0"/>
        <w:tabs>
          <w:tab w:leader="none" w:pos="1640" w:val="left"/>
        </w:tabs>
        <w:numPr>
          <w:ilvl w:val="0"/>
          <w:numId w:val="278"/>
        </w:numPr>
        <w:rPr>
          <w:rFonts w:ascii="MS PGothic" w:cs="MS PGothic" w:eastAsia="MS PGothic" w:hAnsi="MS PGothic"/>
          <w:sz w:val="18"/>
          <w:szCs w:val="18"/>
          <w:color w:val="auto"/>
        </w:rPr>
      </w:pPr>
      <w:r>
        <w:rPr>
          <w:rFonts w:ascii="Arial" w:cs="Arial" w:eastAsia="Arial" w:hAnsi="Arial"/>
          <w:sz w:val="18"/>
          <w:szCs w:val="18"/>
          <w:color w:val="auto"/>
        </w:rPr>
        <w:t>LIBOR Loans, each with an initial Interest Period for a duration of:</w:t>
      </w:r>
    </w:p>
    <w:p>
      <w:pPr>
        <w:spacing w:after="0" w:line="179" w:lineRule="exact"/>
        <w:rPr>
          <w:sz w:val="20"/>
          <w:szCs w:val="20"/>
          <w:color w:val="auto"/>
        </w:rPr>
      </w:pPr>
    </w:p>
    <w:p>
      <w:pPr>
        <w:ind w:left="1400"/>
        <w:spacing w:after="0" w:line="207" w:lineRule="exact"/>
        <w:tabs>
          <w:tab w:leader="none" w:pos="332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week</w:t>
      </w:r>
    </w:p>
    <w:p>
      <w:pPr>
        <w:spacing w:after="0" w:line="49" w:lineRule="exact"/>
        <w:rPr>
          <w:sz w:val="20"/>
          <w:szCs w:val="20"/>
          <w:color w:val="auto"/>
        </w:rPr>
      </w:pPr>
    </w:p>
    <w:p>
      <w:pPr>
        <w:ind w:left="3580" w:hanging="250"/>
        <w:spacing w:after="0"/>
        <w:tabs>
          <w:tab w:leader="none" w:pos="3580" w:val="left"/>
        </w:tabs>
        <w:numPr>
          <w:ilvl w:val="0"/>
          <w:numId w:val="279"/>
        </w:numPr>
        <w:rPr>
          <w:rFonts w:ascii="MS PGothic" w:cs="MS PGothic" w:eastAsia="MS PGothic" w:hAnsi="MS PGothic"/>
          <w:sz w:val="18"/>
          <w:szCs w:val="18"/>
          <w:color w:val="auto"/>
        </w:rPr>
      </w:pPr>
      <w:r>
        <w:rPr>
          <w:rFonts w:ascii="Arial" w:cs="Arial" w:eastAsia="Arial" w:hAnsi="Arial"/>
          <w:sz w:val="18"/>
          <w:szCs w:val="18"/>
          <w:color w:val="auto"/>
        </w:rPr>
        <w:t>1 month</w:t>
      </w:r>
    </w:p>
    <w:p>
      <w:pPr>
        <w:spacing w:after="0" w:line="15" w:lineRule="exact"/>
        <w:rPr>
          <w:rFonts w:ascii="MS PGothic" w:cs="MS PGothic" w:eastAsia="MS PGothic" w:hAnsi="MS PGothic"/>
          <w:sz w:val="18"/>
          <w:szCs w:val="18"/>
          <w:color w:val="auto"/>
        </w:rPr>
      </w:pPr>
    </w:p>
    <w:p>
      <w:pPr>
        <w:ind w:left="3580" w:hanging="250"/>
        <w:spacing w:after="0"/>
        <w:tabs>
          <w:tab w:leader="none" w:pos="3580" w:val="left"/>
        </w:tabs>
        <w:numPr>
          <w:ilvl w:val="0"/>
          <w:numId w:val="279"/>
        </w:numPr>
        <w:rPr>
          <w:rFonts w:ascii="MS PGothic" w:cs="MS PGothic" w:eastAsia="MS PGothic" w:hAnsi="MS PGothic"/>
          <w:sz w:val="18"/>
          <w:szCs w:val="18"/>
          <w:color w:val="auto"/>
        </w:rPr>
      </w:pPr>
      <w:r>
        <w:rPr>
          <w:rFonts w:ascii="Arial" w:cs="Arial" w:eastAsia="Arial" w:hAnsi="Arial"/>
          <w:sz w:val="18"/>
          <w:szCs w:val="18"/>
          <w:color w:val="auto"/>
        </w:rPr>
        <w:t>2 months</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279"/>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279"/>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279"/>
        </w:numPr>
        <w:rPr>
          <w:rFonts w:ascii="MS PGothic" w:cs="MS PGothic" w:eastAsia="MS PGothic" w:hAnsi="MS PGothic"/>
          <w:sz w:val="18"/>
          <w:szCs w:val="18"/>
          <w:color w:val="auto"/>
        </w:rPr>
      </w:pPr>
      <w:r>
        <w:rPr>
          <w:rFonts w:ascii="Arial" w:cs="Arial" w:eastAsia="Arial" w:hAnsi="Arial"/>
          <w:sz w:val="18"/>
          <w:szCs w:val="18"/>
          <w:color w:val="auto"/>
        </w:rPr>
        <w:t>1 year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80" w:right="279" w:bottom="1440" w:gutter="0" w:footer="0" w:header="0"/>
        </w:sectPr>
      </w:pPr>
    </w:p>
    <w:bookmarkStart w:id="380" w:name="page381"/>
    <w:bookmarkEnd w:id="380"/>
    <w:p>
      <w:pPr>
        <w:ind w:left="446" w:hanging="446"/>
        <w:spacing w:after="0"/>
        <w:tabs>
          <w:tab w:leader="none" w:pos="446" w:val="left"/>
        </w:tabs>
        <w:numPr>
          <w:ilvl w:val="0"/>
          <w:numId w:val="2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proceeds of this borrowing of Loans will be used for general corporate purposes.</w:t>
      </w:r>
    </w:p>
    <w:p>
      <w:pPr>
        <w:spacing w:after="0" w:line="90" w:lineRule="exact"/>
        <w:rPr>
          <w:rFonts w:ascii="Arial" w:cs="Arial" w:eastAsia="Arial" w:hAnsi="Arial"/>
          <w:sz w:val="18"/>
          <w:szCs w:val="18"/>
          <w:color w:val="auto"/>
        </w:rPr>
      </w:pPr>
    </w:p>
    <w:p>
      <w:pPr>
        <w:ind w:left="466" w:right="860" w:hanging="466"/>
        <w:spacing w:after="0" w:line="268" w:lineRule="auto"/>
        <w:tabs>
          <w:tab w:leader="none" w:pos="44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The Borrower requests that the proceeds the Loans be made available to the Borrower by wire transfer in immediately available funds to: </w:t>
      </w:r>
      <w:r>
        <w:rPr>
          <w:rFonts w:ascii="Arial" w:cs="Arial" w:eastAsia="Arial" w:hAnsi="Arial"/>
          <w:sz w:val="18"/>
          <w:szCs w:val="18"/>
          <w:i w:val="1"/>
          <w:iCs w:val="1"/>
          <w:color w:val="auto"/>
        </w:rPr>
        <w:t>[insert appropriate wiring instructions]</w:t>
      </w:r>
    </w:p>
    <w:p>
      <w:pPr>
        <w:spacing w:after="0" w:line="51" w:lineRule="exact"/>
        <w:rPr>
          <w:sz w:val="20"/>
          <w:szCs w:val="20"/>
          <w:color w:val="auto"/>
        </w:rPr>
      </w:pPr>
    </w:p>
    <w:p>
      <w:pPr>
        <w:ind w:left="6"/>
        <w:spacing w:after="0" w:line="254" w:lineRule="auto"/>
        <w:rPr>
          <w:sz w:val="20"/>
          <w:szCs w:val="20"/>
          <w:color w:val="auto"/>
        </w:rPr>
      </w:pPr>
      <w:r>
        <w:rPr>
          <w:rFonts w:ascii="Arial" w:cs="Arial" w:eastAsia="Arial" w:hAnsi="Arial"/>
          <w:sz w:val="18"/>
          <w:szCs w:val="18"/>
          <w:color w:val="auto"/>
        </w:rPr>
        <w:t>The Borrower hereby certifies to the Agent and the Lenders that as of the date hereof and as of the date of the making of the requested Loans and after giving effect thereto, (a) no Default or Event of Default exists or shall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WITNESS WHEREOF, the undersigned has duly executed and delivered this Notice of Borrowing as of the date first written above.</w:t>
      </w:r>
    </w:p>
    <w:p>
      <w:pPr>
        <w:spacing w:after="0" w:line="212"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4279265</wp:posOffset>
            </wp:positionH>
            <wp:positionV relativeFrom="paragraph">
              <wp:posOffset>10795</wp:posOffset>
            </wp:positionV>
            <wp:extent cx="268414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6"/>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31521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746"/>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31521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46"/>
          </w:cols>
          <w:pgMar w:left="694" w:top="279" w:right="259" w:bottom="1440" w:gutter="0" w:footer="0" w:header="0"/>
        </w:sectPr>
      </w:pPr>
    </w:p>
    <w:bookmarkStart w:id="381" w:name="page382"/>
    <w:bookmarkEnd w:id="381"/>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NOTICE OF CONTINUATION</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Pursuant to Section 2.6. of the Credit Agreement, the Borrower hereby requests a Continuation of LIBOR Loans under the Credit Agreement, and in that connection sets forth below the information relating to such Continuation as required by such Section of the Credit Agreement:</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420" w:type="dxa"/>
            <w:vAlign w:val="bottom"/>
          </w:tcPr>
          <w:p>
            <w:pPr>
              <w:ind w:left="160"/>
              <w:spacing w:after="0"/>
              <w:rPr>
                <w:sz w:val="20"/>
                <w:szCs w:val="20"/>
                <w:color w:val="auto"/>
              </w:rPr>
            </w:pPr>
            <w:r>
              <w:rPr>
                <w:rFonts w:ascii="Arial" w:cs="Arial" w:eastAsia="Arial" w:hAnsi="Arial"/>
                <w:sz w:val="18"/>
                <w:szCs w:val="18"/>
                <w:color w:val="auto"/>
                <w:w w:val="95"/>
              </w:rPr>
              <w:t>The proposed date of such Continuation is</w:t>
            </w:r>
          </w:p>
        </w:tc>
        <w:tc>
          <w:tcPr>
            <w:tcW w:w="1960" w:type="dxa"/>
            <w:vAlign w:val="bottom"/>
          </w:tcPr>
          <w:p>
            <w:pPr>
              <w:jc w:val="right"/>
              <w:ind w:right="1112"/>
              <w:spacing w:after="0"/>
              <w:rPr>
                <w:sz w:val="20"/>
                <w:szCs w:val="20"/>
                <w:color w:val="auto"/>
              </w:rPr>
            </w:pPr>
            <w:r>
              <w:rPr>
                <w:rFonts w:ascii="Arial" w:cs="Arial" w:eastAsia="Arial" w:hAnsi="Arial"/>
                <w:sz w:val="18"/>
                <w:szCs w:val="18"/>
                <w:color w:val="auto"/>
              </w:rPr>
              <w:t>, 20  .</w:t>
            </w: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93"/>
              </w:rPr>
              <w:t>The aggregate principal amount of Loans subject to the requested Continuation is $</w:t>
            </w:r>
          </w:p>
        </w:tc>
        <w:tc>
          <w:tcPr>
            <w:tcW w:w="880" w:type="dxa"/>
            <w:vAlign w:val="bottom"/>
          </w:tcPr>
          <w:p>
            <w:pPr>
              <w:jc w:val="right"/>
              <w:ind w:right="592"/>
              <w:spacing w:after="0"/>
              <w:rPr>
                <w:sz w:val="20"/>
                <w:szCs w:val="20"/>
                <w:color w:val="auto"/>
              </w:rPr>
            </w:pPr>
            <w:r>
              <w:rPr>
                <w:rFonts w:ascii="Arial" w:cs="Arial" w:eastAsia="Arial" w:hAnsi="Arial"/>
                <w:sz w:val="18"/>
                <w:szCs w:val="18"/>
                <w:color w:val="auto"/>
              </w:rPr>
              <w:t>.</w:t>
            </w: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3"/>
              </w:rPr>
              <w:t>The portion of such principal amount subject to such Continuation is $</w:t>
            </w:r>
          </w:p>
        </w:tc>
        <w:tc>
          <w:tcPr>
            <w:tcW w:w="10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90"/>
              </w:rPr>
              <w:t>The current Interest Period for each of the Loans subject to such Continuation ends on</w:t>
            </w:r>
          </w:p>
        </w:tc>
        <w:tc>
          <w:tcPr>
            <w:tcW w:w="88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75" w:lineRule="exact"/>
        <w:rPr>
          <w:sz w:val="20"/>
          <w:szCs w:val="20"/>
          <w:color w:val="auto"/>
        </w:rPr>
      </w:pPr>
    </w:p>
    <w:p>
      <w:pPr>
        <w:ind w:left="900" w:hanging="446"/>
        <w:spacing w:after="0"/>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duration of the new Interest Period for each of such Loans or portion thereof subject to such Continuation is:</w:t>
      </w:r>
    </w:p>
    <w:p>
      <w:pPr>
        <w:spacing w:after="0" w:line="179" w:lineRule="exact"/>
        <w:rPr>
          <w:sz w:val="20"/>
          <w:szCs w:val="20"/>
          <w:color w:val="auto"/>
        </w:rPr>
      </w:pPr>
    </w:p>
    <w:p>
      <w:pPr>
        <w:ind w:left="1380"/>
        <w:spacing w:after="0" w:line="207" w:lineRule="exact"/>
        <w:tabs>
          <w:tab w:leader="none" w:pos="322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week</w:t>
      </w:r>
    </w:p>
    <w:p>
      <w:pPr>
        <w:spacing w:after="0" w:line="49" w:lineRule="exact"/>
        <w:rPr>
          <w:sz w:val="20"/>
          <w:szCs w:val="20"/>
          <w:color w:val="auto"/>
        </w:rPr>
      </w:pPr>
    </w:p>
    <w:p>
      <w:pPr>
        <w:ind w:left="3480" w:hanging="244"/>
        <w:spacing w:after="0"/>
        <w:tabs>
          <w:tab w:leader="none" w:pos="3480" w:val="left"/>
        </w:tabs>
        <w:numPr>
          <w:ilvl w:val="0"/>
          <w:numId w:val="282"/>
        </w:numPr>
        <w:rPr>
          <w:rFonts w:ascii="MS PGothic" w:cs="MS PGothic" w:eastAsia="MS PGothic" w:hAnsi="MS PGothic"/>
          <w:sz w:val="18"/>
          <w:szCs w:val="18"/>
          <w:color w:val="auto"/>
        </w:rPr>
      </w:pPr>
      <w:r>
        <w:rPr>
          <w:rFonts w:ascii="Arial" w:cs="Arial" w:eastAsia="Arial" w:hAnsi="Arial"/>
          <w:sz w:val="18"/>
          <w:szCs w:val="18"/>
          <w:color w:val="auto"/>
        </w:rPr>
        <w:t>1 month</w:t>
      </w:r>
    </w:p>
    <w:p>
      <w:pPr>
        <w:spacing w:after="0" w:line="15" w:lineRule="exact"/>
        <w:rPr>
          <w:rFonts w:ascii="MS PGothic" w:cs="MS PGothic" w:eastAsia="MS PGothic" w:hAnsi="MS PGothic"/>
          <w:sz w:val="18"/>
          <w:szCs w:val="18"/>
          <w:color w:val="auto"/>
        </w:rPr>
      </w:pPr>
    </w:p>
    <w:p>
      <w:pPr>
        <w:ind w:left="3480" w:hanging="244"/>
        <w:spacing w:after="0"/>
        <w:tabs>
          <w:tab w:leader="none" w:pos="3480" w:val="left"/>
        </w:tabs>
        <w:numPr>
          <w:ilvl w:val="0"/>
          <w:numId w:val="282"/>
        </w:numPr>
        <w:rPr>
          <w:rFonts w:ascii="MS PGothic" w:cs="MS PGothic" w:eastAsia="MS PGothic" w:hAnsi="MS PGothic"/>
          <w:sz w:val="18"/>
          <w:szCs w:val="18"/>
          <w:color w:val="auto"/>
        </w:rPr>
      </w:pPr>
      <w:r>
        <w:rPr>
          <w:rFonts w:ascii="Arial" w:cs="Arial" w:eastAsia="Arial" w:hAnsi="Arial"/>
          <w:sz w:val="18"/>
          <w:szCs w:val="18"/>
          <w:color w:val="auto"/>
        </w:rPr>
        <w:t>2 months</w:t>
      </w:r>
    </w:p>
    <w:p>
      <w:pPr>
        <w:spacing w:after="0" w:line="9" w:lineRule="exact"/>
        <w:rPr>
          <w:rFonts w:ascii="MS PGothic" w:cs="MS PGothic" w:eastAsia="MS PGothic" w:hAnsi="MS PGothic"/>
          <w:sz w:val="18"/>
          <w:szCs w:val="18"/>
          <w:color w:val="auto"/>
        </w:rPr>
      </w:pPr>
    </w:p>
    <w:p>
      <w:pPr>
        <w:ind w:left="3480" w:hanging="244"/>
        <w:spacing w:after="0"/>
        <w:tabs>
          <w:tab w:leader="none" w:pos="3480" w:val="left"/>
        </w:tabs>
        <w:numPr>
          <w:ilvl w:val="0"/>
          <w:numId w:val="282"/>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9" w:lineRule="exact"/>
        <w:rPr>
          <w:rFonts w:ascii="MS PGothic" w:cs="MS PGothic" w:eastAsia="MS PGothic" w:hAnsi="MS PGothic"/>
          <w:sz w:val="18"/>
          <w:szCs w:val="18"/>
          <w:color w:val="auto"/>
        </w:rPr>
      </w:pPr>
    </w:p>
    <w:p>
      <w:pPr>
        <w:ind w:left="3480" w:hanging="244"/>
        <w:spacing w:after="0"/>
        <w:tabs>
          <w:tab w:leader="none" w:pos="3480" w:val="left"/>
        </w:tabs>
        <w:numPr>
          <w:ilvl w:val="0"/>
          <w:numId w:val="282"/>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9" w:lineRule="exact"/>
        <w:rPr>
          <w:rFonts w:ascii="MS PGothic" w:cs="MS PGothic" w:eastAsia="MS PGothic" w:hAnsi="MS PGothic"/>
          <w:sz w:val="18"/>
          <w:szCs w:val="18"/>
          <w:color w:val="auto"/>
        </w:rPr>
      </w:pPr>
    </w:p>
    <w:p>
      <w:pPr>
        <w:ind w:left="3480" w:hanging="244"/>
        <w:spacing w:after="0"/>
        <w:tabs>
          <w:tab w:leader="none" w:pos="3480" w:val="left"/>
        </w:tabs>
        <w:numPr>
          <w:ilvl w:val="0"/>
          <w:numId w:val="282"/>
        </w:numPr>
        <w:rPr>
          <w:rFonts w:ascii="MS PGothic" w:cs="MS PGothic" w:eastAsia="MS PGothic" w:hAnsi="MS PGothic"/>
          <w:sz w:val="18"/>
          <w:szCs w:val="18"/>
          <w:color w:val="auto"/>
        </w:rPr>
      </w:pPr>
      <w:r>
        <w:rPr>
          <w:rFonts w:ascii="Arial" w:cs="Arial" w:eastAsia="Arial" w:hAnsi="Arial"/>
          <w:sz w:val="18"/>
          <w:szCs w:val="18"/>
          <w:color w:val="auto"/>
        </w:rPr>
        <w:t>1 year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280" w:right="279" w:bottom="1440" w:gutter="0" w:footer="0" w:header="0"/>
        </w:sectPr>
      </w:pPr>
    </w:p>
    <w:bookmarkStart w:id="382" w:name="page383"/>
    <w:bookmarkEnd w:id="382"/>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hereby certifies to the Agent and the Lenders that as of the date hereof, as of the proposed date of the requested Continuation, and after giving effect to such Continuation, no Event of Default exists or will exist.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notice of the requested Continuation was given previously by telephone, this notice is to be considered the written confirmation of such telephone notice required by Section 2.6.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Continuation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40"/>
          </w:cols>
          <w:pgMar w:left="240" w:top="279" w:right="319" w:bottom="1440" w:gutter="0" w:footer="0" w:header="0"/>
        </w:sectPr>
      </w:pPr>
    </w:p>
    <w:bookmarkStart w:id="383" w:name="page384"/>
    <w:bookmarkEnd w:id="383"/>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FORM OF NOTICE OF CONVERSION</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Pursuant to Section 2.7. of the Credit Agreement, the Borrower hereby requests a Conversion of a borrowing of Loans of one Type into Loans of another Type under the Credit Agreement, and in that connection sets forth below the information relating to such Conversion as required by such Section of the Credit Agreement:</w:t>
      </w:r>
    </w:p>
    <w:p>
      <w:pPr>
        <w:spacing w:after="0" w:line="5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The proposed date of such Conversion is</w:t>
            </w:r>
          </w:p>
        </w:tc>
        <w:tc>
          <w:tcPr>
            <w:tcW w:w="1740" w:type="dxa"/>
            <w:vAlign w:val="bottom"/>
          </w:tcPr>
          <w:p>
            <w:pPr>
              <w:jc w:val="right"/>
              <w:ind w:right="1152"/>
              <w:spacing w:after="0"/>
              <w:rPr>
                <w:sz w:val="20"/>
                <w:szCs w:val="20"/>
                <w:color w:val="auto"/>
              </w:rPr>
            </w:pPr>
            <w:r>
              <w:rPr>
                <w:rFonts w:ascii="Arial" w:cs="Arial" w:eastAsia="Arial" w:hAnsi="Arial"/>
                <w:sz w:val="18"/>
                <w:szCs w:val="18"/>
                <w:color w:val="auto"/>
              </w:rPr>
              <w:t>, 20  .</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5320" w:type="dxa"/>
            <w:vAlign w:val="bottom"/>
            <w:gridSpan w:val="3"/>
          </w:tcPr>
          <w:p>
            <w:pPr>
              <w:ind w:left="160"/>
              <w:spacing w:after="0"/>
              <w:rPr>
                <w:sz w:val="20"/>
                <w:szCs w:val="20"/>
                <w:color w:val="auto"/>
              </w:rPr>
            </w:pPr>
            <w:r>
              <w:rPr>
                <w:rFonts w:ascii="Arial" w:cs="Arial" w:eastAsia="Arial" w:hAnsi="Arial"/>
                <w:sz w:val="18"/>
                <w:szCs w:val="18"/>
                <w:color w:val="auto"/>
              </w:rPr>
              <w:t xml:space="preserve">The Loans to be Converted pursuant hereto are </w:t>
            </w:r>
            <w:r>
              <w:rPr>
                <w:rFonts w:ascii="Arial" w:cs="Arial" w:eastAsia="Arial" w:hAnsi="Arial"/>
                <w:sz w:val="18"/>
                <w:szCs w:val="18"/>
                <w:b w:val="1"/>
                <w:bCs w:val="1"/>
                <w:color w:val="auto"/>
              </w:rPr>
              <w:t>currently</w:t>
            </w: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80"/>
        </w:trPr>
        <w:tc>
          <w:tcPr>
            <w:tcW w:w="280" w:type="dxa"/>
            <w:vAlign w:val="bottom"/>
          </w:tcPr>
          <w:p>
            <w:pPr>
              <w:spacing w:after="0"/>
              <w:rPr>
                <w:sz w:val="24"/>
                <w:szCs w:val="24"/>
                <w:color w:val="auto"/>
              </w:rPr>
            </w:pPr>
          </w:p>
        </w:tc>
        <w:tc>
          <w:tcPr>
            <w:tcW w:w="2040" w:type="dxa"/>
            <w:vAlign w:val="bottom"/>
          </w:tcPr>
          <w:p>
            <w:pPr>
              <w:ind w:left="180"/>
              <w:spacing w:after="0"/>
              <w:rPr>
                <w:sz w:val="20"/>
                <w:szCs w:val="20"/>
                <w:color w:val="auto"/>
              </w:rPr>
            </w:pPr>
            <w:r>
              <w:rPr>
                <w:rFonts w:ascii="Arial" w:cs="Arial" w:eastAsia="Arial" w:hAnsi="Arial"/>
                <w:sz w:val="18"/>
                <w:szCs w:val="18"/>
                <w:b w:val="1"/>
                <w:bCs w:val="1"/>
                <w:color w:val="auto"/>
              </w:rPr>
              <w:t>[Check one box only]</w:t>
            </w:r>
          </w:p>
        </w:tc>
        <w:tc>
          <w:tcPr>
            <w:tcW w:w="3280" w:type="dxa"/>
            <w:vAlign w:val="bottom"/>
            <w:gridSpan w:val="2"/>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Base Rate Loans</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5"/>
        </w:trPr>
        <w:tc>
          <w:tcPr>
            <w:tcW w:w="2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540" w:type="dxa"/>
            <w:vAlign w:val="bottom"/>
          </w:tcPr>
          <w:p>
            <w:pPr>
              <w:ind w:left="26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LIBOR Loans</w:t>
            </w:r>
          </w:p>
        </w:tc>
        <w:tc>
          <w:tcPr>
            <w:tcW w:w="1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6160" w:type="dxa"/>
            <w:vAlign w:val="bottom"/>
            <w:gridSpan w:val="4"/>
          </w:tcPr>
          <w:p>
            <w:pPr>
              <w:ind w:left="160"/>
              <w:spacing w:after="0"/>
              <w:rPr>
                <w:sz w:val="20"/>
                <w:szCs w:val="20"/>
                <w:color w:val="auto"/>
              </w:rPr>
            </w:pPr>
            <w:r>
              <w:rPr>
                <w:rFonts w:ascii="Arial" w:cs="Arial" w:eastAsia="Arial" w:hAnsi="Arial"/>
                <w:sz w:val="18"/>
                <w:szCs w:val="18"/>
                <w:color w:val="auto"/>
                <w:w w:val="91"/>
              </w:rPr>
              <w:t>The aggregate principal amount of Loans subject to the requested Conversion is $</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5320" w:type="dxa"/>
            <w:vAlign w:val="bottom"/>
            <w:gridSpan w:val="3"/>
          </w:tcPr>
          <w:p>
            <w:pPr>
              <w:ind w:left="160"/>
              <w:spacing w:after="0"/>
              <w:rPr>
                <w:sz w:val="20"/>
                <w:szCs w:val="20"/>
                <w:color w:val="auto"/>
              </w:rPr>
            </w:pPr>
            <w:r>
              <w:rPr>
                <w:rFonts w:ascii="Arial" w:cs="Arial" w:eastAsia="Arial" w:hAnsi="Arial"/>
                <w:sz w:val="18"/>
                <w:szCs w:val="18"/>
                <w:color w:val="auto"/>
                <w:w w:val="94"/>
              </w:rPr>
              <w:t>The portion of such principal amount subject to such Conversion is $</w:t>
            </w:r>
          </w:p>
        </w:tc>
        <w:tc>
          <w:tcPr>
            <w:tcW w:w="8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jc w:val="right"/>
              <w:ind w:right="112"/>
              <w:spacing w:after="0"/>
              <w:rPr>
                <w:sz w:val="20"/>
                <w:szCs w:val="20"/>
                <w:color w:val="auto"/>
              </w:rPr>
            </w:pPr>
            <w:r>
              <w:rPr>
                <w:rFonts w:ascii="Arial" w:cs="Arial" w:eastAsia="Arial" w:hAnsi="Arial"/>
                <w:sz w:val="18"/>
                <w:szCs w:val="18"/>
                <w:color w:val="auto"/>
              </w:rPr>
              <w:t>D-1</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sectPr>
      </w:pPr>
    </w:p>
    <w:bookmarkStart w:id="384" w:name="page385"/>
    <w:bookmarkEnd w:id="384"/>
    <w:p>
      <w:pPr>
        <w:ind w:left="900" w:hanging="446"/>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such Loans to be so Converted is to be converted into Loans of the following Type:</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[Check one box only]</w:t>
      </w:r>
    </w:p>
    <w:p>
      <w:pPr>
        <w:spacing w:after="0" w:line="123" w:lineRule="exact"/>
        <w:rPr>
          <w:sz w:val="20"/>
          <w:szCs w:val="20"/>
          <w:color w:val="auto"/>
        </w:rPr>
      </w:pPr>
    </w:p>
    <w:p>
      <w:pPr>
        <w:ind w:left="1640" w:hanging="241"/>
        <w:spacing w:after="0"/>
        <w:tabs>
          <w:tab w:leader="none" w:pos="1640" w:val="left"/>
        </w:tabs>
        <w:numPr>
          <w:ilvl w:val="0"/>
          <w:numId w:val="284"/>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23" w:lineRule="exact"/>
        <w:rPr>
          <w:rFonts w:ascii="MS PGothic" w:cs="MS PGothic" w:eastAsia="MS PGothic" w:hAnsi="MS PGothic"/>
          <w:sz w:val="18"/>
          <w:szCs w:val="18"/>
          <w:color w:val="auto"/>
        </w:rPr>
      </w:pPr>
    </w:p>
    <w:p>
      <w:pPr>
        <w:ind w:left="1640" w:hanging="241"/>
        <w:spacing w:after="0"/>
        <w:tabs>
          <w:tab w:leader="none" w:pos="1640" w:val="left"/>
        </w:tabs>
        <w:numPr>
          <w:ilvl w:val="0"/>
          <w:numId w:val="284"/>
        </w:numPr>
        <w:rPr>
          <w:rFonts w:ascii="MS PGothic" w:cs="MS PGothic" w:eastAsia="MS PGothic" w:hAnsi="MS PGothic"/>
          <w:sz w:val="18"/>
          <w:szCs w:val="18"/>
          <w:color w:val="auto"/>
        </w:rPr>
      </w:pPr>
      <w:r>
        <w:rPr>
          <w:rFonts w:ascii="Arial" w:cs="Arial" w:eastAsia="Arial" w:hAnsi="Arial"/>
          <w:sz w:val="18"/>
          <w:szCs w:val="18"/>
          <w:color w:val="auto"/>
        </w:rPr>
        <w:t>LIBOR Loans, each with an initial Interest Period for a duration of:</w:t>
      </w:r>
    </w:p>
    <w:p>
      <w:pPr>
        <w:spacing w:after="0" w:line="179" w:lineRule="exact"/>
        <w:rPr>
          <w:sz w:val="20"/>
          <w:szCs w:val="20"/>
          <w:color w:val="auto"/>
        </w:rPr>
      </w:pPr>
    </w:p>
    <w:p>
      <w:pPr>
        <w:ind w:left="1400"/>
        <w:spacing w:after="0" w:line="207" w:lineRule="exact"/>
        <w:tabs>
          <w:tab w:leader="none" w:pos="332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week</w:t>
      </w:r>
    </w:p>
    <w:p>
      <w:pPr>
        <w:spacing w:after="0" w:line="49" w:lineRule="exact"/>
        <w:rPr>
          <w:sz w:val="20"/>
          <w:szCs w:val="20"/>
          <w:color w:val="auto"/>
        </w:rPr>
      </w:pPr>
    </w:p>
    <w:p>
      <w:pPr>
        <w:ind w:left="3580" w:hanging="250"/>
        <w:spacing w:after="0"/>
        <w:tabs>
          <w:tab w:leader="none" w:pos="3580" w:val="left"/>
        </w:tabs>
        <w:numPr>
          <w:ilvl w:val="0"/>
          <w:numId w:val="285"/>
        </w:numPr>
        <w:rPr>
          <w:rFonts w:ascii="MS PGothic" w:cs="MS PGothic" w:eastAsia="MS PGothic" w:hAnsi="MS PGothic"/>
          <w:sz w:val="18"/>
          <w:szCs w:val="18"/>
          <w:color w:val="auto"/>
        </w:rPr>
      </w:pPr>
      <w:r>
        <w:rPr>
          <w:rFonts w:ascii="Arial" w:cs="Arial" w:eastAsia="Arial" w:hAnsi="Arial"/>
          <w:sz w:val="18"/>
          <w:szCs w:val="18"/>
          <w:color w:val="auto"/>
        </w:rPr>
        <w:t>1 month</w:t>
      </w:r>
    </w:p>
    <w:p>
      <w:pPr>
        <w:spacing w:after="0" w:line="15" w:lineRule="exact"/>
        <w:rPr>
          <w:rFonts w:ascii="MS PGothic" w:cs="MS PGothic" w:eastAsia="MS PGothic" w:hAnsi="MS PGothic"/>
          <w:sz w:val="18"/>
          <w:szCs w:val="18"/>
          <w:color w:val="auto"/>
        </w:rPr>
      </w:pPr>
    </w:p>
    <w:p>
      <w:pPr>
        <w:ind w:left="3580" w:hanging="250"/>
        <w:spacing w:after="0"/>
        <w:tabs>
          <w:tab w:leader="none" w:pos="3580" w:val="left"/>
        </w:tabs>
        <w:numPr>
          <w:ilvl w:val="0"/>
          <w:numId w:val="285"/>
        </w:numPr>
        <w:rPr>
          <w:rFonts w:ascii="MS PGothic" w:cs="MS PGothic" w:eastAsia="MS PGothic" w:hAnsi="MS PGothic"/>
          <w:sz w:val="18"/>
          <w:szCs w:val="18"/>
          <w:color w:val="auto"/>
        </w:rPr>
      </w:pPr>
      <w:r>
        <w:rPr>
          <w:rFonts w:ascii="Arial" w:cs="Arial" w:eastAsia="Arial" w:hAnsi="Arial"/>
          <w:sz w:val="18"/>
          <w:szCs w:val="18"/>
          <w:color w:val="auto"/>
        </w:rPr>
        <w:t>2 months</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285"/>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285"/>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285"/>
        </w:numPr>
        <w:rPr>
          <w:rFonts w:ascii="MS PGothic" w:cs="MS PGothic" w:eastAsia="MS PGothic" w:hAnsi="MS PGothic"/>
          <w:sz w:val="18"/>
          <w:szCs w:val="18"/>
          <w:color w:val="auto"/>
        </w:rPr>
      </w:pPr>
      <w:r>
        <w:rPr>
          <w:rFonts w:ascii="Arial" w:cs="Arial" w:eastAsia="Arial" w:hAnsi="Arial"/>
          <w:sz w:val="18"/>
          <w:szCs w:val="18"/>
          <w:color w:val="auto"/>
        </w:rPr>
        <w:t>1 year</w:t>
      </w:r>
    </w:p>
    <w:p>
      <w:pPr>
        <w:spacing w:after="0" w:line="7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Other than a conversion to Base Rate Loans, the Borrower hereby certifies to the Agent and the Lenders that as of the date hereof and as of the date of the requested Conversion and after giving effect thereto, (a) no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notice of the requested Conversion was given previously by telephone, this notice is to be considered the written confirmation of such telephone notice required by Section 2.7.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Conversion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40"/>
          </w:cols>
          <w:pgMar w:left="240" w:top="280" w:right="31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140" w:type="dxa"/>
            <w:vAlign w:val="bottom"/>
            <w:gridSpan w:val="4"/>
          </w:tcPr>
          <w:p>
            <w:pPr>
              <w:jc w:val="center"/>
              <w:ind w:right="5280"/>
              <w:spacing w:after="0"/>
              <w:rPr>
                <w:sz w:val="20"/>
                <w:szCs w:val="20"/>
                <w:color w:val="auto"/>
              </w:rPr>
            </w:pPr>
            <w:r>
              <w:rPr>
                <w:rFonts w:ascii="Arial" w:cs="Arial" w:eastAsia="Arial" w:hAnsi="Arial"/>
                <w:sz w:val="18"/>
                <w:szCs w:val="18"/>
                <w:color w:val="auto"/>
                <w:w w:val="98"/>
              </w:rPr>
              <w:t>EXHIBIT E</w:t>
            </w:r>
          </w:p>
        </w:tc>
      </w:tr>
      <w:tr>
        <w:trPr>
          <w:trHeight w:val="378"/>
        </w:trPr>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40" w:type="dxa"/>
            <w:vAlign w:val="bottom"/>
            <w:gridSpan w:val="5"/>
          </w:tcPr>
          <w:p>
            <w:pPr>
              <w:jc w:val="center"/>
              <w:ind w:right="960"/>
              <w:spacing w:after="0"/>
              <w:rPr>
                <w:sz w:val="20"/>
                <w:szCs w:val="20"/>
                <w:color w:val="auto"/>
              </w:rPr>
            </w:pPr>
            <w:r>
              <w:rPr>
                <w:rFonts w:ascii="Arial" w:cs="Arial" w:eastAsia="Arial" w:hAnsi="Arial"/>
                <w:sz w:val="18"/>
                <w:szCs w:val="18"/>
                <w:color w:val="auto"/>
                <w:w w:val="92"/>
              </w:rPr>
              <w:t>FORM OF NOTE</w:t>
            </w:r>
          </w:p>
        </w:tc>
      </w:tr>
      <w:tr>
        <w:trPr>
          <w:trHeight w:val="38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 20</w:t>
            </w:r>
          </w:p>
        </w:tc>
      </w:tr>
      <w:tr>
        <w:trPr>
          <w:trHeight w:val="20"/>
        </w:trPr>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90"/>
        </w:trPr>
        <w:tc>
          <w:tcPr>
            <w:tcW w:w="100" w:type="dxa"/>
            <w:vAlign w:val="bottom"/>
          </w:tcPr>
          <w:p>
            <w:pPr>
              <w:spacing w:after="0"/>
              <w:rPr>
                <w:sz w:val="24"/>
                <w:szCs w:val="24"/>
                <w:color w:val="auto"/>
              </w:rPr>
            </w:pPr>
          </w:p>
        </w:tc>
        <w:tc>
          <w:tcPr>
            <w:tcW w:w="11320" w:type="dxa"/>
            <w:vAlign w:val="bottom"/>
            <w:gridSpan w:val="6"/>
          </w:tcPr>
          <w:p>
            <w:pPr>
              <w:jc w:val="right"/>
              <w:ind w:right="380"/>
              <w:spacing w:after="0"/>
              <w:rPr>
                <w:sz w:val="20"/>
                <w:szCs w:val="20"/>
                <w:color w:val="auto"/>
              </w:rPr>
            </w:pPr>
            <w:r>
              <w:rPr>
                <w:rFonts w:ascii="Arial" w:cs="Arial" w:eastAsia="Arial" w:hAnsi="Arial"/>
                <w:sz w:val="18"/>
                <w:szCs w:val="18"/>
                <w:color w:val="auto"/>
                <w:w w:val="93"/>
              </w:rPr>
              <w:t>FOR VALUE RECEIVED, the undersigned, FEDERAL REALTY INVESTMENT TRUST, a real estate investment trust formed under the laws of the</w:t>
            </w:r>
          </w:p>
        </w:tc>
      </w:tr>
      <w:tr>
        <w:trPr>
          <w:trHeight w:val="222"/>
        </w:trPr>
        <w:tc>
          <w:tcPr>
            <w:tcW w:w="5280" w:type="dxa"/>
            <w:vAlign w:val="bottom"/>
            <w:gridSpan w:val="3"/>
          </w:tcPr>
          <w:p>
            <w:pPr>
              <w:spacing w:after="0"/>
              <w:rPr>
                <w:sz w:val="20"/>
                <w:szCs w:val="20"/>
                <w:color w:val="auto"/>
              </w:rPr>
            </w:pPr>
            <w:r>
              <w:rPr>
                <w:rFonts w:ascii="Arial" w:cs="Arial" w:eastAsia="Arial" w:hAnsi="Arial"/>
                <w:sz w:val="18"/>
                <w:szCs w:val="18"/>
                <w:color w:val="auto"/>
                <w:w w:val="89"/>
              </w:rPr>
              <w:t>State of Maryland (the “Borrower”), hereby promises to pay to the order of</w:t>
            </w:r>
          </w:p>
        </w:tc>
        <w:tc>
          <w:tcPr>
            <w:tcW w:w="6140" w:type="dxa"/>
            <w:vAlign w:val="bottom"/>
            <w:gridSpan w:val="4"/>
          </w:tcPr>
          <w:p>
            <w:pPr>
              <w:jc w:val="right"/>
              <w:ind w:right="440"/>
              <w:spacing w:after="0"/>
              <w:rPr>
                <w:sz w:val="20"/>
                <w:szCs w:val="20"/>
                <w:color w:val="auto"/>
              </w:rPr>
            </w:pPr>
            <w:r>
              <w:rPr>
                <w:rFonts w:ascii="Arial" w:cs="Arial" w:eastAsia="Arial" w:hAnsi="Arial"/>
                <w:sz w:val="18"/>
                <w:szCs w:val="18"/>
                <w:color w:val="auto"/>
              </w:rPr>
              <w:t>(the “Lender”), in care of Wachovia Bank, National Association, as</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(the “Agent”) at Wachovia Bank, National Association, One Wachovia Center, 301 South College Street, Charlotte, North Carolina 28288, or at such other</w:t>
      </w:r>
    </w:p>
    <w:p>
      <w:pPr>
        <w:spacing w:after="0" w:line="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address as may be specified in writing by the Agent to the Borrower, the principal sum of AND /100 DOLLARS ($ ) (or such lesser amount as shall equal the aggregate unpaid principal amount of the Loan made by the Lender to the Borrower under the Credit Agreement (as herein defined)), on the dates and in the principal amounts provided in the Credit Agreement, and to pay interest on the unpaid principal amount owing hereunder, at the rates and on the dates provided in the Credit Agreement.</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The date, amount of the Loan made by the Lender to the Borrower, and each payment made on account of the principal thereof, shall be recorded by the Lender on its books and, prior to any transfer of this Note, endorsed by the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Lender to make any such recordation or endorsement shall not affect the obligations of the Borrower to make a payment when due of any amount owing under the Credit Agreement or hereunder in respect of the Loan made by the Lender.</w:t>
      </w:r>
    </w:p>
    <w:p>
      <w:pPr>
        <w:spacing w:after="0" w:line="11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This Note is one of the Notes referred to in the Credit Agreement dated as of November 9, 2007 (as amended, restated, supplemented or otherwise modified from time to time, the “Credit Agreement”), by and among the Borrower, the financial institutions party thereto and their permitted assignees under Section 12.5. thereof (the “Lenders”), the Agent, and the other parties thereto. Capitalized terms used herein, and not otherwise defined herein, have their respective meanings given them in the Credit Agreement.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Loans upon the terms and conditions specified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permitted by Section 12.5.(d) of the Credit Agreement, this Note may not be assigned by the Lender to any other Person.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9" w:right="239" w:bottom="1440" w:gutter="0" w:footer="0" w:header="0"/>
        </w:sectPr>
      </w:pPr>
    </w:p>
    <w:bookmarkStart w:id="386" w:name="page387"/>
    <w:bookmarkEnd w:id="386"/>
    <w:p>
      <w:pPr>
        <w:ind w:right="7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this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and delivered this Note under seal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80"/>
          </w:cols>
          <w:pgMar w:left="240" w:top="280" w:right="479" w:bottom="1440" w:gutter="0" w:footer="0" w:header="0"/>
        </w:sectPr>
      </w:pPr>
    </w:p>
    <w:bookmarkStart w:id="387" w:name="page388"/>
    <w:bookmarkEnd w:id="38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LOAN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Note evidences the Loan made under the within-described Credit Agreement to the Borrower, on the date and in the principal amount set forth below, subject to the payments and prepayments of principal set forth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3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Unpaid</w:t>
            </w: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49"/>
        </w:trPr>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3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3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Paid or</w:t>
            </w:r>
          </w:p>
        </w:tc>
        <w:tc>
          <w:tcPr>
            <w:tcW w:w="3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280" w:type="dxa"/>
            <w:vAlign w:val="bottom"/>
          </w:tcPr>
          <w:p>
            <w:pPr>
              <w:spacing w:after="0"/>
              <w:rPr>
                <w:sz w:val="12"/>
                <w:szCs w:val="12"/>
                <w:color w:val="auto"/>
              </w:rPr>
            </w:pPr>
          </w:p>
        </w:tc>
        <w:tc>
          <w:tcPr>
            <w:tcW w:w="152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Notation</w:t>
            </w:r>
          </w:p>
        </w:tc>
      </w:tr>
      <w:tr>
        <w:trPr>
          <w:trHeight w:val="175"/>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30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30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Prepaid</w:t>
            </w:r>
          </w:p>
        </w:tc>
        <w:tc>
          <w:tcPr>
            <w:tcW w:w="30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5"/>
                <w:szCs w:val="15"/>
                <w:color w:val="auto"/>
              </w:rPr>
            </w:pPr>
          </w:p>
        </w:tc>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Made By</w:t>
            </w:r>
          </w:p>
        </w:tc>
      </w:tr>
      <w:tr>
        <w:trPr>
          <w:trHeight w:val="142"/>
        </w:trPr>
        <w:tc>
          <w:tcPr>
            <w:tcW w:w="2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9"/>
        </w:trPr>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9"/>
        </w:trPr>
        <w:tc>
          <w:tcPr>
            <w:tcW w:w="2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bl>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320"/>
          </w:cols>
          <w:pgMar w:left="240" w:top="279" w:right="339" w:bottom="1440" w:gutter="0" w:footer="0" w:header="0"/>
        </w:sectPr>
      </w:pPr>
    </w:p>
    <w:bookmarkStart w:id="388" w:name="page389"/>
    <w:bookmarkEnd w:id="38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OF COUNSEL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provided]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9019"/>
          </w:cols>
          <w:pgMar w:left="1440" w:top="279" w:right="1440" w:bottom="1440" w:gutter="0" w:footer="0" w:header="0"/>
        </w:sectPr>
      </w:pPr>
    </w:p>
    <w:bookmarkStart w:id="389" w:name="page390"/>
    <w:bookmarkEnd w:id="389"/>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COMPLIANCE CERTIFICATE</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-13970</wp:posOffset>
            </wp:positionV>
            <wp:extent cx="33464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-13970</wp:posOffset>
            </wp:positionV>
            <wp:extent cx="11176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Each of the Lenders Party to the Credit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Agreement referred to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8.3. of the Credit Agreement, the undersigned hereby certifies to the Agent and the Lenders, in his or her capacity as an officer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and not in his or her individual capacity, as follows:</w:t>
      </w:r>
    </w:p>
    <w:p>
      <w:pPr>
        <w:spacing w:after="0" w:line="165" w:lineRule="exact"/>
        <w:rPr>
          <w:sz w:val="20"/>
          <w:szCs w:val="20"/>
          <w:color w:val="auto"/>
        </w:rPr>
      </w:pPr>
    </w:p>
    <w:p>
      <w:pPr>
        <w:ind w:left="720" w:hanging="256"/>
        <w:spacing w:after="0"/>
        <w:tabs>
          <w:tab w:leader="none" w:pos="72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undersigned is a Responsible Officer of the Borrower, holding the office indicated below his/her signature to this Compliance Certificate.</w:t>
      </w:r>
    </w:p>
    <w:p>
      <w:pPr>
        <w:spacing w:after="0" w:line="194" w:lineRule="exact"/>
        <w:rPr>
          <w:rFonts w:ascii="Arial" w:cs="Arial" w:eastAsia="Arial" w:hAnsi="Arial"/>
          <w:sz w:val="16"/>
          <w:szCs w:val="16"/>
          <w:color w:val="auto"/>
        </w:rPr>
      </w:pPr>
    </w:p>
    <w:p>
      <w:pPr>
        <w:ind w:right="80" w:firstLine="464"/>
        <w:spacing w:after="0" w:line="268" w:lineRule="auto"/>
        <w:tabs>
          <w:tab w:leader="none" w:pos="70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undersigned has examined the books and records of the Borrower and has conducted such other examinations and investigations as are reasonably necessary to provide this Compliance Certificate.</w:t>
      </w:r>
    </w:p>
    <w:p>
      <w:pPr>
        <w:spacing w:after="0" w:line="131" w:lineRule="exact"/>
        <w:rPr>
          <w:rFonts w:ascii="Arial" w:cs="Arial" w:eastAsia="Arial" w:hAnsi="Arial"/>
          <w:sz w:val="18"/>
          <w:szCs w:val="18"/>
          <w:color w:val="auto"/>
        </w:rPr>
      </w:pPr>
    </w:p>
    <w:p>
      <w:pPr>
        <w:ind w:right="180" w:firstLine="464"/>
        <w:spacing w:after="0" w:line="259" w:lineRule="auto"/>
        <w:tabs>
          <w:tab w:leader="none" w:pos="70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To the best of the undersigned’s knowledge, information and belief after due inquiry, no Default or Event of Default exists </w:t>
      </w:r>
      <w:r>
        <w:rPr>
          <w:rFonts w:ascii="Arial" w:cs="Arial" w:eastAsia="Arial" w:hAnsi="Arial"/>
          <w:sz w:val="18"/>
          <w:szCs w:val="18"/>
          <w:i w:val="1"/>
          <w:iCs w:val="1"/>
          <w:color w:val="auto"/>
        </w:rPr>
        <w:t>[if such is not the case,</w:t>
      </w:r>
      <w:r>
        <w:rPr>
          <w:rFonts w:ascii="Arial" w:cs="Arial" w:eastAsia="Arial" w:hAnsi="Arial"/>
          <w:sz w:val="18"/>
          <w:szCs w:val="18"/>
          <w:color w:val="auto"/>
        </w:rPr>
        <w:t xml:space="preserve"> </w:t>
      </w:r>
      <w:r>
        <w:rPr>
          <w:rFonts w:ascii="Arial" w:cs="Arial" w:eastAsia="Arial" w:hAnsi="Arial"/>
          <w:sz w:val="18"/>
          <w:szCs w:val="18"/>
          <w:i w:val="1"/>
          <w:iCs w:val="1"/>
          <w:color w:val="auto"/>
        </w:rPr>
        <w:t>specify such Default or Event of Default and its nature, when it occurred and whether it is continuing and the steps being taken by the Borrower with respect to such event, condition or failure]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Attached hereto as Schedule 1 are reasonably detailed calculations establishing whether or not the Borrower and its Subsidiaries were in compliance with the covenants contained in Sections 9.1. and 9.4.</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380"/>
          </w:cols>
          <w:pgMar w:left="240" w:top="280" w:right="279" w:bottom="1440" w:gutter="0" w:footer="0" w:header="0"/>
        </w:sectPr>
      </w:pPr>
    </w:p>
    <w:bookmarkStart w:id="390" w:name="page391"/>
    <w:bookmarkEnd w:id="3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executed this certificate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291465</wp:posOffset>
            </wp:positionV>
            <wp:extent cx="289877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9759"/>
          </w:cols>
          <w:pgMar w:left="700" w:top="280" w:right="1440" w:bottom="1440" w:gutter="0" w:footer="0" w:header="0"/>
        </w:sectPr>
      </w:pPr>
    </w:p>
    <w:bookmarkStart w:id="391" w:name="page392"/>
    <w:bookmarkEnd w:id="39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GUARANTY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GUARANTY dated as of November 9, 2007, executed and delivered by each of the undersigned and the other Persons from time to time party hereto pursuant to the execution and delivery of an Accession Agreement in the form of Annex I hereto (all of the undersigned, together with such other Persons each a “Guarantor” and collectively, the “Guarantors”) in favor of (a) WACHOVIA BANK, NATIONAL ASSOCIATION, in its capacity as Agent (the “Agent”) for the Lenders under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pursuant to the Credit Agreement, the Lenders have agreed to make available to the Borrower certain financial accommodations on the terms and conditions set forth in the Credit Agreement;</w:t>
      </w:r>
    </w:p>
    <w:p>
      <w:pPr>
        <w:spacing w:after="0" w:line="13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WHEREAS, the Borrower and each of the Guarantors,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each Guarantor acknowledges that it will receive direct and indirect benefits from the Agent and the Lenders making such financial accommodations available to the Borrower under the Credit Agreement and, accordingly, each Guarantor is willing to guarantee the Borrower’s obligations to the Agent and the Lenders on the terms and conditions contained herein; and</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each Guarantor’s execution and delivery of this Guaranty is a condition to the Lenders making, and continuing to make, such financial accommodations to the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by each Guarantor,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agrees as follows: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Guaranty</w:t>
      </w:r>
      <w:r>
        <w:rPr>
          <w:rFonts w:ascii="Arial" w:cs="Arial" w:eastAsia="Arial" w:hAnsi="Arial"/>
          <w:sz w:val="18"/>
          <w:szCs w:val="18"/>
          <w:color w:val="auto"/>
        </w:rPr>
        <w:t>. Each Guarantor hereby absolutely, irrevocably and unconditionally guaranties the due and punctual payment and performance when due, whether at stated maturity, by acceleration or otherwise, of all of the following, whether now existing or hereafter arising, (collectively referred to as the “Guarantied Obligations”): (a) all indebtedness and obligations owing by the Borrower to any Lender or the Agent under or in connection with the Credit Agreement and any other Loan Document, including without limitation, the repayment of all principal of the Loans, and the payment of all interest, Fees, charges, attorneys’ fees and other amounts payable to any Lender or the Agent thereunder or in connection therewith; (b) any and all extensions, renewals, modifications, amendments or substitutions of the foregoing; (c) all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400"/>
          </w:cols>
          <w:pgMar w:left="240" w:top="280" w:right="259" w:bottom="1440" w:gutter="0" w:footer="0" w:header="0"/>
        </w:sectPr>
      </w:pPr>
    </w:p>
    <w:bookmarkStart w:id="392" w:name="page393"/>
    <w:bookmarkEnd w:id="39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including, without limitation, reasonable attorneys’ fees and disbursements, that are incurred by the Lenders and the Agent in the enforcement of any of the foregoing or any obligation of such Guarantor hereunder; and (d) all other Obligations.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Guaranty of Payment and Not of Collection</w:t>
      </w:r>
      <w:r>
        <w:rPr>
          <w:rFonts w:ascii="Arial" w:cs="Arial" w:eastAsia="Arial" w:hAnsi="Arial"/>
          <w:sz w:val="16"/>
          <w:szCs w:val="16"/>
          <w:color w:val="auto"/>
        </w:rPr>
        <w:t>. This Guaranty is a guaranty of payment, and not of collection, and a debt of each Guarantor for its own account. Accordingly, none of the Lenders or the Agent shall be obligated or required before enforcing this Guaranty against any Guarantor: (a) to pursue any right or remedy any of them may have against the Borrower, any other Guarantor or any other Person or commence any suit or other proceeding against the Borrower, any other Guarantor or any other Person in any court or other tribunal; (b) to make any claim in a liquidation or bankruptcy of the Borrower, any other Guarantor or any other Person; or (c) to make demand of the Borrower, any other Guarantor or any other Person or to enforce or seek to enforce or realize upon any collateral security held by the Lenders or the Agent which may secure any of the Guarantied Obligations.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Guaranty Absolute</w:t>
      </w:r>
      <w:r>
        <w:rPr>
          <w:rFonts w:ascii="Arial" w:cs="Arial" w:eastAsia="Arial" w:hAnsi="Arial"/>
          <w:sz w:val="16"/>
          <w:szCs w:val="16"/>
          <w:color w:val="auto"/>
        </w:rPr>
        <w:t>. Each Guarantor guarantees that the Guarantied Obligations will be paid strictly in accordance with the terms of the documents evidencing the same, regardless of any Applicable Law now or hereafter in effect in any jurisdiction affecting any of such terms or the rights of the Agent or the Lenders with respect thereto.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including without limitation, the following (whether or not such Guarantor consents thereto or has notice thereof):</w:t>
      </w:r>
    </w:p>
    <w:p>
      <w:pPr>
        <w:spacing w:after="0" w:line="116" w:lineRule="exact"/>
        <w:rPr>
          <w:sz w:val="20"/>
          <w:szCs w:val="20"/>
          <w:color w:val="auto"/>
        </w:rPr>
      </w:pPr>
    </w:p>
    <w:p>
      <w:pPr>
        <w:ind w:right="20" w:firstLine="464"/>
        <w:spacing w:after="0" w:line="291" w:lineRule="auto"/>
        <w:tabs>
          <w:tab w:leader="none" w:pos="69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 any change in the amount, interest rate or due date or other term of any of the Guarantied Obligations, (ii) any change in the time, place or manner of payment of all or any portion of the Guarantied Obligations, (iii) any amendment or waiver of, or consent to the departure from or other indulgence with respect to, the Credit Agreement, any other Loan Document, or any other document or instrument evidencing or relating to any Guarantied Obligations, or (iv) any waiver, renewal, extension, addition, or supplement to, or deletion from, or any other action or inaction under or in respect of, the Credit Agreement, any of the other Loan Documents,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20" w:lineRule="exact"/>
        <w:rPr>
          <w:rFonts w:ascii="Arial" w:cs="Arial" w:eastAsia="Arial" w:hAnsi="Arial"/>
          <w:sz w:val="16"/>
          <w:szCs w:val="16"/>
          <w:color w:val="auto"/>
        </w:rPr>
      </w:pPr>
    </w:p>
    <w:p>
      <w:pPr>
        <w:ind w:right="440" w:firstLine="464"/>
        <w:spacing w:after="0" w:line="332" w:lineRule="auto"/>
        <w:tabs>
          <w:tab w:leader="none" w:pos="70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any lack of validity or enforceability of the Credit Agreement, any of the other Loan Documents, or any other document, instrument or agreement referred to therein or evidencing any Guarantied Obligations or any assignment or transfer of any of the foregoing;</w:t>
      </w:r>
    </w:p>
    <w:p>
      <w:pPr>
        <w:spacing w:after="0" w:line="85"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furnishing to the Agent or the Lenders of any security for the Guarantied Obligations, or any sale, exchange, release or surrender of, or realization on, any collateral securing any of the Obligations;</w:t>
      </w:r>
    </w:p>
    <w:p>
      <w:pPr>
        <w:spacing w:after="0" w:line="131" w:lineRule="exact"/>
        <w:rPr>
          <w:rFonts w:ascii="Arial" w:cs="Arial" w:eastAsia="Arial" w:hAnsi="Arial"/>
          <w:sz w:val="18"/>
          <w:szCs w:val="18"/>
          <w:color w:val="auto"/>
        </w:rPr>
      </w:pPr>
    </w:p>
    <w:p>
      <w:pPr>
        <w:ind w:right="340" w:firstLine="464"/>
        <w:spacing w:after="0" w:line="259" w:lineRule="auto"/>
        <w:tabs>
          <w:tab w:leader="none" w:pos="70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settlement or compromise of any of the Guarantied Obligations, any security therefor, or any liability of any other party with respect to the Guarantied Obligations, or any subordination of the payment of the Guarantied Obligations to the payment of any other liability of the Borrower or any other Loan Party;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1400"/>
          </w:cols>
          <w:pgMar w:left="240" w:top="279" w:right="259" w:bottom="1440" w:gutter="0" w:footer="0" w:header="0"/>
        </w:sectPr>
      </w:pPr>
    </w:p>
    <w:bookmarkStart w:id="393" w:name="page394"/>
    <w:bookmarkEnd w:id="393"/>
    <w:p>
      <w:pPr>
        <w:ind w:right="260" w:firstLine="464"/>
        <w:spacing w:after="0" w:line="259" w:lineRule="auto"/>
        <w:tabs>
          <w:tab w:leader="none" w:pos="695"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bankruptcy, insolvency, reorganization, composition, adjustment, dissolution, liquidation or other like proceeding relating to such Guarantor, the Borrower, any other Loan Party or any other Person, or any action taken with respect to this Guaranty by any trustee or receiver, or by any court, in any such proceeding;</w:t>
      </w:r>
    </w:p>
    <w:p>
      <w:pPr>
        <w:spacing w:after="0" w:line="140" w:lineRule="exact"/>
        <w:rPr>
          <w:rFonts w:ascii="Arial" w:cs="Arial" w:eastAsia="Arial" w:hAnsi="Arial"/>
          <w:sz w:val="18"/>
          <w:szCs w:val="18"/>
          <w:color w:val="auto"/>
        </w:rPr>
      </w:pPr>
    </w:p>
    <w:p>
      <w:pPr>
        <w:ind w:right="200" w:firstLine="464"/>
        <w:spacing w:after="0" w:line="268" w:lineRule="auto"/>
        <w:tabs>
          <w:tab w:leader="none" w:pos="67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act or failure to act by the Borrower, any other Loan Party or any other Person which may adversely affect such Guarantor’s subrogation rights, if any, against the Borrower to recover payments made under this Guaranty;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any nonperfection or impairment of any security interest or other Lien on any collateral, if any, securing in any way any of the Obligations;</w:t>
      </w:r>
    </w:p>
    <w:p>
      <w:pPr>
        <w:spacing w:after="0" w:line="194" w:lineRule="exact"/>
        <w:rPr>
          <w:rFonts w:ascii="Arial" w:cs="Arial" w:eastAsia="Arial" w:hAnsi="Arial"/>
          <w:sz w:val="16"/>
          <w:szCs w:val="16"/>
          <w:color w:val="auto"/>
        </w:rPr>
      </w:pPr>
    </w:p>
    <w:p>
      <w:pPr>
        <w:ind w:firstLine="464"/>
        <w:spacing w:after="0" w:line="268" w:lineRule="auto"/>
        <w:tabs>
          <w:tab w:leader="none" w:pos="70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application of sums paid by the Borrower, any other Guarantor or any other Person with respect to the liabilities of the Borrower to the Agent or the Lenders, regardless of what liabilities of the Borrower remain unpaid;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defect, limitation or insufficiency in the borrowing powers of the Borrower or in the exercise thereof; or</w:t>
      </w:r>
    </w:p>
    <w:p>
      <w:pPr>
        <w:spacing w:after="0" w:line="171" w:lineRule="exact"/>
        <w:rPr>
          <w:rFonts w:ascii="Arial" w:cs="Arial" w:eastAsia="Arial" w:hAnsi="Arial"/>
          <w:sz w:val="18"/>
          <w:szCs w:val="18"/>
          <w:color w:val="auto"/>
        </w:rPr>
      </w:pPr>
    </w:p>
    <w:p>
      <w:pPr>
        <w:ind w:right="540" w:firstLine="464"/>
        <w:spacing w:after="0" w:line="268" w:lineRule="auto"/>
        <w:tabs>
          <w:tab w:leader="none" w:pos="66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a Guarantor hereunder (other than indefeasible payment and performance in full).</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Action with Respect to Guarantied Obligations</w:t>
      </w:r>
      <w:r>
        <w:rPr>
          <w:rFonts w:ascii="Arial" w:cs="Arial" w:eastAsia="Arial" w:hAnsi="Arial"/>
          <w:sz w:val="16"/>
          <w:szCs w:val="16"/>
          <w:color w:val="auto"/>
        </w:rPr>
        <w:t>. The Lenders and the Agent may, at any time and from time to time, without the consent of, or notice to, any Guarantor, and without discharging any Guarantor from its obligations hereunder, take any and all actions described in Section 3 and may otherwise: (a) amend, modify, alter or supplement the terms of any of the Guarantied Obligations, including, but not limited to, extending or shortening the time of payment of any of the Guarantied Obligations or changing the interest rate that may accrue on any of the Guarantied Obligations; (b) amend, modify, alter or supplement the Credit Agreement or any other Loan Document (other than this Guaranty, as to which each Guarantor’s Agreement is required); (c) sell, exchange, release or otherwise deal with all, or any part, of any collateral securing any of the Obligations; (d) release any other Loan Party or other Person liable in any manner for the payment or collection of the Guarantied Obligations; (e) exercise, or refrain from exercising, any rights against the Borrower, any other Guarantor or any other Person; and (f) apply any sum, by whomsoever paid or however realized, to the Guarantied Obligations in such order as the Lenders shall elect.</w:t>
      </w:r>
    </w:p>
    <w:p>
      <w:pPr>
        <w:spacing w:after="0" w:line="12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Guarantor hereby severally with respect to itself only makes to the Agent and the Lenders all of the representations and warranties made by the Borrower with respect to or in any way relating to such Guarantor in the Credit Agreement and the other Loan Documents, as if the same were set forth herein in full.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1400"/>
          </w:cols>
          <w:pgMar w:left="240" w:top="279" w:right="259" w:bottom="1440" w:gutter="0" w:footer="0" w:header="0"/>
        </w:sectPr>
      </w:pPr>
    </w:p>
    <w:bookmarkStart w:id="394" w:name="page395"/>
    <w:bookmarkEnd w:id="39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Covenants</w:t>
      </w:r>
      <w:r>
        <w:rPr>
          <w:rFonts w:ascii="Arial" w:cs="Arial" w:eastAsia="Arial" w:hAnsi="Arial"/>
          <w:sz w:val="18"/>
          <w:szCs w:val="18"/>
          <w:color w:val="auto"/>
        </w:rPr>
        <w:t>. Each Guarantor will comply with all covenants which the Borrower is to cause such Guarantor to comply with under the terms of the Credit Agreement or any of the other Loan Documents.</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Waiver</w:t>
      </w:r>
      <w:r>
        <w:rPr>
          <w:rFonts w:ascii="Arial" w:cs="Arial" w:eastAsia="Arial" w:hAnsi="Arial"/>
          <w:sz w:val="16"/>
          <w:szCs w:val="16"/>
          <w:color w:val="auto"/>
        </w:rPr>
        <w:t>. Each Guarantor, to the fullest extent permitted by Applicable Law,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Inability to Accelerate Loan</w:t>
      </w:r>
      <w:r>
        <w:rPr>
          <w:rFonts w:ascii="Arial" w:cs="Arial" w:eastAsia="Arial" w:hAnsi="Arial"/>
          <w:sz w:val="16"/>
          <w:szCs w:val="16"/>
          <w:color w:val="auto"/>
        </w:rPr>
        <w:t>. If the Agent and/or the Lenders are prevented under Applicable Law or otherwise from demanding or accelerating payment of any of the Guarantied Obligations by reason of any automatic stay or otherwise, the Agent and/or the Lenders shall be entitled to receive from each Guarantor, upon demand therefor, the sums which otherwise would have been due had such demand or acceleration occurred.</w:t>
      </w:r>
    </w:p>
    <w:p>
      <w:pPr>
        <w:spacing w:after="0" w:line="107" w:lineRule="exact"/>
        <w:rPr>
          <w:sz w:val="20"/>
          <w:szCs w:val="20"/>
          <w:color w:val="auto"/>
        </w:rPr>
      </w:pPr>
    </w:p>
    <w:p>
      <w:pPr>
        <w:ind w:right="300" w:firstLine="456"/>
        <w:spacing w:after="0" w:line="305"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Reinstatement of Guarantied Obligations</w:t>
      </w:r>
      <w:r>
        <w:rPr>
          <w:rFonts w:ascii="Arial" w:cs="Arial" w:eastAsia="Arial" w:hAnsi="Arial"/>
          <w:sz w:val="15"/>
          <w:szCs w:val="15"/>
          <w:color w:val="auto"/>
        </w:rPr>
        <w:t>. If claim is ever made on the Agent, or any Lender for repayment or recovery of any amount or amounts received in payment or on account of any of the Guarantied Obligations, and the Agent or such Lender repays all or part of said amount by reason of</w:t>
      </w:r>
    </w:p>
    <w:p>
      <w:pPr>
        <w:ind w:firstLine="8"/>
        <w:spacing w:after="0" w:line="252" w:lineRule="auto"/>
        <w:tabs>
          <w:tab w:leader="none" w:pos="23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judgment, decree or order of any court or administrative body of competent jurisdiction, or (b) any settlement or compromise of any such claim effected by the Agent or such Lender with any such claimant (including the Borrower or a trustee in bankruptcy for the Borrower), then and in such event each Guarantor agrees that any such judgment, decree, order, settlement or compromise shall be binding on it, notwithstanding any revocation hereof or the cancellation of the Credit Agreement, any of the other Loan Documents, or any other instrument evidencing any liability of the Borrower, and such Guarantor shall be and remain liable to the Agent or such Lender for the amounts so repaid or recovered to the same extent as if such amount had never originally been paid to the Agent or such Lender.</w:t>
      </w:r>
    </w:p>
    <w:p>
      <w:pPr>
        <w:spacing w:after="0" w:line="14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Subrogation</w:t>
      </w:r>
      <w:r>
        <w:rPr>
          <w:rFonts w:ascii="Arial" w:cs="Arial" w:eastAsia="Arial" w:hAnsi="Arial"/>
          <w:sz w:val="16"/>
          <w:szCs w:val="16"/>
          <w:color w:val="auto"/>
        </w:rPr>
        <w:t xml:space="preserve">. Upon the making by any Guarantor of any payment hereunder for the account of the Borrower, such Guarantor shall be subrogated to the rights of the payee against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Guarantor shall not enforce any right or receive any payment by way of subrogation or otherwise take any action in respect of any other claim or cause of action such Guarantor may have against the Borrower arising by reason of any payment or performance by such Guarantor pursuant to this Guaranty, unless and until all of the Guarantied Obligations have been indefeasibly paid and performed in full. If any amount shall be paid to such Guarantor on account of or in respect of such subrogation rights or other claims or causes of action, such Guarantor shall hold such amount in trust for the benefit of the Agent and the Lenders and shall forthwith pay such amount to the Agent to be credited and applied against the Guarantied Obligations, whether matured or unmatured, in accordance with the terms of the Credit Agreement or to be held by the Agent as collateral security for any Guarantied Obligations existing.</w:t>
      </w:r>
    </w:p>
    <w:p>
      <w:pPr>
        <w:spacing w:after="0" w:line="118"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Payments Free and Clear</w:t>
      </w:r>
      <w:r>
        <w:rPr>
          <w:rFonts w:ascii="Arial" w:cs="Arial" w:eastAsia="Arial" w:hAnsi="Arial"/>
          <w:sz w:val="16"/>
          <w:szCs w:val="16"/>
          <w:color w:val="auto"/>
        </w:rPr>
        <w:t>. All sums payable by each Guarantor hereunder, whether of principal, interest, Fees, expenses, premiums or otherwise, shall be paid in full, without set-off or counterclaim or any deduction or withholding whatsoever (including 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H-4</w:t>
      </w:r>
    </w:p>
    <w:p>
      <w:pPr>
        <w:sectPr>
          <w:pgSz w:w="11900" w:h="16838" w:orient="portrait"/>
          <w:cols w:equalWidth="0" w:num="1">
            <w:col w:w="11400"/>
          </w:cols>
          <w:pgMar w:left="240" w:top="280" w:right="259" w:bottom="1440" w:gutter="0" w:footer="0" w:header="0"/>
        </w:sectPr>
      </w:pPr>
    </w:p>
    <w:bookmarkStart w:id="395" w:name="page396"/>
    <w:bookmarkEnd w:id="395"/>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 subject to Section 3.12. of the Credit Agreement), and if any Guarantor is required by Applicable Law or by a Governmental Authority to make any such deduction or withholding, such Guarantor shall, subject to Section 3.12. of the Credit Agreement, pay to the Agent and the Lenders such additional amount as will result in the receipt by the Agent and the Lenders of the full amount payable hereunder had such deduction or withholding not occurred or been required.</w:t>
      </w:r>
    </w:p>
    <w:p>
      <w:pPr>
        <w:spacing w:after="0" w:line="10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Set-off</w:t>
      </w:r>
      <w:r>
        <w:rPr>
          <w:rFonts w:ascii="Arial" w:cs="Arial" w:eastAsia="Arial" w:hAnsi="Arial"/>
          <w:sz w:val="15"/>
          <w:szCs w:val="15"/>
          <w:color w:val="auto"/>
        </w:rPr>
        <w:t>. In addition to any rights now or hereafter granted under any of the other Loan Documents or Applicable Law and not by way of limitation of any such rights, each Guarantor hereby authorizes the Agent, each Lender and each affiliate of the Agent or any Lender, at any time during the continuance of an Event of Default, without any prior notice to such Guarantor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affiliate of the Agent or such Lender, to or for the credit or the account of such Guarantor against and on account of any of the Guarantied Obligations, although such obligations shall be contingent or unmatured.</w:t>
      </w:r>
    </w:p>
    <w:p>
      <w:pPr>
        <w:spacing w:after="0" w:line="10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Subordination</w:t>
      </w:r>
      <w:r>
        <w:rPr>
          <w:rFonts w:ascii="Arial" w:cs="Arial" w:eastAsia="Arial" w:hAnsi="Arial"/>
          <w:sz w:val="16"/>
          <w:szCs w:val="16"/>
          <w:color w:val="auto"/>
        </w:rPr>
        <w:t>. Each Guarantor hereby expressly covenants and agrees for the benefit of the Agent and the Lenders that all obligations and liabilities of the Borrower to such Guarantor of whatever description, including without limitation, all intercompany receivables of such Guarantor from the Borrower (collectively, the “Junior Claims”) shall be subordinate and junior in right of payment to all Guarantied Obligations. If an Event of Default shall exist, then no Guarantor shall accept any direct or indirect payment (in cash, property or securities, by setoff or otherwise) from the Borrower on account of or in any manner in respect of any Junior Claim until all of the Guarantied Obligations have been indefeasibly paid in full.</w:t>
      </w:r>
    </w:p>
    <w:p>
      <w:pPr>
        <w:spacing w:after="0" w:line="1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Avoidance Provisions</w:t>
      </w:r>
      <w:r>
        <w:rPr>
          <w:rFonts w:ascii="Arial" w:cs="Arial" w:eastAsia="Arial" w:hAnsi="Arial"/>
          <w:sz w:val="16"/>
          <w:szCs w:val="16"/>
          <w:color w:val="auto"/>
        </w:rPr>
        <w:t>. It is the intent of each Guarantor, the Agent and the Lenders that in any Proceeding, such Guarantor’s maximum obligation hereunder shall equal, but not exceed, the maximum amount which would not otherwise cause the obligations of such Guarantor hereunder (or any other obligations of such Guarantor to the Agent and the Lenders) to be avoidable or unenforceable against such Guarantor in such Proceeding as a result of Applicable Law, including without limitation, (a) Section 548 of the Bankruptcy Code of 1978, as amended (the “Bankruptcy Code”) and (b) any state fraudulent transfer or fraudulent conveyance act or statute applied in such Proceeding, whether by virtue of Section 544 of the Bankruptcy Code or otherwise. The Applicable Laws under which the possible avoidance or unenforceability of the obligations of such Guarantor hereunder (or any other obligations of such Guarantor to the Agent and the Lenders) shall be determined in any such Proceeding are referred to as the “Avoidance Provisions”.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such Guarantor hereunder (or any other obligations of such Guarantor to the Agent and the Lenders), to be subject to avoidance under the Avoidance Provisions. This Section is intended solely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420"/>
          </w:cols>
          <w:pgMar w:left="240" w:top="280" w:right="239" w:bottom="1440" w:gutter="0" w:footer="0" w:header="0"/>
        </w:sectPr>
      </w:pPr>
    </w:p>
    <w:bookmarkStart w:id="396" w:name="page397"/>
    <w:bookmarkEnd w:id="396"/>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preserve the rights of the Agent and the Lenders hereunder to the maximum extent that would not cause the obligations of any Guarantor hereunder to be subject to avoidance under the Avoidance Provisions, and no Guarantor or any other Person shall have any right or claim under this Section as against the Agent and the Lenders that would not otherwise be available to such Person under the Avoidance Provisions.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Information</w:t>
      </w:r>
      <w:r>
        <w:rPr>
          <w:rFonts w:ascii="Arial" w:cs="Arial" w:eastAsia="Arial" w:hAnsi="Arial"/>
          <w:sz w:val="18"/>
          <w:szCs w:val="18"/>
          <w:color w:val="auto"/>
        </w:rPr>
        <w:t>. Each Guarantor assumes all responsibility for being and keeping itself informed of the financial condition of the Borrower and the other Guarantors, and of all other circumstances bearing upon the risk of nonpayment of any of the Guarantied Obligations and the nature, scope and extent of the risks that such Guarantor assumes and incurs hereunder, and agrees that none of the Agent or the Lenders shall have any duty whatsoever to advise any Guarantor of information regarding such circumstances or risks.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WAIVER OF JURY TRIAL, ETC</w:t>
      </w:r>
      <w:r>
        <w:rPr>
          <w:rFonts w:ascii="Arial" w:cs="Arial" w:eastAsia="Arial" w:hAnsi="Arial"/>
          <w:sz w:val="18"/>
          <w:szCs w:val="18"/>
          <w:color w:val="auto"/>
        </w:rPr>
        <w:t>.</w:t>
      </w:r>
    </w:p>
    <w:p>
      <w:pPr>
        <w:spacing w:after="0" w:line="90" w:lineRule="exact"/>
        <w:rPr>
          <w:sz w:val="20"/>
          <w:szCs w:val="20"/>
          <w:color w:val="auto"/>
        </w:rPr>
      </w:pPr>
    </w:p>
    <w:p>
      <w:pPr>
        <w:ind w:right="40" w:firstLine="464"/>
        <w:spacing w:after="0" w:line="253" w:lineRule="auto"/>
        <w:tabs>
          <w:tab w:leader="none" w:pos="69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PARTY HERETO ACKNOWLEDGES THAT ANY DISPUTE OR CONTROVERSY BETWEEN OR AMONG ANY GUARANTOR, THE AGENT OR ANY OF THE LENDERS WOULD BE BASED ON DIFFICULT AND COMPLEX ISSUES OF LAW AND FACT AND WOULD RESULT IN DELAY AND EXPENSE TO THE PARTIES. ACCORDINGLY, TO THE EXTENT PERMITTED BY APPLICABLE LAW, EACH OF THE LENDERS, THE AGENT AND THE GUARANTORS HEREBY WAIVES ITS RIGHT TO A TRIAL BY JURY IN ANY ACTION OR PROCEEDING OF ANY KIND OR NATURE IN ANY COURT OR TRIBUNAL IN WHICH AN ACTION MAY BE COMMENCED BY OR AGAINST ANY PARTY HERETO ARISING OUT OF THIS GUARANTY OR ANY OTHER LOAN DOCUMENT OR BY REASON OF ANY OTHER SUIT, CAUSE OF ACTION OR DISPUTE WHATSOEVER BETWEEN OR AMONG THE GUARANTORS, THE AGENT OR ANY OF THE LENDERS OF ANY KIND OR NATURE RELATING TO ANY OF THE LOAN DOCUMENTS.</w:t>
      </w:r>
    </w:p>
    <w:p>
      <w:pPr>
        <w:spacing w:after="0" w:line="145" w:lineRule="exact"/>
        <w:rPr>
          <w:rFonts w:ascii="Arial" w:cs="Arial" w:eastAsia="Arial" w:hAnsi="Arial"/>
          <w:sz w:val="18"/>
          <w:szCs w:val="18"/>
          <w:color w:val="auto"/>
        </w:rPr>
      </w:pPr>
    </w:p>
    <w:p>
      <w:pPr>
        <w:ind w:right="40" w:firstLine="464"/>
        <w:spacing w:after="0" w:line="253" w:lineRule="auto"/>
        <w:tabs>
          <w:tab w:leader="none" w:pos="70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OF THE GUARANTORS, THE AGENT AND EACH LENDER HEREBY AGREES THAT THE FEDERAL DISTRICT COURT FOR THE SOUTHERN DISTRICT OF NEW YORK AND ANY STATE COURT LOCATED IN THE BOROUGH OF MANHATTAN OF NEW YORK, NEW YORK, SHALL HAVE JURISDICTION TO HEAR AND DETERMINE ANY CLAIMS OR DISPUTES BETWEEN OR AMONG THE GUARANTORS, THE AGENT OR ANY OF THE LENDERS PERTAINING DIRECTLY OR INDIRECTLY TO THIS GUARANTY OR ANY OTHER LOAN DOCUMENT OR TO ANY MATTER ARISING HEREFROM OR THEREFROM. EACH GUARANTOR AND EACH OF THE LENDERS EXPRESSLY SUBMITS AND CONSENTS IN ADVANCE TO SUCH JURISDICTION IN ANY ACTION OR PROCEEDING COMMENCED IN SUCH COURTS WITH RESPECT TO SUCH CLAIMS OR DISPUTES. EACH PARTY FURTHER WAIVES ANY OBJECTION THAT IT MAY NOW OR HEREAFTER HAVE TO THE VENUE OF</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H-6</w:t>
      </w:r>
    </w:p>
    <w:p>
      <w:pPr>
        <w:sectPr>
          <w:pgSz w:w="11900" w:h="16838" w:orient="portrait"/>
          <w:cols w:equalWidth="0" w:num="1">
            <w:col w:w="11380"/>
          </w:cols>
          <w:pgMar w:left="240" w:top="280" w:right="279" w:bottom="1440" w:gutter="0" w:footer="0" w:header="0"/>
        </w:sectPr>
      </w:pPr>
    </w:p>
    <w:bookmarkStart w:id="397" w:name="page398"/>
    <w:bookmarkEnd w:id="39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13" w:lineRule="exact"/>
        <w:rPr>
          <w:sz w:val="20"/>
          <w:szCs w:val="20"/>
          <w:color w:val="auto"/>
        </w:rPr>
      </w:pPr>
    </w:p>
    <w:p>
      <w:pPr>
        <w:ind w:right="60" w:firstLine="464"/>
        <w:spacing w:after="0" w:line="306" w:lineRule="auto"/>
        <w:tabs>
          <w:tab w:leader="none" w:pos="69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GUARANTY.</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Loan Accounts</w:t>
      </w:r>
      <w:r>
        <w:rPr>
          <w:rFonts w:ascii="Arial" w:cs="Arial" w:eastAsia="Arial" w:hAnsi="Arial"/>
          <w:sz w:val="18"/>
          <w:szCs w:val="18"/>
          <w:color w:val="auto"/>
        </w:rPr>
        <w:t>. The Agent and each Lender may maintain books and accounts setting forth the amounts of principal, interest and other sums paid and payable with respect to the Guarantied Obligations, and in the case of any dispute relating to any of the outstanding amount, payment or receipt of any of the Guarantied Obligations or otherwise, the entries in such books and accounts shall be deemed conclusive evidence of the amounts and other matters set forth herein, absent manifest error. The failure of the Agent or any Lender to maintain such books and accounts shall not in any way relieve or discharge any Guarantor of any of its obligations hereunder.</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 of Remedies</w:t>
      </w:r>
      <w:r>
        <w:rPr>
          <w:rFonts w:ascii="Arial" w:cs="Arial" w:eastAsia="Arial" w:hAnsi="Arial"/>
          <w:sz w:val="18"/>
          <w:szCs w:val="18"/>
          <w:color w:val="auto"/>
        </w:rPr>
        <w:t>. No delay or failure on the part of the Agent or any Lender in the exercise of any right or remedy it may have against any Guarantor hereunder or otherwise shall operate as a waiver thereof, and no single or partial exercise by the Agent or any Lender of any such right or remedy shall preclude any other or further exercise thereof or the exercise of any other such right or remedy.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Termination</w:t>
      </w:r>
      <w:r>
        <w:rPr>
          <w:rFonts w:ascii="Arial" w:cs="Arial" w:eastAsia="Arial" w:hAnsi="Arial"/>
          <w:sz w:val="18"/>
          <w:szCs w:val="18"/>
          <w:color w:val="auto"/>
        </w:rPr>
        <w:t>. This Guaranty shall remain in full force and effect until indefeasible payment in full of the Guarantied Obligations and the other Obligations and the termination or cancellation of the Credit Agreement in accordance with its terms.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Each reference herein to the Agent or the Lenders shall be deemed to include such Person’s respective successors and assigns (including, but not limited to, any holder of the Guarantied Obligations) in whose favor the provisions of this Guaranty also shall inure, and each reference herein to each Guarantor shall be deemed to include such Guarantor’s successors and assigns, upon whom this Guaranty also shall be binding. The Lenders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Subject to Section 12.8. of the Credit Agreement, each Guarantor hereby consents to the delivery by the Agent or any Lender to any Assignee or Participant (or any prospective Assignee or Participant) of any financial or other information regarding the Borrower or any Guarantor. No Guarantor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400"/>
          </w:cols>
          <w:pgMar w:left="240" w:top="279" w:right="259" w:bottom="1440" w:gutter="0" w:footer="0" w:header="0"/>
        </w:sectPr>
      </w:pPr>
    </w:p>
    <w:bookmarkStart w:id="398" w:name="page399"/>
    <w:bookmarkEnd w:id="39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assign or transfer its obligations hereunder to any Person without the prior written consent of all Lenders and any such assignment or other transfer to which all of the Lenders have not so consented shall be null and void.</w:t>
      </w:r>
    </w:p>
    <w:p>
      <w:pPr>
        <w:spacing w:after="0" w:line="132"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JOINT AND SEVERAL OBLIGATIONS</w:t>
      </w:r>
      <w:r>
        <w:rPr>
          <w:rFonts w:ascii="Arial" w:cs="Arial" w:eastAsia="Arial" w:hAnsi="Arial"/>
          <w:sz w:val="16"/>
          <w:szCs w:val="16"/>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Amendments</w:t>
      </w:r>
      <w:r>
        <w:rPr>
          <w:rFonts w:ascii="Arial" w:cs="Arial" w:eastAsia="Arial" w:hAnsi="Arial"/>
          <w:sz w:val="18"/>
          <w:szCs w:val="18"/>
          <w:color w:val="auto"/>
        </w:rPr>
        <w:t>. This Guaranty may not be amended except in writing signed by the Requisite Lenders (or all of the Lenders if required under the terms of the Credit Agreement), the Agent and each Guarantor.</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Payments</w:t>
      </w:r>
      <w:r>
        <w:rPr>
          <w:rFonts w:ascii="Arial" w:cs="Arial" w:eastAsia="Arial" w:hAnsi="Arial"/>
          <w:sz w:val="18"/>
          <w:szCs w:val="18"/>
          <w:color w:val="auto"/>
        </w:rPr>
        <w:t>. All payments to be made by any Guarantor pursuant to this Guaranty shall be made in Dollars, in immediately available funds to the Agent at the Principal Office, not later than 2:00 p.m. on the date of demand therefor.</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and other communications hereunder shall be in writing (including facsimile transmission or similar writing) and shall be given (a) to each Guarantor at its address set forth below its signature hereto, (b) to the Agent or any Lender at its respective address for notices provided for in the Credit Agreement, or (c) as to each such party at such other address as such party shall designate in a written notice to the other parties. Each such notice, request or other communication shall be effective (i) if mailed, when received; (ii) if telecopied, when transmitted; or (iii) if hand delivered, when delivered;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notice of a change of address for notices shall not be effective until received.</w:t>
      </w:r>
    </w:p>
    <w:p>
      <w:pPr>
        <w:spacing w:after="0" w:line="1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used in this Guaranty are for convenience only and shall not affect the construction of this Guaranty.</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Neither the Agent nor any Lender, nor any affiliate, officer, director, employee, attorney, or agent of the Agent or any Lender, shall have any liability with respect to, and each Guarantor hereby waives, releases, and agrees not to sue any of them upon, any claim for any special, indirect, incidental, or consequential damages suffered or incurred by a Guarantor in connection with, arising out of, or in any way related to, this Guaranty or any of the other Loan Documents, or any of the transactions contemplated by this Guaranty, the Credit Agreement or any of the other Loan Documents. Each Guarantor hereby waives, releases, and agrees not to sue the Agent or any Lender or any of the Agent’s or any Lender’s affiliates, officers, directors, employees, attorneys, or agents for punitive damages in respect of any claim in connection with, arising out of, or in any way related to, this Guaranty, the Credit Agreement or any of the other Loan Documents, or any of the transactions contemplated by Credit Agreement or financed thereby.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400"/>
          </w:cols>
          <w:pgMar w:left="240" w:top="279" w:right="259" w:bottom="1440" w:gutter="0" w:footer="0" w:header="0"/>
        </w:sectPr>
      </w:pPr>
    </w:p>
    <w:bookmarkStart w:id="399" w:name="page400"/>
    <w:bookmarkEnd w:id="3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29. </w:t>
      </w:r>
      <w:r>
        <w:rPr>
          <w:rFonts w:ascii="Arial" w:cs="Arial" w:eastAsia="Arial" w:hAnsi="Arial"/>
          <w:sz w:val="18"/>
          <w:szCs w:val="18"/>
          <w:u w:val="single" w:color="auto"/>
          <w:color w:val="auto"/>
        </w:rPr>
        <w:t>Definitions</w:t>
      </w:r>
      <w:r>
        <w:rPr>
          <w:rFonts w:ascii="Arial" w:cs="Arial" w:eastAsia="Arial" w:hAnsi="Arial"/>
          <w:sz w:val="18"/>
          <w:szCs w:val="18"/>
          <w:color w:val="auto"/>
        </w:rPr>
        <w:t>. (a) For the purposes of this Guaranty:</w:t>
      </w:r>
    </w:p>
    <w:p>
      <w:pPr>
        <w:spacing w:after="0" w:line="17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of the following: (i) a voluntary or involuntary case concerning any Guarantor shall be commenced under the Bankruptcy Code of 1978, as amended; (ii) a custodian (as defined in such Bankruptcy Code or any other applicable bankruptcy laws) is appointed for, or takes charge of, all or any substantial part of the property of any Guarantor; (iii) any other proceeding under any Applicable Law, domestic or foreign, relating to bankruptcy, insolvency, reorganization, winding-up or composition for adjustment of debts, whether now or hereafter in effect, is commenced relating to any Guarantor; (iv) any Guarantor is adjudicated insolvent or bankrupt; (v) any order of relief or other order approving any such case or proceeding is entered by a court of competent jurisdiction; (vi) any Guarantor makes a general assignment for the benefit of creditors; (vii) any Guarantor shall fail to pay, or shall state that it is unable to pay, or shall be unable to pay, its debts generally as they become due; (viii) any Guarantor shall call a meeting of its creditors with a view to arranging a composition or adjustment of its debts; (ix) any Guarantor shall by any act or failure to act indicate its consent to, approval of or acquiescence in any of the foregoing; or</w:t>
      </w:r>
    </w:p>
    <w:p>
      <w:pPr>
        <w:spacing w:after="0" w:line="6" w:lineRule="exact"/>
        <w:rPr>
          <w:sz w:val="20"/>
          <w:szCs w:val="20"/>
          <w:color w:val="auto"/>
        </w:rPr>
      </w:pPr>
    </w:p>
    <w:p>
      <w:pPr>
        <w:ind w:left="260" w:hanging="252"/>
        <w:spacing w:after="0"/>
        <w:tabs>
          <w:tab w:leader="none" w:pos="2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corporate action shall be taken by any Guarantor for the purpose of effecting any of the foregoing.</w:t>
      </w:r>
    </w:p>
    <w:p>
      <w:pPr>
        <w:spacing w:after="0" w:line="164" w:lineRule="exact"/>
        <w:rPr>
          <w:rFonts w:ascii="Arial" w:cs="Arial" w:eastAsia="Arial" w:hAnsi="Arial"/>
          <w:sz w:val="18"/>
          <w:szCs w:val="18"/>
          <w:color w:val="auto"/>
        </w:rPr>
      </w:pPr>
    </w:p>
    <w:p>
      <w:pPr>
        <w:ind w:left="4820" w:right="2380" w:hanging="4356"/>
        <w:spacing w:after="0" w:line="430" w:lineRule="auto"/>
        <w:tabs>
          <w:tab w:leader="none" w:pos="709"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Terms not otherwise defined herein are used herein with the respective meanings given them in the Credit Agreement. [Signature on Next Page]</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H-9</w:t>
      </w:r>
    </w:p>
    <w:p>
      <w:pPr>
        <w:sectPr>
          <w:pgSz w:w="11900" w:h="16838" w:orient="portrait"/>
          <w:cols w:equalWidth="0" w:num="1">
            <w:col w:w="11380"/>
          </w:cols>
          <w:pgMar w:left="240" w:top="280" w:right="279" w:bottom="1440" w:gutter="0" w:footer="0" w:header="0"/>
        </w:sectPr>
      </w:pPr>
    </w:p>
    <w:bookmarkStart w:id="400" w:name="page401"/>
    <w:bookmarkEnd w:id="40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Guarantor has duly executed and delivered this Guaranty as of the date and year first written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31521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31521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Attn: General Counsel</w:t>
      </w:r>
    </w:p>
    <w:p>
      <w:pPr>
        <w:spacing w:after="0" w:line="16"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Telephone:</w:t>
            </w:r>
          </w:p>
        </w:tc>
        <w:tc>
          <w:tcPr>
            <w:tcW w:w="1300" w:type="dxa"/>
            <w:vAlign w:val="bottom"/>
          </w:tcPr>
          <w:p>
            <w:pPr>
              <w:jc w:val="right"/>
              <w:spacing w:after="0"/>
              <w:rPr>
                <w:sz w:val="20"/>
                <w:szCs w:val="20"/>
                <w:color w:val="auto"/>
              </w:rPr>
            </w:pPr>
            <w:r>
              <w:rPr>
                <w:rFonts w:ascii="Arial" w:cs="Arial" w:eastAsia="Arial" w:hAnsi="Arial"/>
                <w:sz w:val="18"/>
                <w:szCs w:val="18"/>
                <w:color w:val="auto"/>
              </w:rPr>
              <w:t>(301) 998-8100</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Telecopy:</w:t>
            </w:r>
          </w:p>
        </w:tc>
        <w:tc>
          <w:tcPr>
            <w:tcW w:w="1300" w:type="dxa"/>
            <w:vAlign w:val="bottom"/>
          </w:tcPr>
          <w:p>
            <w:pPr>
              <w:jc w:val="right"/>
              <w:spacing w:after="0"/>
              <w:rPr>
                <w:sz w:val="20"/>
                <w:szCs w:val="20"/>
                <w:color w:val="auto"/>
              </w:rPr>
            </w:pPr>
            <w:r>
              <w:rPr>
                <w:rFonts w:ascii="Arial" w:cs="Arial" w:eastAsia="Arial" w:hAnsi="Arial"/>
                <w:sz w:val="18"/>
                <w:szCs w:val="18"/>
                <w:color w:val="auto"/>
              </w:rPr>
              <w:t>(301) 998-3715</w:t>
            </w:r>
          </w:p>
        </w:tc>
      </w:tr>
    </w:tbl>
    <w:p>
      <w:pPr>
        <w:spacing w:after="0" w:line="14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H-10</w:t>
      </w:r>
    </w:p>
    <w:p>
      <w:pPr>
        <w:sectPr>
          <w:pgSz w:w="11900" w:h="16838" w:orient="portrait"/>
          <w:cols w:equalWidth="0" w:num="1">
            <w:col w:w="9759"/>
          </w:cols>
          <w:pgMar w:left="700" w:top="280" w:right="1440" w:bottom="1440" w:gutter="0" w:footer="0" w:header="0"/>
        </w:sectPr>
      </w:pPr>
    </w:p>
    <w:bookmarkStart w:id="401" w:name="page402"/>
    <w:bookmarkEnd w:id="40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ACCESSION AGREEMENT</w:t>
      </w:r>
    </w:p>
    <w:p>
      <w:pPr>
        <w:spacing w:after="0" w:line="171" w:lineRule="exact"/>
        <w:rPr>
          <w:sz w:val="20"/>
          <w:szCs w:val="20"/>
          <w:color w:val="auto"/>
        </w:rPr>
      </w:pPr>
    </w:p>
    <w:p>
      <w:pPr>
        <w:ind w:left="460"/>
        <w:spacing w:after="0"/>
        <w:tabs>
          <w:tab w:leader="none" w:pos="4700" w:val="left"/>
          <w:tab w:leader="none" w:pos="5140" w:val="left"/>
          <w:tab w:leader="none" w:pos="8340" w:val="left"/>
          <w:tab w:leader="none" w:pos="9440" w:val="left"/>
        </w:tabs>
        <w:rPr>
          <w:sz w:val="20"/>
          <w:szCs w:val="20"/>
          <w:color w:val="auto"/>
        </w:rPr>
      </w:pPr>
      <w:r>
        <w:rPr>
          <w:rFonts w:ascii="Arial" w:cs="Arial" w:eastAsia="Arial" w:hAnsi="Arial"/>
          <w:sz w:val="18"/>
          <w:szCs w:val="18"/>
          <w:color w:val="auto"/>
        </w:rPr>
        <w:t>THIS ACCESSION AGREEMENT dated as of</w:t>
      </w:r>
      <w:r>
        <w:rPr>
          <w:sz w:val="20"/>
          <w:szCs w:val="20"/>
          <w:color w:val="auto"/>
        </w:rPr>
        <w:tab/>
      </w:r>
      <w:r>
        <w:rPr>
          <w:rFonts w:ascii="Arial" w:cs="Arial" w:eastAsia="Arial" w:hAnsi="Arial"/>
          <w:sz w:val="18"/>
          <w:szCs w:val="18"/>
          <w:color w:val="auto"/>
        </w:rPr>
        <w:t>, 20</w:t>
        <w:tab/>
        <w:t>, executed and delivered by</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“New Guarantor”), in</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favor of (a) WACHOVIA BANK, NATIONAL ASSOCIATION, in its capacity as Agent (the “Agent”) for the Lenders under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pursuant to the Credit Agreement, the Lenders have agreed to make available to the Borrower certain financial accommodations on the terms and conditions set forth in the Credit Agreement;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WHEREAS, the Borrower, the New Guarantor, and the existing Guarantors,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WHEREAS, the New Guarantor acknowledges that it will receive direct and indirect benefits from the Lenders making such financial accommodations available to the Borrower under the Credit Agreement and, accordingly, the New Guarantor is willing to guarantee the Borrower’s obligations to the Agent and the Lenders on the terms and conditions contained herein; and</w:t>
      </w:r>
    </w:p>
    <w:p>
      <w:pPr>
        <w:spacing w:after="0" w:line="140" w:lineRule="exact"/>
        <w:rPr>
          <w:sz w:val="20"/>
          <w:szCs w:val="20"/>
          <w:color w:val="auto"/>
        </w:rPr>
      </w:pPr>
    </w:p>
    <w:p>
      <w:pPr>
        <w:ind w:right="1080" w:firstLine="456"/>
        <w:spacing w:after="0" w:line="268" w:lineRule="auto"/>
        <w:rPr>
          <w:sz w:val="20"/>
          <w:szCs w:val="20"/>
          <w:color w:val="auto"/>
        </w:rPr>
      </w:pPr>
      <w:r>
        <w:rPr>
          <w:rFonts w:ascii="Arial" w:cs="Arial" w:eastAsia="Arial" w:hAnsi="Arial"/>
          <w:sz w:val="18"/>
          <w:szCs w:val="18"/>
          <w:color w:val="auto"/>
        </w:rPr>
        <w:t>WHEREAS, the New Guarantor’s execution and delivery of this Agreement is a condition to the Lenders continuing to make such financial accommodations to the Borrower.</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New Guarantor, the New Guarantor agrees as follows: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Accession to Guaranty</w:t>
      </w:r>
      <w:r>
        <w:rPr>
          <w:rFonts w:ascii="Arial" w:cs="Arial" w:eastAsia="Arial" w:hAnsi="Arial"/>
          <w:sz w:val="16"/>
          <w:szCs w:val="16"/>
          <w:color w:val="auto"/>
        </w:rPr>
        <w:t>. The New Guarantor hereby agrees that it is a “Guarantor” under that certain Guaranty dated as of November 9, 2007 (as amended, supplemented, restated or otherwise modified from time to time, the “Guaranty”), made by each Subsidiary of the Borrower a party thereto in favor of the Agent and the Lenders and assumes all obligations of a “Guarantor” thereunder and agrees to be bound thereby, all as if the New Guarantor had been an original signatory to the Guaranty. Without limiting the generality of the foregoing, the New Guarantor hereby:</w:t>
      </w:r>
    </w:p>
    <w:p>
      <w:pPr>
        <w:spacing w:after="0" w:line="113" w:lineRule="exact"/>
        <w:rPr>
          <w:sz w:val="20"/>
          <w:szCs w:val="20"/>
          <w:color w:val="auto"/>
        </w:rPr>
      </w:pPr>
    </w:p>
    <w:p>
      <w:pPr>
        <w:ind w:right="260" w:firstLine="464"/>
        <w:spacing w:after="0" w:line="268" w:lineRule="auto"/>
        <w:tabs>
          <w:tab w:leader="none" w:pos="69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irrevocably and unconditionally guarantees the due and punctual payment and performance when due, whether at stated maturity, by acceleration or otherwise, of all Guarantied Obligations (as defined in the Guaranty);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H-11</w:t>
      </w:r>
    </w:p>
    <w:p>
      <w:pPr>
        <w:sectPr>
          <w:pgSz w:w="11900" w:h="16838" w:orient="portrait"/>
          <w:cols w:equalWidth="0" w:num="1">
            <w:col w:w="11360"/>
          </w:cols>
          <w:pgMar w:left="240" w:top="280" w:right="299" w:bottom="1440" w:gutter="0" w:footer="0" w:header="0"/>
        </w:sectPr>
      </w:pPr>
    </w:p>
    <w:bookmarkStart w:id="402" w:name="page403"/>
    <w:bookmarkEnd w:id="402"/>
    <w:p>
      <w:pPr>
        <w:ind w:right="60" w:firstLine="464"/>
        <w:spacing w:after="0" w:line="268" w:lineRule="auto"/>
        <w:tabs>
          <w:tab w:leader="none" w:pos="705" w:val="left"/>
        </w:tabs>
        <w:numPr>
          <w:ilvl w:val="0"/>
          <w:numId w:val="2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makes to the Agent and the Lenders as of the date hereof each of the representations and warranties contained in Section 5 of the Guaranty with respect to itself and agrees to be bound by each of the covenants contained in Section 6 of the Guaranty; and</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consents and agrees to each provision set forth in the Guaranty.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NEW YORK APPLICABLE TO CONTRACTS EXECUTED, AND TO BE FULLY PERFORMED, IN SUCH STATE.</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and not otherwise defined herein shall have their respective defined meanings given them in the Credit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H-12</w:t>
      </w:r>
    </w:p>
    <w:p>
      <w:pPr>
        <w:sectPr>
          <w:pgSz w:w="11900" w:h="16838" w:orient="portrait"/>
          <w:cols w:equalWidth="0" w:num="1">
            <w:col w:w="11420"/>
          </w:cols>
          <w:pgMar w:left="240" w:top="279" w:right="239" w:bottom="1440" w:gutter="0" w:footer="0" w:header="0"/>
        </w:sectPr>
      </w:pPr>
    </w:p>
    <w:bookmarkStart w:id="403" w:name="page404"/>
    <w:bookmarkEnd w:id="40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New Guarantor has caused this Accession Agreement to be duly executed and delivered under seal by its duly authorized officers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General Counsel</w:t>
      </w:r>
    </w:p>
    <w:p>
      <w:pPr>
        <w:spacing w:after="0" w:line="16"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Telephone:</w:t>
            </w:r>
          </w:p>
        </w:tc>
        <w:tc>
          <w:tcPr>
            <w:tcW w:w="1300" w:type="dxa"/>
            <w:vAlign w:val="bottom"/>
          </w:tcPr>
          <w:p>
            <w:pPr>
              <w:jc w:val="right"/>
              <w:spacing w:after="0"/>
              <w:rPr>
                <w:sz w:val="20"/>
                <w:szCs w:val="20"/>
                <w:color w:val="auto"/>
              </w:rPr>
            </w:pPr>
            <w:r>
              <w:rPr>
                <w:rFonts w:ascii="Arial" w:cs="Arial" w:eastAsia="Arial" w:hAnsi="Arial"/>
                <w:sz w:val="18"/>
                <w:szCs w:val="18"/>
                <w:color w:val="auto"/>
              </w:rPr>
              <w:t>(301) 998-8100</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Telecopy:</w:t>
            </w:r>
          </w:p>
        </w:tc>
        <w:tc>
          <w:tcPr>
            <w:tcW w:w="1300" w:type="dxa"/>
            <w:vAlign w:val="bottom"/>
          </w:tcPr>
          <w:p>
            <w:pPr>
              <w:jc w:val="right"/>
              <w:spacing w:after="0"/>
              <w:rPr>
                <w:sz w:val="20"/>
                <w:szCs w:val="20"/>
                <w:color w:val="auto"/>
              </w:rPr>
            </w:pPr>
            <w:r>
              <w:rPr>
                <w:rFonts w:ascii="Arial" w:cs="Arial" w:eastAsia="Arial" w:hAnsi="Arial"/>
                <w:sz w:val="18"/>
                <w:szCs w:val="18"/>
                <w:color w:val="auto"/>
              </w:rPr>
              <w:t>(301) 998-3715</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H-13</w:t>
      </w:r>
    </w:p>
    <w:p>
      <w:pPr>
        <w:sectPr>
          <w:pgSz w:w="11900" w:h="16838" w:orient="portrait"/>
          <w:cols w:equalWidth="0" w:num="1">
            <w:col w:w="11200"/>
          </w:cols>
          <w:pgMar w:left="240" w:top="279" w:right="45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as of May 4, 2009</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Each of</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an Arranger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 Book Manager,</w:t>
      </w:r>
    </w:p>
    <w:p>
      <w:pPr>
        <w:spacing w:after="0" w:line="16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Agent,</w:t>
      </w:r>
    </w:p>
    <w:p>
      <w:pPr>
        <w:spacing w:after="0" w:line="16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Each of</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REGIONS BANK</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a Documentation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FINANCIAL INSTITUTIONS INITIALLY SIGNATORY HERETO</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AND THEIR ASSIGNEES PURSUANT TO SECTION 12.5.(b),</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6" w:right="239" w:bottom="1440" w:gutter="0" w:footer="0" w:header="0"/>
        </w:sectPr>
      </w:pPr>
    </w:p>
    <w:bookmarkStart w:id="405" w:name="page406"/>
    <w:bookmarkEnd w:id="405"/>
    <w:tbl>
      <w:tblPr>
        <w:tblLayout w:type="fixed"/>
        <w:tblInd w:w="0" w:type="dxa"/>
        <w:tblCellMar>
          <w:top w:w="0" w:type="dxa"/>
          <w:left w:w="0" w:type="dxa"/>
          <w:bottom w:w="0" w:type="dxa"/>
          <w:right w:w="0" w:type="dxa"/>
        </w:tblCellMar>
      </w:tblPr>
      <w:tr>
        <w:trPr>
          <w:trHeight w:val="222"/>
        </w:trPr>
        <w:tc>
          <w:tcPr>
            <w:tcW w:w="1580" w:type="dxa"/>
            <w:vAlign w:val="bottom"/>
          </w:tcPr>
          <w:p>
            <w:pPr>
              <w:spacing w:after="0"/>
              <w:rPr>
                <w:sz w:val="19"/>
                <w:szCs w:val="19"/>
                <w:color w:val="auto"/>
              </w:rPr>
            </w:pPr>
          </w:p>
        </w:tc>
        <w:tc>
          <w:tcPr>
            <w:tcW w:w="7340" w:type="dxa"/>
            <w:vAlign w:val="bottom"/>
          </w:tcPr>
          <w:p>
            <w:pPr>
              <w:ind w:left="3240"/>
              <w:spacing w:after="0"/>
              <w:rPr>
                <w:sz w:val="20"/>
                <w:szCs w:val="20"/>
                <w:color w:val="auto"/>
              </w:rPr>
            </w:pPr>
            <w:r>
              <w:rPr>
                <w:rFonts w:ascii="Arial" w:cs="Arial" w:eastAsia="Arial" w:hAnsi="Arial"/>
                <w:sz w:val="18"/>
                <w:szCs w:val="18"/>
                <w:color w:val="auto"/>
              </w:rPr>
              <w:t>TABLE OF CONTENTS</w:t>
            </w:r>
          </w:p>
        </w:tc>
        <w:tc>
          <w:tcPr>
            <w:tcW w:w="2500" w:type="dxa"/>
            <w:vAlign w:val="bottom"/>
          </w:tcPr>
          <w:p>
            <w:pPr>
              <w:spacing w:after="0"/>
              <w:rPr>
                <w:sz w:val="19"/>
                <w:szCs w:val="19"/>
                <w:color w:val="auto"/>
              </w:rPr>
            </w:pPr>
          </w:p>
        </w:tc>
      </w:tr>
      <w:tr>
        <w:trPr>
          <w:trHeight w:val="419"/>
        </w:trPr>
        <w:tc>
          <w:tcPr>
            <w:tcW w:w="1580" w:type="dxa"/>
            <w:vAlign w:val="bottom"/>
          </w:tcPr>
          <w:p>
            <w:pPr>
              <w:spacing w:after="0"/>
              <w:rPr>
                <w:sz w:val="20"/>
                <w:szCs w:val="20"/>
                <w:color w:val="auto"/>
              </w:rPr>
            </w:pPr>
            <w:r>
              <w:rPr>
                <w:rFonts w:ascii="Arial" w:cs="Arial" w:eastAsia="Arial" w:hAnsi="Arial"/>
                <w:sz w:val="18"/>
                <w:szCs w:val="18"/>
                <w:color w:val="auto"/>
              </w:rPr>
              <w:t>Article I. Definitions</w:t>
            </w:r>
          </w:p>
        </w:tc>
        <w:tc>
          <w:tcPr>
            <w:tcW w:w="73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73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7340" w:type="dxa"/>
            <w:vAlign w:val="bottom"/>
          </w:tcPr>
          <w:p>
            <w:pPr>
              <w:ind w:left="100"/>
              <w:spacing w:after="0"/>
              <w:rPr>
                <w:sz w:val="20"/>
                <w:szCs w:val="20"/>
                <w:color w:val="auto"/>
              </w:rPr>
            </w:pPr>
            <w:r>
              <w:rPr>
                <w:rFonts w:ascii="Arial" w:cs="Arial" w:eastAsia="Arial" w:hAnsi="Arial"/>
                <w:sz w:val="18"/>
                <w:szCs w:val="18"/>
                <w:color w:val="auto"/>
              </w:rPr>
              <w:t>General; References to Times.</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7340" w:type="dxa"/>
            <w:vAlign w:val="bottom"/>
          </w:tcPr>
          <w:p>
            <w:pPr>
              <w:ind w:left="100"/>
              <w:spacing w:after="0"/>
              <w:rPr>
                <w:sz w:val="20"/>
                <w:szCs w:val="20"/>
                <w:color w:val="auto"/>
              </w:rPr>
            </w:pPr>
            <w:r>
              <w:rPr>
                <w:rFonts w:ascii="Arial" w:cs="Arial" w:eastAsia="Arial" w:hAnsi="Arial"/>
                <w:sz w:val="18"/>
                <w:szCs w:val="18"/>
                <w:color w:val="auto"/>
              </w:rPr>
              <w:t>Financial Attributes of Non-Wholly Owned Subsidiaries.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II. Credit Facility</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7340" w:type="dxa"/>
            <w:vAlign w:val="bottom"/>
          </w:tcPr>
          <w:p>
            <w:pPr>
              <w:ind w:left="100"/>
              <w:spacing w:after="0"/>
              <w:rPr>
                <w:sz w:val="20"/>
                <w:szCs w:val="20"/>
                <w:color w:val="auto"/>
              </w:rPr>
            </w:pPr>
            <w:r>
              <w:rPr>
                <w:rFonts w:ascii="Arial" w:cs="Arial" w:eastAsia="Arial" w:hAnsi="Arial"/>
                <w:sz w:val="18"/>
                <w:szCs w:val="18"/>
                <w:color w:val="auto"/>
              </w:rPr>
              <w:t>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7340" w:type="dxa"/>
            <w:vAlign w:val="bottom"/>
          </w:tcPr>
          <w:p>
            <w:pPr>
              <w:ind w:left="100"/>
              <w:spacing w:after="0"/>
              <w:rPr>
                <w:sz w:val="20"/>
                <w:szCs w:val="20"/>
                <w:color w:val="auto"/>
              </w:rPr>
            </w:pPr>
            <w:r>
              <w:rPr>
                <w:rFonts w:ascii="Arial" w:cs="Arial" w:eastAsia="Arial" w:hAnsi="Arial"/>
                <w:sz w:val="18"/>
                <w:szCs w:val="18"/>
                <w:color w:val="auto"/>
              </w:rPr>
              <w:t>Rates and Payment of Interest on Loan.</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7340" w:type="dxa"/>
            <w:vAlign w:val="bottom"/>
          </w:tcPr>
          <w:p>
            <w:pPr>
              <w:ind w:left="100"/>
              <w:spacing w:after="0"/>
              <w:rPr>
                <w:sz w:val="20"/>
                <w:szCs w:val="20"/>
                <w:color w:val="auto"/>
              </w:rPr>
            </w:pPr>
            <w:r>
              <w:rPr>
                <w:rFonts w:ascii="Arial" w:cs="Arial" w:eastAsia="Arial" w:hAnsi="Arial"/>
                <w:sz w:val="18"/>
                <w:szCs w:val="18"/>
                <w:color w:val="auto"/>
              </w:rPr>
              <w:t>Number of Interest Periods.</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7340" w:type="dxa"/>
            <w:vAlign w:val="bottom"/>
          </w:tcPr>
          <w:p>
            <w:pPr>
              <w:ind w:left="100"/>
              <w:spacing w:after="0"/>
              <w:rPr>
                <w:sz w:val="20"/>
                <w:szCs w:val="20"/>
                <w:color w:val="auto"/>
              </w:rPr>
            </w:pPr>
            <w:r>
              <w:rPr>
                <w:rFonts w:ascii="Arial" w:cs="Arial" w:eastAsia="Arial" w:hAnsi="Arial"/>
                <w:sz w:val="18"/>
                <w:szCs w:val="18"/>
                <w:color w:val="auto"/>
              </w:rPr>
              <w:t>Repayment of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7340" w:type="dxa"/>
            <w:vAlign w:val="bottom"/>
          </w:tcPr>
          <w:p>
            <w:pPr>
              <w:ind w:left="100"/>
              <w:spacing w:after="0"/>
              <w:rPr>
                <w:sz w:val="20"/>
                <w:szCs w:val="20"/>
                <w:color w:val="auto"/>
              </w:rPr>
            </w:pPr>
            <w:r>
              <w:rPr>
                <w:rFonts w:ascii="Arial" w:cs="Arial" w:eastAsia="Arial" w:hAnsi="Arial"/>
                <w:sz w:val="18"/>
                <w:szCs w:val="18"/>
                <w:color w:val="auto"/>
              </w:rPr>
              <w:t>Prepayments.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7340" w:type="dxa"/>
            <w:vAlign w:val="bottom"/>
          </w:tcPr>
          <w:p>
            <w:pPr>
              <w:ind w:left="100"/>
              <w:spacing w:after="0"/>
              <w:rPr>
                <w:sz w:val="20"/>
                <w:szCs w:val="20"/>
                <w:color w:val="auto"/>
              </w:rPr>
            </w:pPr>
            <w:r>
              <w:rPr>
                <w:rFonts w:ascii="Arial" w:cs="Arial" w:eastAsia="Arial" w:hAnsi="Arial"/>
                <w:sz w:val="18"/>
                <w:szCs w:val="18"/>
                <w:color w:val="auto"/>
              </w:rPr>
              <w:t>Continuation.</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7340" w:type="dxa"/>
            <w:vAlign w:val="bottom"/>
          </w:tcPr>
          <w:p>
            <w:pPr>
              <w:ind w:left="100"/>
              <w:spacing w:after="0"/>
              <w:rPr>
                <w:sz w:val="20"/>
                <w:szCs w:val="20"/>
                <w:color w:val="auto"/>
              </w:rPr>
            </w:pPr>
            <w:r>
              <w:rPr>
                <w:rFonts w:ascii="Arial" w:cs="Arial" w:eastAsia="Arial" w:hAnsi="Arial"/>
                <w:sz w:val="18"/>
                <w:szCs w:val="18"/>
                <w:color w:val="auto"/>
              </w:rPr>
              <w:t>Conversion.</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7340" w:type="dxa"/>
            <w:vAlign w:val="bottom"/>
          </w:tcPr>
          <w:p>
            <w:pPr>
              <w:ind w:left="100"/>
              <w:spacing w:after="0"/>
              <w:rPr>
                <w:sz w:val="20"/>
                <w:szCs w:val="20"/>
                <w:color w:val="auto"/>
              </w:rPr>
            </w:pPr>
            <w:r>
              <w:rPr>
                <w:rFonts w:ascii="Arial" w:cs="Arial" w:eastAsia="Arial" w:hAnsi="Arial"/>
                <w:sz w:val="18"/>
                <w:szCs w:val="18"/>
                <w:color w:val="auto"/>
              </w:rPr>
              <w:t>Notes.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III. Payments, Fees and Other General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7340" w:type="dxa"/>
            <w:vAlign w:val="bottom"/>
          </w:tcPr>
          <w:p>
            <w:pPr>
              <w:ind w:left="100"/>
              <w:spacing w:after="0"/>
              <w:rPr>
                <w:sz w:val="20"/>
                <w:szCs w:val="20"/>
                <w:color w:val="auto"/>
              </w:rPr>
            </w:pPr>
            <w:r>
              <w:rPr>
                <w:rFonts w:ascii="Arial" w:cs="Arial" w:eastAsia="Arial" w:hAnsi="Arial"/>
                <w:sz w:val="18"/>
                <w:szCs w:val="18"/>
                <w:color w:val="auto"/>
              </w:rPr>
              <w:t>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7340" w:type="dxa"/>
            <w:vAlign w:val="bottom"/>
          </w:tcPr>
          <w:p>
            <w:pPr>
              <w:ind w:left="100"/>
              <w:spacing w:after="0"/>
              <w:rPr>
                <w:sz w:val="20"/>
                <w:szCs w:val="20"/>
                <w:color w:val="auto"/>
              </w:rPr>
            </w:pPr>
            <w:r>
              <w:rPr>
                <w:rFonts w:ascii="Arial" w:cs="Arial" w:eastAsia="Arial" w:hAnsi="Arial"/>
                <w:sz w:val="18"/>
                <w:szCs w:val="18"/>
                <w:color w:val="auto"/>
              </w:rPr>
              <w:t>Pro Rata Treatment.</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7340" w:type="dxa"/>
            <w:vAlign w:val="bottom"/>
          </w:tcPr>
          <w:p>
            <w:pPr>
              <w:ind w:left="100"/>
              <w:spacing w:after="0"/>
              <w:rPr>
                <w:sz w:val="20"/>
                <w:szCs w:val="20"/>
                <w:color w:val="auto"/>
              </w:rPr>
            </w:pPr>
            <w:r>
              <w:rPr>
                <w:rFonts w:ascii="Arial" w:cs="Arial" w:eastAsia="Arial" w:hAnsi="Arial"/>
                <w:sz w:val="18"/>
                <w:szCs w:val="18"/>
                <w:color w:val="auto"/>
              </w:rPr>
              <w:t>Sharing of Payments, Etc.</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7340" w:type="dxa"/>
            <w:vAlign w:val="bottom"/>
          </w:tcPr>
          <w:p>
            <w:pPr>
              <w:ind w:left="100"/>
              <w:spacing w:after="0"/>
              <w:rPr>
                <w:sz w:val="20"/>
                <w:szCs w:val="20"/>
                <w:color w:val="auto"/>
              </w:rPr>
            </w:pPr>
            <w:r>
              <w:rPr>
                <w:rFonts w:ascii="Arial" w:cs="Arial" w:eastAsia="Arial" w:hAnsi="Arial"/>
                <w:sz w:val="18"/>
                <w:szCs w:val="18"/>
                <w:color w:val="auto"/>
              </w:rPr>
              <w:t>Several Obligations.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3.5.</w:t>
            </w:r>
          </w:p>
        </w:tc>
        <w:tc>
          <w:tcPr>
            <w:tcW w:w="7340" w:type="dxa"/>
            <w:vAlign w:val="bottom"/>
          </w:tcPr>
          <w:p>
            <w:pPr>
              <w:ind w:left="100"/>
              <w:spacing w:after="0"/>
              <w:rPr>
                <w:sz w:val="20"/>
                <w:szCs w:val="20"/>
                <w:color w:val="auto"/>
              </w:rPr>
            </w:pPr>
            <w:r>
              <w:rPr>
                <w:rFonts w:ascii="Arial" w:cs="Arial" w:eastAsia="Arial" w:hAnsi="Arial"/>
                <w:sz w:val="18"/>
                <w:szCs w:val="18"/>
                <w:color w:val="auto"/>
              </w:rPr>
              <w:t>Minimum Amounts.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7340" w:type="dxa"/>
            <w:vAlign w:val="bottom"/>
          </w:tcPr>
          <w:p>
            <w:pPr>
              <w:ind w:left="100"/>
              <w:spacing w:after="0"/>
              <w:rPr>
                <w:sz w:val="20"/>
                <w:szCs w:val="20"/>
                <w:color w:val="auto"/>
              </w:rPr>
            </w:pPr>
            <w:r>
              <w:rPr>
                <w:rFonts w:ascii="Arial" w:cs="Arial" w:eastAsia="Arial" w:hAnsi="Arial"/>
                <w:sz w:val="18"/>
                <w:szCs w:val="18"/>
                <w:color w:val="auto"/>
              </w:rPr>
              <w:t>Administrative and Other Fees.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3.7.</w:t>
            </w:r>
          </w:p>
        </w:tc>
        <w:tc>
          <w:tcPr>
            <w:tcW w:w="7340" w:type="dxa"/>
            <w:vAlign w:val="bottom"/>
          </w:tcPr>
          <w:p>
            <w:pPr>
              <w:ind w:left="100"/>
              <w:spacing w:after="0"/>
              <w:rPr>
                <w:sz w:val="20"/>
                <w:szCs w:val="20"/>
                <w:color w:val="auto"/>
              </w:rPr>
            </w:pPr>
            <w:r>
              <w:rPr>
                <w:rFonts w:ascii="Arial" w:cs="Arial" w:eastAsia="Arial" w:hAnsi="Arial"/>
                <w:sz w:val="18"/>
                <w:szCs w:val="18"/>
                <w:color w:val="auto"/>
              </w:rPr>
              <w:t>Computations.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3.8.</w:t>
            </w:r>
          </w:p>
        </w:tc>
        <w:tc>
          <w:tcPr>
            <w:tcW w:w="7340" w:type="dxa"/>
            <w:vAlign w:val="bottom"/>
          </w:tcPr>
          <w:p>
            <w:pPr>
              <w:ind w:left="100"/>
              <w:spacing w:after="0"/>
              <w:rPr>
                <w:sz w:val="20"/>
                <w:szCs w:val="20"/>
                <w:color w:val="auto"/>
              </w:rPr>
            </w:pPr>
            <w:r>
              <w:rPr>
                <w:rFonts w:ascii="Arial" w:cs="Arial" w:eastAsia="Arial" w:hAnsi="Arial"/>
                <w:sz w:val="18"/>
                <w:szCs w:val="18"/>
                <w:color w:val="auto"/>
              </w:rPr>
              <w:t>Usury.</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3.9.</w:t>
            </w:r>
          </w:p>
        </w:tc>
        <w:tc>
          <w:tcPr>
            <w:tcW w:w="7340" w:type="dxa"/>
            <w:vAlign w:val="bottom"/>
          </w:tcPr>
          <w:p>
            <w:pPr>
              <w:ind w:left="100"/>
              <w:spacing w:after="0"/>
              <w:rPr>
                <w:sz w:val="20"/>
                <w:szCs w:val="20"/>
                <w:color w:val="auto"/>
              </w:rPr>
            </w:pPr>
            <w:r>
              <w:rPr>
                <w:rFonts w:ascii="Arial" w:cs="Arial" w:eastAsia="Arial" w:hAnsi="Arial"/>
                <w:sz w:val="18"/>
                <w:szCs w:val="18"/>
                <w:color w:val="auto"/>
              </w:rPr>
              <w:t>Agreement Regarding Interest and Charges.</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3.10.</w:t>
            </w:r>
          </w:p>
        </w:tc>
        <w:tc>
          <w:tcPr>
            <w:tcW w:w="7340" w:type="dxa"/>
            <w:vAlign w:val="bottom"/>
          </w:tcPr>
          <w:p>
            <w:pPr>
              <w:ind w:left="100"/>
              <w:spacing w:after="0"/>
              <w:rPr>
                <w:sz w:val="20"/>
                <w:szCs w:val="20"/>
                <w:color w:val="auto"/>
              </w:rPr>
            </w:pPr>
            <w:r>
              <w:rPr>
                <w:rFonts w:ascii="Arial" w:cs="Arial" w:eastAsia="Arial" w:hAnsi="Arial"/>
                <w:sz w:val="18"/>
                <w:szCs w:val="18"/>
                <w:color w:val="auto"/>
              </w:rPr>
              <w:t>Statements of Account.</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3.11.</w:t>
            </w:r>
          </w:p>
        </w:tc>
        <w:tc>
          <w:tcPr>
            <w:tcW w:w="7340" w:type="dxa"/>
            <w:vAlign w:val="bottom"/>
          </w:tcPr>
          <w:p>
            <w:pPr>
              <w:ind w:left="100"/>
              <w:spacing w:after="0"/>
              <w:rPr>
                <w:sz w:val="20"/>
                <w:szCs w:val="20"/>
                <w:color w:val="auto"/>
              </w:rPr>
            </w:pPr>
            <w:r>
              <w:rPr>
                <w:rFonts w:ascii="Arial" w:cs="Arial" w:eastAsia="Arial" w:hAnsi="Arial"/>
                <w:sz w:val="18"/>
                <w:szCs w:val="18"/>
                <w:color w:val="auto"/>
              </w:rPr>
              <w:t>Defaulting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3.12.</w:t>
            </w:r>
          </w:p>
        </w:tc>
        <w:tc>
          <w:tcPr>
            <w:tcW w:w="7340" w:type="dxa"/>
            <w:vAlign w:val="bottom"/>
          </w:tcPr>
          <w:p>
            <w:pPr>
              <w:ind w:left="100"/>
              <w:spacing w:after="0"/>
              <w:rPr>
                <w:sz w:val="20"/>
                <w:szCs w:val="20"/>
                <w:color w:val="auto"/>
              </w:rPr>
            </w:pPr>
            <w:r>
              <w:rPr>
                <w:rFonts w:ascii="Arial" w:cs="Arial" w:eastAsia="Arial" w:hAnsi="Arial"/>
                <w:sz w:val="18"/>
                <w:szCs w:val="18"/>
                <w:color w:val="auto"/>
              </w:rPr>
              <w:t>Taxes.</w:t>
            </w:r>
          </w:p>
        </w:tc>
        <w:tc>
          <w:tcPr>
            <w:tcW w:w="2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IV. Yield Protection, Etc.</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7340" w:type="dxa"/>
            <w:vAlign w:val="bottom"/>
          </w:tcPr>
          <w:p>
            <w:pPr>
              <w:ind w:left="100"/>
              <w:spacing w:after="0"/>
              <w:rPr>
                <w:sz w:val="20"/>
                <w:szCs w:val="20"/>
                <w:color w:val="auto"/>
              </w:rPr>
            </w:pPr>
            <w:r>
              <w:rPr>
                <w:rFonts w:ascii="Arial" w:cs="Arial" w:eastAsia="Arial" w:hAnsi="Arial"/>
                <w:sz w:val="18"/>
                <w:szCs w:val="18"/>
                <w:color w:val="auto"/>
              </w:rPr>
              <w:t>Additional Costs; Capital Adequacy.</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7340" w:type="dxa"/>
            <w:vAlign w:val="bottom"/>
          </w:tcPr>
          <w:p>
            <w:pPr>
              <w:ind w:left="100"/>
              <w:spacing w:after="0"/>
              <w:rPr>
                <w:sz w:val="20"/>
                <w:szCs w:val="20"/>
                <w:color w:val="auto"/>
              </w:rPr>
            </w:pPr>
            <w:r>
              <w:rPr>
                <w:rFonts w:ascii="Arial" w:cs="Arial" w:eastAsia="Arial" w:hAnsi="Arial"/>
                <w:sz w:val="18"/>
                <w:szCs w:val="18"/>
                <w:color w:val="auto"/>
              </w:rPr>
              <w:t>Suspension of LIBOR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7340" w:type="dxa"/>
            <w:vAlign w:val="bottom"/>
          </w:tcPr>
          <w:p>
            <w:pPr>
              <w:ind w:left="100"/>
              <w:spacing w:after="0"/>
              <w:rPr>
                <w:sz w:val="20"/>
                <w:szCs w:val="20"/>
                <w:color w:val="auto"/>
              </w:rPr>
            </w:pPr>
            <w:r>
              <w:rPr>
                <w:rFonts w:ascii="Arial" w:cs="Arial" w:eastAsia="Arial" w:hAnsi="Arial"/>
                <w:sz w:val="18"/>
                <w:szCs w:val="18"/>
                <w:color w:val="auto"/>
              </w:rPr>
              <w:t>Illegality.</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734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7340" w:type="dxa"/>
            <w:vAlign w:val="bottom"/>
          </w:tcPr>
          <w:p>
            <w:pPr>
              <w:ind w:left="100"/>
              <w:spacing w:after="0"/>
              <w:rPr>
                <w:sz w:val="20"/>
                <w:szCs w:val="20"/>
                <w:color w:val="auto"/>
              </w:rPr>
            </w:pPr>
            <w:r>
              <w:rPr>
                <w:rFonts w:ascii="Arial" w:cs="Arial" w:eastAsia="Arial" w:hAnsi="Arial"/>
                <w:sz w:val="18"/>
                <w:szCs w:val="18"/>
                <w:color w:val="auto"/>
              </w:rPr>
              <w:t>Treatment of Affected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7340" w:type="dxa"/>
            <w:vAlign w:val="bottom"/>
          </w:tcPr>
          <w:p>
            <w:pPr>
              <w:ind w:left="100"/>
              <w:spacing w:after="0"/>
              <w:rPr>
                <w:sz w:val="20"/>
                <w:szCs w:val="20"/>
                <w:color w:val="auto"/>
              </w:rPr>
            </w:pPr>
            <w:r>
              <w:rPr>
                <w:rFonts w:ascii="Arial" w:cs="Arial" w:eastAsia="Arial" w:hAnsi="Arial"/>
                <w:sz w:val="18"/>
                <w:szCs w:val="18"/>
                <w:color w:val="auto"/>
              </w:rPr>
              <w:t>Change of Lending Office.</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7340" w:type="dxa"/>
            <w:vAlign w:val="bottom"/>
          </w:tcPr>
          <w:p>
            <w:pPr>
              <w:ind w:left="100"/>
              <w:spacing w:after="0"/>
              <w:rPr>
                <w:sz w:val="20"/>
                <w:szCs w:val="20"/>
                <w:color w:val="auto"/>
              </w:rPr>
            </w:pPr>
            <w:r>
              <w:rPr>
                <w:rFonts w:ascii="Arial" w:cs="Arial" w:eastAsia="Arial" w:hAnsi="Arial"/>
                <w:sz w:val="18"/>
                <w:szCs w:val="18"/>
                <w:color w:val="auto"/>
              </w:rPr>
              <w:t>Assumptions Concerning Funding of LIBOR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rPr>
              <w:t>Section 4.8.</w:t>
            </w:r>
          </w:p>
        </w:tc>
        <w:tc>
          <w:tcPr>
            <w:tcW w:w="7340" w:type="dxa"/>
            <w:vAlign w:val="bottom"/>
          </w:tcPr>
          <w:p>
            <w:pPr>
              <w:ind w:left="100"/>
              <w:spacing w:after="0"/>
              <w:rPr>
                <w:sz w:val="20"/>
                <w:szCs w:val="20"/>
                <w:color w:val="auto"/>
              </w:rPr>
            </w:pPr>
            <w:r>
              <w:rPr>
                <w:rFonts w:ascii="Arial" w:cs="Arial" w:eastAsia="Arial" w:hAnsi="Arial"/>
                <w:sz w:val="18"/>
                <w:szCs w:val="18"/>
                <w:color w:val="auto"/>
              </w:rPr>
              <w:t>Affected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V. 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58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7340" w:type="dxa"/>
            <w:vAlign w:val="bottom"/>
          </w:tcPr>
          <w:p>
            <w:pPr>
              <w:ind w:left="100"/>
              <w:spacing w:after="0"/>
              <w:rPr>
                <w:sz w:val="20"/>
                <w:szCs w:val="20"/>
                <w:color w:val="auto"/>
              </w:rPr>
            </w:pPr>
            <w:r>
              <w:rPr>
                <w:rFonts w:ascii="Arial" w:cs="Arial" w:eastAsia="Arial" w:hAnsi="Arial"/>
                <w:sz w:val="18"/>
                <w:szCs w:val="18"/>
                <w:color w:val="auto"/>
              </w:rPr>
              <w:t>Initial 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58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7340" w:type="dxa"/>
            <w:vAlign w:val="bottom"/>
          </w:tcPr>
          <w:p>
            <w:pPr>
              <w:ind w:left="100"/>
              <w:spacing w:after="0"/>
              <w:rPr>
                <w:sz w:val="20"/>
                <w:szCs w:val="20"/>
                <w:color w:val="auto"/>
              </w:rPr>
            </w:pPr>
            <w:r>
              <w:rPr>
                <w:rFonts w:ascii="Arial" w:cs="Arial" w:eastAsia="Arial" w:hAnsi="Arial"/>
                <w:sz w:val="18"/>
                <w:szCs w:val="18"/>
                <w:color w:val="auto"/>
              </w:rPr>
              <w:t>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5"/>
        </w:trPr>
        <w:tc>
          <w:tcPr>
            <w:tcW w:w="1580" w:type="dxa"/>
            <w:vAlign w:val="bottom"/>
          </w:tcPr>
          <w:p>
            <w:pPr>
              <w:spacing w:after="0"/>
              <w:rPr>
                <w:sz w:val="24"/>
                <w:szCs w:val="24"/>
                <w:color w:val="auto"/>
              </w:rPr>
            </w:pPr>
          </w:p>
        </w:tc>
        <w:tc>
          <w:tcPr>
            <w:tcW w:w="7340" w:type="dxa"/>
            <w:vAlign w:val="bottom"/>
          </w:tcPr>
          <w:p>
            <w:pPr>
              <w:ind w:left="4100"/>
              <w:spacing w:after="0"/>
              <w:rPr>
                <w:sz w:val="20"/>
                <w:szCs w:val="20"/>
                <w:color w:val="auto"/>
              </w:rPr>
            </w:pPr>
            <w:r>
              <w:rPr>
                <w:rFonts w:ascii="Arial" w:cs="Arial" w:eastAsia="Arial" w:hAnsi="Arial"/>
                <w:sz w:val="18"/>
                <w:szCs w:val="18"/>
                <w:color w:val="auto"/>
              </w:rPr>
              <w:t>i</w:t>
            </w:r>
          </w:p>
        </w:tc>
        <w:tc>
          <w:tcPr>
            <w:tcW w:w="2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06" w:name="page407"/>
    <w:bookmarkEnd w:id="406"/>
    <w:tbl>
      <w:tblPr>
        <w:tblLayout w:type="fixed"/>
        <w:tblInd w:w="0" w:type="dxa"/>
        <w:tblCellMar>
          <w:top w:w="0" w:type="dxa"/>
          <w:left w:w="0" w:type="dxa"/>
          <w:bottom w:w="0" w:type="dxa"/>
          <w:right w:w="0" w:type="dxa"/>
        </w:tblCellMar>
      </w:tblP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716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 Etc.</w:t>
            </w:r>
          </w:p>
        </w:tc>
        <w:tc>
          <w:tcPr>
            <w:tcW w:w="2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VII. Affirmative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7160" w:type="dxa"/>
            <w:vAlign w:val="bottom"/>
          </w:tcPr>
          <w:p>
            <w:pPr>
              <w:ind w:left="100"/>
              <w:spacing w:after="0"/>
              <w:rPr>
                <w:sz w:val="20"/>
                <w:szCs w:val="20"/>
                <w:color w:val="auto"/>
              </w:rPr>
            </w:pPr>
            <w:r>
              <w:rPr>
                <w:rFonts w:ascii="Arial" w:cs="Arial" w:eastAsia="Arial" w:hAnsi="Arial"/>
                <w:sz w:val="18"/>
                <w:szCs w:val="18"/>
                <w:color w:val="auto"/>
              </w:rPr>
              <w:t>Preservation of Existence and Similar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7160" w:type="dxa"/>
            <w:vAlign w:val="bottom"/>
          </w:tcPr>
          <w:p>
            <w:pPr>
              <w:ind w:left="100"/>
              <w:spacing w:after="0"/>
              <w:rPr>
                <w:sz w:val="20"/>
                <w:szCs w:val="20"/>
                <w:color w:val="auto"/>
              </w:rPr>
            </w:pPr>
            <w:r>
              <w:rPr>
                <w:rFonts w:ascii="Arial" w:cs="Arial" w:eastAsia="Arial" w:hAnsi="Arial"/>
                <w:sz w:val="18"/>
                <w:szCs w:val="18"/>
                <w:color w:val="auto"/>
              </w:rPr>
              <w:t>Compliance with Applicable Law and Material Contracts.</w:t>
            </w:r>
          </w:p>
        </w:tc>
        <w:tc>
          <w:tcPr>
            <w:tcW w:w="2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7.3.</w:t>
            </w:r>
          </w:p>
        </w:tc>
        <w:tc>
          <w:tcPr>
            <w:tcW w:w="7160" w:type="dxa"/>
            <w:vAlign w:val="bottom"/>
          </w:tcPr>
          <w:p>
            <w:pPr>
              <w:ind w:left="100"/>
              <w:spacing w:after="0"/>
              <w:rPr>
                <w:sz w:val="20"/>
                <w:szCs w:val="20"/>
                <w:color w:val="auto"/>
              </w:rPr>
            </w:pPr>
            <w:r>
              <w:rPr>
                <w:rFonts w:ascii="Arial" w:cs="Arial" w:eastAsia="Arial" w:hAnsi="Arial"/>
                <w:sz w:val="18"/>
                <w:szCs w:val="18"/>
                <w:color w:val="auto"/>
              </w:rPr>
              <w:t>Maintenance of Property.</w:t>
            </w:r>
          </w:p>
        </w:tc>
        <w:tc>
          <w:tcPr>
            <w:tcW w:w="2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7.4.</w:t>
            </w:r>
          </w:p>
        </w:tc>
        <w:tc>
          <w:tcPr>
            <w:tcW w:w="7160" w:type="dxa"/>
            <w:vAlign w:val="bottom"/>
          </w:tcPr>
          <w:p>
            <w:pPr>
              <w:ind w:left="100"/>
              <w:spacing w:after="0"/>
              <w:rPr>
                <w:sz w:val="20"/>
                <w:szCs w:val="20"/>
                <w:color w:val="auto"/>
              </w:rPr>
            </w:pPr>
            <w:r>
              <w:rPr>
                <w:rFonts w:ascii="Arial" w:cs="Arial" w:eastAsia="Arial" w:hAnsi="Arial"/>
                <w:sz w:val="18"/>
                <w:szCs w:val="18"/>
                <w:color w:val="auto"/>
              </w:rPr>
              <w:t>Conduct of Business.</w:t>
            </w:r>
          </w:p>
        </w:tc>
        <w:tc>
          <w:tcPr>
            <w:tcW w:w="2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7.5.</w:t>
            </w:r>
          </w:p>
        </w:tc>
        <w:tc>
          <w:tcPr>
            <w:tcW w:w="71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7.6.</w:t>
            </w:r>
          </w:p>
        </w:tc>
        <w:tc>
          <w:tcPr>
            <w:tcW w:w="7160" w:type="dxa"/>
            <w:vAlign w:val="bottom"/>
          </w:tcPr>
          <w:p>
            <w:pPr>
              <w:ind w:left="100"/>
              <w:spacing w:after="0"/>
              <w:rPr>
                <w:sz w:val="20"/>
                <w:szCs w:val="20"/>
                <w:color w:val="auto"/>
              </w:rPr>
            </w:pPr>
            <w:r>
              <w:rPr>
                <w:rFonts w:ascii="Arial" w:cs="Arial" w:eastAsia="Arial" w:hAnsi="Arial"/>
                <w:sz w:val="18"/>
                <w:szCs w:val="18"/>
                <w:color w:val="auto"/>
              </w:rPr>
              <w:t>Payment of Taxes and Claims.</w:t>
            </w:r>
          </w:p>
        </w:tc>
        <w:tc>
          <w:tcPr>
            <w:tcW w:w="2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7.7.</w:t>
            </w:r>
          </w:p>
        </w:tc>
        <w:tc>
          <w:tcPr>
            <w:tcW w:w="7160" w:type="dxa"/>
            <w:vAlign w:val="bottom"/>
          </w:tcPr>
          <w:p>
            <w:pPr>
              <w:ind w:left="100"/>
              <w:spacing w:after="0"/>
              <w:rPr>
                <w:sz w:val="20"/>
                <w:szCs w:val="20"/>
                <w:color w:val="auto"/>
              </w:rPr>
            </w:pPr>
            <w:r>
              <w:rPr>
                <w:rFonts w:ascii="Arial" w:cs="Arial" w:eastAsia="Arial" w:hAnsi="Arial"/>
                <w:sz w:val="18"/>
                <w:szCs w:val="18"/>
                <w:color w:val="auto"/>
              </w:rPr>
              <w:t>Visits and Inspections.</w:t>
            </w:r>
          </w:p>
        </w:tc>
        <w:tc>
          <w:tcPr>
            <w:tcW w:w="2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7.8.</w:t>
            </w:r>
          </w:p>
        </w:tc>
        <w:tc>
          <w:tcPr>
            <w:tcW w:w="716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2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7.9.</w:t>
            </w:r>
          </w:p>
        </w:tc>
        <w:tc>
          <w:tcPr>
            <w:tcW w:w="7160" w:type="dxa"/>
            <w:vAlign w:val="bottom"/>
          </w:tcPr>
          <w:p>
            <w:pPr>
              <w:ind w:left="100"/>
              <w:spacing w:after="0"/>
              <w:rPr>
                <w:sz w:val="20"/>
                <w:szCs w:val="20"/>
                <w:color w:val="auto"/>
              </w:rPr>
            </w:pPr>
            <w:r>
              <w:rPr>
                <w:rFonts w:ascii="Arial" w:cs="Arial" w:eastAsia="Arial" w:hAnsi="Arial"/>
                <w:sz w:val="18"/>
                <w:szCs w:val="18"/>
                <w:color w:val="auto"/>
              </w:rPr>
              <w:t>Environmental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7.10.</w:t>
            </w:r>
          </w:p>
        </w:tc>
        <w:tc>
          <w:tcPr>
            <w:tcW w:w="7160" w:type="dxa"/>
            <w:vAlign w:val="bottom"/>
          </w:tcPr>
          <w:p>
            <w:pPr>
              <w:ind w:left="100"/>
              <w:spacing w:after="0"/>
              <w:rPr>
                <w:sz w:val="20"/>
                <w:szCs w:val="20"/>
                <w:color w:val="auto"/>
              </w:rPr>
            </w:pPr>
            <w:r>
              <w:rPr>
                <w:rFonts w:ascii="Arial" w:cs="Arial" w:eastAsia="Arial" w:hAnsi="Arial"/>
                <w:sz w:val="18"/>
                <w:szCs w:val="18"/>
                <w:color w:val="auto"/>
              </w:rPr>
              <w:t>Books and Records.</w:t>
            </w:r>
          </w:p>
        </w:tc>
        <w:tc>
          <w:tcPr>
            <w:tcW w:w="2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7.11.</w:t>
            </w:r>
          </w:p>
        </w:tc>
        <w:tc>
          <w:tcPr>
            <w:tcW w:w="716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2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7.12.</w:t>
            </w:r>
          </w:p>
        </w:tc>
        <w:tc>
          <w:tcPr>
            <w:tcW w:w="7160" w:type="dxa"/>
            <w:vAlign w:val="bottom"/>
          </w:tcPr>
          <w:p>
            <w:pPr>
              <w:ind w:left="100"/>
              <w:spacing w:after="0"/>
              <w:rPr>
                <w:sz w:val="20"/>
                <w:szCs w:val="20"/>
                <w:color w:val="auto"/>
              </w:rPr>
            </w:pPr>
            <w:r>
              <w:rPr>
                <w:rFonts w:ascii="Arial" w:cs="Arial" w:eastAsia="Arial" w:hAnsi="Arial"/>
                <w:sz w:val="18"/>
                <w:szCs w:val="18"/>
                <w:color w:val="auto"/>
              </w:rPr>
              <w:t>New Subsidiaries/Guarantors.</w:t>
            </w:r>
          </w:p>
        </w:tc>
        <w:tc>
          <w:tcPr>
            <w:tcW w:w="2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7.13.</w:t>
            </w:r>
          </w:p>
        </w:tc>
        <w:tc>
          <w:tcPr>
            <w:tcW w:w="7160" w:type="dxa"/>
            <w:vAlign w:val="bottom"/>
          </w:tcPr>
          <w:p>
            <w:pPr>
              <w:ind w:left="100"/>
              <w:spacing w:after="0"/>
              <w:rPr>
                <w:sz w:val="20"/>
                <w:szCs w:val="20"/>
                <w:color w:val="auto"/>
              </w:rPr>
            </w:pPr>
            <w:r>
              <w:rPr>
                <w:rFonts w:ascii="Arial" w:cs="Arial" w:eastAsia="Arial" w:hAnsi="Arial"/>
                <w:sz w:val="18"/>
                <w:szCs w:val="18"/>
                <w:color w:val="auto"/>
              </w:rPr>
              <w:t>REIT Status.</w:t>
            </w:r>
          </w:p>
        </w:tc>
        <w:tc>
          <w:tcPr>
            <w:tcW w:w="2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7.14.</w:t>
            </w:r>
          </w:p>
        </w:tc>
        <w:tc>
          <w:tcPr>
            <w:tcW w:w="7160" w:type="dxa"/>
            <w:vAlign w:val="bottom"/>
          </w:tcPr>
          <w:p>
            <w:pPr>
              <w:ind w:left="100"/>
              <w:spacing w:after="0"/>
              <w:rPr>
                <w:sz w:val="20"/>
                <w:szCs w:val="20"/>
                <w:color w:val="auto"/>
              </w:rPr>
            </w:pPr>
            <w:r>
              <w:rPr>
                <w:rFonts w:ascii="Arial" w:cs="Arial" w:eastAsia="Arial" w:hAnsi="Arial"/>
                <w:sz w:val="18"/>
                <w:szCs w:val="18"/>
                <w:color w:val="auto"/>
              </w:rPr>
              <w:t>Exchange Listing.</w:t>
            </w:r>
          </w:p>
        </w:tc>
        <w:tc>
          <w:tcPr>
            <w:tcW w:w="2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VIII. Information</w:t>
            </w:r>
          </w:p>
        </w:tc>
        <w:tc>
          <w:tcPr>
            <w:tcW w:w="2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7160" w:type="dxa"/>
            <w:vAlign w:val="bottom"/>
          </w:tcPr>
          <w:p>
            <w:pPr>
              <w:ind w:left="100"/>
              <w:spacing w:after="0"/>
              <w:rPr>
                <w:sz w:val="20"/>
                <w:szCs w:val="20"/>
                <w:color w:val="auto"/>
              </w:rPr>
            </w:pPr>
            <w:r>
              <w:rPr>
                <w:rFonts w:ascii="Arial" w:cs="Arial" w:eastAsia="Arial" w:hAnsi="Arial"/>
                <w:sz w:val="18"/>
                <w:szCs w:val="18"/>
                <w:color w:val="auto"/>
              </w:rPr>
              <w:t>Quarterly Financial Statements.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7160" w:type="dxa"/>
            <w:vAlign w:val="bottom"/>
          </w:tcPr>
          <w:p>
            <w:pPr>
              <w:ind w:left="100"/>
              <w:spacing w:after="0"/>
              <w:rPr>
                <w:sz w:val="20"/>
                <w:szCs w:val="20"/>
                <w:color w:val="auto"/>
              </w:rPr>
            </w:pPr>
            <w:r>
              <w:rPr>
                <w:rFonts w:ascii="Arial" w:cs="Arial" w:eastAsia="Arial" w:hAnsi="Arial"/>
                <w:sz w:val="18"/>
                <w:szCs w:val="18"/>
                <w:color w:val="auto"/>
              </w:rPr>
              <w:t>Year-End Statements.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716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2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8.4.</w:t>
            </w:r>
          </w:p>
        </w:tc>
        <w:tc>
          <w:tcPr>
            <w:tcW w:w="716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2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8.5.</w:t>
            </w:r>
          </w:p>
        </w:tc>
        <w:tc>
          <w:tcPr>
            <w:tcW w:w="7160" w:type="dxa"/>
            <w:vAlign w:val="bottom"/>
          </w:tcPr>
          <w:p>
            <w:pPr>
              <w:ind w:left="100"/>
              <w:spacing w:after="0"/>
              <w:rPr>
                <w:sz w:val="20"/>
                <w:szCs w:val="20"/>
                <w:color w:val="auto"/>
              </w:rPr>
            </w:pPr>
            <w:r>
              <w:rPr>
                <w:rFonts w:ascii="Arial" w:cs="Arial" w:eastAsia="Arial" w:hAnsi="Arial"/>
                <w:sz w:val="18"/>
                <w:szCs w:val="18"/>
                <w:color w:val="auto"/>
              </w:rPr>
              <w:t>Electronic Delivery of Certain Information.</w:t>
            </w:r>
          </w:p>
        </w:tc>
        <w:tc>
          <w:tcPr>
            <w:tcW w:w="2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rPr>
              <w:t>Section 8.6.</w:t>
            </w:r>
          </w:p>
        </w:tc>
        <w:tc>
          <w:tcPr>
            <w:tcW w:w="7160" w:type="dxa"/>
            <w:vAlign w:val="bottom"/>
          </w:tcPr>
          <w:p>
            <w:pPr>
              <w:ind w:left="100"/>
              <w:spacing w:after="0"/>
              <w:rPr>
                <w:sz w:val="20"/>
                <w:szCs w:val="20"/>
                <w:color w:val="auto"/>
              </w:rPr>
            </w:pPr>
            <w:r>
              <w:rPr>
                <w:rFonts w:ascii="Arial" w:cs="Arial" w:eastAsia="Arial" w:hAnsi="Arial"/>
                <w:sz w:val="18"/>
                <w:szCs w:val="18"/>
                <w:color w:val="auto"/>
              </w:rPr>
              <w:t>Public/Private Information.</w:t>
            </w:r>
          </w:p>
        </w:tc>
        <w:tc>
          <w:tcPr>
            <w:tcW w:w="2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IX. Negative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7160" w:type="dxa"/>
            <w:vAlign w:val="bottom"/>
          </w:tcPr>
          <w:p>
            <w:pPr>
              <w:ind w:left="100"/>
              <w:spacing w:after="0"/>
              <w:rPr>
                <w:sz w:val="20"/>
                <w:szCs w:val="20"/>
                <w:color w:val="auto"/>
              </w:rPr>
            </w:pPr>
            <w:r>
              <w:rPr>
                <w:rFonts w:ascii="Arial" w:cs="Arial" w:eastAsia="Arial" w:hAnsi="Arial"/>
                <w:sz w:val="18"/>
                <w:szCs w:val="18"/>
                <w:color w:val="auto"/>
              </w:rPr>
              <w:t>Financial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7160" w:type="dxa"/>
            <w:vAlign w:val="bottom"/>
          </w:tcPr>
          <w:p>
            <w:pPr>
              <w:ind w:left="100"/>
              <w:spacing w:after="0"/>
              <w:rPr>
                <w:sz w:val="20"/>
                <w:szCs w:val="20"/>
                <w:color w:val="auto"/>
              </w:rPr>
            </w:pPr>
            <w:r>
              <w:rPr>
                <w:rFonts w:ascii="Arial" w:cs="Arial" w:eastAsia="Arial" w:hAnsi="Arial"/>
                <w:sz w:val="18"/>
                <w:szCs w:val="18"/>
                <w:color w:val="auto"/>
              </w:rPr>
              <w:t>Restricted Payments.</w:t>
            </w:r>
          </w:p>
        </w:tc>
        <w:tc>
          <w:tcPr>
            <w:tcW w:w="2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716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2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9.4.</w:t>
            </w:r>
          </w:p>
        </w:tc>
        <w:tc>
          <w:tcPr>
            <w:tcW w:w="7160" w:type="dxa"/>
            <w:vAlign w:val="bottom"/>
          </w:tcPr>
          <w:p>
            <w:pPr>
              <w:ind w:left="100"/>
              <w:spacing w:after="0"/>
              <w:rPr>
                <w:sz w:val="20"/>
                <w:szCs w:val="20"/>
                <w:color w:val="auto"/>
              </w:rPr>
            </w:pPr>
            <w:r>
              <w:rPr>
                <w:rFonts w:ascii="Arial" w:cs="Arial" w:eastAsia="Arial" w:hAnsi="Arial"/>
                <w:sz w:val="18"/>
                <w:szCs w:val="18"/>
                <w:color w:val="auto"/>
              </w:rPr>
              <w:t>Certain Permitted Investments.</w:t>
            </w:r>
          </w:p>
        </w:tc>
        <w:tc>
          <w:tcPr>
            <w:tcW w:w="2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9.5.</w:t>
            </w:r>
          </w:p>
        </w:tc>
        <w:tc>
          <w:tcPr>
            <w:tcW w:w="7160" w:type="dxa"/>
            <w:vAlign w:val="bottom"/>
          </w:tcPr>
          <w:p>
            <w:pPr>
              <w:ind w:left="100"/>
              <w:spacing w:after="0"/>
              <w:rPr>
                <w:sz w:val="20"/>
                <w:szCs w:val="20"/>
                <w:color w:val="auto"/>
              </w:rPr>
            </w:pPr>
            <w:r>
              <w:rPr>
                <w:rFonts w:ascii="Arial" w:cs="Arial" w:eastAsia="Arial" w:hAnsi="Arial"/>
                <w:sz w:val="18"/>
                <w:szCs w:val="18"/>
                <w:color w:val="auto"/>
              </w:rPr>
              <w:t>Investments Generally.</w:t>
            </w:r>
          </w:p>
        </w:tc>
        <w:tc>
          <w:tcPr>
            <w:tcW w:w="2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9.6.</w:t>
            </w:r>
          </w:p>
        </w:tc>
        <w:tc>
          <w:tcPr>
            <w:tcW w:w="7160" w:type="dxa"/>
            <w:vAlign w:val="bottom"/>
          </w:tcPr>
          <w:p>
            <w:pPr>
              <w:ind w:left="100"/>
              <w:spacing w:after="0"/>
              <w:rPr>
                <w:sz w:val="20"/>
                <w:szCs w:val="20"/>
                <w:color w:val="auto"/>
              </w:rPr>
            </w:pPr>
            <w:r>
              <w:rPr>
                <w:rFonts w:ascii="Arial" w:cs="Arial" w:eastAsia="Arial" w:hAnsi="Arial"/>
                <w:sz w:val="18"/>
                <w:szCs w:val="18"/>
                <w:color w:val="auto"/>
              </w:rPr>
              <w:t>Liens; Negative Pledges; Other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9.7.</w:t>
            </w:r>
          </w:p>
        </w:tc>
        <w:tc>
          <w:tcPr>
            <w:tcW w:w="7160" w:type="dxa"/>
            <w:vAlign w:val="bottom"/>
          </w:tcPr>
          <w:p>
            <w:pPr>
              <w:ind w:left="100"/>
              <w:spacing w:after="0"/>
              <w:rPr>
                <w:sz w:val="20"/>
                <w:szCs w:val="20"/>
                <w:color w:val="auto"/>
              </w:rPr>
            </w:pPr>
            <w:r>
              <w:rPr>
                <w:rFonts w:ascii="Arial" w:cs="Arial" w:eastAsia="Arial" w:hAnsi="Arial"/>
                <w:sz w:val="18"/>
                <w:szCs w:val="18"/>
                <w:color w:val="auto"/>
              </w:rPr>
              <w:t>Merger, Consolidation, Sales of Assets and Other Arrangements.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9.8.</w:t>
            </w:r>
          </w:p>
        </w:tc>
        <w:tc>
          <w:tcPr>
            <w:tcW w:w="7160" w:type="dxa"/>
            <w:vAlign w:val="bottom"/>
          </w:tcPr>
          <w:p>
            <w:pPr>
              <w:ind w:left="100"/>
              <w:spacing w:after="0"/>
              <w:rPr>
                <w:sz w:val="20"/>
                <w:szCs w:val="20"/>
                <w:color w:val="auto"/>
              </w:rPr>
            </w:pPr>
            <w:r>
              <w:rPr>
                <w:rFonts w:ascii="Arial" w:cs="Arial" w:eastAsia="Arial" w:hAnsi="Arial"/>
                <w:sz w:val="18"/>
                <w:szCs w:val="18"/>
                <w:color w:val="auto"/>
              </w:rPr>
              <w:t>Fiscal Year.</w:t>
            </w:r>
          </w:p>
        </w:tc>
        <w:tc>
          <w:tcPr>
            <w:tcW w:w="2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9.9.</w:t>
            </w:r>
          </w:p>
        </w:tc>
        <w:tc>
          <w:tcPr>
            <w:tcW w:w="7160" w:type="dxa"/>
            <w:vAlign w:val="bottom"/>
          </w:tcPr>
          <w:p>
            <w:pPr>
              <w:ind w:left="100"/>
              <w:spacing w:after="0"/>
              <w:rPr>
                <w:sz w:val="20"/>
                <w:szCs w:val="20"/>
                <w:color w:val="auto"/>
              </w:rPr>
            </w:pPr>
            <w:r>
              <w:rPr>
                <w:rFonts w:ascii="Arial" w:cs="Arial" w:eastAsia="Arial" w:hAnsi="Arial"/>
                <w:sz w:val="18"/>
                <w:szCs w:val="18"/>
                <w:color w:val="auto"/>
              </w:rPr>
              <w:t>Modifications of Organizational Documents.</w:t>
            </w:r>
          </w:p>
        </w:tc>
        <w:tc>
          <w:tcPr>
            <w:tcW w:w="2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9.10.</w:t>
            </w:r>
          </w:p>
        </w:tc>
        <w:tc>
          <w:tcPr>
            <w:tcW w:w="7160" w:type="dxa"/>
            <w:vAlign w:val="bottom"/>
          </w:tcPr>
          <w:p>
            <w:pPr>
              <w:ind w:left="100"/>
              <w:spacing w:after="0"/>
              <w:rPr>
                <w:sz w:val="20"/>
                <w:szCs w:val="20"/>
                <w:color w:val="auto"/>
              </w:rPr>
            </w:pPr>
            <w:r>
              <w:rPr>
                <w:rFonts w:ascii="Arial" w:cs="Arial" w:eastAsia="Arial" w:hAnsi="Arial"/>
                <w:sz w:val="18"/>
                <w:szCs w:val="18"/>
                <w:color w:val="auto"/>
              </w:rPr>
              <w:t>Transactions with Affiliates.</w:t>
            </w:r>
          </w:p>
        </w:tc>
        <w:tc>
          <w:tcPr>
            <w:tcW w:w="2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9.11.</w:t>
            </w:r>
          </w:p>
        </w:tc>
        <w:tc>
          <w:tcPr>
            <w:tcW w:w="7160" w:type="dxa"/>
            <w:vAlign w:val="bottom"/>
          </w:tcPr>
          <w:p>
            <w:pPr>
              <w:ind w:left="100"/>
              <w:spacing w:after="0"/>
              <w:rPr>
                <w:sz w:val="20"/>
                <w:szCs w:val="20"/>
                <w:color w:val="auto"/>
              </w:rPr>
            </w:pPr>
            <w:r>
              <w:rPr>
                <w:rFonts w:ascii="Arial" w:cs="Arial" w:eastAsia="Arial" w:hAnsi="Arial"/>
                <w:sz w:val="18"/>
                <w:szCs w:val="18"/>
                <w:color w:val="auto"/>
              </w:rPr>
              <w:t>ERISA Exemptions.</w:t>
            </w:r>
          </w:p>
        </w:tc>
        <w:tc>
          <w:tcPr>
            <w:tcW w:w="2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9.12.</w:t>
            </w:r>
          </w:p>
        </w:tc>
        <w:tc>
          <w:tcPr>
            <w:tcW w:w="7160" w:type="dxa"/>
            <w:vAlign w:val="bottom"/>
          </w:tcPr>
          <w:p>
            <w:pPr>
              <w:ind w:left="100"/>
              <w:spacing w:after="0"/>
              <w:rPr>
                <w:sz w:val="20"/>
                <w:szCs w:val="20"/>
                <w:color w:val="auto"/>
              </w:rPr>
            </w:pPr>
            <w:r>
              <w:rPr>
                <w:rFonts w:ascii="Arial" w:cs="Arial" w:eastAsia="Arial" w:hAnsi="Arial"/>
                <w:sz w:val="18"/>
                <w:szCs w:val="18"/>
                <w:color w:val="auto"/>
              </w:rPr>
              <w:t>Non-Controlled Properties.</w:t>
            </w:r>
          </w:p>
        </w:tc>
        <w:tc>
          <w:tcPr>
            <w:tcW w:w="2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9.13.</w:t>
            </w:r>
          </w:p>
        </w:tc>
        <w:tc>
          <w:tcPr>
            <w:tcW w:w="7160" w:type="dxa"/>
            <w:vAlign w:val="bottom"/>
          </w:tcPr>
          <w:p>
            <w:pPr>
              <w:ind w:left="100"/>
              <w:spacing w:after="0"/>
              <w:rPr>
                <w:sz w:val="20"/>
                <w:szCs w:val="20"/>
                <w:color w:val="auto"/>
              </w:rPr>
            </w:pPr>
            <w:r>
              <w:rPr>
                <w:rFonts w:ascii="Arial" w:cs="Arial" w:eastAsia="Arial" w:hAnsi="Arial"/>
                <w:sz w:val="18"/>
                <w:szCs w:val="18"/>
                <w:color w:val="auto"/>
              </w:rPr>
              <w:t>OFAC.</w:t>
            </w:r>
          </w:p>
        </w:tc>
        <w:tc>
          <w:tcPr>
            <w:tcW w:w="2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Article X. Default</w:t>
            </w:r>
          </w:p>
        </w:tc>
        <w:tc>
          <w:tcPr>
            <w:tcW w:w="716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10.1.</w:t>
            </w:r>
          </w:p>
        </w:tc>
        <w:tc>
          <w:tcPr>
            <w:tcW w:w="716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2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10.2.</w:t>
            </w:r>
          </w:p>
        </w:tc>
        <w:tc>
          <w:tcPr>
            <w:tcW w:w="7160" w:type="dxa"/>
            <w:vAlign w:val="bottom"/>
          </w:tcPr>
          <w:p>
            <w:pPr>
              <w:ind w:left="100"/>
              <w:spacing w:after="0"/>
              <w:rPr>
                <w:sz w:val="20"/>
                <w:szCs w:val="20"/>
                <w:color w:val="auto"/>
              </w:rPr>
            </w:pPr>
            <w:r>
              <w:rPr>
                <w:rFonts w:ascii="Arial" w:cs="Arial" w:eastAsia="Arial" w:hAnsi="Arial"/>
                <w:sz w:val="18"/>
                <w:szCs w:val="18"/>
                <w:color w:val="auto"/>
              </w:rPr>
              <w:t>Remedies Upon Event of Default.</w:t>
            </w:r>
          </w:p>
        </w:tc>
        <w:tc>
          <w:tcPr>
            <w:tcW w:w="2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10.3.</w:t>
            </w:r>
          </w:p>
        </w:tc>
        <w:tc>
          <w:tcPr>
            <w:tcW w:w="7160" w:type="dxa"/>
            <w:vAlign w:val="bottom"/>
          </w:tcPr>
          <w:p>
            <w:pPr>
              <w:ind w:left="100"/>
              <w:spacing w:after="0"/>
              <w:rPr>
                <w:sz w:val="20"/>
                <w:szCs w:val="20"/>
                <w:color w:val="auto"/>
              </w:rPr>
            </w:pPr>
            <w:r>
              <w:rPr>
                <w:rFonts w:ascii="Arial" w:cs="Arial" w:eastAsia="Arial" w:hAnsi="Arial"/>
                <w:sz w:val="18"/>
                <w:szCs w:val="18"/>
                <w:color w:val="auto"/>
              </w:rPr>
              <w:t>Allocation of Proceeds.</w:t>
            </w:r>
          </w:p>
        </w:tc>
        <w:tc>
          <w:tcPr>
            <w:tcW w:w="268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80" w:right="239" w:bottom="1440" w:gutter="0" w:footer="0" w:header="0"/>
        </w:sectPr>
      </w:pPr>
    </w:p>
    <w:bookmarkStart w:id="407" w:name="page408"/>
    <w:bookmarkEnd w:id="407"/>
    <w:tbl>
      <w:tblPr>
        <w:tblLayout w:type="fixed"/>
        <w:tblInd w:w="0" w:type="dxa"/>
        <w:tblCellMar>
          <w:top w:w="0" w:type="dxa"/>
          <w:left w:w="0" w:type="dxa"/>
          <w:bottom w:w="0" w:type="dxa"/>
          <w:right w:w="0" w:type="dxa"/>
        </w:tblCellMar>
      </w:tblP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10.4.</w:t>
            </w:r>
          </w:p>
        </w:tc>
        <w:tc>
          <w:tcPr>
            <w:tcW w:w="6520" w:type="dxa"/>
            <w:vAlign w:val="bottom"/>
          </w:tcPr>
          <w:p>
            <w:pPr>
              <w:ind w:left="120"/>
              <w:spacing w:after="0"/>
              <w:rPr>
                <w:sz w:val="20"/>
                <w:szCs w:val="20"/>
                <w:color w:val="auto"/>
              </w:rPr>
            </w:pPr>
            <w:r>
              <w:rPr>
                <w:rFonts w:ascii="Arial" w:cs="Arial" w:eastAsia="Arial" w:hAnsi="Arial"/>
                <w:sz w:val="18"/>
                <w:szCs w:val="18"/>
                <w:color w:val="auto"/>
              </w:rPr>
              <w:t>Performance by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1680" w:type="dxa"/>
            <w:vAlign w:val="bottom"/>
          </w:tcPr>
          <w:p>
            <w:pPr>
              <w:ind w:left="540"/>
              <w:spacing w:after="0"/>
              <w:rPr>
                <w:sz w:val="20"/>
                <w:szCs w:val="20"/>
                <w:color w:val="auto"/>
              </w:rPr>
            </w:pPr>
            <w:r>
              <w:rPr>
                <w:rFonts w:ascii="Arial" w:cs="Arial" w:eastAsia="Arial" w:hAnsi="Arial"/>
                <w:sz w:val="18"/>
                <w:szCs w:val="18"/>
                <w:color w:val="auto"/>
              </w:rPr>
              <w:t>Section 10.5.</w:t>
            </w:r>
          </w:p>
        </w:tc>
        <w:tc>
          <w:tcPr>
            <w:tcW w:w="6520" w:type="dxa"/>
            <w:vAlign w:val="bottom"/>
          </w:tcPr>
          <w:p>
            <w:pPr>
              <w:ind w:left="120"/>
              <w:spacing w:after="0"/>
              <w:rPr>
                <w:sz w:val="20"/>
                <w:szCs w:val="20"/>
                <w:color w:val="auto"/>
              </w:rPr>
            </w:pPr>
            <w:r>
              <w:rPr>
                <w:rFonts w:ascii="Arial" w:cs="Arial" w:eastAsia="Arial" w:hAnsi="Arial"/>
                <w:sz w:val="18"/>
                <w:szCs w:val="18"/>
                <w:color w:val="auto"/>
              </w:rPr>
              <w:t>Rights Cumulative.</w:t>
            </w:r>
          </w:p>
        </w:tc>
        <w:tc>
          <w:tcPr>
            <w:tcW w:w="3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80" w:type="dxa"/>
            <w:vAlign w:val="bottom"/>
          </w:tcPr>
          <w:p>
            <w:pPr>
              <w:spacing w:after="0"/>
              <w:rPr>
                <w:sz w:val="20"/>
                <w:szCs w:val="20"/>
                <w:color w:val="auto"/>
              </w:rPr>
            </w:pPr>
            <w:r>
              <w:rPr>
                <w:rFonts w:ascii="Arial" w:cs="Arial" w:eastAsia="Arial" w:hAnsi="Arial"/>
                <w:sz w:val="18"/>
                <w:szCs w:val="18"/>
                <w:color w:val="auto"/>
              </w:rPr>
              <w:t>Article XI. The Agent</w:t>
            </w:r>
          </w:p>
        </w:tc>
        <w:tc>
          <w:tcPr>
            <w:tcW w:w="652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1680" w:type="dxa"/>
            <w:vAlign w:val="bottom"/>
          </w:tcPr>
          <w:p>
            <w:pPr>
              <w:ind w:left="540"/>
              <w:spacing w:after="0"/>
              <w:rPr>
                <w:sz w:val="20"/>
                <w:szCs w:val="20"/>
                <w:color w:val="auto"/>
              </w:rPr>
            </w:pPr>
            <w:r>
              <w:rPr>
                <w:rFonts w:ascii="Arial" w:cs="Arial" w:eastAsia="Arial" w:hAnsi="Arial"/>
                <w:sz w:val="18"/>
                <w:szCs w:val="18"/>
                <w:color w:val="auto"/>
              </w:rPr>
              <w:t>Section 11.1.</w:t>
            </w:r>
          </w:p>
        </w:tc>
        <w:tc>
          <w:tcPr>
            <w:tcW w:w="6520" w:type="dxa"/>
            <w:vAlign w:val="bottom"/>
          </w:tcPr>
          <w:p>
            <w:pPr>
              <w:ind w:left="120"/>
              <w:spacing w:after="0"/>
              <w:rPr>
                <w:sz w:val="20"/>
                <w:szCs w:val="20"/>
                <w:color w:val="auto"/>
              </w:rPr>
            </w:pPr>
            <w:r>
              <w:rPr>
                <w:rFonts w:ascii="Arial" w:cs="Arial" w:eastAsia="Arial" w:hAnsi="Arial"/>
                <w:sz w:val="18"/>
                <w:szCs w:val="18"/>
                <w:color w:val="auto"/>
              </w:rPr>
              <w:t>Authorization and Action.</w:t>
            </w:r>
          </w:p>
        </w:tc>
        <w:tc>
          <w:tcPr>
            <w:tcW w:w="3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11.2.</w:t>
            </w:r>
          </w:p>
        </w:tc>
        <w:tc>
          <w:tcPr>
            <w:tcW w:w="6520" w:type="dxa"/>
            <w:vAlign w:val="bottom"/>
          </w:tcPr>
          <w:p>
            <w:pPr>
              <w:ind w:left="120"/>
              <w:spacing w:after="0"/>
              <w:rPr>
                <w:sz w:val="20"/>
                <w:szCs w:val="20"/>
                <w:color w:val="auto"/>
              </w:rPr>
            </w:pPr>
            <w:r>
              <w:rPr>
                <w:rFonts w:ascii="Arial" w:cs="Arial" w:eastAsia="Arial" w:hAnsi="Arial"/>
                <w:sz w:val="18"/>
                <w:szCs w:val="18"/>
                <w:color w:val="auto"/>
              </w:rPr>
              <w:t>Agent’s Reliance, Etc.</w:t>
            </w:r>
          </w:p>
        </w:tc>
        <w:tc>
          <w:tcPr>
            <w:tcW w:w="3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11.3.</w:t>
            </w:r>
          </w:p>
        </w:tc>
        <w:tc>
          <w:tcPr>
            <w:tcW w:w="6520" w:type="dxa"/>
            <w:vAlign w:val="bottom"/>
          </w:tcPr>
          <w:p>
            <w:pPr>
              <w:ind w:left="120"/>
              <w:spacing w:after="0"/>
              <w:rPr>
                <w:sz w:val="20"/>
                <w:szCs w:val="20"/>
                <w:color w:val="auto"/>
              </w:rPr>
            </w:pPr>
            <w:r>
              <w:rPr>
                <w:rFonts w:ascii="Arial" w:cs="Arial" w:eastAsia="Arial" w:hAnsi="Arial"/>
                <w:sz w:val="18"/>
                <w:szCs w:val="18"/>
                <w:color w:val="auto"/>
              </w:rPr>
              <w:t>Notice of Defaults.</w:t>
            </w:r>
          </w:p>
        </w:tc>
        <w:tc>
          <w:tcPr>
            <w:tcW w:w="3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11.4.</w:t>
            </w:r>
          </w:p>
        </w:tc>
        <w:tc>
          <w:tcPr>
            <w:tcW w:w="6520" w:type="dxa"/>
            <w:vAlign w:val="bottom"/>
          </w:tcPr>
          <w:p>
            <w:pPr>
              <w:ind w:left="120"/>
              <w:spacing w:after="0"/>
              <w:rPr>
                <w:sz w:val="20"/>
                <w:szCs w:val="20"/>
                <w:color w:val="auto"/>
              </w:rPr>
            </w:pPr>
            <w:r>
              <w:rPr>
                <w:rFonts w:ascii="Arial" w:cs="Arial" w:eastAsia="Arial" w:hAnsi="Arial"/>
                <w:sz w:val="18"/>
                <w:szCs w:val="18"/>
                <w:color w:val="auto"/>
              </w:rPr>
              <w:t>Wachovia as Lender.</w:t>
            </w:r>
          </w:p>
        </w:tc>
        <w:tc>
          <w:tcPr>
            <w:tcW w:w="3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11.5.</w:t>
            </w:r>
          </w:p>
        </w:tc>
        <w:tc>
          <w:tcPr>
            <w:tcW w:w="6520" w:type="dxa"/>
            <w:vAlign w:val="bottom"/>
          </w:tcPr>
          <w:p>
            <w:pPr>
              <w:ind w:left="120"/>
              <w:spacing w:after="0"/>
              <w:rPr>
                <w:sz w:val="20"/>
                <w:szCs w:val="20"/>
                <w:color w:val="auto"/>
              </w:rPr>
            </w:pPr>
            <w:r>
              <w:rPr>
                <w:rFonts w:ascii="Arial" w:cs="Arial" w:eastAsia="Arial" w:hAnsi="Arial"/>
                <w:sz w:val="18"/>
                <w:szCs w:val="18"/>
                <w:color w:val="auto"/>
              </w:rPr>
              <w:t>Approvals of Lenders.</w:t>
            </w:r>
          </w:p>
        </w:tc>
        <w:tc>
          <w:tcPr>
            <w:tcW w:w="3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11.6.</w:t>
            </w:r>
          </w:p>
        </w:tc>
        <w:tc>
          <w:tcPr>
            <w:tcW w:w="6520" w:type="dxa"/>
            <w:vAlign w:val="bottom"/>
          </w:tcPr>
          <w:p>
            <w:pPr>
              <w:ind w:left="120"/>
              <w:spacing w:after="0"/>
              <w:rPr>
                <w:sz w:val="20"/>
                <w:szCs w:val="20"/>
                <w:color w:val="auto"/>
              </w:rPr>
            </w:pPr>
            <w:r>
              <w:rPr>
                <w:rFonts w:ascii="Arial" w:cs="Arial" w:eastAsia="Arial" w:hAnsi="Arial"/>
                <w:sz w:val="18"/>
                <w:szCs w:val="18"/>
                <w:color w:val="auto"/>
              </w:rPr>
              <w:t>Lender Credit Decision, Etc.</w:t>
            </w:r>
          </w:p>
        </w:tc>
        <w:tc>
          <w:tcPr>
            <w:tcW w:w="3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11.7.</w:t>
            </w:r>
          </w:p>
        </w:tc>
        <w:tc>
          <w:tcPr>
            <w:tcW w:w="6520" w:type="dxa"/>
            <w:vAlign w:val="bottom"/>
          </w:tcPr>
          <w:p>
            <w:pPr>
              <w:ind w:left="120"/>
              <w:spacing w:after="0"/>
              <w:rPr>
                <w:sz w:val="20"/>
                <w:szCs w:val="20"/>
                <w:color w:val="auto"/>
              </w:rPr>
            </w:pPr>
            <w:r>
              <w:rPr>
                <w:rFonts w:ascii="Arial" w:cs="Arial" w:eastAsia="Arial" w:hAnsi="Arial"/>
                <w:sz w:val="18"/>
                <w:szCs w:val="18"/>
                <w:color w:val="auto"/>
              </w:rPr>
              <w:t>Indemnification of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11.8.</w:t>
            </w:r>
          </w:p>
        </w:tc>
        <w:tc>
          <w:tcPr>
            <w:tcW w:w="6520" w:type="dxa"/>
            <w:vAlign w:val="bottom"/>
          </w:tcPr>
          <w:p>
            <w:pPr>
              <w:ind w:left="120"/>
              <w:spacing w:after="0"/>
              <w:rPr>
                <w:sz w:val="20"/>
                <w:szCs w:val="20"/>
                <w:color w:val="auto"/>
              </w:rPr>
            </w:pPr>
            <w:r>
              <w:rPr>
                <w:rFonts w:ascii="Arial" w:cs="Arial" w:eastAsia="Arial" w:hAnsi="Arial"/>
                <w:sz w:val="18"/>
                <w:szCs w:val="18"/>
                <w:color w:val="auto"/>
              </w:rPr>
              <w:t>Successor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1680" w:type="dxa"/>
            <w:vAlign w:val="bottom"/>
          </w:tcPr>
          <w:p>
            <w:pPr>
              <w:ind w:left="540"/>
              <w:spacing w:after="0"/>
              <w:rPr>
                <w:sz w:val="20"/>
                <w:szCs w:val="20"/>
                <w:color w:val="auto"/>
              </w:rPr>
            </w:pPr>
            <w:r>
              <w:rPr>
                <w:rFonts w:ascii="Arial" w:cs="Arial" w:eastAsia="Arial" w:hAnsi="Arial"/>
                <w:sz w:val="18"/>
                <w:szCs w:val="18"/>
                <w:color w:val="auto"/>
              </w:rPr>
              <w:t>Section 11.9.</w:t>
            </w:r>
          </w:p>
        </w:tc>
        <w:tc>
          <w:tcPr>
            <w:tcW w:w="6520" w:type="dxa"/>
            <w:vAlign w:val="bottom"/>
          </w:tcPr>
          <w:p>
            <w:pPr>
              <w:ind w:left="120"/>
              <w:spacing w:after="0"/>
              <w:rPr>
                <w:sz w:val="20"/>
                <w:szCs w:val="20"/>
                <w:color w:val="auto"/>
              </w:rPr>
            </w:pPr>
            <w:r>
              <w:rPr>
                <w:rFonts w:ascii="Arial" w:cs="Arial" w:eastAsia="Arial" w:hAnsi="Arial"/>
                <w:sz w:val="18"/>
                <w:szCs w:val="18"/>
                <w:color w:val="auto"/>
              </w:rPr>
              <w:t>Titled Agents.</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20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8"/>
        </w:trPr>
        <w:tc>
          <w:tcPr>
            <w:tcW w:w="1680" w:type="dxa"/>
            <w:vAlign w:val="bottom"/>
          </w:tcPr>
          <w:p>
            <w:pPr>
              <w:ind w:left="540"/>
              <w:spacing w:after="0"/>
              <w:rPr>
                <w:sz w:val="20"/>
                <w:szCs w:val="20"/>
                <w:color w:val="auto"/>
              </w:rPr>
            </w:pPr>
            <w:r>
              <w:rPr>
                <w:rFonts w:ascii="Arial" w:cs="Arial" w:eastAsia="Arial" w:hAnsi="Arial"/>
                <w:sz w:val="18"/>
                <w:szCs w:val="18"/>
                <w:color w:val="auto"/>
              </w:rPr>
              <w:t>Section 12.1.</w:t>
            </w:r>
          </w:p>
        </w:tc>
        <w:tc>
          <w:tcPr>
            <w:tcW w:w="6520" w:type="dxa"/>
            <w:vAlign w:val="bottom"/>
          </w:tcPr>
          <w:p>
            <w:pPr>
              <w:ind w:left="120"/>
              <w:spacing w:after="0"/>
              <w:rPr>
                <w:sz w:val="20"/>
                <w:szCs w:val="20"/>
                <w:color w:val="auto"/>
              </w:rPr>
            </w:pPr>
            <w:r>
              <w:rPr>
                <w:rFonts w:ascii="Arial" w:cs="Arial" w:eastAsia="Arial" w:hAnsi="Arial"/>
                <w:sz w:val="18"/>
                <w:szCs w:val="18"/>
                <w:color w:val="auto"/>
              </w:rPr>
              <w:t>Notices.</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12.2.</w:t>
            </w:r>
          </w:p>
        </w:tc>
        <w:tc>
          <w:tcPr>
            <w:tcW w:w="6520" w:type="dxa"/>
            <w:vAlign w:val="bottom"/>
          </w:tcPr>
          <w:p>
            <w:pPr>
              <w:ind w:left="120"/>
              <w:spacing w:after="0"/>
              <w:rPr>
                <w:sz w:val="20"/>
                <w:szCs w:val="20"/>
                <w:color w:val="auto"/>
              </w:rPr>
            </w:pPr>
            <w:r>
              <w:rPr>
                <w:rFonts w:ascii="Arial" w:cs="Arial" w:eastAsia="Arial" w:hAnsi="Arial"/>
                <w:sz w:val="18"/>
                <w:szCs w:val="18"/>
                <w:color w:val="auto"/>
              </w:rPr>
              <w:t>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12.3.</w:t>
            </w:r>
          </w:p>
        </w:tc>
        <w:tc>
          <w:tcPr>
            <w:tcW w:w="6520" w:type="dxa"/>
            <w:vAlign w:val="bottom"/>
          </w:tcPr>
          <w:p>
            <w:pPr>
              <w:ind w:left="120"/>
              <w:spacing w:after="0"/>
              <w:rPr>
                <w:sz w:val="20"/>
                <w:szCs w:val="20"/>
                <w:color w:val="auto"/>
              </w:rPr>
            </w:pPr>
            <w:r>
              <w:rPr>
                <w:rFonts w:ascii="Arial" w:cs="Arial" w:eastAsia="Arial" w:hAnsi="Arial"/>
                <w:sz w:val="18"/>
                <w:szCs w:val="18"/>
                <w:color w:val="auto"/>
              </w:rPr>
              <w:t>Setoff.</w:t>
            </w:r>
          </w:p>
        </w:tc>
        <w:tc>
          <w:tcPr>
            <w:tcW w:w="3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12.4.</w:t>
            </w:r>
          </w:p>
        </w:tc>
        <w:tc>
          <w:tcPr>
            <w:tcW w:w="6520" w:type="dxa"/>
            <w:vAlign w:val="bottom"/>
          </w:tcPr>
          <w:p>
            <w:pPr>
              <w:ind w:left="120"/>
              <w:spacing w:after="0"/>
              <w:rPr>
                <w:sz w:val="20"/>
                <w:szCs w:val="20"/>
                <w:color w:val="auto"/>
              </w:rPr>
            </w:pPr>
            <w:r>
              <w:rPr>
                <w:rFonts w:ascii="Arial" w:cs="Arial" w:eastAsia="Arial" w:hAnsi="Arial"/>
                <w:sz w:val="18"/>
                <w:szCs w:val="18"/>
                <w:color w:val="auto"/>
              </w:rPr>
              <w:t>Litigation; Jurisdiction; Other Matters; Waivers.</w:t>
            </w:r>
          </w:p>
        </w:tc>
        <w:tc>
          <w:tcPr>
            <w:tcW w:w="3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12.5.</w:t>
            </w:r>
          </w:p>
        </w:tc>
        <w:tc>
          <w:tcPr>
            <w:tcW w:w="652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3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12.6.</w:t>
            </w:r>
          </w:p>
        </w:tc>
        <w:tc>
          <w:tcPr>
            <w:tcW w:w="6520" w:type="dxa"/>
            <w:vAlign w:val="bottom"/>
          </w:tcPr>
          <w:p>
            <w:pPr>
              <w:ind w:left="120"/>
              <w:spacing w:after="0"/>
              <w:rPr>
                <w:sz w:val="20"/>
                <w:szCs w:val="20"/>
                <w:color w:val="auto"/>
              </w:rPr>
            </w:pPr>
            <w:r>
              <w:rPr>
                <w:rFonts w:ascii="Arial" w:cs="Arial" w:eastAsia="Arial" w:hAnsi="Arial"/>
                <w:sz w:val="18"/>
                <w:szCs w:val="18"/>
                <w:color w:val="auto"/>
              </w:rPr>
              <w:t>Amendments.</w:t>
            </w:r>
          </w:p>
        </w:tc>
        <w:tc>
          <w:tcPr>
            <w:tcW w:w="32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12.7.</w:t>
            </w:r>
          </w:p>
        </w:tc>
        <w:tc>
          <w:tcPr>
            <w:tcW w:w="6520" w:type="dxa"/>
            <w:vAlign w:val="bottom"/>
          </w:tcPr>
          <w:p>
            <w:pPr>
              <w:ind w:left="120"/>
              <w:spacing w:after="0"/>
              <w:rPr>
                <w:sz w:val="20"/>
                <w:szCs w:val="20"/>
                <w:color w:val="auto"/>
              </w:rPr>
            </w:pPr>
            <w:r>
              <w:rPr>
                <w:rFonts w:ascii="Arial" w:cs="Arial" w:eastAsia="Arial" w:hAnsi="Arial"/>
                <w:sz w:val="18"/>
                <w:szCs w:val="18"/>
                <w:color w:val="auto"/>
              </w:rPr>
              <w:t>Nonliability of Agent and Lenders.</w:t>
            </w:r>
          </w:p>
        </w:tc>
        <w:tc>
          <w:tcPr>
            <w:tcW w:w="3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12.8.</w:t>
            </w:r>
          </w:p>
        </w:tc>
        <w:tc>
          <w:tcPr>
            <w:tcW w:w="652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3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12.9.</w:t>
            </w:r>
          </w:p>
        </w:tc>
        <w:tc>
          <w:tcPr>
            <w:tcW w:w="65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3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12.10.</w:t>
            </w:r>
          </w:p>
        </w:tc>
        <w:tc>
          <w:tcPr>
            <w:tcW w:w="6520" w:type="dxa"/>
            <w:vAlign w:val="bottom"/>
          </w:tcPr>
          <w:p>
            <w:pPr>
              <w:ind w:left="120"/>
              <w:spacing w:after="0"/>
              <w:rPr>
                <w:sz w:val="20"/>
                <w:szCs w:val="20"/>
                <w:color w:val="auto"/>
              </w:rPr>
            </w:pPr>
            <w:r>
              <w:rPr>
                <w:rFonts w:ascii="Arial" w:cs="Arial" w:eastAsia="Arial" w:hAnsi="Arial"/>
                <w:sz w:val="18"/>
                <w:szCs w:val="18"/>
                <w:color w:val="auto"/>
              </w:rPr>
              <w:t>Termination; Survival.</w:t>
            </w:r>
          </w:p>
        </w:tc>
        <w:tc>
          <w:tcPr>
            <w:tcW w:w="3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12.11.</w:t>
            </w:r>
          </w:p>
        </w:tc>
        <w:tc>
          <w:tcPr>
            <w:tcW w:w="6520" w:type="dxa"/>
            <w:vAlign w:val="bottom"/>
          </w:tcPr>
          <w:p>
            <w:pPr>
              <w:ind w:left="120"/>
              <w:spacing w:after="0"/>
              <w:rPr>
                <w:sz w:val="20"/>
                <w:szCs w:val="20"/>
                <w:color w:val="auto"/>
              </w:rPr>
            </w:pPr>
            <w:r>
              <w:rPr>
                <w:rFonts w:ascii="Arial" w:cs="Arial" w:eastAsia="Arial" w:hAnsi="Arial"/>
                <w:sz w:val="18"/>
                <w:szCs w:val="18"/>
                <w:color w:val="auto"/>
              </w:rPr>
              <w:t>Severability of Provisions.</w:t>
            </w:r>
          </w:p>
        </w:tc>
        <w:tc>
          <w:tcPr>
            <w:tcW w:w="3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12.12.</w:t>
            </w:r>
          </w:p>
        </w:tc>
        <w:tc>
          <w:tcPr>
            <w:tcW w:w="652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3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12.13.</w:t>
            </w:r>
          </w:p>
        </w:tc>
        <w:tc>
          <w:tcPr>
            <w:tcW w:w="6520" w:type="dxa"/>
            <w:vAlign w:val="bottom"/>
          </w:tcPr>
          <w:p>
            <w:pPr>
              <w:ind w:left="120"/>
              <w:spacing w:after="0"/>
              <w:rPr>
                <w:sz w:val="20"/>
                <w:szCs w:val="20"/>
                <w:color w:val="auto"/>
              </w:rPr>
            </w:pPr>
            <w:r>
              <w:rPr>
                <w:rFonts w:ascii="Arial" w:cs="Arial" w:eastAsia="Arial" w:hAnsi="Arial"/>
                <w:sz w:val="18"/>
                <w:szCs w:val="18"/>
                <w:color w:val="auto"/>
              </w:rPr>
              <w:t>Patriot Act.</w:t>
            </w:r>
          </w:p>
        </w:tc>
        <w:tc>
          <w:tcPr>
            <w:tcW w:w="3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12.14.</w:t>
            </w:r>
          </w:p>
        </w:tc>
        <w:tc>
          <w:tcPr>
            <w:tcW w:w="65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12.15.</w:t>
            </w:r>
          </w:p>
        </w:tc>
        <w:tc>
          <w:tcPr>
            <w:tcW w:w="6520" w:type="dxa"/>
            <w:vAlign w:val="bottom"/>
          </w:tcPr>
          <w:p>
            <w:pPr>
              <w:ind w:left="120"/>
              <w:spacing w:after="0"/>
              <w:rPr>
                <w:sz w:val="20"/>
                <w:szCs w:val="20"/>
                <w:color w:val="auto"/>
              </w:rPr>
            </w:pPr>
            <w:r>
              <w:rPr>
                <w:rFonts w:ascii="Arial" w:cs="Arial" w:eastAsia="Arial" w:hAnsi="Arial"/>
                <w:sz w:val="18"/>
                <w:szCs w:val="18"/>
                <w:color w:val="auto"/>
              </w:rPr>
              <w:t>Obligations with Respect to Loan Parties.</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12.16.</w:t>
            </w:r>
          </w:p>
        </w:tc>
        <w:tc>
          <w:tcPr>
            <w:tcW w:w="6520" w:type="dxa"/>
            <w:vAlign w:val="bottom"/>
          </w:tcPr>
          <w:p>
            <w:pPr>
              <w:ind w:left="120"/>
              <w:spacing w:after="0"/>
              <w:rPr>
                <w:sz w:val="20"/>
                <w:szCs w:val="20"/>
                <w:color w:val="auto"/>
              </w:rPr>
            </w:pPr>
            <w:r>
              <w:rPr>
                <w:rFonts w:ascii="Arial" w:cs="Arial" w:eastAsia="Arial" w:hAnsi="Arial"/>
                <w:sz w:val="18"/>
                <w:szCs w:val="18"/>
                <w:color w:val="auto"/>
              </w:rPr>
              <w:t>Limitation of Liability.</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12.17.</w:t>
            </w:r>
          </w:p>
        </w:tc>
        <w:tc>
          <w:tcPr>
            <w:tcW w:w="652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12.18.</w:t>
            </w:r>
          </w:p>
        </w:tc>
        <w:tc>
          <w:tcPr>
            <w:tcW w:w="652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12.19.</w:t>
            </w:r>
          </w:p>
        </w:tc>
        <w:tc>
          <w:tcPr>
            <w:tcW w:w="6520" w:type="dxa"/>
            <w:vAlign w:val="bottom"/>
          </w:tcPr>
          <w:p>
            <w:pPr>
              <w:ind w:left="120"/>
              <w:spacing w:after="0"/>
              <w:rPr>
                <w:sz w:val="20"/>
                <w:szCs w:val="20"/>
                <w:color w:val="auto"/>
              </w:rPr>
            </w:pPr>
            <w:r>
              <w:rPr>
                <w:rFonts w:ascii="Arial" w:cs="Arial" w:eastAsia="Arial" w:hAnsi="Arial"/>
                <w:sz w:val="18"/>
                <w:szCs w:val="18"/>
                <w:color w:val="auto"/>
              </w:rPr>
              <w:t>Limitation of Liability of Trustees, Etc.</w:t>
            </w:r>
          </w:p>
        </w:tc>
        <w:tc>
          <w:tcPr>
            <w:tcW w:w="32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2"/>
        </w:trPr>
        <w:tc>
          <w:tcPr>
            <w:tcW w:w="1680" w:type="dxa"/>
            <w:vAlign w:val="bottom"/>
          </w:tcPr>
          <w:p>
            <w:pPr>
              <w:spacing w:after="0"/>
              <w:rPr>
                <w:sz w:val="20"/>
                <w:szCs w:val="20"/>
                <w:color w:val="auto"/>
              </w:rPr>
            </w:pPr>
            <w:r>
              <w:rPr>
                <w:rFonts w:ascii="Arial" w:cs="Arial" w:eastAsia="Arial" w:hAnsi="Arial"/>
                <w:sz w:val="18"/>
                <w:szCs w:val="18"/>
                <w:color w:val="auto"/>
              </w:rPr>
              <w:t>SCHEDULE 1</w:t>
            </w:r>
          </w:p>
        </w:tc>
        <w:tc>
          <w:tcPr>
            <w:tcW w:w="6520" w:type="dxa"/>
            <w:vAlign w:val="bottom"/>
          </w:tcPr>
          <w:p>
            <w:pPr>
              <w:ind w:left="620"/>
              <w:spacing w:after="0"/>
              <w:rPr>
                <w:sz w:val="20"/>
                <w:szCs w:val="20"/>
                <w:color w:val="auto"/>
              </w:rPr>
            </w:pPr>
            <w:r>
              <w:rPr>
                <w:rFonts w:ascii="Arial" w:cs="Arial" w:eastAsia="Arial" w:hAnsi="Arial"/>
                <w:sz w:val="18"/>
                <w:szCs w:val="18"/>
                <w:color w:val="auto"/>
              </w:rPr>
              <w:t>Commitments</w:t>
            </w:r>
          </w:p>
        </w:tc>
        <w:tc>
          <w:tcPr>
            <w:tcW w:w="3220" w:type="dxa"/>
            <w:vAlign w:val="bottom"/>
          </w:tcPr>
          <w:p>
            <w:pPr>
              <w:spacing w:after="0"/>
              <w:rPr>
                <w:sz w:val="24"/>
                <w:szCs w:val="24"/>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1.1(A)</w:t>
            </w:r>
          </w:p>
        </w:tc>
        <w:tc>
          <w:tcPr>
            <w:tcW w:w="6520" w:type="dxa"/>
            <w:vAlign w:val="bottom"/>
          </w:tcPr>
          <w:p>
            <w:pPr>
              <w:ind w:left="620"/>
              <w:spacing w:after="0"/>
              <w:rPr>
                <w:sz w:val="20"/>
                <w:szCs w:val="20"/>
                <w:color w:val="auto"/>
              </w:rPr>
            </w:pPr>
            <w:r>
              <w:rPr>
                <w:rFonts w:ascii="Arial" w:cs="Arial" w:eastAsia="Arial" w:hAnsi="Arial"/>
                <w:sz w:val="18"/>
                <w:szCs w:val="18"/>
                <w:color w:val="auto"/>
              </w:rPr>
              <w:t>List of Loan Parties</w:t>
            </w:r>
          </w:p>
        </w:tc>
        <w:tc>
          <w:tcPr>
            <w:tcW w:w="32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6.1.(b)</w:t>
            </w:r>
          </w:p>
        </w:tc>
        <w:tc>
          <w:tcPr>
            <w:tcW w:w="6520" w:type="dxa"/>
            <w:vAlign w:val="bottom"/>
          </w:tcPr>
          <w:p>
            <w:pPr>
              <w:ind w:left="620"/>
              <w:spacing w:after="0"/>
              <w:rPr>
                <w:sz w:val="20"/>
                <w:szCs w:val="20"/>
                <w:color w:val="auto"/>
              </w:rPr>
            </w:pPr>
            <w:r>
              <w:rPr>
                <w:rFonts w:ascii="Arial" w:cs="Arial" w:eastAsia="Arial" w:hAnsi="Arial"/>
                <w:sz w:val="18"/>
                <w:szCs w:val="18"/>
                <w:color w:val="auto"/>
              </w:rPr>
              <w:t>Ownership Structure</w:t>
            </w:r>
          </w:p>
        </w:tc>
        <w:tc>
          <w:tcPr>
            <w:tcW w:w="32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6.1.(f)</w:t>
            </w:r>
          </w:p>
        </w:tc>
        <w:tc>
          <w:tcPr>
            <w:tcW w:w="6520" w:type="dxa"/>
            <w:vAlign w:val="bottom"/>
          </w:tcPr>
          <w:p>
            <w:pPr>
              <w:ind w:left="620"/>
              <w:spacing w:after="0"/>
              <w:rPr>
                <w:sz w:val="20"/>
                <w:szCs w:val="20"/>
                <w:color w:val="auto"/>
              </w:rPr>
            </w:pPr>
            <w:r>
              <w:rPr>
                <w:rFonts w:ascii="Arial" w:cs="Arial" w:eastAsia="Arial" w:hAnsi="Arial"/>
                <w:sz w:val="18"/>
                <w:szCs w:val="18"/>
                <w:color w:val="auto"/>
              </w:rPr>
              <w:t>Title to Properties; Liens</w:t>
            </w:r>
          </w:p>
        </w:tc>
        <w:tc>
          <w:tcPr>
            <w:tcW w:w="32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6.1.(g)</w:t>
            </w:r>
          </w:p>
        </w:tc>
        <w:tc>
          <w:tcPr>
            <w:tcW w:w="6520" w:type="dxa"/>
            <w:vAlign w:val="bottom"/>
          </w:tcPr>
          <w:p>
            <w:pPr>
              <w:ind w:left="620"/>
              <w:spacing w:after="0"/>
              <w:rPr>
                <w:sz w:val="20"/>
                <w:szCs w:val="20"/>
                <w:color w:val="auto"/>
              </w:rPr>
            </w:pPr>
            <w:r>
              <w:rPr>
                <w:rFonts w:ascii="Arial" w:cs="Arial" w:eastAsia="Arial" w:hAnsi="Arial"/>
                <w:sz w:val="18"/>
                <w:szCs w:val="18"/>
                <w:color w:val="auto"/>
              </w:rPr>
              <w:t>Indebtedness and Guaranties</w:t>
            </w:r>
          </w:p>
        </w:tc>
        <w:tc>
          <w:tcPr>
            <w:tcW w:w="32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6.1.(h)</w:t>
            </w:r>
          </w:p>
        </w:tc>
        <w:tc>
          <w:tcPr>
            <w:tcW w:w="6520" w:type="dxa"/>
            <w:vAlign w:val="bottom"/>
          </w:tcPr>
          <w:p>
            <w:pPr>
              <w:ind w:left="620"/>
              <w:spacing w:after="0"/>
              <w:rPr>
                <w:sz w:val="20"/>
                <w:szCs w:val="20"/>
                <w:color w:val="auto"/>
              </w:rPr>
            </w:pPr>
            <w:r>
              <w:rPr>
                <w:rFonts w:ascii="Arial" w:cs="Arial" w:eastAsia="Arial" w:hAnsi="Arial"/>
                <w:sz w:val="18"/>
                <w:szCs w:val="18"/>
                <w:color w:val="auto"/>
              </w:rPr>
              <w:t>Litigation</w:t>
            </w:r>
          </w:p>
        </w:tc>
        <w:tc>
          <w:tcPr>
            <w:tcW w:w="3220" w:type="dxa"/>
            <w:vAlign w:val="bottom"/>
          </w:tcPr>
          <w:p>
            <w:pPr>
              <w:spacing w:after="0"/>
              <w:rPr>
                <w:sz w:val="18"/>
                <w:szCs w:val="18"/>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SCHEDULE 6.1.(x)</w:t>
            </w:r>
          </w:p>
        </w:tc>
        <w:tc>
          <w:tcPr>
            <w:tcW w:w="6520" w:type="dxa"/>
            <w:vAlign w:val="bottom"/>
          </w:tcPr>
          <w:p>
            <w:pPr>
              <w:ind w:left="620"/>
              <w:spacing w:after="0"/>
              <w:rPr>
                <w:sz w:val="20"/>
                <w:szCs w:val="20"/>
                <w:color w:val="auto"/>
              </w:rPr>
            </w:pPr>
            <w:r>
              <w:rPr>
                <w:rFonts w:ascii="Arial" w:cs="Arial" w:eastAsia="Arial" w:hAnsi="Arial"/>
                <w:sz w:val="18"/>
                <w:szCs w:val="18"/>
                <w:color w:val="auto"/>
              </w:rPr>
              <w:t>Unencumbered Assets</w:t>
            </w:r>
          </w:p>
        </w:tc>
        <w:tc>
          <w:tcPr>
            <w:tcW w:w="322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420"/>
          </w:cols>
          <w:pgMar w:left="240" w:top="279" w:right="239" w:bottom="1440" w:gutter="0" w:footer="0" w:header="0"/>
        </w:sectPr>
      </w:pPr>
    </w:p>
    <w:bookmarkStart w:id="408" w:name="page409"/>
    <w:bookmarkEnd w:id="408"/>
    <w:p>
      <w:pP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Form of Assignment and Acceptance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-197485</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Continuation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Guaranty</w:t>
      </w:r>
    </w:p>
    <w:p>
      <w:pPr>
        <w:spacing w:after="0" w:line="151" w:lineRule="exact"/>
        <w:rPr>
          <w:sz w:val="20"/>
          <w:szCs w:val="20"/>
          <w:color w:val="auto"/>
        </w:rPr>
      </w:pPr>
    </w:p>
    <w:p>
      <w:pPr>
        <w:sectPr>
          <w:pgSz w:w="11900" w:h="16838" w:orient="portrait"/>
          <w:cols w:equalWidth="0" w:num="2">
            <w:col w:w="1580" w:space="720"/>
            <w:col w:w="7919"/>
          </w:cols>
          <w:pgMar w:left="240" w:top="279" w:right="1440" w:bottom="1440" w:gutter="0" w:footer="0" w:header="0"/>
        </w:sectPr>
      </w:pPr>
    </w:p>
    <w:p>
      <w:pPr>
        <w:ind w:left="5540"/>
        <w:spacing w:after="0"/>
        <w:rPr>
          <w:sz w:val="20"/>
          <w:szCs w:val="20"/>
          <w:color w:val="auto"/>
        </w:rPr>
      </w:pPr>
      <w:r>
        <w:rPr>
          <w:rFonts w:ascii="Arial" w:cs="Arial" w:eastAsia="Arial" w:hAnsi="Arial"/>
          <w:sz w:val="16"/>
          <w:szCs w:val="16"/>
          <w:color w:val="auto"/>
        </w:rPr>
        <w:t>- iv -</w:t>
      </w:r>
    </w:p>
    <w:p>
      <w:pPr>
        <w:sectPr>
          <w:pgSz w:w="11900" w:h="16838" w:orient="portrait"/>
          <w:cols w:equalWidth="0" w:num="1">
            <w:col w:w="10219"/>
          </w:cols>
          <w:pgMar w:left="240" w:top="279" w:right="1440" w:bottom="1440" w:gutter="0" w:footer="0" w:header="0"/>
          <w:type w:val="continuous"/>
        </w:sectPr>
      </w:pPr>
    </w:p>
    <w:bookmarkStart w:id="409" w:name="page410"/>
    <w:bookmarkEnd w:id="40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CREDIT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4, 2009, by and among FEDERAL REALTY INVESTMENT TRUST, a real estate investment trust formed under the laws of the State of Maryland (the “</w:t>
      </w:r>
      <w:r>
        <w:rPr>
          <w:rFonts w:ascii="Arial" w:cs="Arial" w:eastAsia="Arial" w:hAnsi="Arial"/>
          <w:sz w:val="18"/>
          <w:szCs w:val="18"/>
          <w:b w:val="1"/>
          <w:bCs w:val="1"/>
          <w:color w:val="auto"/>
        </w:rPr>
        <w:t>Borrower</w:t>
      </w:r>
      <w:r>
        <w:rPr>
          <w:rFonts w:ascii="Arial" w:cs="Arial" w:eastAsia="Arial" w:hAnsi="Arial"/>
          <w:sz w:val="18"/>
          <w:szCs w:val="18"/>
          <w:color w:val="auto"/>
        </w:rPr>
        <w:t>”), each of the financial institutions initially a signatory hereto together with their assignees pursuant to Section 12.5.(b), each of WACHOVIA CAPITAL MARKETS, LLC and PNC CAPITAL MARKETS LLC, as a Lead Arranger and Book Manager (each an “</w:t>
      </w:r>
      <w:r>
        <w:rPr>
          <w:rFonts w:ascii="Arial" w:cs="Arial" w:eastAsia="Arial" w:hAnsi="Arial"/>
          <w:sz w:val="18"/>
          <w:szCs w:val="18"/>
          <w:b w:val="1"/>
          <w:bCs w:val="1"/>
          <w:color w:val="auto"/>
        </w:rPr>
        <w:t>Arranger</w:t>
      </w:r>
      <w:r>
        <w:rPr>
          <w:rFonts w:ascii="Arial" w:cs="Arial" w:eastAsia="Arial" w:hAnsi="Arial"/>
          <w:sz w:val="18"/>
          <w:szCs w:val="18"/>
          <w:color w:val="auto"/>
        </w:rPr>
        <w:t>”), WACHOVIA BANK, NATIONAL ASSOCIATION, as Agent, PNC BANK, NATIONAL ASSOCIATION, as Syndication Agent (the “</w:t>
      </w:r>
      <w:r>
        <w:rPr>
          <w:rFonts w:ascii="Arial" w:cs="Arial" w:eastAsia="Arial" w:hAnsi="Arial"/>
          <w:sz w:val="18"/>
          <w:szCs w:val="18"/>
          <w:b w:val="1"/>
          <w:bCs w:val="1"/>
          <w:color w:val="auto"/>
        </w:rPr>
        <w:t>Syndication Agent</w:t>
      </w:r>
      <w:r>
        <w:rPr>
          <w:rFonts w:ascii="Arial" w:cs="Arial" w:eastAsia="Arial" w:hAnsi="Arial"/>
          <w:sz w:val="18"/>
          <w:szCs w:val="18"/>
          <w:color w:val="auto"/>
        </w:rPr>
        <w:t>”), and each of JPMORGAN CHASE BANK, N.A., REGIONS BANK and SUNTRUST BANK, as a Documentation Agent (each a “</w:t>
      </w:r>
      <w:r>
        <w:rPr>
          <w:rFonts w:ascii="Arial" w:cs="Arial" w:eastAsia="Arial" w:hAnsi="Arial"/>
          <w:sz w:val="18"/>
          <w:szCs w:val="18"/>
          <w:b w:val="1"/>
          <w:bCs w:val="1"/>
          <w:color w:val="auto"/>
        </w:rPr>
        <w:t>Documentation Agent</w:t>
      </w:r>
      <w:r>
        <w:rPr>
          <w:rFonts w:ascii="Arial" w:cs="Arial" w:eastAsia="Arial" w:hAnsi="Arial"/>
          <w:sz w:val="18"/>
          <w:szCs w:val="18"/>
          <w:color w:val="auto"/>
        </w:rPr>
        <w:t>”).</w:t>
      </w:r>
    </w:p>
    <w:p>
      <w:pPr>
        <w:spacing w:after="0" w:line="14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Lenders desire to make available to the Borrower a term loan facility in the aggregate principal amount of $372,000,000, all on the terms and conditions contained herein.</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 D</w:t>
      </w:r>
      <w:r>
        <w:rPr>
          <w:rFonts w:ascii="Arial" w:cs="Arial" w:eastAsia="Arial" w:hAnsi="Arial"/>
          <w:sz w:val="14"/>
          <w:szCs w:val="14"/>
          <w:b w:val="1"/>
          <w:bCs w:val="1"/>
          <w:color w:val="auto"/>
        </w:rPr>
        <w:t>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terms defined elsewhere herein, the following terms shall have the following meanings for the purposes of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Agreement</w:t>
      </w:r>
      <w:r>
        <w:rPr>
          <w:rFonts w:ascii="Arial" w:cs="Arial" w:eastAsia="Arial" w:hAnsi="Arial"/>
          <w:sz w:val="18"/>
          <w:szCs w:val="18"/>
          <w:color w:val="auto"/>
        </w:rPr>
        <w:t>” means an Accession Agreement substantially in the form of Annex I to the Guaranty.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has the meaning given that term in Section 4.1.</w:t>
      </w:r>
    </w:p>
    <w:p>
      <w:pPr>
        <w:spacing w:after="0" w:line="171"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means, for any given period, (a) the EBITDA of the Borrower and its Subsidiaries determined on a consolidated basis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Capital Reserves.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Eurodollar Rate</w:t>
      </w:r>
      <w:r>
        <w:rPr>
          <w:rFonts w:ascii="Arial" w:cs="Arial" w:eastAsia="Arial" w:hAnsi="Arial"/>
          <w:sz w:val="18"/>
          <w:szCs w:val="18"/>
          <w:color w:val="auto"/>
        </w:rPr>
        <w:t>” means, with respect to each Interest Period for any LIBOR Loan, the rate obtained by dividing (a) LIBOR for such Interest Period by (b) a percentage equal to 1 minus the stated maximum rate (stated as a decimal) of all reserves, if any, required to be maintained with respect to Eurocurrency funding (currently as referred to “Eurocurrency liabilities”) as specified in Regulation D of the Board of Governors of the Federal Reserve System (or against any other category of liabilities which includes deposits by reference to which the interest rate on LIBOR Loans is determined or any applicable category of extensions of credit or other assets which includes loans by an office of any Lender outside of the United States of America to residents of the United States of America). Any change in such maximum rate shall result in a change in the Adjusted Eurodollar Rate on the date on which such change in such maximum rate becomes effective. Notwithstanding the foregoing, “Adjusted Eurodollar Rate” shall not, in any event, be less than one and one-half percent (1.50%).</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410" w:name="page411"/>
    <w:bookmarkEnd w:id="410"/>
    <w:p>
      <w:pPr>
        <w:ind w:right="2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Adjusted Total Asset Value</w:t>
      </w:r>
      <w:r>
        <w:rPr>
          <w:rFonts w:ascii="Arial" w:cs="Arial" w:eastAsia="Arial" w:hAnsi="Arial"/>
          <w:sz w:val="18"/>
          <w:szCs w:val="18"/>
          <w:color w:val="auto"/>
        </w:rPr>
        <w:t>” means Total Asset Value determined exclusive of assets that are owned by (a) Excluded Subsidiaries, (b) Unconsolidated Affiliates and (c) the Specified Non-Wholly Owned Subsidiaries.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the Agent to the Lenders from time to time.</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 with respect to the Borrower, any Person (other than the Agent or any Lender): (i) directly or indirectly controlling, controlled by, or under common control with, the Borrower; (ii) directly or indirectly owning or holding 10.0% or more (or 12.0% or more in the case of Morgan Stanley and its affiliates) of any Equity Interest in the Borrower; or (iii) 10.0% or more (or 12.0% or more in the case of Morgan Stanley and its affiliates) of whose voting stock or other Equity Interest is directly or indirectly owned or held by the Borrower; and (b) with respect to any other specified Person, another Person that directly, or indirectly through one or more intermediaries, controls or is controlled by or is under common control with the Person specified. For purposes of this definition, “control” (including with correlative meanings, the terms “controlling,” “controlled by” and “under common control with”) means the possession directly or indirectly of the power to direct or cause the direction of the management and policies of a Person, whether through the ownership of voting securities or by contract or otherwise. The Affiliates of a Person shall include any officer or director of such Person. In no event shall the Agent or any Lender be deemed to be an Affiliate of the Borrower.</w:t>
      </w:r>
    </w:p>
    <w:p>
      <w:pPr>
        <w:spacing w:after="0" w:line="113"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Wachovia Bank, National Association, as contractual representative for the Lenders under the terms of this Agreement, and any of its successors.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means the date as of which this Agreement is dated.</w:t>
      </w:r>
    </w:p>
    <w:p>
      <w:pPr>
        <w:spacing w:after="0" w:line="17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all applicable provisions of constitutions, statutes, rules, regulations and orders of all governmental bodies and all orders and decrees of all courts, tribunals and arbitrators.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means the percentage per annum determined, at any time, based on the range into which the Borrower’s Credit Rating then falls, in accordance with the levels in the table set forth below (each a “</w:t>
      </w:r>
      <w:r>
        <w:rPr>
          <w:rFonts w:ascii="Arial" w:cs="Arial" w:eastAsia="Arial" w:hAnsi="Arial"/>
          <w:sz w:val="16"/>
          <w:szCs w:val="16"/>
          <w:b w:val="1"/>
          <w:bCs w:val="1"/>
          <w:color w:val="auto"/>
        </w:rPr>
        <w:t>Level</w:t>
      </w:r>
      <w:r>
        <w:rPr>
          <w:rFonts w:ascii="Arial" w:cs="Arial" w:eastAsia="Arial" w:hAnsi="Arial"/>
          <w:sz w:val="16"/>
          <w:szCs w:val="16"/>
          <w:color w:val="auto"/>
        </w:rPr>
        <w:t>”). Any change in the Borrower’s Credit Rating which would cause it to move to a different Level in such table shall effect a change in the Applicable Margin on the Business Day on which such change occurs. During any period that the Borrower has received Credit Ratings that are not equivalent, the Applicable Margin shall be determined by the higher of such two Credit Ratings unless such two Credit Ratings are separated by more than one Level, in which case the Applicable Margin shall be determined by the Level immediately below the higher of such two Credit Ratings. During any period for which the Borrower has received a Credit Rating from only one Rating Agency, then the Applicable Margin shall be determined based on such Credit Rating. During any period for which the Borrower has not received a Credit Rating from either Rating Agency, then the Applicable Margin shall be determined based on Level 5. As of the Agreement Date, and thereafter until changed as provided above, the Applicable Margin is determined based on Level 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411" w:name="page412"/>
    <w:bookmarkEnd w:id="411"/>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w w:val="92"/>
              </w:rPr>
              <w:t>Borrower’s Credit</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Rating</w:t>
            </w:r>
          </w:p>
        </w:tc>
        <w:tc>
          <w:tcPr>
            <w:tcW w:w="960" w:type="dxa"/>
            <w:vAlign w:val="bottom"/>
          </w:tcPr>
          <w:p>
            <w:pPr>
              <w:spacing w:after="0"/>
              <w:rPr>
                <w:sz w:val="12"/>
                <w:szCs w:val="12"/>
                <w:color w:val="auto"/>
              </w:rPr>
            </w:pPr>
          </w:p>
        </w:tc>
        <w:tc>
          <w:tcPr>
            <w:tcW w:w="248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w w:val="89"/>
              </w:rPr>
              <w:t>Applicable Margin for</w:t>
            </w:r>
          </w:p>
        </w:tc>
        <w:tc>
          <w:tcPr>
            <w:tcW w:w="15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Applicable Margin for</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89"/>
              </w:rPr>
              <w:t>Level</w:t>
            </w:r>
          </w:p>
        </w:tc>
        <w:tc>
          <w:tcPr>
            <w:tcW w:w="40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(S&amp;P/Moody’s)</w:t>
            </w:r>
          </w:p>
        </w:tc>
        <w:tc>
          <w:tcPr>
            <w:tcW w:w="960" w:type="dxa"/>
            <w:vAlign w:val="bottom"/>
          </w:tcPr>
          <w:p>
            <w:pPr>
              <w:spacing w:after="0"/>
              <w:rPr>
                <w:sz w:val="14"/>
                <w:szCs w:val="14"/>
                <w:color w:val="auto"/>
              </w:rPr>
            </w:pPr>
          </w:p>
        </w:tc>
        <w:tc>
          <w:tcPr>
            <w:tcW w:w="248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LIBOR Loans</w:t>
            </w: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Base Rate Loans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A-/A3</w:t>
            </w:r>
          </w:p>
        </w:tc>
        <w:tc>
          <w:tcPr>
            <w:tcW w:w="9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2.75%</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5200" w:type="dxa"/>
            <w:vAlign w:val="bottom"/>
            <w:gridSpan w:val="2"/>
          </w:tcPr>
          <w:p>
            <w:pPr>
              <w:ind w:left="4080"/>
              <w:spacing w:after="0"/>
              <w:rPr>
                <w:sz w:val="20"/>
                <w:szCs w:val="20"/>
                <w:color w:val="auto"/>
              </w:rPr>
            </w:pPr>
            <w:r>
              <w:rPr>
                <w:rFonts w:ascii="Arial" w:cs="Arial" w:eastAsia="Arial" w:hAnsi="Arial"/>
                <w:sz w:val="18"/>
                <w:szCs w:val="18"/>
                <w:color w:val="auto"/>
              </w:rPr>
              <w:t>BBB+/Baa1</w:t>
            </w:r>
          </w:p>
        </w:tc>
        <w:tc>
          <w:tcPr>
            <w:tcW w:w="3440" w:type="dxa"/>
            <w:vAlign w:val="bottom"/>
            <w:gridSpan w:val="3"/>
          </w:tcPr>
          <w:p>
            <w:pPr>
              <w:jc w:val="right"/>
              <w:ind w:right="1020"/>
              <w:spacing w:after="0"/>
              <w:rPr>
                <w:sz w:val="20"/>
                <w:szCs w:val="20"/>
                <w:color w:val="auto"/>
              </w:rPr>
            </w:pPr>
            <w:r>
              <w:rPr>
                <w:rFonts w:ascii="Arial" w:cs="Arial" w:eastAsia="Arial" w:hAnsi="Arial"/>
                <w:sz w:val="18"/>
                <w:szCs w:val="18"/>
                <w:color w:val="auto"/>
              </w:rPr>
              <w:t>3.00%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20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BBB/Baa2</w:t>
            </w:r>
          </w:p>
        </w:tc>
        <w:tc>
          <w:tcPr>
            <w:tcW w:w="34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3.25%</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5200" w:type="dxa"/>
            <w:vAlign w:val="bottom"/>
            <w:gridSpan w:val="2"/>
          </w:tcPr>
          <w:p>
            <w:pPr>
              <w:ind w:left="4080"/>
              <w:spacing w:after="0"/>
              <w:rPr>
                <w:sz w:val="20"/>
                <w:szCs w:val="20"/>
                <w:color w:val="auto"/>
              </w:rPr>
            </w:pPr>
            <w:r>
              <w:rPr>
                <w:rFonts w:ascii="Arial" w:cs="Arial" w:eastAsia="Arial" w:hAnsi="Arial"/>
                <w:sz w:val="18"/>
                <w:szCs w:val="18"/>
                <w:color w:val="auto"/>
              </w:rPr>
              <w:t>BBB-/Baa3</w:t>
            </w:r>
          </w:p>
        </w:tc>
        <w:tc>
          <w:tcPr>
            <w:tcW w:w="3440" w:type="dxa"/>
            <w:vAlign w:val="bottom"/>
            <w:gridSpan w:val="3"/>
          </w:tcPr>
          <w:p>
            <w:pPr>
              <w:jc w:val="right"/>
              <w:ind w:right="1020"/>
              <w:spacing w:after="0"/>
              <w:rPr>
                <w:sz w:val="20"/>
                <w:szCs w:val="20"/>
                <w:color w:val="auto"/>
              </w:rPr>
            </w:pPr>
            <w:r>
              <w:rPr>
                <w:rFonts w:ascii="Arial" w:cs="Arial" w:eastAsia="Arial" w:hAnsi="Arial"/>
                <w:sz w:val="18"/>
                <w:szCs w:val="18"/>
                <w:color w:val="auto"/>
              </w:rPr>
              <w:t>3.50%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520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&lt; BBB-/Baa3</w:t>
            </w:r>
          </w:p>
        </w:tc>
        <w:tc>
          <w:tcPr>
            <w:tcW w:w="34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4.25%</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6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managed and controlled by (a) a Lender, (b) an Affiliate of a Lender or (c) an entity or an Affiliate of an entity that administers or manages a Lender.</w:t>
      </w:r>
    </w:p>
    <w:p>
      <w:pPr>
        <w:spacing w:after="0" w:line="120"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 means each of Wachovia Capital Markets, LLC and PNC Capital Markets LLC, together with their respective successors and permitted assigns.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w:t>
      </w:r>
      <w:r>
        <w:rPr>
          <w:rFonts w:ascii="Arial" w:cs="Arial" w:eastAsia="Arial" w:hAnsi="Arial"/>
          <w:sz w:val="18"/>
          <w:szCs w:val="18"/>
          <w:color w:val="auto"/>
        </w:rPr>
        <w:t>” has the meaning given that term in Section 12.5.(b).</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 Agreement</w:t>
      </w:r>
      <w:r>
        <w:rPr>
          <w:rFonts w:ascii="Arial" w:cs="Arial" w:eastAsia="Arial" w:hAnsi="Arial"/>
          <w:sz w:val="18"/>
          <w:szCs w:val="18"/>
          <w:color w:val="auto"/>
        </w:rPr>
        <w:t>” means an Assignment and Acceptance Agreement among a Lender, an Assignee and the Agent, substantially in the form of Exhibit A.</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xml:space="preserve">” means, on any date of determination, the per annum rate of interest equal to the greatest of (a) the Prime Rate on such date, (b) the Federal Funds Rate on such date plus one-half of one percent (0.50%) or (c) the Adjusted Eurodollar Rate that would be applicable for a LIBOR Loan having a one-month Interest Period commencing on such date (or if such date is not a Business Day, on the immediately preceding Business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by which the Applicable Margin for LIBOR Loans exceeds the Applicable Margin for Base Rate Loans. Any change in the Base Rate resulting from a change in the Prime Rate, the Federal Funds Rate or the Adjusted Eurodollar Rate shall become effective as of 12:01 a.m. on the Business Day on which each such change occurs. The Base Rate is a reference rate used by the Lender acting as the Agent in determining interest rates on certain loans and is not intended to be the lowest rate of interest charged by the Lender acting as the Agent or any other Lender on any extension of credit to any debtor.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Loan bearing interest at a rate based on the Base Rate.</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Arrangement</w:t>
      </w:r>
      <w:r>
        <w:rPr>
          <w:rFonts w:ascii="Arial" w:cs="Arial" w:eastAsia="Arial" w:hAnsi="Arial"/>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has the meaning set forth in the introductory paragraph hereof and shall include the Borrower’s successors and permitted assigns.</w:t>
      </w:r>
    </w:p>
    <w:p>
      <w:pPr>
        <w:spacing w:after="0" w:line="19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any day other than a Saturday, Sunday or other day on which banks in Charlotte, North Carolina or New York, New York are authorized or required to close and (b) with reference to a LIBOR Loan, any such day that is also a day on which dealings in Dollar deposits are carried out in the London interbank market.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63" w:right="259" w:bottom="1440" w:gutter="0" w:footer="0" w:header="0"/>
        </w:sectPr>
      </w:pPr>
    </w:p>
    <w:bookmarkStart w:id="412" w:name="page413"/>
    <w:bookmarkEnd w:id="412"/>
    <w:p>
      <w:pPr>
        <w:ind w:right="10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Capital Reserves</w:t>
      </w:r>
      <w:r>
        <w:rPr>
          <w:rFonts w:ascii="Arial" w:cs="Arial" w:eastAsia="Arial" w:hAnsi="Arial"/>
          <w:sz w:val="16"/>
          <w:szCs w:val="16"/>
          <w:color w:val="auto"/>
        </w:rPr>
        <w:t>” means, for any period and with respect to any: (a) portion of a Property developed with improvements utilized for the retail sale of goods or services, office space or other use (other than residential apartments), an amount equal to (i) $0.15 per square foot times (ii)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or</w:t>
      </w:r>
    </w:p>
    <w:p>
      <w:pPr>
        <w:spacing w:after="0" w:line="3" w:lineRule="exact"/>
        <w:rPr>
          <w:sz w:val="20"/>
          <w:szCs w:val="20"/>
          <w:color w:val="auto"/>
        </w:rPr>
      </w:pPr>
    </w:p>
    <w:p>
      <w:pPr>
        <w:jc w:val="both"/>
        <w:ind w:firstLine="8"/>
        <w:spacing w:after="0" w:line="254" w:lineRule="auto"/>
        <w:tabs>
          <w:tab w:leader="none" w:pos="24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Multifamily Property, an amount equal to (i) $200 per apartment unit in such Multifamily Property times (ii) a fraction, the numerator of which is the number of days in such period and the denominator of which is 365. If the term Capital Reserves is used without reference to any specific Property, then the amount shall be determined on an aggregate basis with respect to all Retail Properties and Multifamily Properties of the Borrower and its Subsidiaries and a proportionate share of all Retail and Multifamily Properties of all Unconsolidated Affiliates.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Capitalization Rate</w:t>
      </w:r>
      <w:r>
        <w:rPr>
          <w:rFonts w:ascii="Arial" w:cs="Arial" w:eastAsia="Arial" w:hAnsi="Arial"/>
          <w:sz w:val="18"/>
          <w:szCs w:val="18"/>
          <w:color w:val="auto"/>
        </w:rPr>
        <w:t>” means 8.00%.</w:t>
      </w:r>
    </w:p>
    <w:p>
      <w:pPr>
        <w:spacing w:after="0" w:line="171"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means an obligation under a lease that is required to be capitalized for financial reporting purposes in accordance with GAAP. The amount of a Capitalized Lease Obligation is the capitalized amount of such obligation as would be required to be reflected on the balance sheet prepared in accordance with GAAP of the applicable Person as of the applicable date.</w:t>
      </w:r>
    </w:p>
    <w:p>
      <w:pPr>
        <w:spacing w:after="0" w:line="132"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Equivalents</w:t>
      </w:r>
      <w:r>
        <w:rPr>
          <w:rFonts w:ascii="Arial" w:cs="Arial" w:eastAsia="Arial" w:hAnsi="Arial"/>
          <w:sz w:val="15"/>
          <w:szCs w:val="15"/>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Organization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w:t>
      </w:r>
    </w:p>
    <w:p>
      <w:pPr>
        <w:spacing w:after="0" w:line="4" w:lineRule="exact"/>
        <w:rPr>
          <w:sz w:val="20"/>
          <w:szCs w:val="20"/>
          <w:color w:val="auto"/>
        </w:rPr>
      </w:pPr>
    </w:p>
    <w:p>
      <w:pPr>
        <w:ind w:right="60" w:firstLine="8"/>
        <w:spacing w:after="0" w:line="261" w:lineRule="auto"/>
        <w:tabs>
          <w:tab w:leader="none" w:pos="23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investments in money market funds registered under the Investment Company Act of 1940, which have net assets of at least $500,000,000 and at least 85% of whose assets consist of securities and other obligations of the type described in clauses (a) through (d) above.</w:t>
      </w:r>
    </w:p>
    <w:p>
      <w:pPr>
        <w:spacing w:after="0" w:line="124" w:lineRule="exact"/>
        <w:rPr>
          <w:rFonts w:ascii="Arial" w:cs="Arial" w:eastAsia="Arial" w:hAnsi="Arial"/>
          <w:sz w:val="18"/>
          <w:szCs w:val="18"/>
          <w:color w:val="auto"/>
        </w:rPr>
      </w:pPr>
    </w:p>
    <w:p>
      <w:pPr>
        <w:ind w:left="5680" w:hanging="112"/>
        <w:spacing w:after="0"/>
        <w:tabs>
          <w:tab w:leader="none" w:pos="568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3" w:right="239" w:bottom="1440" w:gutter="0" w:footer="0" w:header="0"/>
        </w:sectPr>
      </w:pPr>
    </w:p>
    <w:bookmarkStart w:id="413" w:name="page414"/>
    <w:bookmarkEnd w:id="413"/>
    <w:p>
      <w:pPr>
        <w:ind w:right="3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Commitment</w:t>
      </w:r>
      <w:r>
        <w:rPr>
          <w:rFonts w:ascii="Arial" w:cs="Arial" w:eastAsia="Arial" w:hAnsi="Arial"/>
          <w:sz w:val="18"/>
          <w:szCs w:val="18"/>
          <w:color w:val="auto"/>
        </w:rPr>
        <w:t>” means, as to each Lender, such Lender’s obligation to make a Loan pursuant to Section 2.1. in an amount up to, but not exceeding, the amount set forth for such Lender on Schedule 1 attached hereto as such Lender’s “Commitment Amount.”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has the meaning given that term in Section 8.3.</w:t>
      </w:r>
    </w:p>
    <w:p>
      <w:pPr>
        <w:spacing w:after="0" w:line="171"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Construction-in-Process</w:t>
      </w:r>
      <w:r>
        <w:rPr>
          <w:rFonts w:ascii="Arial" w:cs="Arial" w:eastAsia="Arial" w:hAnsi="Arial"/>
          <w:sz w:val="16"/>
          <w:szCs w:val="16"/>
          <w:color w:val="auto"/>
        </w:rPr>
        <w:t>” means cash expenditures for land and improvements (including indirect costs internally allocated and development costs) in accordance with GAAP on all Properties that are under development or will commence development within twelve months from any date of determination.</w:t>
      </w:r>
    </w:p>
    <w:p>
      <w:pPr>
        <w:spacing w:after="0" w:line="7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Budget</w:t>
      </w:r>
      <w:r>
        <w:rPr>
          <w:rFonts w:ascii="Arial" w:cs="Arial" w:eastAsia="Arial" w:hAnsi="Arial"/>
          <w:sz w:val="18"/>
          <w:szCs w:val="18"/>
          <w:color w:val="auto"/>
        </w:rPr>
        <w:t>” means the fully-budgeted costs for the acquisition and construction of a given parcel of real property (including, without limitation, the cost of acquiring such parcel of real property, reserves for construction interest and operating deficits, tenant improvements, leasing commissions, and infrastructure costs) as reasonably determined by the Borrower in good faith.</w:t>
      </w:r>
    </w:p>
    <w:p>
      <w:pPr>
        <w:spacing w:after="0" w:line="132"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Continue,</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and “</w:t>
      </w:r>
      <w:r>
        <w:rPr>
          <w:rFonts w:ascii="Arial" w:cs="Arial" w:eastAsia="Arial" w:hAnsi="Arial"/>
          <w:sz w:val="18"/>
          <w:szCs w:val="18"/>
          <w:b w:val="1"/>
          <w:bCs w:val="1"/>
          <w:color w:val="auto"/>
        </w:rPr>
        <w:t>Continued</w:t>
      </w:r>
      <w:r>
        <w:rPr>
          <w:rFonts w:ascii="Arial" w:cs="Arial" w:eastAsia="Arial" w:hAnsi="Arial"/>
          <w:sz w:val="18"/>
          <w:szCs w:val="18"/>
          <w:color w:val="auto"/>
        </w:rPr>
        <w:t>” each refers to the continuation of a LIBOR Loan from one Interest Period to another Interest Period pursuant to Section 2.6.</w:t>
      </w:r>
    </w:p>
    <w:p>
      <w:pPr>
        <w:spacing w:after="0" w:line="12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Property</w:t>
      </w:r>
      <w:r>
        <w:rPr>
          <w:rFonts w:ascii="Arial" w:cs="Arial" w:eastAsia="Arial" w:hAnsi="Arial"/>
          <w:sz w:val="16"/>
          <w:szCs w:val="16"/>
          <w:color w:val="auto"/>
        </w:rPr>
        <w:t>” means a Property which is an Eligible Property that is owned in fee simple (or leased under a Ground Lease) by a Guarantor that is not a Wholly Owned Subsidiary and with respect to which the Borrower or such Guarantor has the right to take the following actions without the need to obtain the consent of any Person (other than the Requisite Lenders if required pursuant to this Agreement): (a) to create Liens on such Property as security for Indebtedness of the Borrower or such Guarantor, as applicable, and (b) to sell, convey, transfer or otherwise dispose of such Property.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and “</w:t>
      </w:r>
      <w:r>
        <w:rPr>
          <w:rFonts w:ascii="Arial" w:cs="Arial" w:eastAsia="Arial" w:hAnsi="Arial"/>
          <w:sz w:val="16"/>
          <w:szCs w:val="16"/>
          <w:b w:val="1"/>
          <w:bCs w:val="1"/>
          <w:color w:val="auto"/>
        </w:rPr>
        <w:t>Converted</w:t>
      </w:r>
      <w:r>
        <w:rPr>
          <w:rFonts w:ascii="Arial" w:cs="Arial" w:eastAsia="Arial" w:hAnsi="Arial"/>
          <w:sz w:val="16"/>
          <w:szCs w:val="16"/>
          <w:color w:val="auto"/>
        </w:rPr>
        <w:t>” each refers to the conversion of a Loan of one Type into a Loan of another Type pursuant to Section 2.7.</w:t>
      </w:r>
    </w:p>
    <w:p>
      <w:pPr>
        <w:spacing w:after="0" w:line="19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Percentage</w:t>
      </w:r>
      <w:r>
        <w:rPr>
          <w:rFonts w:ascii="Arial" w:cs="Arial" w:eastAsia="Arial" w:hAnsi="Arial"/>
          <w:sz w:val="18"/>
          <w:szCs w:val="18"/>
          <w:color w:val="auto"/>
        </w:rPr>
        <w:t>” means, as to each Lender, the ratio, expressed as a percentage, of (a) the unpaid principal amount of the Loan owing to such Lender to (b) the aggregate unpaid principal amount of all Loans.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Rating</w:t>
      </w:r>
      <w:r>
        <w:rPr>
          <w:rFonts w:ascii="Arial" w:cs="Arial" w:eastAsia="Arial" w:hAnsi="Arial"/>
          <w:sz w:val="18"/>
          <w:szCs w:val="18"/>
          <w:color w:val="auto"/>
        </w:rPr>
        <w:t>” means the rating assigned by a Rating Agency to the senior unsecured long term Indebtedness of the Borrower.</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of the events specified in Section 10.1., whether or not there has been satisfied any requirement for the giving of notice, the lapse of time, or both.</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 as reasonably determined by the Agent, that (a) has failed to pay over to the Agent or any other Lender any amount required to be paid by it hereunder within one Business Day of the date when due, unless such amount is the subject of a good faith dispute, or (b) has (or has a parent corporation that has) (i) become or is insolvent or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73" w:right="279" w:bottom="1440" w:gutter="0" w:footer="0" w:header="0"/>
        </w:sectPr>
      </w:pPr>
    </w:p>
    <w:bookmarkStart w:id="414" w:name="page415"/>
    <w:bookmarkEnd w:id="414"/>
    <w:p>
      <w:pPr>
        <w:ind w:right="80" w:firstLine="8"/>
        <w:spacing w:after="0" w:line="268" w:lineRule="auto"/>
        <w:tabs>
          <w:tab w:leader="none" w:pos="258"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become the subject of a bankruptcy or insolvency proceeding, or has had a receiver, conservator, trustee or custodian appointed for it, or has taken any action in furtherance of, or indicating its consent to, approval of or acquiescence in any such proceeding or appointment.</w:t>
      </w:r>
    </w:p>
    <w:p>
      <w:pPr>
        <w:spacing w:after="0" w:line="1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Contract</w:t>
      </w:r>
      <w:r>
        <w:rPr>
          <w:rFonts w:ascii="Arial" w:cs="Arial" w:eastAsia="Arial" w:hAnsi="Arial"/>
          <w:sz w:val="16"/>
          <w:szCs w:val="16"/>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13"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Termination Value</w:t>
      </w:r>
      <w:r>
        <w:rPr>
          <w:rFonts w:ascii="Arial" w:cs="Arial" w:eastAsia="Arial" w:hAnsi="Arial"/>
          <w:sz w:val="16"/>
          <w:szCs w:val="16"/>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Agent or any Lender).</w:t>
      </w:r>
    </w:p>
    <w:p>
      <w:pPr>
        <w:spacing w:after="0" w:line="108"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Property</w:t>
      </w:r>
      <w:r>
        <w:rPr>
          <w:rFonts w:ascii="Arial" w:cs="Arial" w:eastAsia="Arial" w:hAnsi="Arial"/>
          <w:sz w:val="16"/>
          <w:szCs w:val="16"/>
          <w:color w:val="auto"/>
        </w:rPr>
        <w:t>” means a Property (a) that otherwise qualifies as an Eligible Property, except that it is not yet a Retail Property or Multifamily Property, but it is being developed to become one, and (b) that is either (i) Construction-in-Process or (ii) an Unstabilized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(iv) extraordinary or non-recurring gains and losses;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Person’s Pro Rata Share of EBITDA of its Unconsolidated Affiliates. EBITDA will be adjusted to remove all impact of straight lining of rents.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80" w:right="279" w:bottom="1440" w:gutter="0" w:footer="0" w:header="0"/>
        </w:sectPr>
      </w:pPr>
    </w:p>
    <w:bookmarkStart w:id="415" w:name="page416"/>
    <w:bookmarkEnd w:id="415"/>
    <w:p>
      <w:pPr>
        <w:ind w:right="2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 (a) the Agreement Date; and (b) the date on which all of the conditions precedent set forth in Section 5.1. shall have been fulfilled or waived in writing by the Requisite Lenders.</w:t>
      </w:r>
    </w:p>
    <w:p>
      <w:pPr>
        <w:spacing w:after="0" w:line="120"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means (a) a Lender, (b) an Affiliate of a Lender, (c) an Approved Fund, and (d) any other Person (other than a natural person) approved by (i) the Agent and (ii) unless an Event of Default shall exist, the Borrower (each such approval not to be unreasonably withheld or delayed); provided that notwithstanding the foregoing, “Eligible Assignee” shall not include the Borrower or any of the Borrower’s Affiliates or Subsidiaries.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Property</w:t>
      </w:r>
      <w:r>
        <w:rPr>
          <w:rFonts w:ascii="Arial" w:cs="Arial" w:eastAsia="Arial" w:hAnsi="Arial"/>
          <w:sz w:val="16"/>
          <w:szCs w:val="16"/>
          <w:color w:val="auto"/>
        </w:rPr>
        <w:t>” means a Property which satisfies all of the following requirements: (a) such Property is a Retail Property or Multifamily Property;</w:t>
      </w:r>
    </w:p>
    <w:p>
      <w:pPr>
        <w:spacing w:after="0" w:line="44" w:lineRule="exact"/>
        <w:rPr>
          <w:sz w:val="20"/>
          <w:szCs w:val="20"/>
          <w:color w:val="auto"/>
        </w:rPr>
      </w:pPr>
    </w:p>
    <w:p>
      <w:pPr>
        <w:ind w:right="20" w:firstLine="8"/>
        <w:spacing w:after="0" w:line="300" w:lineRule="auto"/>
        <w:tabs>
          <w:tab w:leader="none" w:pos="249" w:val="left"/>
        </w:tabs>
        <w:numPr>
          <w:ilvl w:val="0"/>
          <w:numId w:val="298"/>
        </w:numPr>
        <w:rPr>
          <w:rFonts w:ascii="Arial" w:cs="Arial" w:eastAsia="Arial" w:hAnsi="Arial"/>
          <w:sz w:val="15"/>
          <w:szCs w:val="15"/>
          <w:color w:val="auto"/>
        </w:rPr>
      </w:pPr>
      <w:r>
        <w:rPr>
          <w:rFonts w:ascii="Arial" w:cs="Arial" w:eastAsia="Arial" w:hAnsi="Arial"/>
          <w:sz w:val="15"/>
          <w:szCs w:val="15"/>
          <w:color w:val="auto"/>
        </w:rPr>
        <w:t>neither such Property, nor any interest of the Borrower or any Subsidiary therein (and if such Property is owned by a Subsidiary, none of the Borrower’s direct or indirect ownership interests in such Subsidiary) is subject to any Lien other than Permitted Liens (excluding Permitted Liens of the type described in clauses</w:t>
      </w:r>
    </w:p>
    <w:p>
      <w:pPr>
        <w:ind w:right="60" w:firstLine="8"/>
        <w:spacing w:after="0" w:line="290" w:lineRule="auto"/>
        <w:tabs>
          <w:tab w:leader="none" w:pos="249"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and (h) of the definition thereof) or subject to any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such Property is (i)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1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and any applicable rule of common law and any judicial interpretation thereof relating primarily to the environment or Hazardous Materials.</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w:t>
      </w:r>
      <w:r>
        <w:rPr>
          <w:rFonts w:ascii="Arial" w:cs="Arial" w:eastAsia="Arial" w:hAnsi="Arial"/>
          <w:sz w:val="16"/>
          <w:szCs w:val="16"/>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4" w:right="259" w:bottom="1440" w:gutter="0" w:footer="0" w:header="0"/>
        </w:sectPr>
      </w:pPr>
    </w:p>
    <w:bookmarkStart w:id="416" w:name="page417"/>
    <w:bookmarkEnd w:id="416"/>
    <w:p>
      <w:pPr>
        <w:ind w:right="10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in effect from time to time.</w:t>
      </w:r>
    </w:p>
    <w:p>
      <w:pPr>
        <w:spacing w:after="0" w:line="17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3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specified in Section 10.1., provided that any requirement for notice or lapse of time or any other condition has been satisfied.</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any Subsidiary (a) holding title to assets which are or are to become collateral for any Secured Indebtedness of such Subsidiary; and (b) which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36" w:lineRule="exact"/>
        <w:rPr>
          <w:sz w:val="20"/>
          <w:szCs w:val="20"/>
          <w:color w:val="auto"/>
        </w:rPr>
      </w:pPr>
    </w:p>
    <w:p>
      <w:pPr>
        <w:ind w:right="6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Term Loan Agreement</w:t>
      </w:r>
      <w:r>
        <w:rPr>
          <w:rFonts w:ascii="Arial" w:cs="Arial" w:eastAsia="Arial" w:hAnsi="Arial"/>
          <w:sz w:val="16"/>
          <w:szCs w:val="16"/>
          <w:color w:val="auto"/>
        </w:rPr>
        <w:t>” means that certain Credit Agreement dated as of November 9, 2007 by and among the Borrower, the financial institutions party thereto as “Lenders”, Wachovia Bank, National Association, as Agent, and the other parties thereto.</w:t>
      </w:r>
    </w:p>
    <w:p>
      <w:pPr>
        <w:spacing w:after="0" w:line="74" w:lineRule="exact"/>
        <w:rPr>
          <w:sz w:val="20"/>
          <w:szCs w:val="20"/>
          <w:color w:val="auto"/>
        </w:rPr>
      </w:pPr>
    </w:p>
    <w:p>
      <w:pPr>
        <w:jc w:val="both"/>
        <w:ind w:right="2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with respect to (a) a security listed on a national securities exchange or the NASDAQ National Market, the price of such security as reported on such exchange by any widely recognized reporting method customarily relied upon by financial institutions and (b) with respect to any other property, the price which could be negotiated in an arm’s-length free market transaction, for cash, between a willing seller and a willing buyer, neither of which is under pressure or compulsion to complete the transaction.</w:t>
      </w:r>
    </w:p>
    <w:p>
      <w:pPr>
        <w:spacing w:after="0" w:line="13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means, for any day, the rate per annum (rounded upward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quoted to the Agent by federal funds dealers selected by the Agent on such day on such transaction as determined by the Agent.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4" w:right="279" w:bottom="1440" w:gutter="0" w:footer="0" w:header="0"/>
        </w:sectPr>
      </w:pPr>
    </w:p>
    <w:bookmarkStart w:id="417" w:name="page418"/>
    <w:bookmarkEnd w:id="417"/>
    <w:p>
      <w:pPr>
        <w:ind w:right="3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Fees</w:t>
      </w:r>
      <w:r>
        <w:rPr>
          <w:rFonts w:ascii="Arial" w:cs="Arial" w:eastAsia="Arial" w:hAnsi="Arial"/>
          <w:sz w:val="18"/>
          <w:szCs w:val="18"/>
          <w:color w:val="auto"/>
        </w:rPr>
        <w:t>” means the fees and commissions provided for or referred to in Section 3.6. and any other fees payable by the Borrower hereunder or under any other Loan Document.</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means, for any period, the sum of (a) Interest Expense of the Borrower and its Subsidiaries determined on a consolidated basis for such period, (b) all regularly scheduled principal payments made with respect to Indebtedness of the Borrower and its Subsidiaries during such period, other than any balloon, bullet or similar principal payment which repays such Indebtedness in full, and (c) all Preferred Dividends paid during such period. The Borrower’s Pro Rata Share of the Fixed Charges of Unconsolidated Affiliates (other than intercompany amounts) of the Borrower shall be included in determinations of Fixed Charges.</w:t>
      </w:r>
    </w:p>
    <w:p>
      <w:pPr>
        <w:spacing w:after="0" w:line="139"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 From Operations</w:t>
      </w:r>
      <w:r>
        <w:rPr>
          <w:rFonts w:ascii="Arial" w:cs="Arial" w:eastAsia="Arial" w:hAnsi="Arial"/>
          <w:sz w:val="18"/>
          <w:szCs w:val="18"/>
          <w:color w:val="auto"/>
        </w:rPr>
        <w:t>” means, for a given period, income of the Borrower and its Subsidiaries available for common shareholders before depreciation and amortization of real estate assets and before extraordinary items less gains and losses on sale of real estate determined on a consolidated basis in accordance with GAAP applied on a consistent basis for such period. Adjustments for Unconsolidated Affiliates will be calculated to reflect the Borrower’s pro rata share of funds from operations on the same basis.</w:t>
      </w:r>
    </w:p>
    <w:p>
      <w:pPr>
        <w:spacing w:after="0" w:line="13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which are applicable to the circumstances as of the date of determination.</w:t>
      </w:r>
    </w:p>
    <w:p>
      <w:pPr>
        <w:spacing w:after="0" w:line="13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authorizations, consents, approvals, licenses and exemptions of, registrations and filings with, and reports to, all Governmental Authorities.</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national, state or local government (whether domestic or foreign), any political subdivision thereof or any other governmental, quasi-governmental, judicial,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3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Ground Lease</w:t>
      </w:r>
      <w:r>
        <w:rPr>
          <w:rFonts w:ascii="Arial" w:cs="Arial" w:eastAsia="Arial" w:hAnsi="Arial"/>
          <w:sz w:val="18"/>
          <w:szCs w:val="18"/>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273" w:right="299" w:bottom="1440" w:gutter="0" w:footer="0" w:header="0"/>
        </w:sectPr>
      </w:pPr>
    </w:p>
    <w:bookmarkStart w:id="418" w:name="page419"/>
    <w:bookmarkEnd w:id="418"/>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134"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Person that is a party to the Guaranty as a “Guarantor” and in any event shall include each Material Subsidiary (unless an Excluded Subsidiary or a Subsidiary that owns any Non-Controlled Property.)</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w:t>
      </w:r>
      <w:r>
        <w:rPr>
          <w:rFonts w:ascii="Arial" w:cs="Arial" w:eastAsia="Arial" w:hAnsi="Arial"/>
          <w:sz w:val="16"/>
          <w:szCs w:val="16"/>
          <w:b w:val="1"/>
          <w:bCs w:val="1"/>
          <w:color w:val="auto"/>
        </w:rPr>
        <w:t>Guaranteed,</w:t>
      </w:r>
      <w:r>
        <w:rPr>
          <w:rFonts w:ascii="Arial" w:cs="Arial" w:eastAsia="Arial" w:hAnsi="Arial"/>
          <w:sz w:val="16"/>
          <w:szCs w:val="16"/>
          <w:color w:val="auto"/>
        </w:rPr>
        <w:t>” “</w:t>
      </w:r>
      <w:r>
        <w:rPr>
          <w:rFonts w:ascii="Arial" w:cs="Arial" w:eastAsia="Arial" w:hAnsi="Arial"/>
          <w:sz w:val="16"/>
          <w:szCs w:val="16"/>
          <w:b w:val="1"/>
          <w:bCs w:val="1"/>
          <w:color w:val="auto"/>
        </w:rPr>
        <w:t>Guarantying</w:t>
      </w:r>
      <w:r>
        <w:rPr>
          <w:rFonts w:ascii="Arial" w:cs="Arial" w:eastAsia="Arial" w:hAnsi="Arial"/>
          <w:sz w:val="16"/>
          <w:szCs w:val="16"/>
          <w:color w:val="auto"/>
        </w:rPr>
        <w:t>” or to “</w:t>
      </w:r>
      <w:r>
        <w:rPr>
          <w:rFonts w:ascii="Arial" w:cs="Arial" w:eastAsia="Arial" w:hAnsi="Arial"/>
          <w:sz w:val="16"/>
          <w:szCs w:val="16"/>
          <w:b w:val="1"/>
          <w:bCs w:val="1"/>
          <w:color w:val="auto"/>
        </w:rPr>
        <w:t>Guarantee</w:t>
      </w:r>
      <w:r>
        <w:rPr>
          <w:rFonts w:ascii="Arial" w:cs="Arial" w:eastAsia="Arial" w:hAnsi="Arial"/>
          <w:sz w:val="16"/>
          <w:szCs w:val="16"/>
          <w:color w:val="auto"/>
        </w:rPr>
        <w:t>”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 When not otherwise specified, “Guaranty” as used herein shall mean the Guaranty to which the Guarantors are parties substantially in the form of Exhibit H.</w:t>
      </w:r>
    </w:p>
    <w:p>
      <w:pPr>
        <w:spacing w:after="0" w:line="1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13"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 Person, at the time of computation thereof, all of the following (without duplication): (a) all obligations of such Person in respect of money borrowed; (b) accounts payable; (c) all obligations of such Person, whether or not for money borrowed (i) represented by notes payable, or drafts accepted, in each case representing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419" w:name="page420"/>
    <w:bookmarkEnd w:id="41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(d) Capitalized Lease Obligations of such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in an amount equal to the Derivatives Termination Value thereof; (j)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Pro Rata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Pro Rata Share of the ownership of such partnership or joint venture (except if such Indebtedness, or any portion thereof, is recourse to such Person, in which case the greater of such Person’s Pro Rata Share of such Indebtedness or the amount of the recourse portion of the Indebtedness, shall be included as Indebtedness of such Person). All Loans shall constitute Indebtedness of the Borrower.</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that term in Section 6.1.(s).</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Pro Rata Share of Interest Expense of Unconsolidated Affiliates for such period.</w:t>
      </w:r>
    </w:p>
    <w:p>
      <w:pPr>
        <w:spacing w:after="0" w:line="132" w:lineRule="exact"/>
        <w:rPr>
          <w:sz w:val="20"/>
          <w:szCs w:val="20"/>
          <w:color w:val="auto"/>
        </w:rPr>
      </w:pPr>
    </w:p>
    <w:p>
      <w:pPr>
        <w:ind w:right="1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Interest Period</w:t>
      </w:r>
      <w:r>
        <w:rPr>
          <w:rFonts w:ascii="Arial" w:cs="Arial" w:eastAsia="Arial" w:hAnsi="Arial"/>
          <w:sz w:val="15"/>
          <w:szCs w:val="15"/>
          <w:color w:val="auto"/>
        </w:rPr>
        <w:t>” means with respect to any LIBOR Loan, each period commencing on the date such LIBOR Loan is made, or in the case of the Continuation of a LIBOR Loan the last day of the preceding Interest Period for such Loan, and ending 1, 3 or 6 months thereafter, as the Borrower may select in the Notice of Borrowing, a Notice of Continuation or a Notice of Conversion, as the case may be, except that each Interest Period that commences on the last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420" w:name="page421"/>
    <w:bookmarkEnd w:id="42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Day of a calendar month, or on a day for which there is no corresponding day in the appropriate subsequent calendar month, shall end on the last Business Day of the appropriate subsequent calendar month. Notwithstanding the foregoing: (i) if any Interest Period would otherwise end after the Termination Date, such Interest Period shall end on the Termination Date and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means each financial institution from time to time party hereto as a “Lender”,” together with its respective successors and permitted assigns.</w:t>
      </w:r>
    </w:p>
    <w:p>
      <w:pPr>
        <w:spacing w:after="0" w:line="194"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for each Lender and for each Type of Loan, the office of such Lender specified in such Lender’s Administrative Questionnaire, or such other office of such Lender of which such Lender may notify the Agent in writing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w:t>
      </w:r>
      <w:r>
        <w:rPr>
          <w:rFonts w:ascii="Arial" w:cs="Arial" w:eastAsia="Arial" w:hAnsi="Arial"/>
          <w:sz w:val="18"/>
          <w:szCs w:val="18"/>
          <w:color w:val="auto"/>
        </w:rPr>
        <w:t>” has the meaning given that term in the definition of the term “Applicable Margin.”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any LIBOR Loan for any Interest Period therefor, the rate per annum (rounded upwards, if necessary, to the nearest 1/100 of 1%) appearing on Reuters Screen LIBOR01 Page (or any successor page) as the London interbank offered rate for deposits in Dollars at approximately 11:00 a.m. (London time) two Business Days prior to the first day of such Interest Period for a term comparable to such Interest Period. If for any reason such rate is not available, LIBOR shall be, for any Interest Period, the rate per annum reasonably determined by the Agent as the rate of interest at which Dollar deposits in the approximate amount of the LIBOR Loan comprising part of such borrowing would be offered by the Agent to major banks in the London interbank Eurodollar market at their request at or about 11:00 a.m. (London time) two Business Days prior to the first day of such Interest Period for a term comparable to such Interest Period.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79" w:right="259" w:bottom="1440" w:gutter="0" w:footer="0" w:header="0"/>
        </w:sectPr>
      </w:pPr>
    </w:p>
    <w:bookmarkStart w:id="421" w:name="page422"/>
    <w:bookmarkEnd w:id="4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LIBOR Loan</w:t>
      </w:r>
      <w:r>
        <w:rPr>
          <w:rFonts w:ascii="Arial" w:cs="Arial" w:eastAsia="Arial" w:hAnsi="Arial"/>
          <w:sz w:val="18"/>
          <w:szCs w:val="18"/>
          <w:color w:val="auto"/>
        </w:rPr>
        <w:t>” means a Loan bearing interest at a rate based on LIBOR.</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as applied to the property of any Person means: (a) any security interest, encumbrance, mortgage, deed to secure debt, deed of trust, assignment of leases and rents, pledge, lien,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(c) the filing of any financing statement under the Uniform Commercial Code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 and (d) any agreement by such Person to grant, give or otherwise convey any of the foregoing.</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by a Lender to the Borrower pursuant to Section 2.1.</w:t>
      </w:r>
    </w:p>
    <w:p>
      <w:pPr>
        <w:spacing w:after="0" w:line="171"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w:t>
      </w:r>
      <w:r>
        <w:rPr>
          <w:rFonts w:ascii="Arial" w:cs="Arial" w:eastAsia="Arial" w:hAnsi="Arial"/>
          <w:sz w:val="16"/>
          <w:szCs w:val="16"/>
          <w:color w:val="auto"/>
        </w:rPr>
        <w:t>” means this Agreement, each Note, the Guaranty and each other document or instrument (other than a Derivatives Contract) now or hereafter executed and delivered by a Loan Party in connection with, pursuant to or relating to this Agreement.</w:t>
      </w:r>
    </w:p>
    <w:p>
      <w:pPr>
        <w:spacing w:after="0" w:line="74" w:lineRule="exact"/>
        <w:rPr>
          <w:sz w:val="20"/>
          <w:szCs w:val="20"/>
          <w:color w:val="auto"/>
        </w:rPr>
      </w:pPr>
    </w:p>
    <w:p>
      <w:pPr>
        <w:ind w:right="38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 Party</w:t>
      </w:r>
      <w:r>
        <w:rPr>
          <w:rFonts w:ascii="Arial" w:cs="Arial" w:eastAsia="Arial" w:hAnsi="Arial"/>
          <w:sz w:val="15"/>
          <w:szCs w:val="15"/>
          <w:color w:val="auto"/>
        </w:rPr>
        <w:t xml:space="preserve">” means each of the Borrower and each other Person who guarantees all or a portion of the Obligations and/or who pledges any collateral security to secure all or a portion of the Obligations. </w:t>
      </w:r>
      <w:r>
        <w:rPr>
          <w:rFonts w:ascii="Arial" w:cs="Arial" w:eastAsia="Arial" w:hAnsi="Arial"/>
          <w:sz w:val="15"/>
          <w:szCs w:val="15"/>
          <w:u w:val="single" w:color="auto"/>
          <w:color w:val="auto"/>
        </w:rPr>
        <w:t>Schedule 1.1.(A</w:t>
      </w:r>
      <w:r>
        <w:rPr>
          <w:rFonts w:ascii="Arial" w:cs="Arial" w:eastAsia="Arial" w:hAnsi="Arial"/>
          <w:sz w:val="15"/>
          <w:szCs w:val="15"/>
          <w:color w:val="auto"/>
        </w:rPr>
        <w:t>) sets forth the Loan Parties in addition to the Borrower as of the Agreement Date.</w:t>
      </w:r>
    </w:p>
    <w:p>
      <w:pPr>
        <w:spacing w:after="0" w:line="5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Default</w:t>
      </w:r>
      <w:r>
        <w:rPr>
          <w:rFonts w:ascii="Arial" w:cs="Arial" w:eastAsia="Arial" w:hAnsi="Arial"/>
          <w:sz w:val="18"/>
          <w:szCs w:val="18"/>
          <w:color w:val="auto"/>
        </w:rPr>
        <w:t>” means a Default resulting from the occurrence of any of the events described in Section 10.1.(a), Section 10.1.(b), Section 10.1.(f) or Section 10.1.(g).</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Mandatorily Redeemable Stock</w:t>
      </w:r>
      <w:r>
        <w:rPr>
          <w:rFonts w:ascii="Arial" w:cs="Arial" w:eastAsia="Arial" w:hAnsi="Arial"/>
          <w:sz w:val="16"/>
          <w:szCs w:val="16"/>
          <w:color w:val="auto"/>
        </w:rPr>
        <w:t>”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w:t>
      </w:r>
    </w:p>
    <w:p>
      <w:pPr>
        <w:spacing w:after="0" w:line="3" w:lineRule="exact"/>
        <w:rPr>
          <w:sz w:val="20"/>
          <w:szCs w:val="20"/>
          <w:color w:val="auto"/>
        </w:rPr>
      </w:pPr>
    </w:p>
    <w:p>
      <w:pPr>
        <w:ind w:right="160" w:firstLine="8"/>
        <w:spacing w:after="0" w:line="261" w:lineRule="auto"/>
        <w:tabs>
          <w:tab w:leader="none" w:pos="23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is redeemable at the option of the holder thereof, in whole or in part (other than an Equity Interest which is redeemable solely in exchange for common stock or other equivalent common Equity</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74" w:right="239" w:bottom="1440" w:gutter="0" w:footer="0" w:header="0"/>
        </w:sectPr>
      </w:pPr>
    </w:p>
    <w:bookmarkStart w:id="422" w:name="page423"/>
    <w:bookmarkEnd w:id="422"/>
    <w:p>
      <w:pPr>
        <w:jc w:val="both"/>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Interests), in each case on or prior to the date on which all Loans are scheduled to be due and payable in full. For purposes of this definition, Equity Interests in any of the following Subsidiaries which the Borrower is obligated to acquire pursuant to currently existing agreements with the holders of such Equity Interest shall not be considered to be Mandatorily Redeemable Stock: Congressional Plaza Associates, LLC; Street Retail West 7, L.P.; FR Pike 7 Limited Partnership; Federal Realty Partners L.P.; FR Leesburg Plaza, LP; and NVI-Avenue, LLC.</w:t>
      </w:r>
    </w:p>
    <w:p>
      <w:pPr>
        <w:spacing w:after="0" w:line="137"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materially adverse effect on (a) the business, assets, liabilities, financial condition or results of operations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Agent under any of the Loan Documents or (e) the timely payment of the principal of or interest on the Loans or other amounts payable in connection therewith.</w:t>
      </w:r>
    </w:p>
    <w:p>
      <w:pPr>
        <w:spacing w:after="0" w:line="103"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contract or other arrangement (other than Loan Documents),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has the meaning given that term in Section 10.1.(e)(i).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means any Subsidiary to which more than two percent of Adjusted Total Asset Value is attributable on an individual basis.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171"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means a mortgage, deed of trust, deed to secure debt or similar security instrument made by a Person owning an interest in real property granting a Lien on such interest in real property as security for the payment of Indebtedness of such Person or another Person.</w:t>
      </w:r>
    </w:p>
    <w:p>
      <w:pPr>
        <w:spacing w:after="0" w:line="74"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Receivable</w:t>
      </w:r>
      <w:r>
        <w:rPr>
          <w:rFonts w:ascii="Arial" w:cs="Arial" w:eastAsia="Arial" w:hAnsi="Arial"/>
          <w:sz w:val="18"/>
          <w:szCs w:val="18"/>
          <w:color w:val="auto"/>
        </w:rPr>
        <w:t>” means a promissory note secured by a first priority Mortgage of which the Borrower, a Guarantor or one of their respective Subsidiaries is the holder and retains the rights of collection of all payments thereunder.</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at any time a multiemployer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 year period.</w:t>
      </w:r>
    </w:p>
    <w:p>
      <w:pPr>
        <w:spacing w:after="0" w:line="132" w:lineRule="exact"/>
        <w:rPr>
          <w:sz w:val="20"/>
          <w:szCs w:val="20"/>
          <w:color w:val="auto"/>
        </w:rPr>
      </w:pPr>
    </w:p>
    <w:p>
      <w:pPr>
        <w:jc w:val="center"/>
        <w:ind w:right="4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Multifamily Property</w:t>
      </w:r>
      <w:r>
        <w:rPr>
          <w:rFonts w:ascii="Arial" w:cs="Arial" w:eastAsia="Arial" w:hAnsi="Arial"/>
          <w:sz w:val="18"/>
          <w:szCs w:val="18"/>
          <w:color w:val="auto"/>
        </w:rPr>
        <w:t>” means a Property improved with, and from which at least 80% of the rental income is derived from, residential apartments. - 14 -</w:t>
      </w:r>
    </w:p>
    <w:p>
      <w:pPr>
        <w:sectPr>
          <w:pgSz w:w="11900" w:h="16838" w:orient="portrait"/>
          <w:cols w:equalWidth="0" w:num="1">
            <w:col w:w="11420"/>
          </w:cols>
          <w:pgMar w:left="240" w:top="279" w:right="239" w:bottom="1440" w:gutter="0" w:footer="0" w:header="0"/>
        </w:sectPr>
      </w:pPr>
    </w:p>
    <w:bookmarkStart w:id="423" w:name="page424"/>
    <w:bookmarkEnd w:id="423"/>
    <w:p>
      <w:pPr>
        <w:jc w:val="both"/>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Negative Pledge</w:t>
      </w:r>
      <w:r>
        <w:rPr>
          <w:rFonts w:ascii="Arial" w:cs="Arial" w:eastAsia="Arial" w:hAnsi="Arial"/>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Operating Income</w:t>
      </w:r>
      <w:r>
        <w:rPr>
          <w:rFonts w:ascii="Arial" w:cs="Arial" w:eastAsia="Arial" w:hAnsi="Arial"/>
          <w:sz w:val="16"/>
          <w:szCs w:val="16"/>
          <w:color w:val="auto"/>
        </w:rPr>
        <w:t>” or “</w:t>
      </w:r>
      <w:r>
        <w:rPr>
          <w:rFonts w:ascii="Arial" w:cs="Arial" w:eastAsia="Arial" w:hAnsi="Arial"/>
          <w:sz w:val="16"/>
          <w:szCs w:val="16"/>
          <w:b w:val="1"/>
          <w:bCs w:val="1"/>
          <w:color w:val="auto"/>
        </w:rPr>
        <w:t>NOI</w:t>
      </w:r>
      <w:r>
        <w:rPr>
          <w:rFonts w:ascii="Arial" w:cs="Arial" w:eastAsia="Arial" w:hAnsi="Arial"/>
          <w:sz w:val="16"/>
          <w:szCs w:val="16"/>
          <w:color w:val="auto"/>
        </w:rPr>
        <w:t>”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minus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or any Subsidiary and any property management fees) minus (c) the Capital Reserves for such Property as of the end of such period minus (d) the greater of (i) the actual property management fee paid during such period and (ii) an imputed management fee in the amount of three percent (3.0%) of the gross revenues for such Property for such period.</w:t>
      </w:r>
    </w:p>
    <w:p>
      <w:pPr>
        <w:spacing w:after="0" w:line="113"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Proceeds</w:t>
      </w:r>
      <w:r>
        <w:rPr>
          <w:rFonts w:ascii="Arial" w:cs="Arial" w:eastAsia="Arial" w:hAnsi="Arial"/>
          <w:sz w:val="16"/>
          <w:szCs w:val="16"/>
          <w:color w:val="auto"/>
        </w:rPr>
        <w:t>” means with respect to any Equity Issuance by a Person, the aggregate amount of all cash and the Fair Market Value of all other property (other than securities of such same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03"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Non-Controlled Property</w:t>
      </w:r>
      <w:r>
        <w:rPr>
          <w:rFonts w:ascii="Arial" w:cs="Arial" w:eastAsia="Arial" w:hAnsi="Arial"/>
          <w:sz w:val="16"/>
          <w:szCs w:val="16"/>
          <w:color w:val="auto"/>
        </w:rPr>
        <w:t>” means an Eligible Property owned in fee simple (or leased under a Ground Lease) by (a) an Unconsolidated Affiliate or (b) a Subsidiary that is not a Wholly Owned Subsidiary but which Property does not otherwise qualify as a Controlled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has the meaning given that term in Section 2.8.</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means a notice in the form of Exhibit B to be delivered to the Agent pursuant to Section 2.1.(b) evidencing the Borrower’s request for the borrowing of the Loans.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74" w:right="259" w:bottom="1440" w:gutter="0" w:footer="0" w:header="0"/>
        </w:sectPr>
      </w:pPr>
    </w:p>
    <w:bookmarkStart w:id="424" w:name="page425"/>
    <w:bookmarkEnd w:id="424"/>
    <w:p>
      <w:pPr>
        <w:ind w:right="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Notice of Continuation</w:t>
      </w:r>
      <w:r>
        <w:rPr>
          <w:rFonts w:ascii="Arial" w:cs="Arial" w:eastAsia="Arial" w:hAnsi="Arial"/>
          <w:sz w:val="18"/>
          <w:szCs w:val="18"/>
          <w:color w:val="auto"/>
        </w:rPr>
        <w:t>” means a notice in the form of Exhibit C to be delivered to the Agent pursuant to Section 2.6. evidencing the Borrower’s request for the Continuation of a LIBOR Loan.</w:t>
      </w:r>
    </w:p>
    <w:p>
      <w:pPr>
        <w:spacing w:after="0" w:line="12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means a notice in the form of Exhibit D to be delivered to the Agent pursuant to Section 2.7. evidencing the Borrower’s request for the Conversion of a Loan from one Type to another Type.</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individually and collectively: (a) the aggregate principal balance of, and all accrued and unpaid interest on, all Loans and (b) all other indebtedness, liabilities, obligations, covenants and duties of the Borrower and the other Loan Parties owing to the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w:t>
      </w:r>
    </w:p>
    <w:p>
      <w:pPr>
        <w:spacing w:after="0" w:line="139" w:lineRule="exact"/>
        <w:rPr>
          <w:sz w:val="20"/>
          <w:szCs w:val="20"/>
          <w:color w:val="auto"/>
        </w:rPr>
      </w:pPr>
    </w:p>
    <w:p>
      <w:pPr>
        <w:ind w:right="38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Occupancy Rate</w:t>
      </w:r>
      <w:r>
        <w:rPr>
          <w:rFonts w:ascii="Arial" w:cs="Arial" w:eastAsia="Arial" w:hAnsi="Arial"/>
          <w:sz w:val="16"/>
          <w:szCs w:val="16"/>
          <w:color w:val="auto"/>
        </w:rPr>
        <w:t xml:space="preserve">” means, with respect to a Property at any time, the ratio, expressed as a percentage, of (a) the net rentable square footage of such Property for which the Borrower or a Subsidiary is collecting rent, or for which a lease has been signed but the term has not yet commenced, to (b) the total square footage of such Property available for lease;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Multifamily Property, “Occupancy Rate” means the ratio, expressed as a percentage, of (a) the net rentable units of such Multifamily Property for which the Borrower or a Subsidiary is collecting rent, or for which a lease has been signed but the term has not yet commenced, to (b) the total units of such Multifamily Property available for lease.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OFAC</w:t>
      </w:r>
      <w:r>
        <w:rPr>
          <w:rFonts w:ascii="Arial" w:cs="Arial" w:eastAsia="Arial" w:hAnsi="Arial"/>
          <w:sz w:val="16"/>
          <w:szCs w:val="16"/>
          <w:color w:val="auto"/>
        </w:rPr>
        <w:t>” means the Office of Foreign Assets Control of the United States Department of the Treasury, and any successor Governmental Authority for such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15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Off-Balance Sheet Obligations</w:t>
      </w:r>
      <w:r>
        <w:rPr>
          <w:rFonts w:ascii="Arial" w:cs="Arial" w:eastAsia="Arial" w:hAnsi="Arial"/>
          <w:sz w:val="16"/>
          <w:szCs w:val="16"/>
          <w:color w:val="auto"/>
        </w:rPr>
        <w:t>”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given that term in Section 12.5.(d).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successor agency.</w:t>
      </w:r>
    </w:p>
    <w:p>
      <w:pPr>
        <w:spacing w:after="0" w:line="171" w:lineRule="exact"/>
        <w:rPr>
          <w:sz w:val="20"/>
          <w:szCs w:val="20"/>
          <w:color w:val="auto"/>
        </w:rPr>
      </w:pPr>
    </w:p>
    <w:p>
      <w:pPr>
        <w:ind w:right="2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Liens</w:t>
      </w:r>
      <w:r>
        <w:rPr>
          <w:rFonts w:ascii="Arial" w:cs="Arial" w:eastAsia="Arial" w:hAnsi="Arial"/>
          <w:sz w:val="15"/>
          <w:szCs w:val="15"/>
          <w:color w:val="auto"/>
        </w:rPr>
        <w:t>” means, as to any Person: (a) Liens securing taxes, assessments and other charges or levies imposed by any Governmental Authority (excluding any Lien imposed pursuant to any of the provisions of ERISA or pursuant to any Environmental Laws) or the claims of materialmen, mechanics, carriers, warehousemen or landlords for labor, materials, supplies or rentals incurred in the ordinary course of business, which are not at the time required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80"/>
          </w:cols>
          <w:pgMar w:left="240" w:top="274" w:right="279" w:bottom="1440" w:gutter="0" w:footer="0" w:header="0"/>
        </w:sectPr>
      </w:pPr>
    </w:p>
    <w:bookmarkStart w:id="425" w:name="page426"/>
    <w:bookmarkEnd w:id="42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paid or discharged under Section 7.6.; (b) Liens consisting of deposits or pledges made, in the ordinary course of business, in connection with, or to secure payment of, obligations under workers’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use thereof in the business of such Person; (d) the rights of tenants under leases or subleases not interfering with the ordinary conduct of business of such Person; (e) Liens in favor of the Agent for the benefit of the Lenders; (f) Liens in favor of the Borrower or a Guarantor securing obligations owing by a Subsidiary to the Borrower or a Guarantor, which obligations have been subordinated to the obligations owing by the Borrower and the Guarantors under the Loan Documents on terms satisfactory to the Agent; (g) Liens in existence as of the Agreement Date set forth in Part II of Schedule 6.1.(f); and (h) Liens securing Indebtedness permitted by Section 9.6.</w:t>
      </w:r>
    </w:p>
    <w:p>
      <w:pPr>
        <w:spacing w:after="0" w:line="11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unincorporated organization, or a government or any agency or political subdivision thereof.</w:t>
      </w:r>
    </w:p>
    <w:p>
      <w:pPr>
        <w:spacing w:after="0" w:line="120"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five years been maintained, or contributed to, by any Person which was at such time a member of the ERISA Group for employees of any Person which was at such time a member of the ERISA Group.</w:t>
      </w:r>
    </w:p>
    <w:p>
      <w:pPr>
        <w:spacing w:after="0" w:line="103"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xml:space="preserve">” means, in respect of any principal of any Loan or any other Obligation that is not paid when due (whether at stated maturity, by acceleration, by optional or mandatory prepayment or otherwise),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w:t>
      </w:r>
    </w:p>
    <w:p>
      <w:pPr>
        <w:spacing w:after="0" w:line="132"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Dividends</w:t>
      </w:r>
      <w:r>
        <w:rPr>
          <w:rFonts w:ascii="Arial" w:cs="Arial" w:eastAsia="Arial" w:hAnsi="Arial"/>
          <w:sz w:val="16"/>
          <w:szCs w:val="16"/>
          <w:color w:val="auto"/>
        </w:rPr>
        <w:t>” means, for any period and without duplication, all Restricted Payments paid during such period on Preferred Equity Interests issued by the Borrower or a Subsidiary.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Interests in full.</w:t>
      </w:r>
    </w:p>
    <w:p>
      <w:pPr>
        <w:spacing w:after="0" w:line="103"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Equity Interests</w:t>
      </w:r>
      <w:r>
        <w:rPr>
          <w:rFonts w:ascii="Arial" w:cs="Arial" w:eastAsia="Arial" w:hAnsi="Arial"/>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20"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means the rate of interest per annum announced publicly by the Lender then acting as the Agent as its prime rate from time to time. The Prime Rate is not necessarily the best or the lowest rate of interest offered by the Lender acting as the Agent or any other Lender.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79" w:right="259" w:bottom="1440" w:gutter="0" w:footer="0" w:header="0"/>
        </w:sectPr>
      </w:pPr>
    </w:p>
    <w:bookmarkStart w:id="426" w:name="page427"/>
    <w:bookmarkEnd w:id="426"/>
    <w:p>
      <w:pPr>
        <w:ind w:right="4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Principal Office</w:t>
      </w:r>
      <w:r>
        <w:rPr>
          <w:rFonts w:ascii="Arial" w:cs="Arial" w:eastAsia="Arial" w:hAnsi="Arial"/>
          <w:sz w:val="18"/>
          <w:szCs w:val="18"/>
          <w:color w:val="auto"/>
        </w:rPr>
        <w:t>” means the office of the Agent located at One Wachovia Center, Charlotte, North Carolina, or such other office of the Agent as the Agent may designate from time to time.</w:t>
      </w:r>
    </w:p>
    <w:p>
      <w:pPr>
        <w:spacing w:after="0" w:line="12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12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means, with respect to any Subsidiary that is not a Wholly Owned Subsidiary or any Unconsolidated Affiliate, the greater of (a) the nominal direct and indirect ownership interest (expressed as a percentage) in such Subsidiary or Unconsolidated Affiliate or (b) the relative direct and indirect economic interest (calculated as a percentage) in such Subsidiary or Unconsolidated Affiliate determined in accordance with the organizational document of such Subsidiary or Unconsolidated Affiliate.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S&amp;P or Moody’s,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given that term in Section 12.5.(c).</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Change</w:t>
      </w:r>
      <w:r>
        <w:rPr>
          <w:rFonts w:ascii="Arial" w:cs="Arial" w:eastAsia="Arial" w:hAnsi="Arial"/>
          <w:sz w:val="18"/>
          <w:szCs w:val="18"/>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REIT</w:t>
      </w:r>
      <w:r>
        <w:rPr>
          <w:rFonts w:ascii="Arial" w:cs="Arial" w:eastAsia="Arial" w:hAnsi="Arial"/>
          <w:sz w:val="18"/>
          <w:szCs w:val="18"/>
          <w:color w:val="auto"/>
        </w:rPr>
        <w:t>” means a Person qualifying for treatment as a “real estate investment trust” under the Internal Revenue Code.</w:t>
      </w:r>
    </w:p>
    <w:p>
      <w:pPr>
        <w:spacing w:after="0" w:line="17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Lenders</w:t>
      </w:r>
      <w:r>
        <w:rPr>
          <w:rFonts w:ascii="Arial" w:cs="Arial" w:eastAsia="Arial" w:hAnsi="Arial"/>
          <w:sz w:val="18"/>
          <w:szCs w:val="18"/>
          <w:color w:val="auto"/>
        </w:rPr>
        <w:t xml:space="preserve">” means, as of any date, Lenders holding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principal amount of the aggregate outstanding Loans. Loans held by Defaulting Lenders shall be disregarded when determining the Requisite Lenders. At all times during which Wachovia is acting as the Agent and the Credit Percentage of Wachovia is not less than thirteen percent (13.00%), Requisite Lenders shall, in any event, include Wachovia for the following purposes: (a) any amendment to the financial covenants set forth in Section 9.1. or to any of the definitions related thereto, (b) any waivers of any Defaults or Events of Default resulting from a breach of the financial covenants set forth in Section 9.1., or (c) any amendment to, or waivers of any Defaults or Events of Default resulting from a breach of, Section 10.1.(m).</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74" w:right="259" w:bottom="1440" w:gutter="0" w:footer="0" w:header="0"/>
        </w:sectPr>
      </w:pPr>
    </w:p>
    <w:bookmarkStart w:id="427" w:name="page428"/>
    <w:bookmarkEnd w:id="427"/>
    <w:p>
      <w:pPr>
        <w:ind w:right="12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the Borrower or any Subsidiary, the chief executive officer, the chief financial officer, the treasurer or the chief operations officer, and in the case of the Borrower, the Senior Vice President-Capital Markets &amp; Investor Relations or the Vice President-Chief Accounting Officer of the Borrower.</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 any dividend or other distribution, direct or indirect, on account of any Equity Interest of the Borrower or any Subsidiary now or hereafter outstanding, except a dividend payable solely in Equity Interests of identical class to the holders of that class; (b) any redemption, conversion, exchange, retirement, sinking fund or similar payment, purchase or other acquisition for value, direct or indirect, of any Equity Interest of the Borrower or any Subsidiary now or hereafter outstanding; and (c) any payment made to retire, or to obtain the surrender of, any outstanding warrants, options or other rights to acquire any Equity Interests of the Borrower or any Subsidiary now or hereafter outstanding.</w:t>
      </w:r>
    </w:p>
    <w:p>
      <w:pPr>
        <w:spacing w:after="0" w:line="108"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Retail Property</w:t>
      </w:r>
      <w:r>
        <w:rPr>
          <w:rFonts w:ascii="Arial" w:cs="Arial" w:eastAsia="Arial" w:hAnsi="Arial"/>
          <w:sz w:val="18"/>
          <w:szCs w:val="18"/>
          <w:color w:val="auto"/>
        </w:rPr>
        <w:t>” means (a) any Property identified as a “Retail Property” on Schedule 6.1.(x) and (b) any Property, a substantial use of which, is the retail sale of goods and services.</w:t>
      </w:r>
    </w:p>
    <w:p>
      <w:pPr>
        <w:spacing w:after="0" w:line="12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Entity</w:t>
      </w:r>
      <w:r>
        <w:rPr>
          <w:rFonts w:ascii="Arial" w:cs="Arial" w:eastAsia="Arial" w:hAnsi="Arial"/>
          <w:sz w:val="18"/>
          <w:szCs w:val="18"/>
          <w:color w:val="auto"/>
        </w:rPr>
        <w:t>” means (a) a country or a government of a country, (b) an agency of the government of a country, (c) an organization directly or indirectly controlled by a country or its government, (d) a Person resident in, or determined to be resident in, a country that is subject to a country sanctions program administered and enforced by OFAC described or referenced at http://www.ustreas.gov/offices/enforcement/ofac/ or as otherwise officially published by OFAC from time to time.</w:t>
      </w:r>
    </w:p>
    <w:p>
      <w:pPr>
        <w:spacing w:after="0" w:line="136" w:lineRule="exact"/>
        <w:rPr>
          <w:sz w:val="20"/>
          <w:szCs w:val="20"/>
          <w:color w:val="auto"/>
        </w:rPr>
      </w:pPr>
    </w:p>
    <w:p>
      <w:pPr>
        <w:ind w:right="1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 Person named on the list of Specially Designated Nationals maintained by OFAC available at or through http://www.ustreas.gov/offices/enforcement/ofac/ or as otherwise officially published from time to time.</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Indebtedness</w:t>
      </w:r>
      <w:r>
        <w:rPr>
          <w:rFonts w:ascii="Arial" w:cs="Arial" w:eastAsia="Arial" w:hAnsi="Arial"/>
          <w:sz w:val="18"/>
          <w:szCs w:val="18"/>
          <w:color w:val="auto"/>
        </w:rPr>
        <w:t xml:space="preserve">” means, with respect to any Person, (a) all Indebtedness of such Person that is secured in any manner by any Lien on any Property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Person’s Pro Rata Share of the Secured Indebtedness of any of such Person’s Unconsolidated Affiliates.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from time to time, together with all rules and regulations issued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means any Subsidiary to which more than $10,000,000 of Total Asset Value is attributable on an individual basis.</w:t>
      </w:r>
    </w:p>
    <w:p>
      <w:pPr>
        <w:spacing w:after="0" w:line="19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when used with respect to any Person, that (a) the fair value and the fair salable value of its assets (excluding any Indebtedness due from any affiliate of such Person if such affiliate is not itself Solvent) are each in excess of the fair valuation of its total liabilities (including all contingent liabilities computed at the amount which, in light of all the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73" w:right="239" w:bottom="1440" w:gutter="0" w:footer="0" w:header="0"/>
        </w:sectPr>
      </w:pPr>
    </w:p>
    <w:bookmarkStart w:id="428" w:name="page429"/>
    <w:bookmarkEnd w:id="4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Non-Wholly Owned Subsidiaries</w:t>
      </w:r>
      <w:r>
        <w:rPr>
          <w:rFonts w:ascii="Arial" w:cs="Arial" w:eastAsia="Arial" w:hAnsi="Arial"/>
          <w:sz w:val="16"/>
          <w:szCs w:val="16"/>
          <w:color w:val="auto"/>
        </w:rPr>
        <w:t>” means Congressional Plaza Associates, LLC; FRIT Escondido Promenade, LLC; and Street Retail West 7,</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L.P.</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Stabilized Property</w:t>
      </w:r>
      <w:r>
        <w:rPr>
          <w:rFonts w:ascii="Arial" w:cs="Arial" w:eastAsia="Arial" w:hAnsi="Arial"/>
          <w:sz w:val="18"/>
          <w:szCs w:val="18"/>
          <w:color w:val="auto"/>
        </w:rPr>
        <w:t>” means a completed Property that has achieved an Occupancy Rate of at least 85%.</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for any Person, any corporation, partnership or other entity of which at least a majority of the Equity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Tangible Net Worth</w:t>
      </w:r>
      <w:r>
        <w:rPr>
          <w:rFonts w:ascii="Arial" w:cs="Arial" w:eastAsia="Arial" w:hAnsi="Arial"/>
          <w:sz w:val="16"/>
          <w:szCs w:val="16"/>
          <w:color w:val="auto"/>
        </w:rPr>
        <w:t>” means, as of a given date, the stockholders’ equity of the Borrower and Subsidiaries determined on a consolidated basis plus</w:t>
      </w:r>
    </w:p>
    <w:p>
      <w:pPr>
        <w:spacing w:after="0" w:line="44" w:lineRule="exact"/>
        <w:rPr>
          <w:sz w:val="20"/>
          <w:szCs w:val="20"/>
          <w:color w:val="auto"/>
        </w:rPr>
      </w:pPr>
    </w:p>
    <w:p>
      <w:pPr>
        <w:ind w:right="120" w:firstLine="8"/>
        <w:spacing w:after="0" w:line="254" w:lineRule="auto"/>
        <w:tabs>
          <w:tab w:leader="none" w:pos="23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accumulated depreciation and amortization minus the following (to the extent reflected in determining stockholders’ equity of the Borrower and its Subsidiaries): (b) the amount of any write-up in the book value of any assets contained in any balance sheet resulting from revaluation thereof or any write-up in excess of the cost of such assets acquired, and (c) all amounts appearing on the assets side of any such balance sheet for assets which would be classified as intangible assets under GAAP, all determined on a consolidated basis.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that term in Section 3.12.(a).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July 27,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Titled Agents</w:t>
      </w:r>
      <w:r>
        <w:rPr>
          <w:rFonts w:ascii="Arial" w:cs="Arial" w:eastAsia="Arial" w:hAnsi="Arial"/>
          <w:sz w:val="15"/>
          <w:szCs w:val="15"/>
          <w:color w:val="auto"/>
        </w:rPr>
        <w:t>” means each of the Arrangers, the Syndication Agent, and the Documentation Agents and their respective successors and permitted assigns.</w:t>
      </w:r>
    </w:p>
    <w:p>
      <w:pPr>
        <w:spacing w:after="0" w:line="206" w:lineRule="exact"/>
        <w:rPr>
          <w:sz w:val="20"/>
          <w:szCs w:val="20"/>
          <w:color w:val="auto"/>
        </w:rPr>
      </w:pPr>
    </w:p>
    <w:p>
      <w:pPr>
        <w:ind w:right="3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Asset Value</w:t>
      </w:r>
      <w:r>
        <w:rPr>
          <w:rFonts w:ascii="Arial" w:cs="Arial" w:eastAsia="Arial" w:hAnsi="Arial"/>
          <w:sz w:val="16"/>
          <w:szCs w:val="16"/>
          <w:color w:val="auto"/>
        </w:rPr>
        <w:t>” means the sum of all of the following of the Borrower and its Subsidiaries on a consolidated basis determined in accordance with GAAP applied on a consistent basis: (a) cash and cash equivalents, plus (b) accounts receivable (other than accounts receivable owing by Affiliates of the Borrower and its Subsidiaries), plus (c) with respect to each Stabilized Property owned by the Borrower or any Subsidiary, (i) EBITDA attributable to such Property for the fiscal quarter most recently ended (adjusted for acquisitions and dispositions) times (ii) 4, divided by (iii) the Capitalization Rate, plus (d) the GAAP book value of Properties acquired during the most recent quarter, plus (e) Construction-in-Process until the earlier of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74" w:right="239" w:bottom="1440" w:gutter="0" w:footer="0" w:header="0"/>
        </w:sectPr>
      </w:pPr>
    </w:p>
    <w:bookmarkStart w:id="429" w:name="page430"/>
    <w:bookmarkEnd w:id="429"/>
    <w:p>
      <w:pPr>
        <w:ind w:right="40" w:firstLine="8"/>
        <w:spacing w:after="0" w:line="255" w:lineRule="auto"/>
        <w:tabs>
          <w:tab w:leader="none" w:pos="210" w:val="left"/>
        </w:tabs>
        <w:numPr>
          <w:ilvl w:val="0"/>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year anniversary date of project completion or (ii) the second quarter after the project achieves an Occupancy Rate of 85%, plus (f) the GAAP book value of Unimproved Land, Mortgage Receivables and other promissory notes. The Borrower’s Pro Rata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means all Indebtedness of the Borrower and its Subsidiaries determined on a consolidated basis.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with respect to any Loan, refers to whether such Loan is a LIBOR Loan or Base Rate Loan.</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Unconsolidated Affiliate</w:t>
      </w:r>
      <w:r>
        <w:rPr>
          <w:rFonts w:ascii="Arial" w:cs="Arial" w:eastAsia="Arial" w:hAnsi="Arial"/>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32" w:lineRule="exact"/>
        <w:rPr>
          <w:sz w:val="20"/>
          <w:szCs w:val="20"/>
          <w:color w:val="auto"/>
        </w:rPr>
      </w:pPr>
    </w:p>
    <w:p>
      <w:pPr>
        <w:ind w:right="4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Adjusted NOI</w:t>
      </w:r>
      <w:r>
        <w:rPr>
          <w:rFonts w:ascii="Arial" w:cs="Arial" w:eastAsia="Arial" w:hAnsi="Arial"/>
          <w:sz w:val="18"/>
          <w:szCs w:val="18"/>
          <w:color w:val="auto"/>
        </w:rPr>
        <w:t>” means, for any period, NOI from (a) Wholly Owned Properties; (b) Controlled Properties; and (c) Non-Controlled Properties, all of which have been owned for the entire period and as adjusted for any non-recurring items during the reporting period. For purposes of this definition, Non-Controlled Properties are limited to the following properties: Congressional Plaza, Congressional Plaza Apartments, Escondido Promenade, Galaxy Building (Hollywood) and 7001 Hollywood Boulevard (Peterson).</w:t>
      </w:r>
    </w:p>
    <w:p>
      <w:pPr>
        <w:spacing w:after="0" w:line="13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Asset Value</w:t>
      </w:r>
      <w:r>
        <w:rPr>
          <w:rFonts w:ascii="Arial" w:cs="Arial" w:eastAsia="Arial" w:hAnsi="Arial"/>
          <w:sz w:val="18"/>
          <w:szCs w:val="18"/>
          <w:color w:val="auto"/>
        </w:rPr>
        <w:t>” means (a) the Unencumbered Adjusted NOI for the fiscal quarter most recently ending times 4 divided by the Capitalization Rate, plus (b) the GAAP book value of all Properties acquired during the fiscal quarter most recently ended which Properties are not subject to any Lien other than Permitted Liens (excluding Permitted Liens of the type described in clauses (g) and (h) of the definition thereof) or subject to any Negative Pledge, plus (c) the GAAP book value of Development Property not subject to any Lien other than Permitted Liens (excluding Permitted Liens of the type described in clauses (g) and (h) of the definition thereof) or subject to any Negative Pledge, until the earlier of (i) the one year anniversary date of project completion or (ii) the second quarter after the project achieves an Occupancy Rate of 85%. For purposes of this definition, to the extent the Unencumbered Asset Value attributable to Controlled Properties, Non-Controlled Properties and Development Properties would exceed 20% of the Unencumbered Asset Value, such excess shall be excluded.</w:t>
      </w:r>
    </w:p>
    <w:p>
      <w:pPr>
        <w:spacing w:after="0" w:line="138"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Unfunded Liabilities</w:t>
      </w:r>
      <w:r>
        <w:rPr>
          <w:rFonts w:ascii="Arial" w:cs="Arial" w:eastAsia="Arial" w:hAnsi="Arial"/>
          <w:sz w:val="16"/>
          <w:szCs w:val="16"/>
          <w:color w:val="auto"/>
        </w:rPr>
        <w:t>” means, with respect to any Plan at any time, the amount (if any) by which (a) the value of all benefit liabilities under such Plan, 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80" w:right="259" w:bottom="1440" w:gutter="0" w:footer="0" w:header="0"/>
        </w:sectPr>
      </w:pPr>
    </w:p>
    <w:bookmarkStart w:id="430" w:name="page431"/>
    <w:bookmarkEnd w:id="430"/>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recent valuation date for such Plan, but only to the extent that such excess represents a potential liability of a member of the ERISA Group to the PBGC or any other Person under Title IV of ERISA.</w:t>
      </w:r>
    </w:p>
    <w:p>
      <w:pPr>
        <w:spacing w:after="0" w:line="126"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Unimproved Land</w:t>
      </w:r>
      <w:r>
        <w:rPr>
          <w:rFonts w:ascii="Arial" w:cs="Arial" w:eastAsia="Arial" w:hAnsi="Arial"/>
          <w:sz w:val="18"/>
          <w:szCs w:val="18"/>
          <w:color w:val="auto"/>
        </w:rPr>
        <w:t>” consists of land on which no development (other than paving or other improvements that are not material and are temporary in nature) has occurred and for which no development is planned in the 12 months following any date of determination.</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Unsecured Indebtedness</w:t>
      </w:r>
      <w:r>
        <w:rPr>
          <w:rFonts w:ascii="Arial" w:cs="Arial" w:eastAsia="Arial" w:hAnsi="Arial"/>
          <w:sz w:val="18"/>
          <w:szCs w:val="18"/>
          <w:color w:val="auto"/>
        </w:rPr>
        <w:t>” means Indebtedness which is not Secured Indebtedness. Indebtedness of the Borrower or a Subsidiary that is secured solely by Equity Interests of a Subsidiary or Unconsolidated Affiliate shall be considered to be Unsecured Indebtedness.</w:t>
      </w:r>
    </w:p>
    <w:p>
      <w:pPr>
        <w:spacing w:after="0" w:line="12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Unstabilized Property</w:t>
      </w:r>
      <w:r>
        <w:rPr>
          <w:rFonts w:ascii="Arial" w:cs="Arial" w:eastAsia="Arial" w:hAnsi="Arial"/>
          <w:sz w:val="18"/>
          <w:szCs w:val="18"/>
          <w:color w:val="auto"/>
        </w:rPr>
        <w:t>” means a Property (a) the improvements on which were completed within twelve months prior to any date of determination; and (b) which has not achieved an Occupancy Rate of 85%.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Wachovia</w:t>
      </w:r>
      <w:r>
        <w:rPr>
          <w:rFonts w:ascii="Arial" w:cs="Arial" w:eastAsia="Arial" w:hAnsi="Arial"/>
          <w:sz w:val="18"/>
          <w:szCs w:val="18"/>
          <w:color w:val="auto"/>
        </w:rPr>
        <w:t>” means Wachovia Bank, National Association, together with its successors and permitted assigns.</w:t>
      </w:r>
    </w:p>
    <w:p>
      <w:pPr>
        <w:spacing w:after="0" w:line="171" w:lineRule="exact"/>
        <w:rPr>
          <w:sz w:val="20"/>
          <w:szCs w:val="20"/>
          <w:color w:val="auto"/>
        </w:rPr>
      </w:pPr>
    </w:p>
    <w:p>
      <w:pPr>
        <w:jc w:val="both"/>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Property</w:t>
      </w:r>
      <w:r>
        <w:rPr>
          <w:rFonts w:ascii="Arial" w:cs="Arial" w:eastAsia="Arial" w:hAnsi="Arial"/>
          <w:sz w:val="18"/>
          <w:szCs w:val="18"/>
          <w:color w:val="auto"/>
        </w:rPr>
        <w:t>” means an Eligible Property which is wholly owned in fee simple (or leased under a Ground Lease) by only the Borrower or a Guarantor that is a Wholly Owned Subsidiary.</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any Subsidiary of a Person in respect of which all of the equity securities or other ownership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References to Times.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Unless otherwise indicated, all accounting terms, ratios and measurements shall be interpreted or determined in accordance with GAAP; provided that, if at any time any change in GAAP would affect the computation of any financial ratio or requirement set forth in any Loan Document, and either the Borrower or the Requisite Lenders shall so request, the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Agent financial statements and other documents required under this Agreement or as reasonably requested hereunder setting forth a reconciliation between calculations of such ratio or requirement made before and after giving effect to such change in GAAP.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279" w:right="239" w:bottom="1440" w:gutter="0" w:footer="0" w:header="0"/>
        </w:sectPr>
      </w:pPr>
    </w:p>
    <w:bookmarkStart w:id="431" w:name="page432"/>
    <w:bookmarkEnd w:id="431"/>
    <w:p>
      <w:pPr>
        <w:ind w:right="2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 issued or executed in replacement thereof, to the extent permitted hereby and (c) shall mean such document, instrument or agreement, or replacement or predecessor thereto, as amended, supplemented, restated or otherwise modified as of the date of this Agreement and from time to time thereafter to the extent not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direct or indirect Subsidiary of the Borrower and a reference to an “Affiliate” means a reference to an Affiliate of the Borrower. Titles and captions of Articles, Sections, subsections and clauses in this Agreement are for convenience only and neither limit nor amplify the provisions of this Agreement. Unless otherwise indicated, all references to time are references to Charlotte, North Carolina,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Financial Attributes of Non-Wholly Owned Subsidiaries.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determining the Borrower’s compliance with any financial covenant contained in any of the Loan Documents, only the Borrower’s Pro Rata Share of the financial attributes of a Subsidiary that is not a Wholly Owned Subsidiary shall be included.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Loans.</w:t>
      </w:r>
    </w:p>
    <w:p>
      <w:pPr>
        <w:spacing w:after="0" w:line="96" w:lineRule="exact"/>
        <w:rPr>
          <w:sz w:val="20"/>
          <w:szCs w:val="20"/>
          <w:color w:val="auto"/>
        </w:rPr>
      </w:pPr>
    </w:p>
    <w:p>
      <w:pPr>
        <w:ind w:right="260" w:firstLine="464"/>
        <w:spacing w:after="0" w:line="332" w:lineRule="auto"/>
        <w:tabs>
          <w:tab w:leader="none" w:pos="695"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Subject to the terms and conditions hereof, on the Effective Date each Lender severally and not jointly agrees to make a Loan to the Borrower in a principal amount not to exceed the amount of such Lender’s Commitment. Once repaid, the principal amount of a Loan may not be reborrowed.</w:t>
      </w:r>
    </w:p>
    <w:p>
      <w:pPr>
        <w:spacing w:after="0" w:line="85" w:lineRule="exact"/>
        <w:rPr>
          <w:rFonts w:ascii="Arial" w:cs="Arial" w:eastAsia="Arial" w:hAnsi="Arial"/>
          <w:sz w:val="16"/>
          <w:szCs w:val="16"/>
          <w:color w:val="auto"/>
        </w:rPr>
      </w:pPr>
    </w:p>
    <w:p>
      <w:pPr>
        <w:ind w:right="240" w:firstLine="464"/>
        <w:spacing w:after="0" w:line="332" w:lineRule="auto"/>
        <w:tabs>
          <w:tab w:leader="none" w:pos="705"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Requesting</w:t>
      </w:r>
      <w:r>
        <w:rPr>
          <w:rFonts w:ascii="Arial" w:cs="Arial" w:eastAsia="Arial" w:hAnsi="Arial"/>
          <w:sz w:val="16"/>
          <w:szCs w:val="16"/>
          <w:color w:val="auto"/>
        </w:rPr>
        <w:t>. The Borrower shall give the Agent notice pursuant to the Notice of Borrowing of the borrowing of the Loans no later than 11:00 a.m. on the date three Business Days prior to the anticipated Effective Date. Such Notice of Borrowing shall be irrevocable once given and binding on the Borrower.</w:t>
      </w:r>
    </w:p>
    <w:p>
      <w:pPr>
        <w:spacing w:after="0" w:line="85" w:lineRule="exact"/>
        <w:rPr>
          <w:rFonts w:ascii="Arial" w:cs="Arial" w:eastAsia="Arial" w:hAnsi="Arial"/>
          <w:sz w:val="16"/>
          <w:szCs w:val="16"/>
          <w:color w:val="auto"/>
        </w:rPr>
      </w:pPr>
    </w:p>
    <w:p>
      <w:pPr>
        <w:ind w:firstLine="464"/>
        <w:spacing w:after="0" w:line="298" w:lineRule="auto"/>
        <w:tabs>
          <w:tab w:leader="none" w:pos="695"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Disbursements of Loan Proceeds</w:t>
      </w:r>
      <w:r>
        <w:rPr>
          <w:rFonts w:ascii="Arial" w:cs="Arial" w:eastAsia="Arial" w:hAnsi="Arial"/>
          <w:sz w:val="16"/>
          <w:szCs w:val="16"/>
          <w:color w:val="auto"/>
        </w:rPr>
        <w:t>. No later than 1:00 p.m. on the Effective Date, each Lender will make available for the account of its applicable Lending Office to the Agent at the Principal Office, in immediately available funds, the proceeds of the Loan to be made by such Lender. Subject to satisfaction of the applicable conditions set forth in Article V. for such borrowing, the Agent will make the proceeds of such borrowing available to the Borrower no later than 2:00 p.m. on such date and at the account specified by the Borrower in the Notice of Borrowing.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Rates and Payment of Interest on Loan.</w:t>
      </w:r>
    </w:p>
    <w:p>
      <w:pPr>
        <w:spacing w:after="0" w:line="96" w:lineRule="exact"/>
        <w:rPr>
          <w:sz w:val="20"/>
          <w:szCs w:val="20"/>
          <w:color w:val="auto"/>
        </w:rPr>
      </w:pPr>
    </w:p>
    <w:p>
      <w:pPr>
        <w:ind w:firstLine="464"/>
        <w:spacing w:after="0" w:line="259" w:lineRule="auto"/>
        <w:tabs>
          <w:tab w:leader="none" w:pos="695"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The Borrower promises to pay to the Agent for the account of each Lender interest on the unpaid principal amount of the Loan made by such Lender for the period from and including the date of the making of such Loan to but excluding the date such Loan shall be paid in full, at the following per annum rates: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during such periods as such Loan is a Base Rate Loan, at the Base Rate (as in effect from time to time) plus the Applicable Margin; and</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00"/>
          </w:cols>
          <w:pgMar w:left="240" w:top="279" w:right="259" w:bottom="1440" w:gutter="0" w:footer="0" w:header="0"/>
        </w:sectPr>
      </w:pPr>
    </w:p>
    <w:bookmarkStart w:id="432" w:name="page433"/>
    <w:bookmarkEnd w:id="432"/>
    <w:p>
      <w:pPr>
        <w:ind w:left="460" w:right="540" w:firstLine="443"/>
        <w:spacing w:after="0" w:line="268" w:lineRule="auto"/>
        <w:tabs>
          <w:tab w:leader="none" w:pos="1157"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such periods as such Loan is a LIBOR Loan, at the Adjusted Eurodollar Rate for such Loan for the Interest Period therefor plus the Applicable Margin.</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Notwithstanding the foregoing, during the continuance of an Event of Default, the Borrower shall pay to the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w:t>
      </w:r>
    </w:p>
    <w:p>
      <w:pPr>
        <w:spacing w:after="0" w:line="143" w:lineRule="exact"/>
        <w:rPr>
          <w:sz w:val="20"/>
          <w:szCs w:val="20"/>
          <w:color w:val="auto"/>
        </w:rPr>
      </w:pPr>
    </w:p>
    <w:p>
      <w:pPr>
        <w:ind w:firstLine="464"/>
        <w:spacing w:after="0" w:line="290" w:lineRule="auto"/>
        <w:tabs>
          <w:tab w:leader="none" w:pos="705"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Accrued and unpaid interest on each Loan shall be payable (i) in the case of a Base Rate Loan, monthly in arrears on the first day of each calendar month, (ii) in the case of a LIBOR Loan, in arrears on the last day of each Interest Period therefor, and, if such Interest Period is longer than three months, at three-month intervals following the first day of such Interest Period, and (iii) in the case of any Loan, in arrears upon the payment, prepayment or Continuation thereof or the Conversion of such Loan to a Loan of another Type (but only on the principal amount so paid, prepaid, Continued or Converted). Interest payable at the Post-Default Rate shall be payable from time to time on demand. Promptly after the determination of any interest rate provided for herein or any change therein, the Agent shall give notice thereof to the Lenders to which such interest is payable and to the Borrower. All determinations by the Agent of an interest rate hereunder shall be conclusive and binding on the Lenders and the Borrower for all purposes, absent manifest error.</w:t>
      </w:r>
    </w:p>
    <w:p>
      <w:pPr>
        <w:spacing w:after="0" w:line="118" w:lineRule="exact"/>
        <w:rPr>
          <w:rFonts w:ascii="Arial" w:cs="Arial" w:eastAsia="Arial" w:hAnsi="Arial"/>
          <w:sz w:val="16"/>
          <w:szCs w:val="16"/>
          <w:color w:val="auto"/>
        </w:rPr>
      </w:pPr>
    </w:p>
    <w:p>
      <w:pPr>
        <w:ind w:right="140" w:firstLine="464"/>
        <w:spacing w:after="0" w:line="291" w:lineRule="auto"/>
        <w:tabs>
          <w:tab w:leader="none" w:pos="695"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Ratings Change</w:t>
      </w:r>
      <w:r>
        <w:rPr>
          <w:rFonts w:ascii="Arial" w:cs="Arial" w:eastAsia="Arial" w:hAnsi="Arial"/>
          <w:sz w:val="16"/>
          <w:szCs w:val="16"/>
          <w:color w:val="auto"/>
        </w:rPr>
        <w:t>. If the Applicable Margin shall change as a result of a change in the Borrower’s Credit Rating and then within a 90-day period change back to the Applicable Margin in effect at the beginning of such period as a result of another change in such Credit Rating, and (i) if the initial change in the Applicable Margin was an increase, then the Borrower will receive as a credit against its Obligations for the period during which the increase existed any incremental interest expense with respect to the Loans the interest rate on which included the Applicable Margin and (ii) if the initial change in the Applicable Margin was a decrease, then the Borrower shall promptly pay to the Agent for the ratable benefit of the Lenders for the period during which the increase existed determined as if such decrease had not occurred additional interest with respect to the Loans the interest rate on which included the Applicable Margin.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Number of Interest Periods.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may be no more than 6 different Interest Periods for LIBOR Loans outstanding at the same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280" w:right="25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2.4. Repayment of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repay the entire outstanding principal amount of, and all accrued but unpaid interest on, the Loans on the Termination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Prepayments.</w:t>
      </w:r>
    </w:p>
    <w:p>
      <w:pPr>
        <w:spacing w:after="0" w:line="96" w:lineRule="exact"/>
        <w:rPr>
          <w:sz w:val="20"/>
          <w:szCs w:val="20"/>
          <w:color w:val="auto"/>
        </w:rPr>
      </w:pPr>
    </w:p>
    <w:p>
      <w:pPr>
        <w:ind w:right="100" w:firstLine="464"/>
        <w:spacing w:after="0" w:line="268" w:lineRule="auto"/>
        <w:tabs>
          <w:tab w:leader="none" w:pos="69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Subject to Section 4.4., the Borrower may prepay the Loans, in whole or in part, at any time without premium or penalty. The Borrower shall give the Agent at least one Business Day’s prior written notice of the prepayment of the Loans.</w:t>
      </w:r>
    </w:p>
    <w:p>
      <w:pPr>
        <w:spacing w:after="0" w:line="131"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Derivatives Contracts</w:t>
      </w:r>
      <w:r>
        <w:rPr>
          <w:rFonts w:ascii="Arial" w:cs="Arial" w:eastAsia="Arial" w:hAnsi="Arial"/>
          <w:sz w:val="18"/>
          <w:szCs w:val="18"/>
          <w:color w:val="auto"/>
        </w:rPr>
        <w:t>. No repayment or prepayment pursuant to this Section shall affect any of the Borrower’s obligations under any Derivatives Contract between the Borrower and any Lender (or any Affiliate of any Lender).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Continuation.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 long as no Event of Default shall exist, the Borrower may on any Business Day, with respect to any LIBOR Loan, elect to maintain such LIBOR Loan or any portion thereof as a LIBOR Loan by selecting a new Interest Period for such LIBOR Loan. Each new Interest Period selected under this Section shall commence on the last day of the immediately preceding Interest Period. Each selection of a new Interest Period shall be made by the Borrower giving to the Agent a Notice of Continuation not later than 11:00 a.m. on the third Business Day prior to the date of any such Continuation. Such notice by the Borrower of a Continuation shall be by telephone or telecopy, confirmed immediately in writing if by telephone, in the form of a Notice of Continuation, specifying (a) the proposed date of such Continuation, (b) the LIBOR Loans and portions thereof subject to such Continuation and (c) the duration of the selected Interest Period. Each Notice of Continuation shall be irrevocable by and binding on the Borrower once given. Promptly after receipt of a Notice of Continuation, the Agent shall notify each Lender holding any such Loan being Continued by telecopy, or other similar form of transmission, of the proposed Continuation. If the Borrower shall fail to select in a timely manner a new Interest Period for any LIBOR Loan in accordance with this Section, or if an Event of Default shall exist at the end of the current Interest Period of a LIBOR Loan, such Loan will automatically, on the last day of the current Interest Period therefor, Convert into a Base Rate Loan notwithstanding the first sentence of Section 2.7. or the Borrower’s failure to comply with any of the terms of such Section.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Conversion.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Borrower may on any Business Day, upon the Borrower’s giving of a Notice of Conversion to the Agent, Convert all or a portion of a Loan of one Type into a Loan of another Type; provided, however, a Base Rate Loan may not be Converted to a LIBOR Loan if an Event of Default shall exist. Any Conversion of a LIBOR Loan into a Base Rate Loan shall be made on, and only on, the last day of an Interest Period for such LIBOR Loan and, upon Conversion of a Base Rate Loan into a LIBOR Loan, the Borrower shall pay accrued interest to the date of Conversion on the principal amount so Converted. Each such Notice of Conversion shall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274" w:right="239" w:bottom="1440" w:gutter="0" w:footer="0" w:header="0"/>
        </w:sectPr>
      </w:pPr>
    </w:p>
    <w:bookmarkStart w:id="434" w:name="page435"/>
    <w:bookmarkEnd w:id="43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given not later than 11:00 a.m. on the date of any proposed Conversion into Base Rate Loans and on the third Business Day prior to the date of any proposed Conversion into LIBOR Loans. Promptly after receipt of a Notice of Conversion, the Agent shall notify each Lender holding a Loan being Converted by telecopy, or other similar form of transmission, of the proposed Conversion. Subject to the restrictions specified above, each Notice of Conversion shall be by telephone (confirmed immediately in writing) or telecopy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Notes.</w:t>
      </w:r>
    </w:p>
    <w:p>
      <w:pPr>
        <w:spacing w:after="0" w:line="96" w:lineRule="exact"/>
        <w:rPr>
          <w:sz w:val="20"/>
          <w:szCs w:val="20"/>
          <w:color w:val="auto"/>
        </w:rPr>
      </w:pPr>
    </w:p>
    <w:p>
      <w:pPr>
        <w:ind w:right="60" w:firstLine="464"/>
        <w:spacing w:after="0" w:line="256" w:lineRule="auto"/>
        <w:tabs>
          <w:tab w:leader="none" w:pos="695"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Loan made by each Lender shall, in addition to this Agreement, also be evidenced by a promissory note of the Borrower substantially in the form of Exhibit E (each a “</w:t>
      </w:r>
      <w:r>
        <w:rPr>
          <w:rFonts w:ascii="Arial" w:cs="Arial" w:eastAsia="Arial" w:hAnsi="Arial"/>
          <w:sz w:val="18"/>
          <w:szCs w:val="18"/>
          <w:b w:val="1"/>
          <w:bCs w:val="1"/>
          <w:color w:val="auto"/>
        </w:rPr>
        <w:t>Note</w:t>
      </w:r>
      <w:r>
        <w:rPr>
          <w:rFonts w:ascii="Arial" w:cs="Arial" w:eastAsia="Arial" w:hAnsi="Arial"/>
          <w:sz w:val="18"/>
          <w:szCs w:val="18"/>
          <w:color w:val="auto"/>
        </w:rPr>
        <w:t>”), payable to the order of such Lender in a principal amount equal to the amount of its Commitment and otherwise duly completed, unless the Agent receives notice from any Lender that it does not desire to receive a Note, in which case the Loan made by such Lender shall not be evidenced by a Note.</w:t>
      </w:r>
    </w:p>
    <w:p>
      <w:pPr>
        <w:spacing w:after="0" w:line="143" w:lineRule="exact"/>
        <w:rPr>
          <w:rFonts w:ascii="Arial" w:cs="Arial" w:eastAsia="Arial" w:hAnsi="Arial"/>
          <w:sz w:val="18"/>
          <w:szCs w:val="18"/>
          <w:color w:val="auto"/>
        </w:rPr>
      </w:pPr>
    </w:p>
    <w:p>
      <w:pPr>
        <w:ind w:right="160" w:firstLine="464"/>
        <w:spacing w:after="0" w:line="256" w:lineRule="auto"/>
        <w:tabs>
          <w:tab w:leader="none" w:pos="705"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The date, amount, interest rate,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the failure of a Lender to make any such record shall not affect the obligations of the Borrower under any of the Loan Documents.</w:t>
      </w:r>
    </w:p>
    <w:p>
      <w:pPr>
        <w:spacing w:after="0" w:line="143" w:lineRule="exact"/>
        <w:rPr>
          <w:rFonts w:ascii="Arial" w:cs="Arial" w:eastAsia="Arial" w:hAnsi="Arial"/>
          <w:sz w:val="18"/>
          <w:szCs w:val="18"/>
          <w:color w:val="auto"/>
        </w:rPr>
      </w:pPr>
    </w:p>
    <w:p>
      <w:pPr>
        <w:ind w:right="120" w:firstLine="464"/>
        <w:spacing w:after="0" w:line="298" w:lineRule="auto"/>
        <w:tabs>
          <w:tab w:leader="none" w:pos="695"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Lost, Stolen, Destroyed or Mutilated Notes</w:t>
      </w:r>
      <w:r>
        <w:rPr>
          <w:rFonts w:ascii="Arial" w:cs="Arial" w:eastAsia="Arial" w:hAnsi="Arial"/>
          <w:sz w:val="16"/>
          <w:szCs w:val="16"/>
          <w:color w:val="auto"/>
        </w:rPr>
        <w:t>. Upon receipt by the Borrower of (i) written notice from a Lender that the Note of such Lender has been lost, stolen, destroyed or mutilated, and (ii) (A) in the case of loss, theft or destruction, an unsecured agreement of indemnity from such Lender in form reasonably satisfactory to the Borrower, or (B) in the case of mutilation, upon surrender and cancellation of such Note, the Borrower shall at the expense of such Lender execute and deliver to such Lender a new Note dated the date of such lost, stolen, destroyed or mutilated Note.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Payments.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Except to the extent otherwise provided herein, all payments of principal, interest and other amounts to be made by the Borrower under this Agreement or any other Loan Document shall be made in Dollars, in immediately available funds, without deduction, set-off or counterclaim, to the Agent at its Principal Office, not later than 2:00 p.m. on the date on which such payment shall become due (each such payment made after such time on such due date to be deemed to have been made on the next succeeding Business Day). Subject to Section 10.3.,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280" w:right="259" w:bottom="1440" w:gutter="0" w:footer="0" w:header="0"/>
        </w:sectPr>
      </w:pPr>
    </w:p>
    <w:bookmarkStart w:id="435" w:name="page436"/>
    <w:bookmarkEnd w:id="43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may, at the time of making each payment under this Agreement or any Note, specify to the Agent the amounts payable by the Borrower hereunder to which such payment is to be applied. Each payment received by the Agent for the account of a Lender under this Agreement or any Note shall be paid to such Lender at the applicable Lending Office of such Lender no later than 5:00 p.m. on the date of receipt. If the Agent fails to pay such amount to a Lender as provided in the previous sentence, the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be payable for the period of such extension.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Pro Rata Treatment.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to the extent otherwise provided herein:</w:t>
      </w:r>
    </w:p>
    <w:p>
      <w:pPr>
        <w:spacing w:after="0" w:line="171" w:lineRule="exact"/>
        <w:rPr>
          <w:sz w:val="20"/>
          <w:szCs w:val="20"/>
          <w:color w:val="auto"/>
        </w:rPr>
      </w:pPr>
    </w:p>
    <w:p>
      <w:pPr>
        <w:ind w:left="700" w:hanging="236"/>
        <w:spacing w:after="0"/>
        <w:tabs>
          <w:tab w:leader="none" w:pos="7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making of the Loans under Section 2.1. shall be made, pro rata according to amounts of the Lenders’ respective Commitments;</w:t>
      </w:r>
    </w:p>
    <w:p>
      <w:pPr>
        <w:spacing w:after="0" w:line="171"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payment or prepayment of principal of Loans by the Borrower shall be made for the account of the Lenders pro rata in accordance with the respective unpaid principal amounts of the Loans held by them;</w:t>
      </w:r>
    </w:p>
    <w:p>
      <w:pPr>
        <w:spacing w:after="0" w:line="131"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payment of interest on the Loans by the Borrower shall be made for the account of the Lenders pro rata in accordance with the amounts of interest on such Loans then due and payable to the respective Lenders; and</w:t>
      </w:r>
    </w:p>
    <w:p>
      <w:pPr>
        <w:spacing w:after="0" w:line="131" w:lineRule="exact"/>
        <w:rPr>
          <w:rFonts w:ascii="Arial" w:cs="Arial" w:eastAsia="Arial" w:hAnsi="Arial"/>
          <w:sz w:val="18"/>
          <w:szCs w:val="18"/>
          <w:color w:val="auto"/>
        </w:rPr>
      </w:pPr>
    </w:p>
    <w:p>
      <w:pPr>
        <w:jc w:val="both"/>
        <w:ind w:right="60" w:firstLine="464"/>
        <w:spacing w:after="0" w:line="259" w:lineRule="auto"/>
        <w:tabs>
          <w:tab w:leader="none" w:pos="70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Conversion and Continuation of the Loans of a particular Type (other than Conversions provided for by Section 4.5.) shall be made pro rata among the Lenders according to the amounts of their respective Loans and the then current Interest Period for each Lender’s portion of each Loan of such Type shall be coterminous.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Sharing of Payments, Etc.</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a Lender shall obtain payment of any principal of, or interest on, the Loan made by it to the Borrower under this Agreement, or shall obtain payment on any other Obligation owing by the Borrower or other Loan Party through the exercise of any right of set-off, banker’s lien or counterclaim or similar right or otherwise or through voluntary prepayments directly to a Lender or other payments made by the Borrower to a Lender not in accordance with the terms of this Agreement and such payment should be distributed to the Lenders pro rata in accordance with Section 3.2. or Section 10.3.,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be incurred by such Lender in obtaining or preserving such benefit) pro rata in accordance with Section 3.2. or Section 10.3., as applicable. To such end, all the Lenders shall make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60"/>
          </w:cols>
          <w:pgMar w:left="240" w:top="279" w:right="299" w:bottom="1440" w:gutter="0" w:footer="0" w:header="0"/>
        </w:sectPr>
      </w:pPr>
    </w:p>
    <w:bookmarkStart w:id="436" w:name="page437"/>
    <w:bookmarkEnd w:id="436"/>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pursuant to this Section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Several Obligations.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Minimum Amounts.</w:t>
      </w:r>
    </w:p>
    <w:p>
      <w:pPr>
        <w:spacing w:after="0" w:line="96" w:lineRule="exact"/>
        <w:rPr>
          <w:sz w:val="20"/>
          <w:szCs w:val="20"/>
          <w:color w:val="auto"/>
        </w:rPr>
      </w:pPr>
    </w:p>
    <w:p>
      <w:pPr>
        <w:ind w:right="400" w:firstLine="464"/>
        <w:spacing w:after="0" w:line="332" w:lineRule="auto"/>
        <w:tabs>
          <w:tab w:leader="none" w:pos="695"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Base Rate Loans shall be in an aggregate minimum amount of $1,000,000 and integral multiples of $500,000 in excess thereof. LIBOR Loans shall be in an aggregate minimum amount of $1,000,000 and integral multiples of $1,000,000 in excess of that amount.</w:t>
      </w:r>
    </w:p>
    <w:p>
      <w:pPr>
        <w:spacing w:after="0" w:line="85"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Prepayments</w:t>
      </w:r>
      <w:r>
        <w:rPr>
          <w:rFonts w:ascii="Arial" w:cs="Arial" w:eastAsia="Arial" w:hAnsi="Arial"/>
          <w:sz w:val="18"/>
          <w:szCs w:val="18"/>
          <w:color w:val="auto"/>
        </w:rPr>
        <w:t>. Each voluntary prepayment of the Loans shall be in an aggregate minimum amount of $1,000,000 and integral multiples of $100,000 in excess thereof (or, if less, the aggregate principal amount of Loans then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Administrative and Other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agrees to pay the administrative and other fees of the Agent as may be agreed to in writing by the Borrower and the Agent from time to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Computations.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otherwise expressly set forth herein, any accrued interest on any Loan, any Fees or any other Obligations due hereunder shall be computed on the basis of a year of 360 days and the actual number of days elapsed, except in the case of Base Rate Loans which shall be computed on the basis of a year of 365 or 366 days, as applicable, and the actual number of days elapsed.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00"/>
          </w:cols>
          <w:pgMar w:left="240" w:top="279" w:right="259"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3.8. Usury.</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except to the extent the payment thereof as principal would result in the payment of amounts under Section 4.4., in which case such amount shall be paid to the Borrower or whomever else may be legally entitled thereto. It is the express intent of the parties hereto that the Borrower not pay and the Lenders not receive, directly or indirectly, in any manner whatsoever, interest in excess of that which may be lawfully paid by the Borrower under Applicable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Agreement Regarding Interest and Charges.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parties hereto hereby agree and stipulate that the only charge imposed upon the Borrower for the use of money in connection with this Agreement is and shall be the interest specifically described in Section 2.2.(a)(i) and (ii). Notwithstanding the foregoing, the parties hereto further agree and stipulate that all agency fees, syndication fees, closing fees, underwriting fees, default charges, late charges, funding or “breakage” charges, increased cost charges, attorneys’ fees and reimbursement for costs and expenses paid by the Agent or any Lender to third parties or for damages incurred by the Agent or any Lender, in each case in connection with the transactions contemplated by this Agreement and the other Loan Documents, are charges made to compensate the Agent or any such Lender for underwriting or administrative services and costs or losses performed or incurred, and to be performed or incurred, by the Agent and the Lenders in connection with this Agreement and shall under no circumstances be deemed to be charges for the use of money. All charges other than charges for the use of money shall be fully earned and nonrefundable when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Statements of Account.</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Agent will account to the Borrower monthly with a statement of Loans, accrued interest and Fees, charges and payments made pursuant to this Agreement and the other Loan Documents, and such account rendered by the Agent shall be deemed conclusive upon Borrower absent manifest error. The failure of the Agent to deliver such a statement of accounts shall not relieve or discharge the Borrower from any of its obligations hereunder.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Defaulting Lenders.</w:t>
      </w:r>
    </w:p>
    <w:p>
      <w:pPr>
        <w:spacing w:after="0" w:line="96" w:lineRule="exact"/>
        <w:rPr>
          <w:sz w:val="20"/>
          <w:szCs w:val="20"/>
          <w:color w:val="auto"/>
        </w:rPr>
      </w:pPr>
    </w:p>
    <w:p>
      <w:pPr>
        <w:ind w:firstLine="464"/>
        <w:spacing w:after="0" w:line="294" w:lineRule="auto"/>
        <w:tabs>
          <w:tab w:leader="none" w:pos="695"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If a Lender shall become a Defaulting Lender, then, in addition to the rights and remedies that may be available to the Agent or the Borrower under this Agreement or Applicable Law, such Defaulting Lender’s right to participate in the administration of the Loans, this Agreement and the other Loan Documents, including, without limitation, any right to vote in respect of, to consent to or to direct any action or inaction of the Agent or to be taken into account in the calculation of the Requisite Lenders, shall be suspended during the period such Lender remains a Defaulting Lender. If a Lender is a Defaulting Lender because it has failed to make timely payment to the Agent of any amount required to be paid to the Agent hereunder</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380"/>
          </w:cols>
          <w:pgMar w:left="240" w:top="274" w:right="279" w:bottom="1440" w:gutter="0" w:footer="0" w:header="0"/>
        </w:sectPr>
      </w:pPr>
    </w:p>
    <w:bookmarkStart w:id="438" w:name="page439"/>
    <w:bookmarkEnd w:id="438"/>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giving effect to any notice or cure periods), in addition to other rights and remedies which the Agent or the Borrower may have under the immediately preceding provisions or otherwise, the Agent shall be entitled (i) to collect interest from such Defaulting Lender on such delinquent payment for the period from the date on which the payment was due until the date on which the payment is made, at the Federal Funds Rate, (ii) to withhold or setoff and to apply in satisfaction of the defaulted payment and any related interest, any amounts otherwise payable to such Defaulting Lender under this Agreement or any other Loan Document and (iii) to bring an action or suit against such Defaulting Lender in a court of competent jurisdiction to recover the defaulted amount and any related interest.</w:t>
      </w:r>
    </w:p>
    <w:p>
      <w:pPr>
        <w:spacing w:after="0" w:line="144" w:lineRule="exact"/>
        <w:rPr>
          <w:sz w:val="20"/>
          <w:szCs w:val="20"/>
          <w:color w:val="auto"/>
        </w:rPr>
      </w:pPr>
    </w:p>
    <w:p>
      <w:pPr>
        <w:ind w:firstLine="464"/>
        <w:spacing w:after="0" w:line="308" w:lineRule="auto"/>
        <w:tabs>
          <w:tab w:leader="none" w:pos="705" w:val="left"/>
        </w:tabs>
        <w:numPr>
          <w:ilvl w:val="0"/>
          <w:numId w:val="312"/>
        </w:numPr>
        <w:rPr>
          <w:rFonts w:ascii="Arial" w:cs="Arial" w:eastAsia="Arial" w:hAnsi="Arial"/>
          <w:sz w:val="15"/>
          <w:szCs w:val="15"/>
          <w:color w:val="auto"/>
        </w:rPr>
      </w:pPr>
      <w:r>
        <w:rPr>
          <w:rFonts w:ascii="Arial" w:cs="Arial" w:eastAsia="Arial" w:hAnsi="Arial"/>
          <w:sz w:val="15"/>
          <w:szCs w:val="15"/>
          <w:u w:val="single" w:color="auto"/>
          <w:color w:val="auto"/>
        </w:rPr>
        <w:t>Purchase of Defaulting Lender’s Loan</w:t>
      </w:r>
      <w:r>
        <w:rPr>
          <w:rFonts w:ascii="Arial" w:cs="Arial" w:eastAsia="Arial" w:hAnsi="Arial"/>
          <w:sz w:val="15"/>
          <w:szCs w:val="15"/>
          <w:color w:val="auto"/>
        </w:rPr>
        <w:t>. The Borrower may, by giving written notice thereof to the Agent, such Defaulting Lender and the other Lenders demand that such Defaulting Lender assign the unpaid principal balance of its Loan to an Eligible Assignee subject to and in accordance with the provisions of Section 12.5.(b). No party hereto shall have any obligation whatsoever to initiate any such replacement or to assist in finding an Eligible Assignee. Upon any such purchase or assignment, the Defaulting Lender’s interest in the Loans and its rights hereunder with respect thereto (but not its liability in respect thereof or under the Loan Documents or this Agreement to the extent the same relate to the period prior to the effective date of the purchase) shall terminate on the date of purchase, and the Defaulting Lender shall promptly execute all documents reasonably requested to surrender and transfer such interest to the purchaser or assignee thereof, including an appropriate Assignment and Acceptance Agreement and, notwithstanding Section 12.5.(b) shall pay to the Agent an assignment fee in the amount of $7,000. A Defaulting Lender shall be entitled to receive amounts owed to it by the Borrower under the Loan Documents which accrued prior to the date of the default by the Defaulting Lender, to the extent the same are received by the Agent from or on behalf of the Borrower. There shall be no recourse against any Lender or the Agent for the payment of such sums except to the extent of the receipt of payments from any other party or in respect of the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3.12. Taxes.</w:t>
      </w:r>
    </w:p>
    <w:p>
      <w:pPr>
        <w:spacing w:after="0" w:line="96" w:lineRule="exact"/>
        <w:rPr>
          <w:sz w:val="20"/>
          <w:szCs w:val="20"/>
          <w:color w:val="auto"/>
        </w:rPr>
      </w:pPr>
    </w:p>
    <w:p>
      <w:pPr>
        <w:ind w:right="40" w:firstLine="464"/>
        <w:spacing w:after="0" w:line="287" w:lineRule="auto"/>
        <w:tabs>
          <w:tab w:leader="none" w:pos="695"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Taxes Generally</w:t>
      </w:r>
      <w:r>
        <w:rPr>
          <w:rFonts w:ascii="Arial" w:cs="Arial" w:eastAsia="Arial" w:hAnsi="Arial"/>
          <w:sz w:val="16"/>
          <w:szCs w:val="16"/>
          <w:color w:val="auto"/>
        </w:rPr>
        <w:t>. All payments by the Borrower of principal of, and interest on, the Loans and all other Obligations shall be made free and clear of and without deduction for any present or future excise, stamp or other taxes, fees, duties, levies, imposts, charges, deductions, withholdings or other charges of any nature whatsoever imposed by any taxing authority, but excluding (i) franchise taxes, (ii) any taxes (other than withholding taxes) with respect to the Agent or a Lender that would not be imposed but for a connection between the Agent or such Lender and the jurisdiction imposing such taxes (other than a connection arising solely by virtue of the activities of the Agent or such Lender pursuant to or in respect of this Agreement or any other Loan Document), (iii) any taxes imposed on or measured by any Lender’s assets, net income, gross receipts or branch profits, (iv) any withholding taxes payable with respect to payments hereunder or under any other Loan Document under Applicable Law as currently interpreted and applied as of the Agreement Date, and (v) any taxes arising after the Agreement Date solely as a result of or attributable to a Lender changing its designated Lending Office after the date such Lender becomes a party hereto (such non-excluded items being collectively called “</w:t>
      </w:r>
      <w:r>
        <w:rPr>
          <w:rFonts w:ascii="Arial" w:cs="Arial" w:eastAsia="Arial" w:hAnsi="Arial"/>
          <w:sz w:val="16"/>
          <w:szCs w:val="16"/>
          <w:b w:val="1"/>
          <w:bCs w:val="1"/>
          <w:color w:val="auto"/>
        </w:rPr>
        <w:t>Taxes</w:t>
      </w:r>
      <w:r>
        <w:rPr>
          <w:rFonts w:ascii="Arial" w:cs="Arial" w:eastAsia="Arial" w:hAnsi="Arial"/>
          <w:sz w:val="16"/>
          <w:szCs w:val="16"/>
          <w:color w:val="auto"/>
        </w:rPr>
        <w:t>”). If any withholding or deduction from any payment to be made by the Borrower hereunder is required in respect of any Taxes pursuant to any Applicable Law, then the Borrower will:</w:t>
      </w:r>
    </w:p>
    <w:p>
      <w:pPr>
        <w:spacing w:after="0" w:line="41" w:lineRule="exact"/>
        <w:rPr>
          <w:rFonts w:ascii="Arial" w:cs="Arial" w:eastAsia="Arial" w:hAnsi="Arial"/>
          <w:sz w:val="16"/>
          <w:szCs w:val="16"/>
          <w:color w:val="auto"/>
        </w:rPr>
      </w:pPr>
    </w:p>
    <w:p>
      <w:pPr>
        <w:ind w:left="460" w:right="480" w:firstLine="443"/>
        <w:spacing w:after="0" w:line="268" w:lineRule="auto"/>
        <w:tabs>
          <w:tab w:leader="none" w:pos="110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pay directly to the relevant Governmental Authority the full amount required to be so withheld or deducted prior to the date the same would become delinquent;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313"/>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280" w:right="239" w:bottom="1440" w:gutter="0" w:footer="0" w:header="0"/>
        </w:sectPr>
      </w:pPr>
    </w:p>
    <w:bookmarkStart w:id="439" w:name="page440"/>
    <w:bookmarkEnd w:id="439"/>
    <w:p>
      <w:pPr>
        <w:ind w:left="460" w:right="980" w:firstLine="443"/>
        <w:spacing w:after="0" w:line="268" w:lineRule="auto"/>
        <w:tabs>
          <w:tab w:leader="none" w:pos="1157" w:val="left"/>
        </w:tabs>
        <w:numPr>
          <w:ilvl w:val="1"/>
          <w:numId w:val="3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forward to the Agent an official receipt or other documentation satisfactory to the Agent evidencing such payment to such Governmental Authority; and</w:t>
      </w:r>
    </w:p>
    <w:p>
      <w:pPr>
        <w:spacing w:after="0" w:line="50" w:lineRule="exact"/>
        <w:rPr>
          <w:rFonts w:ascii="Arial" w:cs="Arial" w:eastAsia="Arial" w:hAnsi="Arial"/>
          <w:sz w:val="18"/>
          <w:szCs w:val="18"/>
          <w:color w:val="auto"/>
        </w:rPr>
      </w:pPr>
    </w:p>
    <w:p>
      <w:pPr>
        <w:ind w:left="460" w:right="200" w:firstLine="443"/>
        <w:spacing w:after="0" w:line="335" w:lineRule="auto"/>
        <w:tabs>
          <w:tab w:leader="none" w:pos="1205" w:val="left"/>
        </w:tabs>
        <w:numPr>
          <w:ilvl w:val="1"/>
          <w:numId w:val="314"/>
        </w:numPr>
        <w:rPr>
          <w:rFonts w:ascii="Arial" w:cs="Arial" w:eastAsia="Arial" w:hAnsi="Arial"/>
          <w:sz w:val="15"/>
          <w:szCs w:val="15"/>
          <w:color w:val="auto"/>
        </w:rPr>
      </w:pPr>
      <w:r>
        <w:rPr>
          <w:rFonts w:ascii="Arial" w:cs="Arial" w:eastAsia="Arial" w:hAnsi="Arial"/>
          <w:sz w:val="15"/>
          <w:szCs w:val="15"/>
          <w:color w:val="auto"/>
        </w:rPr>
        <w:t>without duplication of amounts paid pursuant to the immediately preceding clause (i), pay to the Agent for its account or the account of the applicable Lender, as the case may be, such additional amount or amounts as is necessary to ensure that the net amount actually received by the Agent or such Lender will equal the full amount that the Agent or such Lender would have received had no such withholding or deduction been required.</w:t>
      </w:r>
    </w:p>
    <w:p>
      <w:pPr>
        <w:spacing w:after="0" w:line="88" w:lineRule="exact"/>
        <w:rPr>
          <w:rFonts w:ascii="Arial" w:cs="Arial" w:eastAsia="Arial" w:hAnsi="Arial"/>
          <w:sz w:val="15"/>
          <w:szCs w:val="15"/>
          <w:color w:val="auto"/>
        </w:rPr>
      </w:pPr>
    </w:p>
    <w:p>
      <w:pPr>
        <w:jc w:val="both"/>
        <w:ind w:right="140" w:firstLine="464"/>
        <w:spacing w:after="0" w:line="303" w:lineRule="auto"/>
        <w:tabs>
          <w:tab w:leader="none" w:pos="705" w:val="left"/>
        </w:tabs>
        <w:numPr>
          <w:ilvl w:val="0"/>
          <w:numId w:val="315"/>
        </w:numPr>
        <w:rPr>
          <w:rFonts w:ascii="Arial" w:cs="Arial" w:eastAsia="Arial" w:hAnsi="Arial"/>
          <w:sz w:val="15"/>
          <w:szCs w:val="15"/>
          <w:color w:val="auto"/>
        </w:rPr>
      </w:pPr>
      <w:r>
        <w:rPr>
          <w:rFonts w:ascii="Arial" w:cs="Arial" w:eastAsia="Arial" w:hAnsi="Arial"/>
          <w:sz w:val="15"/>
          <w:szCs w:val="15"/>
          <w:u w:val="single" w:color="auto"/>
          <w:color w:val="auto"/>
        </w:rPr>
        <w:t>Tax Indemnification</w:t>
      </w:r>
      <w:r>
        <w:rPr>
          <w:rFonts w:ascii="Arial" w:cs="Arial" w:eastAsia="Arial" w:hAnsi="Arial"/>
          <w:sz w:val="15"/>
          <w:szCs w:val="15"/>
          <w:color w:val="auto"/>
        </w:rPr>
        <w:t>. If the Borrower fails to pay any Taxes when due to the appropriate Governmental Authority or fails to remit to the Agent, for its account or the account of the respective Lender, as the case may be, the required receipts or other required documentary evidence, the Borrower shall indemnify the Agent and the Lenders for any incremental Taxes, interest or penalties that may become payable by the Agent or any Lender as a result of any such failure.</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For purposes of this Section, a distribution hereunder by the Agent or any Lender to or for the account of any Lender shall be deemed a payment by the Borrower.</w:t>
      </w:r>
    </w:p>
    <w:p>
      <w:pPr>
        <w:spacing w:after="0" w:line="199" w:lineRule="exact"/>
        <w:rPr>
          <w:rFonts w:ascii="Arial" w:cs="Arial" w:eastAsia="Arial" w:hAnsi="Arial"/>
          <w:sz w:val="15"/>
          <w:szCs w:val="15"/>
          <w:color w:val="auto"/>
        </w:rPr>
      </w:pPr>
    </w:p>
    <w:p>
      <w:pPr>
        <w:ind w:firstLine="464"/>
        <w:spacing w:after="0" w:line="286" w:lineRule="auto"/>
        <w:tabs>
          <w:tab w:leader="none" w:pos="695"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Tax Forms</w:t>
      </w:r>
      <w:r>
        <w:rPr>
          <w:rFonts w:ascii="Arial" w:cs="Arial" w:eastAsia="Arial" w:hAnsi="Arial"/>
          <w:sz w:val="16"/>
          <w:szCs w:val="16"/>
          <w:color w:val="auto"/>
        </w:rPr>
        <w:t>. Prior to the date that any Lender or Participant organized under the laws of a jurisdiction outside the United States of America becomes a party hereto, such Person shall deliver to the Borrower and the Agent such certificates, documents or other evidence, as required by the Internal Revenue Code or Treasury Regulations issued pursuant thereto (including Internal Revenue Service Forms W-8ECI and W-8BEN, as applicable, or appropriate successor forms), properly completed, currently effective and duly executed by such Lender or Participant establishing that payments to it hereunder and under the Notes are (i) not subject to United States Federal backup withholding tax and (ii) not subject to United States Federal withholding tax imposed under the Internal Revenue Code. Each such Lender or Participant shall, to the extent it may lawfully do so, (x) deliver further copies of such forms or other appropriate certifications on or before the date that any such forms expire or become obsolete and after the occurrence of any event requiring a change in the most recent form delivered to the Borrower or the Agent and (y) obtain such extensions of the time for filing, and renew such forms and certifications thereof, as may be reasonably requested by the Borrower or the Agent. The Borrower shall not be required to pay any amount pursuant to the last sentence of subsection (a) above (or in respect thereof, under subsection (b) above) to any Lender or Participant that is organized under the laws of a jurisdiction outside of the United States of America or the Agent, if it is organized under the laws of a jurisdiction outside of the United States of America, if such Lender, Participant or the Agent, as applicable, fails to comply with the requirements of this subsection. If any such Lender or Participant, to the extent it may lawfully do so, fails to deliver</w:t>
      </w:r>
    </w:p>
    <w:p>
      <w:pPr>
        <w:spacing w:after="0" w:line="110" w:lineRule="exact"/>
        <w:rPr>
          <w:rFonts w:ascii="Arial" w:cs="Arial" w:eastAsia="Arial" w:hAnsi="Arial"/>
          <w:sz w:val="16"/>
          <w:szCs w:val="16"/>
          <w:color w:val="auto"/>
        </w:rPr>
      </w:pPr>
    </w:p>
    <w:p>
      <w:pPr>
        <w:ind w:left="5620" w:hanging="96"/>
        <w:spacing w:after="0"/>
        <w:tabs>
          <w:tab w:leader="none" w:pos="562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00"/>
          </w:cols>
          <w:pgMar w:left="240" w:top="280" w:right="259" w:bottom="1440" w:gutter="0" w:footer="0" w:header="0"/>
        </w:sectPr>
      </w:pPr>
    </w:p>
    <w:bookmarkStart w:id="440" w:name="page441"/>
    <w:bookmarkEnd w:id="44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above forms or other documentation, then the Agent may withhold from any payments to be made to such Lender under any of the Loan Documents such amounts as are required by the Internal Revenue Code. If any Governmental Authority asserts that the Agent did not properly withhold or backup withhold, as the case may be, any tax or other amount from payments made to or for the account of any Lender, such Lender shall indemnify the Agent therefor, including all penalties and interest, any taxes imposed by any jurisdiction on the amounts payable to the Agent under this Section, and costs and expenses (including all reasonable fees and disbursements of any law firm or other external counsel and the allocated cost of internal legal services and all disbursements of internal counsel) of the Agent. The obligation of the Lenders under this Section shall survive repayment of all Obligations and the resignation or replacement of the Agent.</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 Y</w:t>
      </w:r>
      <w:r>
        <w:rPr>
          <w:rFonts w:ascii="Arial" w:cs="Arial" w:eastAsia="Arial" w:hAnsi="Arial"/>
          <w:sz w:val="14"/>
          <w:szCs w:val="14"/>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Additional Costs; Capital Adequacy.</w:t>
      </w:r>
    </w:p>
    <w:p>
      <w:pPr>
        <w:spacing w:after="0" w:line="96" w:lineRule="exact"/>
        <w:rPr>
          <w:sz w:val="20"/>
          <w:szCs w:val="20"/>
          <w:color w:val="auto"/>
        </w:rPr>
      </w:pPr>
    </w:p>
    <w:p>
      <w:pPr>
        <w:ind w:right="60" w:firstLine="464"/>
        <w:spacing w:after="0" w:line="286" w:lineRule="auto"/>
        <w:tabs>
          <w:tab w:leader="none" w:pos="695"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Additional Costs</w:t>
      </w:r>
      <w:r>
        <w:rPr>
          <w:rFonts w:ascii="Arial" w:cs="Arial" w:eastAsia="Arial" w:hAnsi="Arial"/>
          <w:sz w:val="16"/>
          <w:szCs w:val="16"/>
          <w:color w:val="auto"/>
        </w:rPr>
        <w:t>. The Borrower shall promptly pay to the Agent for the account of a Lender from time to time such amounts as such Lender may reasonably determine to be necessary to compensate such Lender for any costs incurred by such Lender that it determines are attributable to its making or maintaining of any LIBOR Loans or its obligation to make any LIBOR Loans hereunder, any reduction in any amount receivable by such Lender under this Agreement or any of the other Loan Documents in respect of any of such Loans or such obligation or the maintenance by such Lender of capital in respect of its Loan (such increases in costs and reductions in amounts receivable being herein called “</w:t>
      </w:r>
      <w:r>
        <w:rPr>
          <w:rFonts w:ascii="Arial" w:cs="Arial" w:eastAsia="Arial" w:hAnsi="Arial"/>
          <w:sz w:val="16"/>
          <w:szCs w:val="16"/>
          <w:b w:val="1"/>
          <w:bCs w:val="1"/>
          <w:color w:val="auto"/>
        </w:rPr>
        <w:t>Additional Costs</w:t>
      </w:r>
      <w:r>
        <w:rPr>
          <w:rFonts w:ascii="Arial" w:cs="Arial" w:eastAsia="Arial" w:hAnsi="Arial"/>
          <w:sz w:val="16"/>
          <w:szCs w:val="16"/>
          <w:color w:val="auto"/>
        </w:rPr>
        <w:t>”), to the extent resulting from any Regulatory Change that: (i) changes the basis of taxation of any amounts payable to such Lender under this Agreement or any of the other Loan Documents in respect of its Loan (other than taxes, fees, duties, levies, imposts, charges, deductions, withholdings or other charges which are excluded from the definition of Taxes pursuant to the first sentence of Section 3.12.(a) or payable as a result of failing to deliver forms required by Section 3.12.(c)); or (ii) imposes or modifies any reserve, special deposit or similar requirements (other than Regulation D of the Board of Governors of the Federal Reserve System or other reserve requirement to the extent utilized in the determination of the Adjusted Eurodollar Rate for such Loan) relating to any extensions of credit or other assets of, or any deposits with or other liabilities of, such Lender, or any commitment of such Lender; or (iii) has or would have the effect of reducing the rate of return on capital of such Lender to a level below that which such Lender could have achieved but for such Regulatory Change (taking into consideration such Lender’s policies with respect to capital adequacy).</w:t>
      </w:r>
    </w:p>
    <w:p>
      <w:pPr>
        <w:spacing w:after="0" w:line="120"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Lender’s Suspension of LIBOR Loans</w:t>
      </w:r>
      <w:r>
        <w:rPr>
          <w:rFonts w:ascii="Arial" w:cs="Arial" w:eastAsia="Arial" w:hAnsi="Arial"/>
          <w:sz w:val="16"/>
          <w:szCs w:val="16"/>
          <w:color w:val="auto"/>
        </w:rPr>
        <w:t>. Without limiting the effect of the provisions of the immediately preceding subsection (a),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is determined as provided in this Agreement or a category of extensions of credit or other assets of such Lender that includes LIBOR Loans or (ii) becomes subject to restrictions on the amount of such a category of liabilities or assets that it may hold, then, if such Lender so elects by notice to the</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00"/>
          </w:cols>
          <w:pgMar w:left="240" w:top="279" w:right="259" w:bottom="1440" w:gutter="0" w:footer="0" w:header="0"/>
        </w:sectPr>
      </w:pPr>
    </w:p>
    <w:bookmarkStart w:id="441" w:name="page442"/>
    <w:bookmarkEnd w:id="441"/>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(with a copy to the Agent), the obligation of such Lender to Continue, or to Convert any other Type of Loans into, LIBOR Loans hereunder shall be suspended until such Regulatory Change ceases to be in effect (in which case the provisions of Section 4.5. shall apply).</w:t>
      </w:r>
    </w:p>
    <w:p>
      <w:pPr>
        <w:spacing w:after="0" w:line="85" w:lineRule="exact"/>
        <w:rPr>
          <w:sz w:val="20"/>
          <w:szCs w:val="20"/>
          <w:color w:val="auto"/>
        </w:rPr>
      </w:pPr>
    </w:p>
    <w:p>
      <w:pPr>
        <w:ind w:firstLine="464"/>
        <w:spacing w:after="0" w:line="288" w:lineRule="auto"/>
        <w:tabs>
          <w:tab w:leader="none" w:pos="695"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Notification and Determination of Additional Costs</w:t>
      </w:r>
      <w:r>
        <w:rPr>
          <w:rFonts w:ascii="Arial" w:cs="Arial" w:eastAsia="Arial" w:hAnsi="Arial"/>
          <w:sz w:val="16"/>
          <w:szCs w:val="16"/>
          <w:color w:val="auto"/>
        </w:rPr>
        <w:t>. Each of the Agent and each Lender agrees to notify the Borrower of any event occurring after the Agreement Date entitling the Agent or such Lender to compensation under any of the preceding subsections of this Section as promptly as practicable; provided, however, the failure of the Agent or any Lender to give such notice shall not release the Borrower from any of its obligations hereunder (and in the case of a Lender, to the Agent); provided further that no Lender shall be entitled to claim any additional cost, reduction in amounts, loss, tax or other additional amount under this Article IV if such Lender fails to provide such notice to the Borrower within 180 days of the date such Lender becomes aware of the occurrence of the event giving rise to the additional cost, reduction in amounts, loss, tax or other additional amount. The Agent or such Lender agrees to furnish to the Borrower (and in the case of a Lender, to the Agent) a certificate setting forth the basis and amount of each request by the Agent or such Lender for compensation under this Section. Absent manifest error, determinations by the Agent or any Lender of the effect of any Regulatory Change shall be conclusive, provided that such determinations are made on a reasonable basis and in good faith.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Suspension of LIBOR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Anything herein to the contrary notwithstanding, if, on or prior to the determination of any Adjusted Eurodollar Rate for any Interest Period:</w:t>
      </w:r>
    </w:p>
    <w:p>
      <w:pPr>
        <w:spacing w:after="0" w:line="113" w:lineRule="exact"/>
        <w:rPr>
          <w:sz w:val="20"/>
          <w:szCs w:val="20"/>
          <w:color w:val="auto"/>
        </w:rPr>
      </w:pPr>
    </w:p>
    <w:p>
      <w:pPr>
        <w:ind w:left="460" w:right="620" w:firstLine="443"/>
        <w:spacing w:after="0" w:line="332" w:lineRule="auto"/>
        <w:tabs>
          <w:tab w:leader="none" w:pos="113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Agent reasonably determines (which determination shall be conclusive) that by reason of circumstances affecting the relevant market, adequate and reasonable means do not exist for ascertaining the Adjusted Eurodollar Rate for such Interest Period, or</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14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Agent reasonably determines (which determination shall be conclusive) that the Adjusted Eurodollar Rate will not adequately and fairly reflect the cost to the Lenders of maintaining LIBOR Loans for such Interest Period;</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then the Agent shall give the Borrower and each Lender prompt notice thereof and, so long as such condition remains in effect, the Lenders shall be under no obligation to, and shall not, Continue LIBOR Loans or Convert Loans into LIBOR Loans and the Borrower shall, on the last day of each current Interest Period for each outstanding LIBOR Loan, either repay such Loan or Convert such Loan into a Base Rate Loan.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Illegality.</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Notwithstanding any other provision of this Agreement, if any Lender shall reasonably determine (which determination shall be conclusive and binding) that it has become unlawful after the Agreement Date for such Lender to honor its obligation to maintain LIBOR Loans hereunder, then such Lender shall promptly notify the Borrower thereof (with a copy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279" w:right="239" w:bottom="1440" w:gutter="0" w:footer="0" w:header="0"/>
        </w:sectPr>
      </w:pPr>
    </w:p>
    <w:bookmarkStart w:id="442" w:name="page443"/>
    <w:bookmarkEnd w:id="442"/>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and such Lender’s obligation to Continue, or to Convert Loans of any other Type into, LIBOR Loans shall be suspended until such time as such Lender may again maintain LIBOR Loans (in which case the provisions of Section 4.5. shall be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Compensation.</w:t>
      </w:r>
    </w:p>
    <w:p>
      <w:pPr>
        <w:spacing w:after="0" w:line="96" w:lineRule="exact"/>
        <w:rPr>
          <w:sz w:val="20"/>
          <w:szCs w:val="20"/>
          <w:color w:val="auto"/>
        </w:rPr>
      </w:pPr>
    </w:p>
    <w:p>
      <w:pPr>
        <w:ind w:right="160" w:firstLine="456"/>
        <w:spacing w:after="0" w:line="357" w:lineRule="auto"/>
        <w:rPr>
          <w:sz w:val="20"/>
          <w:szCs w:val="20"/>
          <w:color w:val="auto"/>
        </w:rPr>
      </w:pPr>
      <w:r>
        <w:rPr>
          <w:rFonts w:ascii="Arial" w:cs="Arial" w:eastAsia="Arial" w:hAnsi="Arial"/>
          <w:sz w:val="15"/>
          <w:szCs w:val="15"/>
          <w:color w:val="auto"/>
        </w:rPr>
        <w:t>The Borrower shall pay to the Agent for the account of each Lender, upon the request of such Lender through the Agent, such amount or amounts as shall be sufficient (in the reasonable opinion of such Lender) to compensate it for any loss, cost or expense that such Lender reasonably determines is attributable to:</w:t>
      </w:r>
    </w:p>
    <w:p>
      <w:pPr>
        <w:ind w:left="460" w:right="180" w:firstLine="443"/>
        <w:spacing w:after="0" w:line="332" w:lineRule="auto"/>
        <w:tabs>
          <w:tab w:leader="none" w:pos="1137"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any payment or prepayment (whether mandatory or optional) of a LIBOR Loan, or Conversion of a LIBOR Loan, made by such Lender for any reason (including, without limitation, acceleration) on a date other than the last day of the Interest Period for such Loan; or</w:t>
      </w:r>
    </w:p>
    <w:p>
      <w:pPr>
        <w:spacing w:after="0" w:line="4" w:lineRule="exact"/>
        <w:rPr>
          <w:rFonts w:ascii="Arial" w:cs="Arial" w:eastAsia="Arial" w:hAnsi="Arial"/>
          <w:sz w:val="16"/>
          <w:szCs w:val="16"/>
          <w:color w:val="auto"/>
        </w:rPr>
      </w:pPr>
    </w:p>
    <w:p>
      <w:pPr>
        <w:ind w:left="460" w:right="280" w:firstLine="443"/>
        <w:spacing w:after="0" w:line="306" w:lineRule="auto"/>
        <w:tabs>
          <w:tab w:leader="none" w:pos="1147"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any failure by the Borrower for any reason (including, without limitation, the failure of any of the applicable conditions precedent specified in Article V. to be satisfied) to borrow a LIBOR Loan from such Lender on the requested date for such borrowing, or to Convert a Base Rate Loan into a LIBOR Loan or Continue a LIBOR Loan on the requested date of such Conversion or Continuation.</w:t>
      </w:r>
    </w:p>
    <w:p>
      <w:pPr>
        <w:spacing w:after="0" w:line="10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Upon the Borrower’s request, any Lender requesting compensation under this Section shall provide the Borrower with a statement setting forth the basis for requesting such compensation and the method for determining the amount thereof. Absent manifest error, determinations by any Lender in any such statement shall be conclusive, provided that such determinations are made on a reasonable basis and in good faith.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Treatment of Affected Loans.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obligation of any Lender to Continue, or to Convert Base Rate Loans into, LIBOR Loans shall be suspended pursuant to Section 4.1.(b), 4.2. or 4.3., then such Lender’s LIBOR Loans shall be automatically Converted into Base Rate Loans on the last day(s) of the then current Interest Period(s) for LIBOR Loans (or, in the case of a Conversion required by Section 4.1.(b) or 4.3., on such earlier date as such Lender may specify to the Borrower with a copy to the Agent) and, unless and until such Lender gives notice as provided below that the circumstances specified in Section 4.1. or 4.3. that gave rise to such Conversion no longer exist:</w:t>
      </w:r>
    </w:p>
    <w:p>
      <w:pPr>
        <w:spacing w:after="0" w:line="62" w:lineRule="exact"/>
        <w:rPr>
          <w:sz w:val="20"/>
          <w:szCs w:val="20"/>
          <w:color w:val="auto"/>
        </w:rPr>
      </w:pPr>
    </w:p>
    <w:p>
      <w:pPr>
        <w:ind w:left="460" w:right="500" w:firstLine="443"/>
        <w:spacing w:after="0" w:line="268" w:lineRule="auto"/>
        <w:tabs>
          <w:tab w:leader="none" w:pos="113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all Loans that would otherwise be Continued by such Lender as LIBOR Loans shall be Continued instead as Base Rate Loans, and all Base Rate Loans of such Lender that would otherwise be Converted into LIBOR Loans shall remain as Base Rate Loans.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280" w:right="239" w:bottom="1440" w:gutter="0" w:footer="0" w:header="0"/>
        </w:sectPr>
      </w:pPr>
    </w:p>
    <w:bookmarkStart w:id="443" w:name="page444"/>
    <w:bookmarkEnd w:id="44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Lender gives notice to the Borrower (with a copy to the Agent) that the circumstances specified in Section 4.1. or 4.3. that gave rise to the Conversion of such Lender’s LIBOR Loans pursuant to this Section no longer exist (which such Lender agrees to do promptly upon such circumstances ceasing to exist) at a time when LIBOR Loans of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 respective unpaid principal amount of the Loans held by each of the Lenders.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Change of Lending Office.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Lender agrees that it will file any certificate or document reasonably requested by the Borrower and use reasonable efforts to designate an alternate Lending Office with respect to any of its Loans affected by the matters or circumstances described in Sections 3.12., 4.1. or 4.3. to reduce the liability of the Borrower or avoid the results provided thereunder, so long as such filing or designation is not disadvantageous to such Lender as determined by such Lender in its sole discretion, except that any such Lender shall have no obligation to designate a Lending Office located in the United States of America if such Lender has no office in the United States of America at the time of designation.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Assumptions Concerning Funding of LIBOR Loans.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Calculation of all amounts payable to a Lender under this Article IV.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 IV.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4.8. Affected Lenders.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(a) a Lender requests compensation pursuant to Section 3.12. or 4.1., and the Requisite Lenders are not also doing the same, or (b) the obligation of any Lender to Continue, or to Convert Base Rate Loans into, LIBOR Loans shall be suspended pursuant to Section 4.1.(b) or 4.3. but the obligation of the Requisite Lenders shall not have been suspended under such Sections, then, so long as there does not then exist any Event of Default, the Borrower may demand that such Lender (the “</w:t>
      </w:r>
      <w:r>
        <w:rPr>
          <w:rFonts w:ascii="Arial" w:cs="Arial" w:eastAsia="Arial" w:hAnsi="Arial"/>
          <w:sz w:val="16"/>
          <w:szCs w:val="16"/>
          <w:b w:val="1"/>
          <w:bCs w:val="1"/>
          <w:color w:val="auto"/>
        </w:rPr>
        <w:t>Affected Lender</w:t>
      </w:r>
      <w:r>
        <w:rPr>
          <w:rFonts w:ascii="Arial" w:cs="Arial" w:eastAsia="Arial" w:hAnsi="Arial"/>
          <w:sz w:val="16"/>
          <w:szCs w:val="16"/>
          <w:color w:val="auto"/>
        </w:rPr>
        <w:t>”), and upon such demand the Affected Lender shall promptly, assign its Loan to an Eligible Assignee subject to and in accordance with the provisions of Section 12.5.(b) for a purchase price to be agreed upon by the Affected Lender and the Eligible Assignee. Each of the Agent and the Affected Lender shall reasonably cooperate in effectuating the replacement of such Affected Lender under this Section, but at no time shall the Agent, such Affected Lender nor any other Lender be obligated in any way whatsoever to initiate any such replacement or to assist in finding an Eligible Assignee. The exercise by the Borrower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00"/>
          </w:cols>
          <w:pgMar w:left="240" w:top="280" w:right="259" w:bottom="1440" w:gutter="0" w:footer="0" w:header="0"/>
        </w:sectPr>
      </w:pPr>
    </w:p>
    <w:bookmarkStart w:id="444" w:name="page445"/>
    <w:bookmarkEnd w:id="444"/>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its rights under this Section shall be at the Borrower’s sole cost and expenses and at no cost or expense to the Agent, the Affected Lender or any of the other Lenders. Subject to the proviso to Section 4.1.(c), the terms of this Section shall not in any way limit the Borrower’s obligation to pay to any Affected Lender compensation owing to such Affected Lender pursuant to Section 3.12. or 4.1. for periods up to the date of replacement.</w:t>
      </w: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Initial Conditions Precedent.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 of the Lenders to make the Loans on the Effective Date is subject to the following conditions precedent:</w:t>
      </w:r>
    </w:p>
    <w:p>
      <w:pPr>
        <w:spacing w:after="0" w:line="171" w:lineRule="exact"/>
        <w:rPr>
          <w:sz w:val="20"/>
          <w:szCs w:val="20"/>
          <w:color w:val="auto"/>
        </w:rPr>
      </w:pPr>
    </w:p>
    <w:p>
      <w:pPr>
        <w:ind w:left="700" w:hanging="236"/>
        <w:spacing w:after="0"/>
        <w:tabs>
          <w:tab w:leader="none" w:pos="7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Agent shall have received each of the following, in form and substance satisfactory to the Agent: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Counterparts of this Agreement executed by each of the parties 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Notes executed by the Borrower and complying with the applicable provisions of Section 2.8. executed by the Borrower;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Guaranty executed by each Guarantor existing as of the Effective Date;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An opinion of counsel to the Loan Parties, addressed to the Agent and the Lenders, in substantially the form set forth in Exhibit 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declaration of trust of the Borrower certified as of a recent date by the Secretary of State of the state of its incorporation;</w:t>
      </w:r>
    </w:p>
    <w:p>
      <w:pPr>
        <w:spacing w:after="0" w:line="90" w:lineRule="exact"/>
        <w:rPr>
          <w:rFonts w:ascii="Arial" w:cs="Arial" w:eastAsia="Arial" w:hAnsi="Arial"/>
          <w:sz w:val="18"/>
          <w:szCs w:val="18"/>
          <w:color w:val="auto"/>
        </w:rPr>
      </w:pPr>
    </w:p>
    <w:p>
      <w:pPr>
        <w:jc w:val="both"/>
        <w:ind w:left="460" w:firstLine="443"/>
        <w:spacing w:after="0" w:line="256" w:lineRule="auto"/>
        <w:tabs>
          <w:tab w:leader="none" w:pos="1196"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good standing certificate with respect to the Borrower issued as of a recent date by the Secretary of State of the state of its incorporation and certificates of qualification to transact business or other comparable certificates issued by the Secretary of State (and any state department of taxation, as applicable) of each state in which the Borrower is required to be so qualified and where the failure to be so qualified could reasonably be expected to have a Material Adverse Effect;</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24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of the Borrower with respect to each of the officers of the Borrower authorized to execute and deliver the Loan Documents to which the Borrower is a party and the officers of the Borrower then authorized to deliver the Notice of Borrowing and Notices of Continuation and Notices of Conversion;</w:t>
      </w:r>
    </w:p>
    <w:p>
      <w:pPr>
        <w:spacing w:after="0" w:line="59" w:lineRule="exact"/>
        <w:rPr>
          <w:rFonts w:ascii="Arial" w:cs="Arial" w:eastAsia="Arial" w:hAnsi="Arial"/>
          <w:sz w:val="18"/>
          <w:szCs w:val="18"/>
          <w:color w:val="auto"/>
        </w:rPr>
      </w:pPr>
    </w:p>
    <w:p>
      <w:pPr>
        <w:ind w:left="460" w:right="60" w:firstLine="443"/>
        <w:spacing w:after="0" w:line="332" w:lineRule="auto"/>
        <w:tabs>
          <w:tab w:leader="none" w:pos="1293" w:val="left"/>
        </w:tabs>
        <w:numPr>
          <w:ilvl w:val="1"/>
          <w:numId w:val="321"/>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the Borrower, of (i) the bylaws of the Borrower and (ii) all corporate (or comparable) action taken by the Borrower to authorize the execution, delivery and performance of the Loan Documents to which the Borrower is a party;</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2"/>
          <w:numId w:val="321"/>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300"/>
          </w:cols>
          <w:pgMar w:left="240" w:top="280" w:right="359" w:bottom="1440" w:gutter="0" w:footer="0" w:header="0"/>
        </w:sectPr>
      </w:pPr>
    </w:p>
    <w:bookmarkStart w:id="445" w:name="page446"/>
    <w:bookmarkEnd w:id="445"/>
    <w:p>
      <w:pPr>
        <w:ind w:left="-443" w:right="80" w:firstLine="443"/>
        <w:spacing w:after="0" w:line="268" w:lineRule="auto"/>
        <w:tabs>
          <w:tab w:leader="none" w:pos="293" w:val="left"/>
        </w:tabs>
        <w:numPr>
          <w:ilvl w:val="0"/>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articles of incorporation, articles of organization, certificate of limited partnership or other comparable organizational instrument (if any) of each Guarantor certified as of a recent date by the Secretary of State of the state of formation of such Guarantor;</w:t>
      </w:r>
    </w:p>
    <w:p>
      <w:pPr>
        <w:spacing w:after="0" w:line="50" w:lineRule="exact"/>
        <w:rPr>
          <w:rFonts w:ascii="Arial" w:cs="Arial" w:eastAsia="Arial" w:hAnsi="Arial"/>
          <w:sz w:val="18"/>
          <w:szCs w:val="18"/>
          <w:color w:val="auto"/>
        </w:rPr>
      </w:pPr>
    </w:p>
    <w:p>
      <w:pPr>
        <w:ind w:left="-443" w:right="40" w:firstLine="443"/>
        <w:spacing w:after="0" w:line="255" w:lineRule="auto"/>
        <w:tabs>
          <w:tab w:leader="none" w:pos="24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 certificate of good standing or certificate of similar meaning with respect to each Guarantor issued as of a recent date by (or other comparable evidence from) the Secretary of State of the state of formation of each such Guarantor and certificates of qualification to transact business or other comparable certificates issued by (or other comparable evidence from) each Secretary of State (and any state department of taxation, as applicable) of each state in which such Guarantor is required to be so qualified and where the failure to be so qualified could reasonably be expected to have a Material Adverse Effect;</w:t>
      </w:r>
    </w:p>
    <w:p>
      <w:pPr>
        <w:spacing w:after="0" w:line="61" w:lineRule="exact"/>
        <w:rPr>
          <w:rFonts w:ascii="Arial" w:cs="Arial" w:eastAsia="Arial" w:hAnsi="Arial"/>
          <w:sz w:val="18"/>
          <w:szCs w:val="18"/>
          <w:color w:val="auto"/>
        </w:rPr>
      </w:pPr>
    </w:p>
    <w:p>
      <w:pPr>
        <w:ind w:left="-443" w:right="120" w:firstLine="443"/>
        <w:spacing w:after="0" w:line="332" w:lineRule="auto"/>
        <w:tabs>
          <w:tab w:leader="none" w:pos="293"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 certificate of incumbency signed by the Secretary or Assistant Secretary (or other individual performing similar functions) of each Guarantor with respect to each of the officers of such Guarantor authorized to execute and deliver the Loan Documents to which such Guarantor is a party;</w:t>
      </w:r>
    </w:p>
    <w:p>
      <w:pPr>
        <w:spacing w:after="0" w:line="4" w:lineRule="exact"/>
        <w:rPr>
          <w:rFonts w:ascii="Arial" w:cs="Arial" w:eastAsia="Arial" w:hAnsi="Arial"/>
          <w:sz w:val="16"/>
          <w:szCs w:val="16"/>
          <w:color w:val="auto"/>
        </w:rPr>
      </w:pPr>
    </w:p>
    <w:p>
      <w:pPr>
        <w:ind w:left="-443" w:firstLine="443"/>
        <w:spacing w:after="0" w:line="294" w:lineRule="auto"/>
        <w:tabs>
          <w:tab w:leader="none" w:pos="342" w:val="left"/>
        </w:tabs>
        <w:numPr>
          <w:ilvl w:val="0"/>
          <w:numId w:val="322"/>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each Guarantor (or other individual performing similar functions) of (i) the by-laws of such Guarantor, if a corporation, the operating agreement, if a limited liability company, the partnership agreement, if a limited or general partnership, or other comparable document in the case of any other form of legal entity, (ii) all corporate, partnership, member or other necessary action taken by such Guarantor to authorize the execution, delivery and performance of the Loan Documents to which it is a party and (iii) the articles of incorporation, articles of organization, certificate of limited partnership or other comparable organizational instrument (if any) of such Guarantor;</w:t>
      </w:r>
    </w:p>
    <w:p>
      <w:pPr>
        <w:spacing w:after="0" w:line="34" w:lineRule="exact"/>
        <w:rPr>
          <w:rFonts w:ascii="Arial" w:cs="Arial" w:eastAsia="Arial" w:hAnsi="Arial"/>
          <w:sz w:val="16"/>
          <w:szCs w:val="16"/>
          <w:color w:val="auto"/>
        </w:rPr>
      </w:pPr>
    </w:p>
    <w:p>
      <w:pPr>
        <w:ind w:left="-443" w:firstLine="443"/>
        <w:spacing w:after="0" w:line="268" w:lineRule="auto"/>
        <w:tabs>
          <w:tab w:leader="none" w:pos="39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Fees then due and payable under Section 3.6., and any other Fees payable to the Agent, the Titled Agents and the Lenders on or prior to the Effective Date;</w:t>
      </w:r>
    </w:p>
    <w:p>
      <w:pPr>
        <w:spacing w:after="0" w:line="50" w:lineRule="exact"/>
        <w:rPr>
          <w:rFonts w:ascii="Arial" w:cs="Arial" w:eastAsia="Arial" w:hAnsi="Arial"/>
          <w:sz w:val="18"/>
          <w:szCs w:val="18"/>
          <w:color w:val="auto"/>
        </w:rPr>
      </w:pPr>
    </w:p>
    <w:p>
      <w:pPr>
        <w:ind w:left="377" w:hanging="377"/>
        <w:spacing w:after="0"/>
        <w:tabs>
          <w:tab w:leader="none" w:pos="37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Evidence of payment in full of all Indebtedness owed by the Borrower under the Existing Term Loan Agreement;</w:t>
      </w:r>
    </w:p>
    <w:p>
      <w:pPr>
        <w:spacing w:after="0" w:line="90" w:lineRule="exact"/>
        <w:rPr>
          <w:rFonts w:ascii="Arial" w:cs="Arial" w:eastAsia="Arial" w:hAnsi="Arial"/>
          <w:sz w:val="18"/>
          <w:szCs w:val="18"/>
          <w:color w:val="auto"/>
        </w:rPr>
      </w:pPr>
    </w:p>
    <w:p>
      <w:pPr>
        <w:ind w:left="-443" w:right="40" w:firstLine="443"/>
        <w:spacing w:after="0" w:line="268" w:lineRule="auto"/>
        <w:tabs>
          <w:tab w:leader="none" w:pos="33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 Compliance Certificate calculated as of December 31, 2008 (giving pro forma effect to the financing contemplated by this Agreement and the use of the proceeds of the Loans to be funded on the Effective Date);</w:t>
      </w:r>
    </w:p>
    <w:p>
      <w:pPr>
        <w:spacing w:after="0" w:line="50" w:lineRule="exact"/>
        <w:rPr>
          <w:rFonts w:ascii="Arial" w:cs="Arial" w:eastAsia="Arial" w:hAnsi="Arial"/>
          <w:sz w:val="18"/>
          <w:szCs w:val="18"/>
          <w:color w:val="auto"/>
        </w:rPr>
      </w:pPr>
    </w:p>
    <w:p>
      <w:pPr>
        <w:ind w:left="377" w:hanging="377"/>
        <w:spacing w:after="0"/>
        <w:tabs>
          <w:tab w:leader="none" w:pos="37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Notice of Borrowing; and</w:t>
      </w:r>
    </w:p>
    <w:p>
      <w:pPr>
        <w:spacing w:after="0" w:line="157" w:lineRule="exact"/>
        <w:rPr>
          <w:rFonts w:ascii="Arial" w:cs="Arial" w:eastAsia="Arial" w:hAnsi="Arial"/>
          <w:sz w:val="18"/>
          <w:szCs w:val="18"/>
          <w:color w:val="auto"/>
        </w:rPr>
      </w:pPr>
    </w:p>
    <w:p>
      <w:pPr>
        <w:ind w:left="4717" w:hanging="96"/>
        <w:spacing w:after="0"/>
        <w:tabs>
          <w:tab w:leader="none" w:pos="4717" w:val="left"/>
        </w:tabs>
        <w:numPr>
          <w:ilvl w:val="1"/>
          <w:numId w:val="322"/>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497"/>
          </w:cols>
          <w:pgMar w:left="1143" w:top="279" w:right="259" w:bottom="1440" w:gutter="0" w:footer="0" w:header="0"/>
        </w:sectPr>
      </w:pPr>
    </w:p>
    <w:bookmarkStart w:id="446" w:name="page447"/>
    <w:bookmarkEnd w:id="446"/>
    <w:p>
      <w:pPr>
        <w:ind w:left="880" w:hanging="437"/>
        <w:spacing w:after="0"/>
        <w:tabs>
          <w:tab w:leader="none" w:pos="880" w:val="left"/>
        </w:tabs>
        <w:numPr>
          <w:ilvl w:val="1"/>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other documents, agreements and instruments as the Agent on behalf of the Lenders may reasonably request; and</w:t>
      </w:r>
    </w:p>
    <w:p>
      <w:pPr>
        <w:spacing w:after="0" w:line="171" w:lineRule="exact"/>
        <w:rPr>
          <w:rFonts w:ascii="Arial" w:cs="Arial" w:eastAsia="Arial" w:hAnsi="Arial"/>
          <w:sz w:val="18"/>
          <w:szCs w:val="18"/>
          <w:color w:val="auto"/>
        </w:rPr>
      </w:pPr>
    </w:p>
    <w:p>
      <w:pPr>
        <w:ind w:left="260" w:hanging="256"/>
        <w:spacing w:after="0"/>
        <w:tabs>
          <w:tab w:leader="none" w:pos="2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good faith judgment of the Agent and the Lenders:</w:t>
      </w:r>
    </w:p>
    <w:p>
      <w:pPr>
        <w:spacing w:after="0" w:line="90" w:lineRule="exact"/>
        <w:rPr>
          <w:rFonts w:ascii="Arial" w:cs="Arial" w:eastAsia="Arial" w:hAnsi="Arial"/>
          <w:sz w:val="18"/>
          <w:szCs w:val="18"/>
          <w:color w:val="auto"/>
        </w:rPr>
      </w:pPr>
    </w:p>
    <w:p>
      <w:pPr>
        <w:ind w:right="200" w:firstLine="443"/>
        <w:spacing w:after="0" w:line="306" w:lineRule="auto"/>
        <w:tabs>
          <w:tab w:leader="none" w:pos="648" w:val="left"/>
        </w:tabs>
        <w:numPr>
          <w:ilvl w:val="1"/>
          <w:numId w:val="324"/>
        </w:numPr>
        <w:rPr>
          <w:rFonts w:ascii="Arial" w:cs="Arial" w:eastAsia="Arial" w:hAnsi="Arial"/>
          <w:sz w:val="16"/>
          <w:szCs w:val="16"/>
          <w:color w:val="auto"/>
        </w:rPr>
      </w:pPr>
      <w:r>
        <w:rPr>
          <w:rFonts w:ascii="Arial" w:cs="Arial" w:eastAsia="Arial" w:hAnsi="Arial"/>
          <w:sz w:val="16"/>
          <w:szCs w:val="16"/>
          <w:color w:val="auto"/>
        </w:rPr>
        <w:t>There shall not have occurred or become known to the Agent or any of the Lenders any event, condition, situation or status since the date of the information contained in the financial and business projections, budgets, pro forma data and forecasts concerning the Borrower and its Subsidiaries delivered to the Agent and the Lenders prior to the Agreement Date that has had or could reasonably be expected to result in a Material Adverse Effect;</w:t>
      </w:r>
    </w:p>
    <w:p>
      <w:pPr>
        <w:spacing w:after="0" w:line="25" w:lineRule="exact"/>
        <w:rPr>
          <w:rFonts w:ascii="Arial" w:cs="Arial" w:eastAsia="Arial" w:hAnsi="Arial"/>
          <w:sz w:val="16"/>
          <w:szCs w:val="16"/>
          <w:color w:val="auto"/>
        </w:rPr>
      </w:pPr>
    </w:p>
    <w:p>
      <w:pPr>
        <w:ind w:firstLine="443"/>
        <w:spacing w:after="0" w:line="306" w:lineRule="auto"/>
        <w:tabs>
          <w:tab w:leader="none" w:pos="697" w:val="left"/>
        </w:tabs>
        <w:numPr>
          <w:ilvl w:val="1"/>
          <w:numId w:val="324"/>
        </w:numPr>
        <w:rPr>
          <w:rFonts w:ascii="Arial" w:cs="Arial" w:eastAsia="Arial" w:hAnsi="Arial"/>
          <w:sz w:val="16"/>
          <w:szCs w:val="16"/>
          <w:color w:val="auto"/>
        </w:rPr>
      </w:pPr>
      <w:r>
        <w:rPr>
          <w:rFonts w:ascii="Arial" w:cs="Arial" w:eastAsia="Arial" w:hAnsi="Arial"/>
          <w:sz w:val="16"/>
          <w:szCs w:val="16"/>
          <w:color w:val="auto"/>
        </w:rPr>
        <w:t>No litigation, action, suit, investigation or other arbitral, administrative or judicial proceeding shall be pending or threatened which could reasonably be expected to (1) result in a Material Adverse Effect or (2) restrain or enjoin, impose materially burdensome conditions on, or otherwise materially and adversely affect the ability of the Borrower or any other Loan Party to fulfill its obligations under the Loan Documents to which it is a party;</w:t>
      </w:r>
    </w:p>
    <w:p>
      <w:pPr>
        <w:spacing w:after="0" w:line="25" w:lineRule="exact"/>
        <w:rPr>
          <w:rFonts w:ascii="Arial" w:cs="Arial" w:eastAsia="Arial" w:hAnsi="Arial"/>
          <w:sz w:val="16"/>
          <w:szCs w:val="16"/>
          <w:color w:val="auto"/>
        </w:rPr>
      </w:pPr>
    </w:p>
    <w:p>
      <w:pPr>
        <w:ind w:firstLine="443"/>
        <w:spacing w:after="0" w:line="305" w:lineRule="auto"/>
        <w:tabs>
          <w:tab w:leader="none" w:pos="745" w:val="left"/>
        </w:tabs>
        <w:numPr>
          <w:ilvl w:val="1"/>
          <w:numId w:val="324"/>
        </w:numPr>
        <w:rPr>
          <w:rFonts w:ascii="Arial" w:cs="Arial" w:eastAsia="Arial" w:hAnsi="Arial"/>
          <w:sz w:val="15"/>
          <w:szCs w:val="15"/>
          <w:color w:val="auto"/>
        </w:rPr>
      </w:pPr>
      <w:r>
        <w:rPr>
          <w:rFonts w:ascii="Arial" w:cs="Arial" w:eastAsia="Arial" w:hAnsi="Arial"/>
          <w:sz w:val="15"/>
          <w:szCs w:val="15"/>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w:t>
      </w:r>
    </w:p>
    <w:p>
      <w:pPr>
        <w:spacing w:after="0" w:line="295" w:lineRule="auto"/>
        <w:rPr>
          <w:rFonts w:ascii="Arial" w:cs="Arial" w:eastAsia="Arial" w:hAnsi="Arial"/>
          <w:sz w:val="15"/>
          <w:szCs w:val="15"/>
          <w:color w:val="auto"/>
        </w:rPr>
      </w:pPr>
      <w:r>
        <w:rPr>
          <w:rFonts w:ascii="Arial" w:cs="Arial" w:eastAsia="Arial" w:hAnsi="Arial"/>
          <w:sz w:val="16"/>
          <w:szCs w:val="16"/>
          <w:color w:val="auto"/>
        </w:rPr>
        <w:t>(1) any Applicable Law or (2) any agreement, document or instrument to which the Borrower or any other Loan Party is a party or by which any of them or their respective properties is bound, except for such approvals, consents, waivers, filings and notices the receipt, making or giving of which would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and</w:t>
      </w:r>
    </w:p>
    <w:p>
      <w:pPr>
        <w:spacing w:after="0" w:line="34" w:lineRule="exact"/>
        <w:rPr>
          <w:rFonts w:ascii="Arial" w:cs="Arial" w:eastAsia="Arial" w:hAnsi="Arial"/>
          <w:sz w:val="15"/>
          <w:szCs w:val="15"/>
          <w:color w:val="auto"/>
        </w:rPr>
      </w:pPr>
    </w:p>
    <w:p>
      <w:pPr>
        <w:ind w:right="720" w:firstLine="443"/>
        <w:spacing w:after="0" w:line="268" w:lineRule="auto"/>
        <w:tabs>
          <w:tab w:leader="none" w:pos="736"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There shall not have occurred or exist any other material disruption of financial or capital markets that could reasonably be expected to materially and adversely affect the transactions contemplated by the Loan Documents; and</w:t>
      </w:r>
    </w:p>
    <w:p>
      <w:pPr>
        <w:spacing w:after="0" w:line="131" w:lineRule="exact"/>
        <w:rPr>
          <w:rFonts w:ascii="Arial" w:cs="Arial" w:eastAsia="Arial" w:hAnsi="Arial"/>
          <w:sz w:val="18"/>
          <w:szCs w:val="18"/>
          <w:color w:val="auto"/>
        </w:rPr>
      </w:pPr>
    </w:p>
    <w:p>
      <w:pPr>
        <w:ind w:left="240" w:hanging="236"/>
        <w:spacing w:after="0"/>
        <w:tabs>
          <w:tab w:leader="none" w:pos="2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No Default or Event of Default shall exist as of the date of the making of such Loans or would exist immediately after giving effect thereto; and</w:t>
      </w:r>
    </w:p>
    <w:p>
      <w:pPr>
        <w:spacing w:after="0" w:line="194" w:lineRule="exact"/>
        <w:rPr>
          <w:rFonts w:ascii="Arial" w:cs="Arial" w:eastAsia="Arial" w:hAnsi="Arial"/>
          <w:sz w:val="16"/>
          <w:szCs w:val="16"/>
          <w:color w:val="auto"/>
        </w:rPr>
      </w:pPr>
    </w:p>
    <w:p>
      <w:pPr>
        <w:ind w:left="-460" w:right="20" w:firstLine="464"/>
        <w:spacing w:after="0" w:line="323" w:lineRule="auto"/>
        <w:tabs>
          <w:tab w:leader="none" w:pos="245" w:val="left"/>
        </w:tabs>
        <w:numPr>
          <w:ilvl w:val="0"/>
          <w:numId w:val="324"/>
        </w:numPr>
        <w:rPr>
          <w:rFonts w:ascii="Arial" w:cs="Arial" w:eastAsia="Arial" w:hAnsi="Arial"/>
          <w:sz w:val="15"/>
          <w:szCs w:val="15"/>
          <w:color w:val="auto"/>
        </w:rPr>
      </w:pPr>
      <w:r>
        <w:rPr>
          <w:rFonts w:ascii="Arial" w:cs="Arial" w:eastAsia="Arial" w:hAnsi="Arial"/>
          <w:sz w:val="15"/>
          <w:szCs w:val="15"/>
          <w:color w:val="auto"/>
        </w:rPr>
        <w:t>The representations and warranties made or deemed made by the Borrower and each other Loan Party in the Loan Documents to which any of them is a party shall be true and correct on and as of the date of the making of the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84" w:lineRule="exact"/>
        <w:rPr>
          <w:rFonts w:ascii="Arial" w:cs="Arial" w:eastAsia="Arial" w:hAnsi="Arial"/>
          <w:sz w:val="15"/>
          <w:szCs w:val="15"/>
          <w:color w:val="auto"/>
        </w:rPr>
      </w:pPr>
    </w:p>
    <w:p>
      <w:pPr>
        <w:ind w:left="5160" w:hanging="96"/>
        <w:spacing w:after="0"/>
        <w:tabs>
          <w:tab w:leader="none" w:pos="516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0940"/>
          </w:cols>
          <w:pgMar w:left="700" w:top="280" w:right="259" w:bottom="1440" w:gutter="0" w:footer="0" w:header="0"/>
        </w:sectPr>
      </w:pPr>
    </w:p>
    <w:bookmarkStart w:id="447" w:name="page448"/>
    <w:bookmarkEnd w:id="4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Representations and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order to induce the Agent and each Lender to enter into this Agreement and to make Loans, the Borrower represents and warrants to the Agent and each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Lender as follows:</w:t>
      </w:r>
    </w:p>
    <w:p>
      <w:pPr>
        <w:spacing w:after="0" w:line="165" w:lineRule="exact"/>
        <w:rPr>
          <w:sz w:val="20"/>
          <w:szCs w:val="20"/>
          <w:color w:val="auto"/>
        </w:rPr>
      </w:pPr>
    </w:p>
    <w:p>
      <w:pPr>
        <w:ind w:firstLine="464"/>
        <w:spacing w:after="0" w:line="254" w:lineRule="auto"/>
        <w:tabs>
          <w:tab w:leader="none" w:pos="695"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Organization; Power; Qualification</w:t>
      </w:r>
      <w:r>
        <w:rPr>
          <w:rFonts w:ascii="Arial" w:cs="Arial" w:eastAsia="Arial" w:hAnsi="Arial"/>
          <w:sz w:val="18"/>
          <w:szCs w:val="18"/>
          <w:color w:val="auto"/>
        </w:rPr>
        <w:t>. Each of the Borrower, its Subsidiaries and the other Loan Parties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144" w:lineRule="exact"/>
        <w:rPr>
          <w:rFonts w:ascii="Arial" w:cs="Arial" w:eastAsia="Arial" w:hAnsi="Arial"/>
          <w:sz w:val="18"/>
          <w:szCs w:val="18"/>
          <w:color w:val="auto"/>
        </w:rPr>
      </w:pPr>
    </w:p>
    <w:p>
      <w:pPr>
        <w:ind w:right="20" w:firstLine="464"/>
        <w:spacing w:after="0" w:line="286" w:lineRule="auto"/>
        <w:tabs>
          <w:tab w:leader="none" w:pos="705"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Ownership Structure</w:t>
      </w:r>
      <w:r>
        <w:rPr>
          <w:rFonts w:ascii="Arial" w:cs="Arial" w:eastAsia="Arial" w:hAnsi="Arial"/>
          <w:sz w:val="16"/>
          <w:szCs w:val="16"/>
          <w:color w:val="auto"/>
        </w:rPr>
        <w:t xml:space="preserve">. As of the Agreement Date, Part I of </w:t>
      </w:r>
      <w:r>
        <w:rPr>
          <w:rFonts w:ascii="Arial" w:cs="Arial" w:eastAsia="Arial" w:hAnsi="Arial"/>
          <w:sz w:val="16"/>
          <w:szCs w:val="16"/>
          <w:u w:val="single" w:color="auto"/>
          <w:color w:val="auto"/>
        </w:rPr>
        <w:t>Schedule 6.1.(b</w:t>
      </w:r>
      <w:r>
        <w:rPr>
          <w:rFonts w:ascii="Arial" w:cs="Arial" w:eastAsia="Arial" w:hAnsi="Arial"/>
          <w:sz w:val="16"/>
          <w:szCs w:val="16"/>
          <w:color w:val="auto"/>
        </w:rPr>
        <w:t>) is a true, complete and correct list of all Subsidiaries of the Borrower setting forth for each such Subsidiary, (i) the jurisdiction of organization of such Subsidiary, (ii) each Person holding any Equity Interests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Except as disclosed in such Schedule, as of the Agreement Date (i) each of the Borrower and its Subsidiaries owns, free and clear of all Liens (other than Permitted Liens) and has the unencumbered right to vote, all outstanding Equity Interests in each Person shown to be held by it on such Schedule, (ii) all of the issued and outstanding capital stock of each such Person organized as a corporation is validly issued, fully paid and nonassessable and (iii)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124" w:lineRule="exact"/>
        <w:rPr>
          <w:rFonts w:ascii="Arial" w:cs="Arial" w:eastAsia="Arial" w:hAnsi="Arial"/>
          <w:sz w:val="16"/>
          <w:szCs w:val="16"/>
          <w:color w:val="auto"/>
        </w:rPr>
      </w:pPr>
    </w:p>
    <w:p>
      <w:pPr>
        <w:ind w:right="40" w:firstLine="464"/>
        <w:spacing w:after="0" w:line="255" w:lineRule="auto"/>
        <w:tabs>
          <w:tab w:leader="none" w:pos="695"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 Etc</w:t>
      </w:r>
      <w:r>
        <w:rPr>
          <w:rFonts w:ascii="Arial" w:cs="Arial" w:eastAsia="Arial" w:hAnsi="Arial"/>
          <w:sz w:val="18"/>
          <w:szCs w:val="18"/>
          <w:color w:val="auto"/>
        </w:rPr>
        <w:t>. The Borrower has the right and power, and has taken all necessary action to authorize the Borrower, to borrow and obtain other extensions of credit hereunder. The Borrower and each other Loan Party has the right and power, and has taken all necessary action to authorize it, to execute, deliver and perform each of the Loan Documents to which it is a party in accordance with their respective terms and to consummate the transactions contemplated hereby and thereby. The Loan Documents to which the Borrower or any other Loan Party is a party have been duly executed and delivered by the duly authorized</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00"/>
          </w:cols>
          <w:pgMar w:left="240" w:top="273" w:right="259" w:bottom="1440" w:gutter="0" w:footer="0" w:header="0"/>
        </w:sectPr>
      </w:pPr>
    </w:p>
    <w:bookmarkStart w:id="448" w:name="page449"/>
    <w:bookmarkEnd w:id="44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43" w:lineRule="exact"/>
        <w:rPr>
          <w:sz w:val="20"/>
          <w:szCs w:val="20"/>
          <w:color w:val="auto"/>
        </w:rPr>
      </w:pPr>
    </w:p>
    <w:p>
      <w:pPr>
        <w:jc w:val="both"/>
        <w:ind w:firstLine="464"/>
        <w:spacing w:after="0" w:line="284" w:lineRule="auto"/>
        <w:tabs>
          <w:tab w:leader="none" w:pos="705" w:val="left"/>
        </w:tabs>
        <w:numPr>
          <w:ilvl w:val="1"/>
          <w:numId w:val="326"/>
        </w:numPr>
        <w:rPr>
          <w:rFonts w:ascii="Arial" w:cs="Arial" w:eastAsia="Arial" w:hAnsi="Arial"/>
          <w:sz w:val="16"/>
          <w:szCs w:val="16"/>
          <w:color w:val="auto"/>
        </w:rPr>
      </w:pPr>
      <w:r>
        <w:rPr>
          <w:rFonts w:ascii="Arial" w:cs="Arial" w:eastAsia="Arial" w:hAnsi="Arial"/>
          <w:sz w:val="16"/>
          <w:szCs w:val="16"/>
          <w:u w:val="single" w:color="auto"/>
          <w:color w:val="auto"/>
        </w:rPr>
        <w:t>Compliance of Loan Documents with Laws, Etc</w:t>
      </w:r>
      <w:r>
        <w:rPr>
          <w:rFonts w:ascii="Arial" w:cs="Arial" w:eastAsia="Arial" w:hAnsi="Arial"/>
          <w:sz w:val="16"/>
          <w:szCs w:val="16"/>
          <w:color w:val="auto"/>
        </w:rPr>
        <w:t>. The execution, delivery and performance of this Agreement, the Notes and the other Loan Documents to which the Borrower or any other Loan Party is a party in accordance with their respective terms and the borrowings and other extensions of credit hereunder do not: (i) require any Governmental Approval or violate any Applicable Law (including all Environmental Laws) relating to the Borrower or any other Loan Party;</w:t>
      </w:r>
    </w:p>
    <w:p>
      <w:pPr>
        <w:spacing w:after="0" w:line="1" w:lineRule="exact"/>
        <w:rPr>
          <w:rFonts w:ascii="Arial" w:cs="Arial" w:eastAsia="Arial" w:hAnsi="Arial"/>
          <w:sz w:val="16"/>
          <w:szCs w:val="16"/>
          <w:color w:val="auto"/>
        </w:rPr>
      </w:pPr>
    </w:p>
    <w:p>
      <w:pPr>
        <w:ind w:right="500" w:firstLine="8"/>
        <w:spacing w:after="0" w:line="281" w:lineRule="auto"/>
        <w:tabs>
          <w:tab w:leader="none" w:pos="258" w:val="left"/>
        </w:tabs>
        <w:numPr>
          <w:ilvl w:val="0"/>
          <w:numId w:val="327"/>
        </w:numPr>
        <w:rPr>
          <w:rFonts w:ascii="Arial" w:cs="Arial" w:eastAsia="Arial" w:hAnsi="Arial"/>
          <w:sz w:val="16"/>
          <w:szCs w:val="16"/>
          <w:color w:val="auto"/>
        </w:rPr>
      </w:pPr>
      <w:r>
        <w:rPr>
          <w:rFonts w:ascii="Arial" w:cs="Arial" w:eastAsia="Arial" w:hAnsi="Arial"/>
          <w:sz w:val="16"/>
          <w:szCs w:val="16"/>
          <w:color w:val="auto"/>
        </w:rPr>
        <w:t>conflict with, result in a breach of or constitute a default under the organizational documents of the Borrower or any other Loan Party, or any indenture, agreement or other instrument to which the Borrower or any other Loan Party is a party or by which it or any of its respective properties may be bound; or</w:t>
      </w:r>
    </w:p>
    <w:p>
      <w:pPr>
        <w:spacing w:after="0" w:line="1" w:lineRule="exact"/>
        <w:rPr>
          <w:rFonts w:ascii="Arial" w:cs="Arial" w:eastAsia="Arial" w:hAnsi="Arial"/>
          <w:sz w:val="16"/>
          <w:szCs w:val="16"/>
          <w:color w:val="auto"/>
        </w:rPr>
      </w:pPr>
    </w:p>
    <w:p>
      <w:pPr>
        <w:ind w:right="20" w:firstLine="8"/>
        <w:spacing w:after="0" w:line="261" w:lineRule="auto"/>
        <w:tabs>
          <w:tab w:leader="none" w:pos="30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result in or require the creation or imposition of any Lien upon or with respect to any property now owned or hereafter acquired by the Borrower or any other Loan Party.</w:t>
      </w:r>
    </w:p>
    <w:p>
      <w:pPr>
        <w:spacing w:after="0" w:line="137" w:lineRule="exact"/>
        <w:rPr>
          <w:rFonts w:ascii="Arial" w:cs="Arial" w:eastAsia="Arial" w:hAnsi="Arial"/>
          <w:sz w:val="18"/>
          <w:szCs w:val="18"/>
          <w:color w:val="auto"/>
        </w:rPr>
      </w:pPr>
    </w:p>
    <w:p>
      <w:pPr>
        <w:jc w:val="both"/>
        <w:ind w:right="120" w:firstLine="464"/>
        <w:spacing w:after="0" w:line="256" w:lineRule="auto"/>
        <w:tabs>
          <w:tab w:leader="none" w:pos="695" w:val="left"/>
        </w:tabs>
        <w:numPr>
          <w:ilvl w:val="1"/>
          <w:numId w:val="327"/>
        </w:numPr>
        <w:rPr>
          <w:rFonts w:ascii="Arial" w:cs="Arial" w:eastAsia="Arial" w:hAnsi="Arial"/>
          <w:sz w:val="18"/>
          <w:szCs w:val="18"/>
          <w:color w:val="auto"/>
        </w:rPr>
      </w:pP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The Borrower, each Subsidiary and each other Loan Party is in compliance with each Governmental Approval applicable to it and in compliance with all other Applicable Laws (including without limitation, Environmental Laws) relating such Person except for noncompliances which, and Governmental Approvals the failure to possess which, could not, individually or in the aggregate, reasonably be expected to cause a Default or Event of Default or have a Material Adverse Effect.</w:t>
      </w:r>
    </w:p>
    <w:p>
      <w:pPr>
        <w:spacing w:after="0" w:line="143" w:lineRule="exact"/>
        <w:rPr>
          <w:rFonts w:ascii="Arial" w:cs="Arial" w:eastAsia="Arial" w:hAnsi="Arial"/>
          <w:sz w:val="18"/>
          <w:szCs w:val="18"/>
          <w:color w:val="auto"/>
        </w:rPr>
      </w:pPr>
    </w:p>
    <w:p>
      <w:pPr>
        <w:jc w:val="both"/>
        <w:ind w:right="120" w:firstLine="464"/>
        <w:spacing w:after="0" w:line="306" w:lineRule="auto"/>
        <w:tabs>
          <w:tab w:leader="none" w:pos="676"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Title to Properties; Liens</w:t>
      </w:r>
      <w:r>
        <w:rPr>
          <w:rFonts w:ascii="Arial" w:cs="Arial" w:eastAsia="Arial" w:hAnsi="Arial"/>
          <w:sz w:val="16"/>
          <w:szCs w:val="16"/>
          <w:color w:val="auto"/>
        </w:rPr>
        <w:t>. As of the Agreement Date, Part I of Schedule 6.1.(f) sets forth all of the real property owned or leased by the Borrower, each other Loan Party and each other Subsidiary. Each such Person has good, marketable and legal title to, or a valid leasehold interest in, its respective assets. As of the Agreement Date, there are no Liens against any assets of the Borrower, any Subsidiary or any other Loan Party except for Permitted Liens.</w:t>
      </w:r>
    </w:p>
    <w:p>
      <w:pPr>
        <w:spacing w:after="0" w:line="106" w:lineRule="exact"/>
        <w:rPr>
          <w:rFonts w:ascii="Arial" w:cs="Arial" w:eastAsia="Arial" w:hAnsi="Arial"/>
          <w:sz w:val="16"/>
          <w:szCs w:val="16"/>
          <w:color w:val="auto"/>
        </w:rPr>
      </w:pPr>
    </w:p>
    <w:p>
      <w:pPr>
        <w:ind w:right="80" w:firstLine="464"/>
        <w:spacing w:after="0" w:line="298" w:lineRule="auto"/>
        <w:tabs>
          <w:tab w:leader="none" w:pos="705"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Existing 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6.1.(g</w:t>
      </w:r>
      <w:r>
        <w:rPr>
          <w:rFonts w:ascii="Arial" w:cs="Arial" w:eastAsia="Arial" w:hAnsi="Arial"/>
          <w:sz w:val="16"/>
          <w:szCs w:val="16"/>
          <w:color w:val="auto"/>
        </w:rPr>
        <w:t>) is, as of December 31, 2008, a complete and correct listing of all Indebtedness of the Borrower and its Subsidiaries, including without limitation, Guarantees of the Borrower and its Subsidiaries, and indicating whether such Indebtedness is Secured Indebtedness or Unsecured Indebtedness. Except as set forth on such Schedule, from December 31, 2008 through the Agreement Date, neither the Borrower nor any of its Subsidiaries has incurred any Indebtedness having an outstanding principal balance in excess of $1,000,000 in the aggregate.</w:t>
      </w:r>
    </w:p>
    <w:p>
      <w:pPr>
        <w:spacing w:after="0" w:line="112" w:lineRule="exact"/>
        <w:rPr>
          <w:rFonts w:ascii="Arial" w:cs="Arial" w:eastAsia="Arial" w:hAnsi="Arial"/>
          <w:sz w:val="16"/>
          <w:szCs w:val="16"/>
          <w:color w:val="auto"/>
        </w:rPr>
      </w:pPr>
    </w:p>
    <w:p>
      <w:pPr>
        <w:ind w:right="320" w:firstLine="464"/>
        <w:spacing w:after="0" w:line="306" w:lineRule="auto"/>
        <w:tabs>
          <w:tab w:leader="none" w:pos="705"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6.1.(h</w:t>
      </w:r>
      <w:r>
        <w:rPr>
          <w:rFonts w:ascii="Arial" w:cs="Arial" w:eastAsia="Arial" w:hAnsi="Arial"/>
          <w:sz w:val="16"/>
          <w:szCs w:val="16"/>
          <w:color w:val="auto"/>
        </w:rPr>
        <w:t>), there are no actions, suits, investigations or proceedings pending (nor, to the knowledge of the Borrower, are there any actions, suits or proceedings threatened, nor to the knowledge of the Borrower is there any basis therefor) against or in any other way relating adversely to or affecting the Borrower, any Subsidiary or any other Loan Party or any of its respective property in any court or before any</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00"/>
          </w:cols>
          <w:pgMar w:left="240" w:top="280" w:right="259" w:bottom="1440" w:gutter="0" w:footer="0" w:header="0"/>
        </w:sectPr>
      </w:pPr>
    </w:p>
    <w:bookmarkStart w:id="449" w:name="page450"/>
    <w:bookmarkEnd w:id="44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arbitrator of any kind or before or by any other Governmental Authority which could reasonably be expected to have a Material Adverse Effect.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40" w:lineRule="exact"/>
        <w:rPr>
          <w:sz w:val="20"/>
          <w:szCs w:val="20"/>
          <w:color w:val="auto"/>
        </w:rPr>
      </w:pPr>
    </w:p>
    <w:p>
      <w:pPr>
        <w:ind w:right="60" w:firstLine="464"/>
        <w:spacing w:after="0" w:line="291" w:lineRule="auto"/>
        <w:tabs>
          <w:tab w:leader="none" w:pos="666"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federal, state and other tax returns of the Borrower, any Subsidiary or any other Loan Party required by Applicable Law to be filed have been duly filed, and all federal, state and other taxes, assessments and other governmental charges or levies upon the Borrower, any Subsidiary and each other Loan Party and its respective properties, income, profits and assets which are due and payable have been paid, except any such nonpayment which is at the time permitted under Section 7.6. As of the Agreement Date, none of the United States income tax returns of the Borrower, its Subsidiaries or any other Loan Party is under audit. All charges, accruals and reserves on the books of the Borrower and each of its Subsidiaries and each other Loan Party in respect of any taxes or other governmental charges are in accordance with GAAP.</w:t>
      </w:r>
    </w:p>
    <w:p>
      <w:pPr>
        <w:spacing w:after="0" w:line="120" w:lineRule="exact"/>
        <w:rPr>
          <w:rFonts w:ascii="Arial" w:cs="Arial" w:eastAsia="Arial" w:hAnsi="Arial"/>
          <w:sz w:val="16"/>
          <w:szCs w:val="16"/>
          <w:color w:val="auto"/>
        </w:rPr>
      </w:pPr>
    </w:p>
    <w:p>
      <w:pPr>
        <w:ind w:right="120" w:firstLine="464"/>
        <w:spacing w:after="0" w:line="312" w:lineRule="auto"/>
        <w:tabs>
          <w:tab w:leader="none" w:pos="666" w:val="left"/>
        </w:tabs>
        <w:numPr>
          <w:ilvl w:val="1"/>
          <w:numId w:val="328"/>
        </w:numPr>
        <w:rPr>
          <w:rFonts w:ascii="Arial" w:cs="Arial" w:eastAsia="Arial" w:hAnsi="Arial"/>
          <w:sz w:val="15"/>
          <w:szCs w:val="15"/>
          <w:color w:val="auto"/>
        </w:rPr>
      </w:pPr>
      <w:r>
        <w:rPr>
          <w:rFonts w:ascii="Arial" w:cs="Arial" w:eastAsia="Arial" w:hAnsi="Arial"/>
          <w:sz w:val="15"/>
          <w:szCs w:val="15"/>
          <w:u w:val="single" w:color="auto"/>
          <w:color w:val="auto"/>
        </w:rPr>
        <w:t>Financial Statements</w:t>
      </w:r>
      <w:r>
        <w:rPr>
          <w:rFonts w:ascii="Arial" w:cs="Arial" w:eastAsia="Arial" w:hAnsi="Arial"/>
          <w:sz w:val="15"/>
          <w:szCs w:val="15"/>
          <w:color w:val="auto"/>
        </w:rPr>
        <w:t>. The Borrower has furnished to the Agent copies of the audited consolidated balance sheet of the Borrower and its consolidated Subsidiaries for the fiscal year ending December 31, 2008, and the related audited consolidated statements of operations, cash flows and shareholders’ equity for the fiscal year ending on such dates, with the opinion thereon of Grant Thornton LLP.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Neither the Borrower nor any of its Subsidiaries has on the Agreement Date any material contingent liabilities, liabilities, liabilities for taxes, unusual or long-term commitments or unrealized or forward anticipated losses from any unfavorable commitments, except as referred to or reflected or provided for in said financial statements.</w:t>
      </w:r>
    </w:p>
    <w:p>
      <w:pPr>
        <w:spacing w:after="0" w:line="105" w:lineRule="exact"/>
        <w:rPr>
          <w:rFonts w:ascii="Arial" w:cs="Arial" w:eastAsia="Arial" w:hAnsi="Arial"/>
          <w:sz w:val="15"/>
          <w:szCs w:val="15"/>
          <w:color w:val="auto"/>
        </w:rPr>
      </w:pPr>
    </w:p>
    <w:p>
      <w:pPr>
        <w:ind w:right="260" w:firstLine="464"/>
        <w:spacing w:after="0" w:line="259" w:lineRule="auto"/>
        <w:tabs>
          <w:tab w:leader="none" w:pos="705"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2008, there has been no material adverse change in the business, assets, liabilities, financial condition or results of operations of the Borrower and its consolidated Subsidiaries taken as a whole. Each of the Borrower, its Subsidiaries and the other Loan Parties is Solvent.</w:t>
      </w:r>
    </w:p>
    <w:p>
      <w:pPr>
        <w:spacing w:after="0" w:line="140" w:lineRule="exact"/>
        <w:rPr>
          <w:rFonts w:ascii="Arial" w:cs="Arial" w:eastAsia="Arial" w:hAnsi="Arial"/>
          <w:sz w:val="18"/>
          <w:szCs w:val="18"/>
          <w:color w:val="auto"/>
        </w:rPr>
      </w:pPr>
    </w:p>
    <w:p>
      <w:pPr>
        <w:ind w:right="220" w:firstLine="464"/>
        <w:spacing w:after="0" w:line="302" w:lineRule="auto"/>
        <w:tabs>
          <w:tab w:leader="none" w:pos="666" w:val="left"/>
        </w:tabs>
        <w:numPr>
          <w:ilvl w:val="1"/>
          <w:numId w:val="328"/>
        </w:numPr>
        <w:rPr>
          <w:rFonts w:ascii="Arial" w:cs="Arial" w:eastAsia="Arial" w:hAnsi="Arial"/>
          <w:sz w:val="15"/>
          <w:szCs w:val="15"/>
          <w:color w:val="auto"/>
        </w:rPr>
      </w:pPr>
      <w:r>
        <w:rPr>
          <w:rFonts w:ascii="Arial" w:cs="Arial" w:eastAsia="Arial" w:hAnsi="Arial"/>
          <w:sz w:val="15"/>
          <w:szCs w:val="15"/>
          <w:u w:val="single" w:color="auto"/>
          <w:color w:val="auto"/>
        </w:rPr>
        <w:t>ERISA</w:t>
      </w:r>
      <w:r>
        <w:rPr>
          <w:rFonts w:ascii="Arial" w:cs="Arial" w:eastAsia="Arial" w:hAnsi="Arial"/>
          <w:sz w:val="15"/>
          <w:szCs w:val="15"/>
          <w:color w:val="auto"/>
        </w:rPr>
        <w:t>. Each member of the ERISA Group is in compliance with its obligations under the minimum funding standards of ERISA and the Internal Revenue Code with respect to each Plan and is in compliance with the presently applicable provisions of ERISA and the Internal Revenue Code with respect to each Plan, except in each case for noncompliances which could not reasonably be expected to have a Material Adverse Effect. As of the Agreement Date, no member of the ERISA Group has (i) sought a waiver of the minimum funding standard under Section 412 of the Internal Revenue Code in respect of any Plan,</w:t>
      </w:r>
    </w:p>
    <w:p>
      <w:pPr>
        <w:spacing w:after="0" w:line="2" w:lineRule="exact"/>
        <w:rPr>
          <w:rFonts w:ascii="Arial" w:cs="Arial" w:eastAsia="Arial" w:hAnsi="Arial"/>
          <w:sz w:val="15"/>
          <w:szCs w:val="15"/>
          <w:color w:val="auto"/>
        </w:rPr>
      </w:pPr>
    </w:p>
    <w:p>
      <w:pPr>
        <w:ind w:right="60" w:firstLine="8"/>
        <w:spacing w:after="0" w:line="261" w:lineRule="auto"/>
        <w:tabs>
          <w:tab w:leader="none" w:pos="25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failed to make any contribution or payment to any Plan or Multiemployer Plan or in respect of any Benefit Arrangement, or made any amendment to any Plan or Benefit Arrangement, which has resulted</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20"/>
          </w:cols>
          <w:pgMar w:left="240" w:top="280" w:right="239" w:bottom="1440" w:gutter="0" w:footer="0" w:header="0"/>
        </w:sectPr>
      </w:pPr>
    </w:p>
    <w:bookmarkStart w:id="450" w:name="page451"/>
    <w:bookmarkEnd w:id="45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132" w:lineRule="exact"/>
        <w:rPr>
          <w:sz w:val="20"/>
          <w:szCs w:val="20"/>
          <w:color w:val="auto"/>
        </w:rPr>
      </w:pPr>
    </w:p>
    <w:p>
      <w:pPr>
        <w:ind w:firstLine="464"/>
        <w:spacing w:after="0" w:line="256" w:lineRule="auto"/>
        <w:tabs>
          <w:tab w:leader="none" w:pos="754" w:val="left"/>
        </w:tabs>
        <w:numPr>
          <w:ilvl w:val="1"/>
          <w:numId w:val="330"/>
        </w:numPr>
        <w:rPr>
          <w:rFonts w:ascii="Arial" w:cs="Arial" w:eastAsia="Arial" w:hAnsi="Arial"/>
          <w:sz w:val="18"/>
          <w:szCs w:val="18"/>
          <w:color w:val="auto"/>
        </w:rPr>
      </w:pPr>
      <w:r>
        <w:rPr>
          <w:rFonts w:ascii="Arial" w:cs="Arial" w:eastAsia="Arial" w:hAnsi="Arial"/>
          <w:sz w:val="18"/>
          <w:szCs w:val="18"/>
          <w:u w:val="single" w:color="auto"/>
          <w:color w:val="auto"/>
        </w:rPr>
        <w:t>Not Plan Assets; No Prohibited Transaction</w:t>
      </w:r>
      <w:r>
        <w:rPr>
          <w:rFonts w:ascii="Arial" w:cs="Arial" w:eastAsia="Arial" w:hAnsi="Arial"/>
          <w:sz w:val="18"/>
          <w:szCs w:val="18"/>
          <w:color w:val="auto"/>
        </w:rPr>
        <w:t>. None of the assets of the Borrower, any Subsidiary or any other Loan Party constitute “plan assets” within the meaning of ERISA, the Internal Revenue Code and the respective regulations promulgated thereunder. The execution, delivery and performance of this Agreement and the other Loan Documents, and the borrowing and repayment of amounts hereunder, do not and will not constitute “prohibited transactions” under ERISA or the Internal Revenue Code.</w:t>
      </w:r>
    </w:p>
    <w:p>
      <w:pPr>
        <w:spacing w:after="0" w:line="143" w:lineRule="exact"/>
        <w:rPr>
          <w:rFonts w:ascii="Arial" w:cs="Arial" w:eastAsia="Arial" w:hAnsi="Arial"/>
          <w:sz w:val="18"/>
          <w:szCs w:val="18"/>
          <w:color w:val="auto"/>
        </w:rPr>
      </w:pPr>
    </w:p>
    <w:p>
      <w:pPr>
        <w:ind w:right="40" w:firstLine="464"/>
        <w:spacing w:after="0" w:line="286" w:lineRule="auto"/>
        <w:tabs>
          <w:tab w:leader="none" w:pos="705"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Absence of Defaults</w:t>
      </w:r>
      <w:r>
        <w:rPr>
          <w:rFonts w:ascii="Arial" w:cs="Arial" w:eastAsia="Arial" w:hAnsi="Arial"/>
          <w:sz w:val="16"/>
          <w:szCs w:val="16"/>
          <w:color w:val="auto"/>
        </w:rPr>
        <w:t>. Neither the Borrower, any Subsidiary nor any other Loan Party is in default under its articles of incorporation, bylaws, partnership agreement or other similar organizational documents, and no event has occurred, which has not been remedied, cured or waived, which in any such case:</w:t>
      </w:r>
    </w:p>
    <w:p>
      <w:pPr>
        <w:ind w:right="140" w:firstLine="8"/>
        <w:spacing w:after="0" w:line="292" w:lineRule="auto"/>
        <w:tabs>
          <w:tab w:leader="none" w:pos="21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constitutes a Default or an Event of Default; or (ii) constitutes, or which with the passage of time, the giving of notice, a determination of materiality, the satisfaction of any condition, or any combination of the foregoing, would constitute, a default or event of default by the Borrower, any Subsidiary or any other Loan Party under any material agreement (other than this Agreement) or judgment, decree or order to which the Borrower or any Subsidiary or other Loan Party is a party or by which the Borrower or any Subsidiary or other Loan Party or any of their respective properties may be bound where such default or event of default, individually or in the aggregate, could reasonably be expected to have a Material Adverse Effect.</w:t>
      </w:r>
    </w:p>
    <w:p>
      <w:pPr>
        <w:spacing w:after="0" w:line="116" w:lineRule="exact"/>
        <w:rPr>
          <w:rFonts w:ascii="Arial" w:cs="Arial" w:eastAsia="Arial" w:hAnsi="Arial"/>
          <w:sz w:val="16"/>
          <w:szCs w:val="16"/>
          <w:color w:val="auto"/>
        </w:rPr>
      </w:pPr>
    </w:p>
    <w:p>
      <w:pPr>
        <w:ind w:right="20" w:firstLine="464"/>
        <w:spacing w:after="0" w:line="286" w:lineRule="auto"/>
        <w:tabs>
          <w:tab w:leader="none" w:pos="705" w:val="left"/>
        </w:tabs>
        <w:numPr>
          <w:ilvl w:val="1"/>
          <w:numId w:val="331"/>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Each of the Borrower, its Subsidiaries and the other Loan Parties has obtained all Governmental Approvals which are required under Environmental Laws and is in compliance with all terms and conditions of such Governmental Approvals which the failure to obtain or to comply with could reasonably be expected to have a Material Adverse Effect. Except for any of the following matters that could not reasonably be expected to have a Material Adverse Effect, (i) the Borrower is not aware of, and has not received notice of, any past, present, or future events, conditions, circumstances, activities, practices, incidents, actions, or plans which, with respect to the Borrower, its Subsidiaries and each other Loan Party, may interfere with or prevent compliance or continued compliance with Environmental Laws, or may give rise to any common-law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pollutant, contaminant, chemical, or industrial, toxic, or other Hazardous Material; and (ii) there is no civil, criminal, or administrative action, suit, demand, claim, hearing, notice, or demand letter, notice of violation, investigation, or proceeding pending or, to the Borrower’s knowledge after due inquiry, threatened, against the Borrower, its Subsidiaries and each other Loan Party relating in any way to Environmental Laws.</w:t>
      </w:r>
    </w:p>
    <w:p>
      <w:pPr>
        <w:spacing w:after="0" w:line="127" w:lineRule="exact"/>
        <w:rPr>
          <w:rFonts w:ascii="Arial" w:cs="Arial" w:eastAsia="Arial" w:hAnsi="Arial"/>
          <w:sz w:val="16"/>
          <w:szCs w:val="16"/>
          <w:color w:val="auto"/>
        </w:rPr>
      </w:pPr>
    </w:p>
    <w:p>
      <w:pPr>
        <w:ind w:right="880" w:firstLine="464"/>
        <w:spacing w:after="0" w:line="268" w:lineRule="auto"/>
        <w:tabs>
          <w:tab w:leader="none" w:pos="705"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Investment Company; Etc</w:t>
      </w:r>
      <w:r>
        <w:rPr>
          <w:rFonts w:ascii="Arial" w:cs="Arial" w:eastAsia="Arial" w:hAnsi="Arial"/>
          <w:sz w:val="18"/>
          <w:szCs w:val="18"/>
          <w:color w:val="auto"/>
        </w:rPr>
        <w:t>. Neither the Borrower nor any Subsidiary nor any other Loan Party is (i) an “investment company” or a company “controlled” by an “investment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331"/>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20"/>
          </w:cols>
          <w:pgMar w:left="240" w:top="279" w:right="239" w:bottom="1440" w:gutter="0" w:footer="0" w:header="0"/>
        </w:sectPr>
      </w:pPr>
    </w:p>
    <w:bookmarkStart w:id="451" w:name="page452"/>
    <w:bookmarkEnd w:id="45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within the meaning of the Investment Company Act of 1940, as amended, or (ii) subject to any other Applicable Law which purports to regulate or restrict its ability to borrow money or to consummate the transactions contemplated by this Agreement or to perform its obligations under any Loan Document to which it is a party.</w:t>
      </w:r>
    </w:p>
    <w:p>
      <w:pPr>
        <w:spacing w:after="0" w:line="140" w:lineRule="exact"/>
        <w:rPr>
          <w:sz w:val="20"/>
          <w:szCs w:val="20"/>
          <w:color w:val="auto"/>
        </w:rPr>
      </w:pPr>
    </w:p>
    <w:p>
      <w:pPr>
        <w:ind w:firstLine="464"/>
        <w:spacing w:after="0" w:line="259" w:lineRule="auto"/>
        <w:tabs>
          <w:tab w:leader="none" w:pos="705"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Neither the Borrower, any Subsidiary nor any other Loan Party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40" w:lineRule="exact"/>
        <w:rPr>
          <w:rFonts w:ascii="Arial" w:cs="Arial" w:eastAsia="Arial" w:hAnsi="Arial"/>
          <w:sz w:val="18"/>
          <w:szCs w:val="18"/>
          <w:color w:val="auto"/>
        </w:rPr>
      </w:pPr>
    </w:p>
    <w:p>
      <w:pPr>
        <w:ind w:firstLine="464"/>
        <w:spacing w:after="0" w:line="332" w:lineRule="auto"/>
        <w:tabs>
          <w:tab w:leader="none" w:pos="676"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Affiliate Transactions</w:t>
      </w:r>
      <w:r>
        <w:rPr>
          <w:rFonts w:ascii="Arial" w:cs="Arial" w:eastAsia="Arial" w:hAnsi="Arial"/>
          <w:sz w:val="16"/>
          <w:szCs w:val="16"/>
          <w:color w:val="auto"/>
        </w:rPr>
        <w:t>. Except as permitted by Section 9.10., neither the Borrower, any Subsidiary nor any other Loan Party is a party to or bound by any agreement or arrangement (whether oral or written) to which any Affiliate of the Borrower, any Subsidiary or any other Loan Party is a party.</w:t>
      </w:r>
    </w:p>
    <w:p>
      <w:pPr>
        <w:spacing w:after="0" w:line="85" w:lineRule="exact"/>
        <w:rPr>
          <w:rFonts w:ascii="Arial" w:cs="Arial" w:eastAsia="Arial" w:hAnsi="Arial"/>
          <w:sz w:val="16"/>
          <w:szCs w:val="16"/>
          <w:color w:val="auto"/>
        </w:rPr>
      </w:pPr>
    </w:p>
    <w:p>
      <w:pPr>
        <w:ind w:right="60" w:firstLine="464"/>
        <w:spacing w:after="0" w:line="287" w:lineRule="auto"/>
        <w:tabs>
          <w:tab w:leader="none" w:pos="685"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the conduct of its businesses as now conducted and as contemplated by the Loan Documents, without known conflict with any patent, license, franchise, trademark,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122" w:lineRule="exact"/>
        <w:rPr>
          <w:rFonts w:ascii="Arial" w:cs="Arial" w:eastAsia="Arial" w:hAnsi="Arial"/>
          <w:sz w:val="16"/>
          <w:szCs w:val="16"/>
          <w:color w:val="auto"/>
        </w:rPr>
      </w:pPr>
    </w:p>
    <w:p>
      <w:pPr>
        <w:ind w:right="380" w:firstLine="464"/>
        <w:spacing w:after="0" w:line="332" w:lineRule="auto"/>
        <w:tabs>
          <w:tab w:leader="none" w:pos="666"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Business</w:t>
      </w:r>
      <w:r>
        <w:rPr>
          <w:rFonts w:ascii="Arial" w:cs="Arial" w:eastAsia="Arial" w:hAnsi="Arial"/>
          <w:sz w:val="16"/>
          <w:szCs w:val="16"/>
          <w:color w:val="auto"/>
        </w:rPr>
        <w:t>. As of the Agreement Date, the Borrower and its Subsidiaries are engaged in the business of acquiring, developing, owning and managing commercial real estate, including retail and multi-family properties, together with other business activities incidental thereto.</w:t>
      </w:r>
    </w:p>
    <w:p>
      <w:pPr>
        <w:spacing w:after="0" w:line="85"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or any of its Subsidiaries ancillary to the transactions contemplated hereby.</w:t>
      </w:r>
    </w:p>
    <w:p>
      <w:pPr>
        <w:spacing w:after="0" w:line="140"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Accuracy and Completeness of Information</w:t>
      </w:r>
      <w:r>
        <w:rPr>
          <w:rFonts w:ascii="Arial" w:cs="Arial" w:eastAsia="Arial" w:hAnsi="Arial"/>
          <w:sz w:val="18"/>
          <w:szCs w:val="18"/>
          <w:color w:val="auto"/>
        </w:rPr>
        <w:t>. None of the written information, reports or other papers or data (excluding financial projections and other forward looking</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420"/>
          </w:cols>
          <w:pgMar w:left="240" w:top="280" w:right="239" w:bottom="1440" w:gutter="0" w:footer="0" w:header="0"/>
        </w:sectPr>
      </w:pPr>
    </w:p>
    <w:bookmarkStart w:id="452" w:name="page453"/>
    <w:bookmarkEnd w:id="45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taken as a whole as of the date of delivery thereof, furnished to the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All financial projections and other forward looking statements prepared by or on behalf of the Borrower, any Subsidiary or any other Loan Party that have been or may hereafter be made available to the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6.1.(j) or in such information, reports or other papers or data or otherwise disclosed in writing to the Agent and the Lenders.</w:t>
      </w:r>
    </w:p>
    <w:p>
      <w:pPr>
        <w:spacing w:after="0" w:line="127" w:lineRule="exact"/>
        <w:rPr>
          <w:sz w:val="20"/>
          <w:szCs w:val="20"/>
          <w:color w:val="auto"/>
        </w:rPr>
      </w:pPr>
    </w:p>
    <w:p>
      <w:pPr>
        <w:ind w:firstLine="464"/>
        <w:spacing w:after="0" w:line="268" w:lineRule="auto"/>
        <w:tabs>
          <w:tab w:leader="none" w:pos="744"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REIT Status</w:t>
      </w:r>
      <w:r>
        <w:rPr>
          <w:rFonts w:ascii="Arial" w:cs="Arial" w:eastAsia="Arial" w:hAnsi="Arial"/>
          <w:sz w:val="18"/>
          <w:szCs w:val="18"/>
          <w:color w:val="auto"/>
        </w:rPr>
        <w:t>. The Borrower qualifies as a REIT and is in compliance with all requirements and conditions imposed under the Internal Revenue Code to allow the Borrower to maintain its status as a REIT.</w:t>
      </w:r>
    </w:p>
    <w:p>
      <w:pPr>
        <w:spacing w:after="0" w:line="131" w:lineRule="exact"/>
        <w:rPr>
          <w:rFonts w:ascii="Arial" w:cs="Arial" w:eastAsia="Arial" w:hAnsi="Arial"/>
          <w:sz w:val="18"/>
          <w:szCs w:val="18"/>
          <w:color w:val="auto"/>
        </w:rPr>
      </w:pPr>
    </w:p>
    <w:p>
      <w:pPr>
        <w:ind w:right="60" w:firstLine="464"/>
        <w:spacing w:after="0" w:line="306" w:lineRule="auto"/>
        <w:tabs>
          <w:tab w:leader="none" w:pos="705"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Unencumbered Assets</w:t>
      </w:r>
      <w:r>
        <w:rPr>
          <w:rFonts w:ascii="Arial" w:cs="Arial" w:eastAsia="Arial" w:hAnsi="Arial"/>
          <w:sz w:val="16"/>
          <w:szCs w:val="16"/>
          <w:color w:val="auto"/>
        </w:rPr>
        <w:t xml:space="preserve">. As of the Agreement Date, </w:t>
      </w:r>
      <w:r>
        <w:rPr>
          <w:rFonts w:ascii="Arial" w:cs="Arial" w:eastAsia="Arial" w:hAnsi="Arial"/>
          <w:sz w:val="16"/>
          <w:szCs w:val="16"/>
          <w:u w:val="single" w:color="auto"/>
          <w:color w:val="auto"/>
        </w:rPr>
        <w:t>Schedule 6.1.(x</w:t>
      </w:r>
      <w:r>
        <w:rPr>
          <w:rFonts w:ascii="Arial" w:cs="Arial" w:eastAsia="Arial" w:hAnsi="Arial"/>
          <w:sz w:val="16"/>
          <w:szCs w:val="16"/>
          <w:color w:val="auto"/>
        </w:rPr>
        <w:t>)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106" w:lineRule="exact"/>
        <w:rPr>
          <w:rFonts w:ascii="Arial" w:cs="Arial" w:eastAsia="Arial" w:hAnsi="Arial"/>
          <w:sz w:val="16"/>
          <w:szCs w:val="16"/>
          <w:color w:val="auto"/>
        </w:rPr>
      </w:pPr>
    </w:p>
    <w:p>
      <w:pPr>
        <w:ind w:right="340" w:firstLine="464"/>
        <w:spacing w:after="0" w:line="259" w:lineRule="auto"/>
        <w:tabs>
          <w:tab w:leader="none" w:pos="705"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Foreign Assets Control</w:t>
      </w:r>
      <w:r>
        <w:rPr>
          <w:rFonts w:ascii="Arial" w:cs="Arial" w:eastAsia="Arial" w:hAnsi="Arial"/>
          <w:sz w:val="18"/>
          <w:szCs w:val="18"/>
          <w:color w:val="auto"/>
        </w:rPr>
        <w:t>. None of the Borrower, any Subsidiary or any Affiliate of the Borrower is in violation of any of the country or list based economic and trade sanctions administered and enforced by OFAC that are described or referenced at http://www.ustreas.gov/offices/enforcement/ofac/ or as otherwise officially published from time to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Survival of Representations and Warranties, Etc.</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All statements contained in any certificate, financial statement or other instrument delivered by or on behalf of the Borrower, any Subsidiary or any other Loan Party to the Agent or any Lender pursuant to or in connection with this Agreement or any of the other Loan Documents (including, but not limited to, any such statement made in or in connection with any amendment hereto or thereto or any statement contained in any certificate, financial statement or other instrument delivered by or on behalf of the Borrower prior to the Agreement Date and delivered to the Agent or any Lender in connection with the underwriting or closing of the transactions contemplated hereby) shall constitute representations and warranties made by the Borrower in favor of the Agent or any of the Lenders under this Agreement. All representations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380"/>
          </w:cols>
          <w:pgMar w:left="240" w:top="279" w:right="279" w:bottom="1440" w:gutter="0" w:footer="0" w:header="0"/>
        </w:sectPr>
      </w:pPr>
    </w:p>
    <w:bookmarkStart w:id="453" w:name="page454"/>
    <w:bookmarkEnd w:id="45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warranties made under this Agreement and the other Loan Documents shall be deemed to be made at and as of the Agreement Date, the Effective Date and the date of the making of the Loans,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All such representations and warranties shall survive the effectiveness of this Agreement, the execution and delivery of the Loan Documents and the making of the Loans.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 A</w:t>
      </w:r>
      <w:r>
        <w:rPr>
          <w:rFonts w:ascii="Arial" w:cs="Arial" w:eastAsia="Arial" w:hAnsi="Arial"/>
          <w:sz w:val="14"/>
          <w:szCs w:val="14"/>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provided for in Section 12.6.,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Preservation of Existence and Similar Matters.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otherwise permitted under Section 9.7., the Borrower shall, and shall cause each Subsidiary and each other Loan Party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Compliance with Applicable Law and Material Contracts.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Borrower shall, and shall cause each Subsidiary and each other Loan Party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Maintenance of Property.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requirements of any of the other Loan Documents, the Borrower shall, and shall cause each Subsidiary and other Loan Party to,</w:t>
      </w:r>
    </w:p>
    <w:p>
      <w:pPr>
        <w:spacing w:after="0" w:line="38" w:lineRule="exact"/>
        <w:rPr>
          <w:sz w:val="20"/>
          <w:szCs w:val="20"/>
          <w:color w:val="auto"/>
        </w:rPr>
      </w:pPr>
    </w:p>
    <w:p>
      <w:pPr>
        <w:ind w:right="180" w:firstLine="8"/>
        <w:spacing w:after="0" w:line="331" w:lineRule="auto"/>
        <w:tabs>
          <w:tab w:leader="none" w:pos="239" w:val="left"/>
        </w:tabs>
        <w:numPr>
          <w:ilvl w:val="0"/>
          <w:numId w:val="334"/>
        </w:numPr>
        <w:rPr>
          <w:rFonts w:ascii="Arial" w:cs="Arial" w:eastAsia="Arial" w:hAnsi="Arial"/>
          <w:sz w:val="15"/>
          <w:szCs w:val="15"/>
          <w:color w:val="auto"/>
        </w:rPr>
      </w:pPr>
      <w:r>
        <w:rPr>
          <w:rFonts w:ascii="Arial" w:cs="Arial" w:eastAsia="Arial" w:hAnsi="Arial"/>
          <w:sz w:val="15"/>
          <w:szCs w:val="15"/>
          <w:color w:val="auto"/>
        </w:rPr>
        <w:t>protect and preserve all of its material properties, including, but not limited to, all Intellectual Property, and maintain in good repair, working order and condition all tangible properties, ordinary wear and tear excepted, and (b) make or cause to be made all needed and appropriate repairs, renewals, replacements and additions to such properties, so that the business carried on in connection therewith may be properly and advantageously conducted at all times.</w:t>
      </w:r>
    </w:p>
    <w:p>
      <w:pPr>
        <w:spacing w:after="0" w:line="76" w:lineRule="exact"/>
        <w:rPr>
          <w:rFonts w:ascii="Arial" w:cs="Arial" w:eastAsia="Arial" w:hAnsi="Arial"/>
          <w:sz w:val="15"/>
          <w:szCs w:val="15"/>
          <w:color w:val="auto"/>
        </w:rPr>
      </w:pPr>
    </w:p>
    <w:p>
      <w:pPr>
        <w:ind w:left="5620" w:hanging="96"/>
        <w:spacing w:after="0"/>
        <w:tabs>
          <w:tab w:leader="none" w:pos="56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360"/>
          </w:cols>
          <w:pgMar w:left="240" w:top="280" w:right="299" w:bottom="1440" w:gutter="0" w:footer="0" w:header="0"/>
        </w:sectPr>
      </w:pPr>
    </w:p>
    <w:bookmarkStart w:id="454" w:name="page455"/>
    <w:bookmarkEnd w:id="4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7.4. Conduct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and shall cause its Subsidiaries and the other Loan Parties to, carry on their respective businesses as described in Section 6.1.(t).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7.5. Insurance.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requirements of any of the other Loan Documents, the Borrower shall, and shall cause each Subsidiary and other Loan Party to, maintain insurance (on a replacement cost basis) with financially sound and reputable insurance companies against such risks and in such amounts as is customarily maintained by Persons engaged in similar businesses or as may be required by Applicable Law, and from time to time deliver to the Agent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7.6. Payment of Taxes and Claims.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and shall cause each Subsidiary and other Loan Party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Borrower, such Subsidiary or such other Loan Party, as applicable, in accordance with GAAP.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7.7. Visits and Inspections.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Borrower shall, and shall cause each Subsidiary and other Loan Party to, permit representatives or agents of any Lender or the Agent, from time to time after reasonable prior notice if no Event of Default shall be in existence, as often as may be reasonably requested, but only during normal business hours and at the expense of such Lender or the Agent (unless an Event of Default shall exist, in which case the exercise by the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its business, properties, condition (financial or otherwise), results of operations and performance. If requested by the Agent, the Borrower shall execute an authorization letter addressed to its accountants authorizing the Agent or any Lender to discuss the financial affairs of the Borrower and any Subsidiary or any other Loan Party with its accountants.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80"/>
          </w:cols>
          <w:pgMar w:left="240" w:top="274" w:right="27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7.8. 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Borrower shall use the proceeds of the Loans to repay in full all Indebtedness, including all accrued but unpaid interest, owing under the Existing Term Loan Agreement on the Effective Date and for general corporate purposes only. No part of the proceeds of any Loan will be used (a) for the purpose of buying or carrying “margin stock” within the meaning of Regulation U of the Board of Governors of the Federal Reserve System or to extend credit to others for the purpose of purchasing or carrying any such margin stock or (b) to fund any operations in, finance any investments or activities in, or make any payments to, a Sanctioned Person or Sanctioned Entity.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7.9. Environmental Matters.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shall, and shall cause all of its Subsidiaries and the other Loan Parties to, comply with all Environmental Laws the failure with which to comply could reasonably be expected to have a Material Adverse Effect. If the Borrower, any Subsidiary or any other Loan Party shall (a) receive notice that any violation of any Environmental Law may have been committed or is about to be committed by such Person, (b) receive notice that any administrative or judicial complaint or order has been filed or is about to be filed against the Borrower, any Subsidiary or any other Loan Party alleging violations of any Environmental Law or requiring the Borrower, any Subsidiary or any other Loan Party to take any action in connection with the release of Hazardous Materials or (c) receive any notice from a Governmental Authority or private party alleging that the Borrower, any Subsidiary or any other Loan Party may be liable or responsible for costs associated with a response to or cleanup of a release of Hazardous Materials or any damages caused thereby, and the matters referred to in such notices, individually or in the aggregate, could reasonably be expected to have a Material Adverse Effect, the Borrower shall provide the Agent with a copy of such notice promptly, and in any event within 10 Business Days, after the receipt thereof by the Borrower, any Subsidiary or any other Loan Party. The Borrower shall, and shall cause its Subsidiaries and the other Loan Parties to, take promptly all actions necessary to prevent the imposition of any Liens on any of their respective properties arising out of or related to any Environmental Laws.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Books and Records.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Borrower shall, and shall cause each of its Subsidiaries and the other Loan Parties to, maintain books and records pertaining to its respective business operations in such detail, form and scope as is consistent with good business practice and in accordance with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7.11. Further Assurances.</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Borrower shall, at the Borrower’s cost and expense and upon request of the Agent, execute and deliver or cause to be executed and delivered, to the Agent such further instruments, documents and certificates, and do and cause to be done such further acts that may be reasonably necessary or advisable in the reasonable opinion of the Agent to carry out the provisions and purposes of this Agreement and the other Loan Documents.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20"/>
          </w:cols>
          <w:pgMar w:left="240" w:top="273" w:right="23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7.12. New Subsidiaries/Guarantors.</w:t>
      </w:r>
    </w:p>
    <w:p>
      <w:pPr>
        <w:spacing w:after="0" w:line="96" w:lineRule="exact"/>
        <w:rPr>
          <w:sz w:val="20"/>
          <w:szCs w:val="20"/>
          <w:color w:val="auto"/>
        </w:rPr>
      </w:pPr>
    </w:p>
    <w:p>
      <w:pPr>
        <w:ind w:firstLine="464"/>
        <w:spacing w:after="0" w:line="289" w:lineRule="auto"/>
        <w:tabs>
          <w:tab w:leader="none" w:pos="695"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Requirement to Become Guarantor</w:t>
      </w:r>
      <w:r>
        <w:rPr>
          <w:rFonts w:ascii="Arial" w:cs="Arial" w:eastAsia="Arial" w:hAnsi="Arial"/>
          <w:sz w:val="16"/>
          <w:szCs w:val="16"/>
          <w:color w:val="auto"/>
        </w:rPr>
        <w:t xml:space="preserve">. Within 10 Business Days of any Person (other than an Excluded Subsidiary or a Subsidiary owning a Non-Controlled Property) becoming a Material Subsidiary after the Effective Date, the Borrower shall deliver to the Agent each of the following items, each in form and substance satisfactory to the Agent: (i) an Accession Agreement executed by such Material Subsidiary and (ii) the items that would have been delivered under Sections 5.1.(a)(iv), (ix) through (xii) and (xvi) if such Material Subsidiary had been one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promptly (and in any event within 10 Business Days) upon (x) any Excluded Subsidiary ceasing to be subject to the restriction which prevented it from becoming a Guarantor on the Effective Date or delivering an Accession Agreement pursuant to this Section, as the case may be, or (y) a Subsidiary ceasing to own any Non-Controlled Properties, such Subsidiary shall comply with the provisions of this Section if then applicable. The Borrower shall send to each Lender copies of each of the foregoing items once the Agent has received all such items with respect to a Material Subsidiary.</w:t>
      </w:r>
    </w:p>
    <w:p>
      <w:pPr>
        <w:spacing w:after="0" w:line="118"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Other Guarantors</w:t>
      </w:r>
      <w:r>
        <w:rPr>
          <w:rFonts w:ascii="Arial" w:cs="Arial" w:eastAsia="Arial" w:hAnsi="Arial"/>
          <w:sz w:val="18"/>
          <w:szCs w:val="18"/>
          <w:color w:val="auto"/>
        </w:rPr>
        <w:t>. The Borrower may, at its option, cause any Subsidiary that is not already a Guarantor to become a Guarantor by executing and delivering to the Agent the items required to be delivered under the immediately preceding subsection (a).</w:t>
      </w:r>
    </w:p>
    <w:p>
      <w:pPr>
        <w:spacing w:after="0" w:line="131" w:lineRule="exact"/>
        <w:rPr>
          <w:rFonts w:ascii="Arial" w:cs="Arial" w:eastAsia="Arial" w:hAnsi="Arial"/>
          <w:sz w:val="18"/>
          <w:szCs w:val="18"/>
          <w:color w:val="auto"/>
        </w:rPr>
      </w:pPr>
    </w:p>
    <w:p>
      <w:pPr>
        <w:ind w:firstLine="464"/>
        <w:spacing w:after="0" w:line="288" w:lineRule="auto"/>
        <w:tabs>
          <w:tab w:leader="none" w:pos="695"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Release of a Guarantor</w:t>
      </w:r>
      <w:r>
        <w:rPr>
          <w:rFonts w:ascii="Arial" w:cs="Arial" w:eastAsia="Arial" w:hAnsi="Arial"/>
          <w:sz w:val="16"/>
          <w:szCs w:val="16"/>
          <w:color w:val="auto"/>
        </w:rPr>
        <w:t>. The Borrower may request in writing that the Agent release, and upon receipt of such request the Agent shall release, a Guarantor from the Guaranty so long as: (i) such Guarantor (x) meets, or will meet simultaneously with its release from the Guaranty, all of the provisions of the definition of the term “Excluded Subsidiary” or (y) has ceased to be, or simultaneously with its release from the Guaranty will cease to be, a Material Subsidiary (whether pursuant to a transaction permitted under Section 9.7. or otherwise); (ii) such Guarantor is not otherwise required to be a party to the Guaranty under the immediately preceding subsection (a); (iii) no Default or Event of Default shall then be in existence or would occur as a result of such release, including, without limitation, a Default or Event of Default resulting from a violation of any of the covenants contained in Section 9.1.; and (iv) the Agent shall have received such written request at least 10 Business Days (or such shorter period as may be acceptable to the Agent) prior to the requested date of release. Delivery by the Borrower to the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7.13. REIT Status.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at all times maintain its status as a REIT.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7.14. Exchange Listing.</w:t>
      </w:r>
    </w:p>
    <w:p>
      <w:pPr>
        <w:spacing w:after="0" w:line="9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The Borrower shall maintain at least one class of common shares of the Borrower having trading privileges on the New York Stock Exchange, the American Stock Exchange or other national exchange reasonably acceptable to the Agent or which is the subject of price quotations in the over-the-counter market as reported by the National Association of Securities Dealers Automated Quotation System.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274" w:right="239" w:bottom="1440" w:gutter="0" w:footer="0" w:header="0"/>
        </w:sectPr>
      </w:pPr>
    </w:p>
    <w:bookmarkStart w:id="457" w:name="page458"/>
    <w:bookmarkEnd w:id="4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 I</w:t>
      </w:r>
      <w:r>
        <w:rPr>
          <w:rFonts w:ascii="Arial" w:cs="Arial" w:eastAsia="Arial" w:hAnsi="Arial"/>
          <w:sz w:val="14"/>
          <w:szCs w:val="14"/>
          <w:b w:val="1"/>
          <w:bCs w:val="1"/>
          <w:color w:val="auto"/>
        </w:rPr>
        <w:t>NFORMATION</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set forth in Section 12.6., the Borrower shall furnish to the Agent at its Lending Office: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Quarterly Financial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soon as available and in any event within 5 days after the same is required to be filed with the Securities and Exchange Commission (but in no event later than 50 days after the end of each of the first, second and third fiscal quarters of the Borrower, commencing with the fiscal quarter of the Borrower ended March 31, 2009), the unaudited consolidated balance sheet of the Borrower and its Subsidiaries as at the end of such period and the related unaudited consolidated statements of operations, common shareholders’ equity and cash flows of the Borrower and its Subsidiaries for such period, setting forth in each case in comparative form the figures as of the end of and for the corresponding periods of the previous fiscal year, all of which shall be in a form acceptable to the Securities and Exchange Commission and certified by 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Year-End Statements.</w:t>
      </w:r>
    </w:p>
    <w:p>
      <w:pPr>
        <w:spacing w:after="0" w:line="96"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As soon as available and in any event within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common shareholders’ equity and cash flows of the Borrower and its Subsidiaries for such fiscal year, setting forth in comparative form the figures as at the end of and for the previous fiscal year, all of which shall be in a form acceptable to the Securities and Exchange Commission and certified by (a) the chief financial officer or chief accounting officer of the Borrower, in his or her opinion, to present fairly, in accordance with GAAP, the consolidated financial position of the Borrower and its Subsidiaries as at the date thereof and the results of operations for such period and (b) independent certified public accountants of recognized national standing acceptable to the Agent, whose certificate shall be unqualified and who shall have authorized the Borrower to deliver such financial statements and certification thereof to the Agent and the Lenders pursuant to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Compliance Certificate.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the time financial statements are furnished pursuant to Sections 8.1. and 8.2., and, if the Requisite Lenders reasonably believe that an Event of Default specified in Section 10.1.(a), Section 10.1.(b), Section 10.1.(f) or Section 10.1.(g) or a Default under Section 10.1.(g)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00"/>
          </w:cols>
          <w:pgMar w:left="240" w:top="273" w:right="259" w:bottom="1440" w:gutter="0" w:footer="0" w:header="0"/>
        </w:sectPr>
      </w:pPr>
    </w:p>
    <w:bookmarkStart w:id="458" w:name="page459"/>
    <w:bookmarkEnd w:id="458"/>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 within 5 Business Days of the Agent’s request with respect to any other fiscal period, a certificate substantially in the form of Exhibit G (a “</w:t>
      </w:r>
      <w:r>
        <w:rPr>
          <w:rFonts w:ascii="Arial" w:cs="Arial" w:eastAsia="Arial" w:hAnsi="Arial"/>
          <w:sz w:val="16"/>
          <w:szCs w:val="16"/>
          <w:b w:val="1"/>
          <w:bCs w:val="1"/>
          <w:color w:val="auto"/>
        </w:rPr>
        <w:t>Compliance</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w:t>
      </w:r>
      <w:r>
        <w:rPr>
          <w:rFonts w:ascii="Arial" w:cs="Arial" w:eastAsia="Arial" w:hAnsi="Arial"/>
          <w:sz w:val="16"/>
          <w:szCs w:val="16"/>
          <w:color w:val="auto"/>
        </w:rPr>
        <w:t>”) executed by the chief financial officer or chief accounting officer of the Borrower: (a) setting forth in reasonable detail as at the end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quarterly accounting period, fiscal year, or other fiscal period, as the case may be, the calculations required to establish whether or not the Borrower was in compliance with the covenants contained in Sections 9.1. and 9.4. and (b) stating that, to the best of his or her knowledge, information and belief after due inquiry, no Default or Event of Default exists, or, if such is not the case, specifying such Default or Event of Default and its nature, when it occurred, whether it is continuing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Agent, setting forth</w:t>
      </w:r>
    </w:p>
    <w:p>
      <w:pPr>
        <w:spacing w:after="0" w:line="1" w:lineRule="exact"/>
        <w:rPr>
          <w:sz w:val="20"/>
          <w:szCs w:val="20"/>
          <w:color w:val="auto"/>
        </w:rPr>
      </w:pPr>
    </w:p>
    <w:p>
      <w:pPr>
        <w:ind w:right="20" w:firstLine="8"/>
        <w:spacing w:after="0" w:line="295" w:lineRule="auto"/>
        <w:tabs>
          <w:tab w:leader="none" w:pos="249"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 statement of Funds From Operations for the fiscal period then ending; (y)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Agent; and (z) a listing of all Properties acquired by the Borrower or any Subsidiary since the delivery of the previous such list, including their net operating income, cost and related mortgage debt, if 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8.4. Other Information.</w:t>
      </w:r>
    </w:p>
    <w:p>
      <w:pPr>
        <w:spacing w:after="0" w:line="96" w:lineRule="exact"/>
        <w:rPr>
          <w:sz w:val="20"/>
          <w:szCs w:val="20"/>
          <w:color w:val="auto"/>
        </w:rPr>
      </w:pPr>
    </w:p>
    <w:p>
      <w:pPr>
        <w:ind w:firstLine="464"/>
        <w:spacing w:after="0" w:line="286" w:lineRule="auto"/>
        <w:tabs>
          <w:tab w:leader="none" w:pos="695"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Projections</w:t>
      </w:r>
      <w:r>
        <w:rPr>
          <w:rFonts w:ascii="Arial" w:cs="Arial" w:eastAsia="Arial" w:hAnsi="Arial"/>
          <w:sz w:val="16"/>
          <w:szCs w:val="16"/>
          <w:color w:val="auto"/>
        </w:rPr>
        <w:t>. No later than December 31 of each year, projected consolidated financial statements of Borrower and its consolidated Subsidiaries, for the next fiscal year, to include projected balance sheets, statements of income and loss and statements of cash flow, together with calculations required to establish whether or not the Borrower is projected to be in compliance with the financial covenants set forth in Section 9.1. In addition, within 15 Business Days of Agent’s request, the Borrower shall deliver such projected consolidated financial statements for the four fiscal-quarter period commencing with the fiscal quarter in which such request was made; provided, that the Borrower shall not be required to provide projections pursuant to this sentence more than once during any fiscal quarter. In each case, such projected consolidated financial statements shall be prepared on a quarterly basis, all in reasonable detail, and in form and content acceptable to the Agent, and shall be accompanied by such supporting information as the Agent may reasonably request. Such projected consolidated financial statements shall represent the reasonable best estimate by the Borrower of the future financial performance of the Borrower and its Subsidiaries for the periods set forth therein and shall be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w:t>
      </w:r>
    </w:p>
    <w:p>
      <w:pPr>
        <w:spacing w:after="0" w:line="127"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Management Reports</w:t>
      </w:r>
      <w:r>
        <w:rPr>
          <w:rFonts w:ascii="Arial" w:cs="Arial" w:eastAsia="Arial" w:hAnsi="Arial"/>
          <w:sz w:val="18"/>
          <w:szCs w:val="18"/>
          <w:color w:val="auto"/>
        </w:rPr>
        <w:t>. Promptly upon receipt thereof, copies of all management reports, if any, submitted to the Borrower or its Board of Trustees by its independent public accountants;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400"/>
          </w:cols>
          <w:pgMar w:left="240" w:top="274" w:right="259" w:bottom="1440" w:gutter="0" w:footer="0" w:header="0"/>
        </w:sectPr>
      </w:pPr>
    </w:p>
    <w:bookmarkStart w:id="459" w:name="page460"/>
    <w:bookmarkEnd w:id="459"/>
    <w:p>
      <w:pPr>
        <w:ind w:left="-8" w:right="20" w:firstLine="464"/>
        <w:spacing w:after="0" w:line="256" w:lineRule="auto"/>
        <w:tabs>
          <w:tab w:leader="none" w:pos="687"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Filings</w:t>
      </w:r>
      <w:r>
        <w:rPr>
          <w:rFonts w:ascii="Arial" w:cs="Arial" w:eastAsia="Arial" w:hAnsi="Arial"/>
          <w:sz w:val="18"/>
          <w:szCs w:val="18"/>
          <w:color w:val="auto"/>
        </w:rPr>
        <w:t>. Within 5 Business Days of the filing thereof, copies of all registration statements (excluding the exhibits thereto (unless requested by the Agent) and any registration statements on Form S-8 or its equivalent), reports on Forms 10-K, 10-Q and 8-K (or their equivalents) and all other periodic reports which the Borrower, any Subsidiary or any other Loan Party shall file with the Securities and Exchange Commission (or any Governmental Authority substituted therefor) or any national securities exchange;</w:t>
      </w:r>
    </w:p>
    <w:p>
      <w:pPr>
        <w:spacing w:after="0" w:line="143" w:lineRule="exact"/>
        <w:rPr>
          <w:rFonts w:ascii="Arial" w:cs="Arial" w:eastAsia="Arial" w:hAnsi="Arial"/>
          <w:sz w:val="18"/>
          <w:szCs w:val="18"/>
          <w:color w:val="auto"/>
        </w:rPr>
      </w:pPr>
    </w:p>
    <w:p>
      <w:pPr>
        <w:ind w:left="-8" w:right="240" w:firstLine="464"/>
        <w:spacing w:after="0" w:line="259" w:lineRule="auto"/>
        <w:tabs>
          <w:tab w:leader="none" w:pos="697"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Shareholder Information</w:t>
      </w:r>
      <w:r>
        <w:rPr>
          <w:rFonts w:ascii="Arial" w:cs="Arial" w:eastAsia="Arial" w:hAnsi="Arial"/>
          <w:sz w:val="18"/>
          <w:szCs w:val="18"/>
          <w:color w:val="auto"/>
        </w:rPr>
        <w:t>. 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140" w:lineRule="exact"/>
        <w:rPr>
          <w:rFonts w:ascii="Arial" w:cs="Arial" w:eastAsia="Arial" w:hAnsi="Arial"/>
          <w:sz w:val="18"/>
          <w:szCs w:val="18"/>
          <w:color w:val="auto"/>
        </w:rPr>
      </w:pPr>
    </w:p>
    <w:p>
      <w:pPr>
        <w:ind w:left="-8" w:right="20" w:firstLine="464"/>
        <w:spacing w:after="0" w:line="283" w:lineRule="auto"/>
        <w:tabs>
          <w:tab w:leader="none" w:pos="687" w:val="left"/>
        </w:tabs>
        <w:numPr>
          <w:ilvl w:val="1"/>
          <w:numId w:val="338"/>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w:t>
      </w:r>
    </w:p>
    <w:p>
      <w:pPr>
        <w:spacing w:after="0" w:line="1" w:lineRule="exact"/>
        <w:rPr>
          <w:rFonts w:ascii="Arial" w:cs="Arial" w:eastAsia="Arial" w:hAnsi="Arial"/>
          <w:sz w:val="16"/>
          <w:szCs w:val="16"/>
          <w:color w:val="auto"/>
        </w:rPr>
      </w:pPr>
    </w:p>
    <w:p>
      <w:pPr>
        <w:ind w:left="-8" w:right="100" w:firstLine="8"/>
        <w:spacing w:after="0" w:line="290" w:lineRule="auto"/>
        <w:tabs>
          <w:tab w:leader="none" w:pos="289"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the chief financial officer or chief accounting officer of the Borrower setting forth details as to such occurrence and the action, if any, which the Borrower or applicable member of the ERISA Group is required or proposes to take;</w:t>
      </w:r>
    </w:p>
    <w:p>
      <w:pPr>
        <w:spacing w:after="0" w:line="118" w:lineRule="exact"/>
        <w:rPr>
          <w:rFonts w:ascii="Arial" w:cs="Arial" w:eastAsia="Arial" w:hAnsi="Arial"/>
          <w:sz w:val="16"/>
          <w:szCs w:val="16"/>
          <w:color w:val="auto"/>
        </w:rPr>
      </w:pPr>
    </w:p>
    <w:p>
      <w:pPr>
        <w:ind w:left="-8" w:firstLine="464"/>
        <w:spacing w:after="0" w:line="255" w:lineRule="auto"/>
        <w:tabs>
          <w:tab w:leader="none" w:pos="668" w:val="left"/>
        </w:tabs>
        <w:numPr>
          <w:ilvl w:val="1"/>
          <w:numId w:val="339"/>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To the extent the Borrower or any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Borrower or any Subsidiary or any of their respective properties, assets or businesses which could reasonably be expected to have a Material Adverse Effect, and prompt notice of the receipt of notice that any United States income tax returns of the Borrower or any of its Subsidiaries are being audited;</w:t>
      </w:r>
    </w:p>
    <w:p>
      <w:pPr>
        <w:spacing w:after="0" w:line="142" w:lineRule="exact"/>
        <w:rPr>
          <w:rFonts w:ascii="Arial" w:cs="Arial" w:eastAsia="Arial" w:hAnsi="Arial"/>
          <w:sz w:val="18"/>
          <w:szCs w:val="18"/>
          <w:color w:val="auto"/>
        </w:rPr>
      </w:pPr>
    </w:p>
    <w:p>
      <w:pPr>
        <w:ind w:left="-8" w:right="400" w:firstLine="464"/>
        <w:spacing w:after="0" w:line="268" w:lineRule="auto"/>
        <w:tabs>
          <w:tab w:leader="none" w:pos="697" w:val="left"/>
        </w:tabs>
        <w:numPr>
          <w:ilvl w:val="1"/>
          <w:numId w:val="339"/>
        </w:numPr>
        <w:rPr>
          <w:rFonts w:ascii="Arial" w:cs="Arial" w:eastAsia="Arial" w:hAnsi="Arial"/>
          <w:sz w:val="18"/>
          <w:szCs w:val="18"/>
          <w:color w:val="auto"/>
        </w:rPr>
      </w:pPr>
      <w:r>
        <w:rPr>
          <w:rFonts w:ascii="Arial" w:cs="Arial" w:eastAsia="Arial" w:hAnsi="Arial"/>
          <w:sz w:val="18"/>
          <w:szCs w:val="18"/>
          <w:u w:val="single" w:color="auto"/>
          <w:color w:val="auto"/>
        </w:rPr>
        <w:t>Modification of Organizational Documents</w:t>
      </w:r>
      <w:r>
        <w:rPr>
          <w:rFonts w:ascii="Arial" w:cs="Arial" w:eastAsia="Arial" w:hAnsi="Arial"/>
          <w:sz w:val="18"/>
          <w:szCs w:val="18"/>
          <w:color w:val="auto"/>
        </w:rPr>
        <w:t>. A copy of any amendment to the declaration of trust, bylaws or other organizational documents of the Borrower within 15 Business Days after the effectiveness thereof;</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2"/>
          <w:numId w:val="339"/>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372"/>
          </w:cols>
          <w:pgMar w:left="248" w:top="280" w:right="279" w:bottom="1440" w:gutter="0" w:footer="0" w:header="0"/>
        </w:sectPr>
      </w:pPr>
    </w:p>
    <w:bookmarkStart w:id="460" w:name="page461"/>
    <w:bookmarkEnd w:id="460"/>
    <w:p>
      <w:pPr>
        <w:ind w:firstLine="464"/>
        <w:spacing w:after="0" w:line="306" w:lineRule="auto"/>
        <w:tabs>
          <w:tab w:leader="none" w:pos="705"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Management or Financial Condition</w:t>
      </w:r>
      <w:r>
        <w:rPr>
          <w:rFonts w:ascii="Arial" w:cs="Arial" w:eastAsia="Arial" w:hAnsi="Arial"/>
          <w:sz w:val="16"/>
          <w:szCs w:val="16"/>
          <w:color w:val="auto"/>
        </w:rPr>
        <w:t>. Prompt notice of any change in the chief executive officer, chief financial officer, chief investment officer or general counsel of the Borrower, any Subsidiary or any other Loan Party and any change in the business, assets, liabilities, financial condition or results of operations of the Borrower, any Subsidiary or any other Loan Party which has had or could reasonably be expected to have a Material Adverse Effect;</w:t>
      </w:r>
    </w:p>
    <w:p>
      <w:pPr>
        <w:spacing w:after="0" w:line="106" w:lineRule="exact"/>
        <w:rPr>
          <w:rFonts w:ascii="Arial" w:cs="Arial" w:eastAsia="Arial" w:hAnsi="Arial"/>
          <w:sz w:val="16"/>
          <w:szCs w:val="16"/>
          <w:color w:val="auto"/>
        </w:rPr>
      </w:pPr>
    </w:p>
    <w:p>
      <w:pPr>
        <w:ind w:right="60" w:firstLine="464"/>
        <w:spacing w:after="0" w:line="256" w:lineRule="auto"/>
        <w:tabs>
          <w:tab w:leader="none" w:pos="666"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Notice of the occurrence of any of the following promptly upon a Responsible Officer of the Borrower obtaining knowledge thereof: (i) any Default or Event of Default or (ii) any event which constitutes or which with the passage of time, the giving of notice, or otherwise, would constitute a default or event of default by the Borrower, any Subsidiary or any other Loan Party under any Material Contract to which any such Person is a party or by which any such Person or any of its respective properties may be bound;</w:t>
      </w:r>
    </w:p>
    <w:p>
      <w:pPr>
        <w:spacing w:after="0" w:line="143" w:lineRule="exact"/>
        <w:rPr>
          <w:rFonts w:ascii="Arial" w:cs="Arial" w:eastAsia="Arial" w:hAnsi="Arial"/>
          <w:sz w:val="18"/>
          <w:szCs w:val="18"/>
          <w:color w:val="auto"/>
        </w:rPr>
      </w:pPr>
    </w:p>
    <w:p>
      <w:pPr>
        <w:ind w:right="220" w:firstLine="464"/>
        <w:spacing w:after="0" w:line="268" w:lineRule="auto"/>
        <w:tabs>
          <w:tab w:leader="none" w:pos="666"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Prompt notice of any order, judgment or decree in excess of $5,000,000 having been entered against the Borrower, any Subsidiary or any other Loan Party of any of their respective properties or assets;</w:t>
      </w:r>
    </w:p>
    <w:p>
      <w:pPr>
        <w:spacing w:after="0" w:line="131" w:lineRule="exact"/>
        <w:rPr>
          <w:rFonts w:ascii="Arial" w:cs="Arial" w:eastAsia="Arial" w:hAnsi="Arial"/>
          <w:sz w:val="18"/>
          <w:szCs w:val="18"/>
          <w:color w:val="auto"/>
        </w:rPr>
      </w:pPr>
    </w:p>
    <w:p>
      <w:pPr>
        <w:ind w:right="560" w:firstLine="464"/>
        <w:spacing w:after="0" w:line="259" w:lineRule="auto"/>
        <w:tabs>
          <w:tab w:leader="none" w:pos="705"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Notice of Violations of Law</w:t>
      </w:r>
      <w:r>
        <w:rPr>
          <w:rFonts w:ascii="Arial" w:cs="Arial" w:eastAsia="Arial" w:hAnsi="Arial"/>
          <w:sz w:val="18"/>
          <w:szCs w:val="18"/>
          <w:color w:val="auto"/>
        </w:rPr>
        <w:t>. 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Material Subsidiary</w:t>
      </w:r>
      <w:r>
        <w:rPr>
          <w:rFonts w:ascii="Arial" w:cs="Arial" w:eastAsia="Arial" w:hAnsi="Arial"/>
          <w:sz w:val="18"/>
          <w:szCs w:val="18"/>
          <w:color w:val="auto"/>
        </w:rPr>
        <w:t>. Prompt notice of any Person becoming a Material Subsidiary;</w:t>
      </w:r>
    </w:p>
    <w:p>
      <w:pPr>
        <w:spacing w:after="0" w:line="171" w:lineRule="exact"/>
        <w:rPr>
          <w:rFonts w:ascii="Arial" w:cs="Arial" w:eastAsia="Arial" w:hAnsi="Arial"/>
          <w:sz w:val="18"/>
          <w:szCs w:val="18"/>
          <w:color w:val="auto"/>
        </w:rPr>
      </w:pPr>
    </w:p>
    <w:p>
      <w:pPr>
        <w:ind w:right="120" w:firstLine="464"/>
        <w:spacing w:after="0" w:line="268" w:lineRule="auto"/>
        <w:tabs>
          <w:tab w:leader="none" w:pos="754"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Material Asset Sales</w:t>
      </w:r>
      <w:r>
        <w:rPr>
          <w:rFonts w:ascii="Arial" w:cs="Arial" w:eastAsia="Arial" w:hAnsi="Arial"/>
          <w:sz w:val="18"/>
          <w:szCs w:val="18"/>
          <w:color w:val="auto"/>
        </w:rPr>
        <w:t>. Prompt notice of the sale, transfer or other disposition of any material assets of the Borrower, any Subsidiary or any other Loan Party to any Person other than the Borrower, any Subsidiary or any other Loan Party;</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Patriot Act Information</w:t>
      </w:r>
      <w:r>
        <w:rPr>
          <w:rFonts w:ascii="Arial" w:cs="Arial" w:eastAsia="Arial" w:hAnsi="Arial"/>
          <w:sz w:val="18"/>
          <w:szCs w:val="18"/>
          <w:color w:val="auto"/>
        </w:rPr>
        <w:t>. From time to time and promptly upon each request, information identifying the Borrower as a Lender may request in order to comply with the USA Patriot Act (Title III of Pub. L. 107-56 (signed into law October 26, 2001));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From time to time and promptly upon each request, such data, certificates, reports, statements, opinions of counsel, documents or further information regarding the business, assets, liabilities, financial condition or results of operations of the Borrower or any of its Subsidiaries as the Agent or any Lender may reasonably request.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Electronic Delivery of Certain Information.</w:t>
      </w:r>
    </w:p>
    <w:p>
      <w:pPr>
        <w:spacing w:after="0" w:line="90" w:lineRule="exact"/>
        <w:rPr>
          <w:sz w:val="20"/>
          <w:szCs w:val="20"/>
          <w:color w:val="auto"/>
        </w:rPr>
      </w:pPr>
    </w:p>
    <w:p>
      <w:pPr>
        <w:jc w:val="both"/>
        <w:ind w:right="60" w:firstLine="464"/>
        <w:spacing w:after="0" w:line="262" w:lineRule="auto"/>
        <w:tabs>
          <w:tab w:leader="none" w:pos="69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Borrower may deliver documents, materials and other information required to be delivered pursuant to Article VIII. (collectively, “</w:t>
      </w:r>
      <w:r>
        <w:rPr>
          <w:rFonts w:ascii="Arial" w:cs="Arial" w:eastAsia="Arial" w:hAnsi="Arial"/>
          <w:sz w:val="18"/>
          <w:szCs w:val="18"/>
          <w:b w:val="1"/>
          <w:bCs w:val="1"/>
          <w:color w:val="auto"/>
        </w:rPr>
        <w:t>Information</w:t>
      </w:r>
      <w:r>
        <w:rPr>
          <w:rFonts w:ascii="Arial" w:cs="Arial" w:eastAsia="Arial" w:hAnsi="Arial"/>
          <w:sz w:val="18"/>
          <w:szCs w:val="18"/>
          <w:color w:val="auto"/>
        </w:rPr>
        <w:t>”) in an electronic format acceptable to the Agent by e-mailing any such Information to an e-mail address of the Agent as specified by the Agent from time to time. The Agent shall promptly post such Information on</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360"/>
          </w:cols>
          <w:pgMar w:left="240" w:top="280" w:right="299" w:bottom="1440" w:gutter="0" w:footer="0" w:header="0"/>
        </w:sectPr>
      </w:pPr>
    </w:p>
    <w:bookmarkStart w:id="461" w:name="page462"/>
    <w:bookmarkEnd w:id="461"/>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Borrower’s behalf on an internet or intranet website to which each Lender and the Agent has access, whether a commercial, third-party website (such as Intralinks or SyndTrak) or a website sponsored by the Agent (the “</w:t>
      </w:r>
      <w:r>
        <w:rPr>
          <w:rFonts w:ascii="Arial" w:cs="Arial" w:eastAsia="Arial" w:hAnsi="Arial"/>
          <w:sz w:val="16"/>
          <w:szCs w:val="16"/>
          <w:b w:val="1"/>
          <w:bCs w:val="1"/>
          <w:color w:val="auto"/>
        </w:rPr>
        <w:t>Platform</w:t>
      </w:r>
      <w:r>
        <w:rPr>
          <w:rFonts w:ascii="Arial" w:cs="Arial" w:eastAsia="Arial" w:hAnsi="Arial"/>
          <w:sz w:val="16"/>
          <w:szCs w:val="16"/>
          <w:color w:val="auto"/>
        </w:rPr>
        <w:t>”). Such Information shall only be deemed to have been delivered to the Lenders on the date on which such information is so posted. The Agent shall promptly notify each Lender by e-mail or otherwise when Information is posted to the Platform.</w:t>
      </w:r>
    </w:p>
    <w:p>
      <w:pPr>
        <w:spacing w:after="0" w:line="107" w:lineRule="exact"/>
        <w:rPr>
          <w:sz w:val="20"/>
          <w:szCs w:val="20"/>
          <w:color w:val="auto"/>
        </w:rPr>
      </w:pPr>
    </w:p>
    <w:p>
      <w:pPr>
        <w:ind w:right="20" w:firstLine="464"/>
        <w:spacing w:after="0" w:line="289" w:lineRule="auto"/>
        <w:tabs>
          <w:tab w:leader="none" w:pos="70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In addition, the Borrower may deliver Information required to be delivered pursuant to Sections 8.1., 8.2., and 8.4.(c) and (d) by posting any such Information to the Borrower’s internet website (as of the Agreement Date, www.federalrealty.com). Any such Information provided in such manner shall only be deemed to have been delivered to the Agent or a Lender (i) on the date on which the Agent or such Lender, as applicable, receives notice from the Borrower that such Information has been posted to the Borrower’s internet website and (ii) only if such Information is publicly available without charge on such website. If for any reason, the Agent or a Lender either did not receive such notice or after reasonable efforts was unable to access such website, then the Agent or such Lender, as applicable, shall not be deemed to have received such Information. In addition to any manner permitted by Section 12.1., the Borrower may notify the Agent or a Lender that Information has been posted to such a website by causing an e-mail notification to be sent to an e-mail address specified from time to time by the Agent or such Lender, as applicable.</w:t>
      </w:r>
    </w:p>
    <w:p>
      <w:pPr>
        <w:spacing w:after="0" w:line="118" w:lineRule="exact"/>
        <w:rPr>
          <w:rFonts w:ascii="Arial" w:cs="Arial" w:eastAsia="Arial" w:hAnsi="Arial"/>
          <w:sz w:val="16"/>
          <w:szCs w:val="16"/>
          <w:color w:val="auto"/>
        </w:rPr>
      </w:pPr>
    </w:p>
    <w:p>
      <w:pPr>
        <w:ind w:right="200" w:firstLine="464"/>
        <w:spacing w:after="0" w:line="306" w:lineRule="auto"/>
        <w:tabs>
          <w:tab w:leader="none" w:pos="69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Borrower shall deliver paper copies of Information to the Agent or any Lender that requests the Borrower to deliver such paper copies until a written request to cease delivering paper copies is given to the Borrower by the Agent or such Lender and (ii) in every instance the Borrower shall be required to provide to the Agent a paper original of the Compliance Certificate required by Section 8.3.</w:t>
      </w:r>
    </w:p>
    <w:p>
      <w:pPr>
        <w:spacing w:after="0" w:line="106" w:lineRule="exact"/>
        <w:rPr>
          <w:rFonts w:ascii="Arial" w:cs="Arial" w:eastAsia="Arial" w:hAnsi="Arial"/>
          <w:sz w:val="16"/>
          <w:szCs w:val="16"/>
          <w:color w:val="auto"/>
        </w:rPr>
      </w:pPr>
    </w:p>
    <w:p>
      <w:pPr>
        <w:ind w:right="140" w:firstLine="464"/>
        <w:spacing w:after="0" w:line="288" w:lineRule="auto"/>
        <w:tabs>
          <w:tab w:leader="none" w:pos="70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Borrower acknowledges and agrees that the Agent may make Information, as well as any other written information, reports, data, certificates, documents, instruments, agreements and other materials relating to the Borrower, any Subsidiary or any other Loan Party or any other materials or matters relating to this Agreement, any of the other Loan Documents or any of the transactions contemplated by the Loan Documents, in each case to the extent that the Agent’s communication thereof to the Lenders is otherwise permitted hereunder (collectively, the “</w:t>
      </w:r>
      <w:r>
        <w:rPr>
          <w:rFonts w:ascii="Arial" w:cs="Arial" w:eastAsia="Arial" w:hAnsi="Arial"/>
          <w:sz w:val="16"/>
          <w:szCs w:val="16"/>
          <w:b w:val="1"/>
          <w:bCs w:val="1"/>
          <w:color w:val="auto"/>
        </w:rPr>
        <w:t>Communications</w:t>
      </w:r>
      <w:r>
        <w:rPr>
          <w:rFonts w:ascii="Arial" w:cs="Arial" w:eastAsia="Arial" w:hAnsi="Arial"/>
          <w:sz w:val="16"/>
          <w:szCs w:val="16"/>
          <w:color w:val="auto"/>
        </w:rPr>
        <w:t>”) available to the Lenders by posting the same on the Platform. The Borrower acknowledges that (i) the distribution of material through an electronic medium, such as the Platform,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The provisions of the immediately preceding clause (i) are not intended to limit the Lenders’ obligations under Section 12.8.</w:t>
      </w:r>
    </w:p>
    <w:p>
      <w:pPr>
        <w:spacing w:after="0" w:line="119" w:lineRule="exact"/>
        <w:rPr>
          <w:rFonts w:ascii="Arial" w:cs="Arial" w:eastAsia="Arial" w:hAnsi="Arial"/>
          <w:sz w:val="16"/>
          <w:szCs w:val="16"/>
          <w:color w:val="auto"/>
        </w:rPr>
      </w:pPr>
    </w:p>
    <w:p>
      <w:pPr>
        <w:jc w:val="both"/>
        <w:ind w:firstLine="464"/>
        <w:spacing w:after="0" w:line="259" w:lineRule="auto"/>
        <w:tabs>
          <w:tab w:leader="none" w:pos="69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Agent shall have no obligation to request the delivery or to maintain copies of any of the Information or other materials referred to above, and in no event shall have any responsibility to monitor compliance by the Borrower with any such requests. Each Lender shall be solely responsible for requesting delivery to it or maintaining its copies of such Information or other materials.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20"/>
          </w:cols>
          <w:pgMar w:left="240" w:top="280" w:right="239" w:bottom="1440" w:gutter="0" w:footer="0" w:header="0"/>
        </w:sectPr>
      </w:pPr>
    </w:p>
    <w:bookmarkStart w:id="462" w:name="page463"/>
    <w:bookmarkEnd w:id="4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8.6. Public/Private Information.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Borrower will cooperate with the Agent in connection with the publication of certain materials and/or information provided by or on behalf of the Borrower to the Agent and the Lenders (collectively, “Information Materials”) pursuant to this Article and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Agent and Borrower acknowledge and agree that Borrower is obligated to file reports under the Securities Exchange Act of 1934 (the “1934 Act”). All Information Materials filed with or furnished to the Securities and Exchange Commission by the Borrower pursuant to the 1934 Act or filed by the Borrower with the Securities and Exchange Commission pursuant to the Securities Act, distributed by the Borrower by press release through a widely disseminated news or wire service, or otherwise expressly designated by Borrower as Public Information are hereby designated as Public Information, and all other Information Materials are hereby designated as Private Information.</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 N</w:t>
      </w:r>
      <w:r>
        <w:rPr>
          <w:rFonts w:ascii="Arial" w:cs="Arial" w:eastAsia="Arial" w:hAnsi="Arial"/>
          <w:sz w:val="14"/>
          <w:szCs w:val="14"/>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set forth in Section 12.6.,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Financial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permit:</w:t>
      </w:r>
    </w:p>
    <w:p>
      <w:pPr>
        <w:spacing w:after="0" w:line="171" w:lineRule="exact"/>
        <w:rPr>
          <w:sz w:val="20"/>
          <w:szCs w:val="20"/>
          <w:color w:val="auto"/>
        </w:rPr>
      </w:pPr>
    </w:p>
    <w:p>
      <w:pPr>
        <w:ind w:left="700" w:hanging="236"/>
        <w:spacing w:after="0"/>
        <w:tabs>
          <w:tab w:leader="none" w:pos="700"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Maximum Leverage Ratio</w:t>
      </w:r>
      <w:r>
        <w:rPr>
          <w:rFonts w:ascii="Arial" w:cs="Arial" w:eastAsia="Arial" w:hAnsi="Arial"/>
          <w:sz w:val="18"/>
          <w:szCs w:val="18"/>
          <w:color w:val="auto"/>
        </w:rPr>
        <w:t>. The ratio of (i) Total Indebtedness to (ii) Total Asset Value, to exceed 0.60 to 1.0 at any time.</w:t>
      </w:r>
    </w:p>
    <w:p>
      <w:pPr>
        <w:spacing w:after="0" w:line="171" w:lineRule="exact"/>
        <w:rPr>
          <w:rFonts w:ascii="Arial" w:cs="Arial" w:eastAsia="Arial" w:hAnsi="Arial"/>
          <w:sz w:val="18"/>
          <w:szCs w:val="18"/>
          <w:color w:val="auto"/>
        </w:rPr>
      </w:pPr>
    </w:p>
    <w:p>
      <w:pPr>
        <w:ind w:right="20" w:firstLine="464"/>
        <w:spacing w:after="0" w:line="332" w:lineRule="auto"/>
        <w:tabs>
          <w:tab w:leader="none" w:pos="705" w:val="left"/>
        </w:tabs>
        <w:numPr>
          <w:ilvl w:val="1"/>
          <w:numId w:val="343"/>
        </w:numPr>
        <w:rPr>
          <w:rFonts w:ascii="Arial" w:cs="Arial" w:eastAsia="Arial" w:hAnsi="Arial"/>
          <w:sz w:val="16"/>
          <w:szCs w:val="16"/>
          <w:color w:val="auto"/>
        </w:rPr>
      </w:pPr>
      <w:r>
        <w:rPr>
          <w:rFonts w:ascii="Arial" w:cs="Arial" w:eastAsia="Arial" w:hAnsi="Arial"/>
          <w:sz w:val="16"/>
          <w:szCs w:val="16"/>
          <w:u w:val="single" w:color="auto"/>
          <w:color w:val="auto"/>
        </w:rPr>
        <w:t>Minimum Fixed Charge Coverage Ratio</w:t>
      </w:r>
      <w:r>
        <w:rPr>
          <w:rFonts w:ascii="Arial" w:cs="Arial" w:eastAsia="Arial" w:hAnsi="Arial"/>
          <w:sz w:val="16"/>
          <w:szCs w:val="16"/>
          <w:color w:val="auto"/>
        </w:rPr>
        <w:t>. The ratio of (i) Adjusted EBITDA of the Borrower and its Subsidiaries determined on a consolidated basis for the fiscal quarter of the Borrower most recently ending to (ii) Fixed Charges for such period, to be less than 1.850 to 1.00 at the end of any fiscal quarter.</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1"/>
          <w:numId w:val="343"/>
        </w:numPr>
        <w:rPr>
          <w:rFonts w:ascii="Arial" w:cs="Arial" w:eastAsia="Arial" w:hAnsi="Arial"/>
          <w:sz w:val="15"/>
          <w:szCs w:val="15"/>
          <w:color w:val="auto"/>
        </w:rPr>
      </w:pPr>
      <w:r>
        <w:rPr>
          <w:rFonts w:ascii="Arial" w:cs="Arial" w:eastAsia="Arial" w:hAnsi="Arial"/>
          <w:sz w:val="15"/>
          <w:szCs w:val="15"/>
          <w:u w:val="single" w:color="auto"/>
          <w:color w:val="auto"/>
        </w:rPr>
        <w:t>Maximum Secured Indebtedness Ratio</w:t>
      </w:r>
      <w:r>
        <w:rPr>
          <w:rFonts w:ascii="Arial" w:cs="Arial" w:eastAsia="Arial" w:hAnsi="Arial"/>
          <w:sz w:val="15"/>
          <w:szCs w:val="15"/>
          <w:color w:val="auto"/>
        </w:rPr>
        <w:t>. The ratio of (i) Secured Indebtedness of the Borrower and its Subsidiaries determined on a consolidated basis to</w:t>
      </w:r>
    </w:p>
    <w:p>
      <w:pPr>
        <w:spacing w:after="0" w:line="49" w:lineRule="exact"/>
        <w:rPr>
          <w:rFonts w:ascii="Arial" w:cs="Arial" w:eastAsia="Arial" w:hAnsi="Arial"/>
          <w:sz w:val="15"/>
          <w:szCs w:val="15"/>
          <w:color w:val="auto"/>
        </w:rPr>
      </w:pPr>
    </w:p>
    <w:p>
      <w:pPr>
        <w:ind w:left="260" w:hanging="252"/>
        <w:spacing w:after="0"/>
        <w:tabs>
          <w:tab w:leader="none" w:pos="2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Total Asset Value, to be greater than 0.350 to 1.00 at any time.</w:t>
      </w:r>
    </w:p>
    <w:p>
      <w:pPr>
        <w:spacing w:after="0" w:line="164" w:lineRule="exact"/>
        <w:rPr>
          <w:rFonts w:ascii="Arial" w:cs="Arial" w:eastAsia="Arial" w:hAnsi="Arial"/>
          <w:sz w:val="18"/>
          <w:szCs w:val="18"/>
          <w:color w:val="auto"/>
        </w:rPr>
      </w:pPr>
    </w:p>
    <w:p>
      <w:pPr>
        <w:ind w:right="740" w:firstLine="464"/>
        <w:spacing w:after="0" w:line="268" w:lineRule="auto"/>
        <w:tabs>
          <w:tab w:leader="none" w:pos="705"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Minimum Unencumbered Leverage Ratio</w:t>
      </w:r>
      <w:r>
        <w:rPr>
          <w:rFonts w:ascii="Arial" w:cs="Arial" w:eastAsia="Arial" w:hAnsi="Arial"/>
          <w:sz w:val="18"/>
          <w:szCs w:val="18"/>
          <w:color w:val="auto"/>
        </w:rPr>
        <w:t>. The ratio of (i) Unencumbered Asset Value to (ii) Unsecured Indebtedness of the Borrower and its Subsidiaries determined on a consolidated basis, to be less than 1.60 to 1.00 at the any time.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344"/>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380"/>
          </w:cols>
          <w:pgMar w:left="240" w:top="273" w:right="279" w:bottom="1440" w:gutter="0" w:footer="0" w:header="0"/>
        </w:sectPr>
      </w:pPr>
    </w:p>
    <w:bookmarkStart w:id="463" w:name="page464"/>
    <w:bookmarkEnd w:id="463"/>
    <w:p>
      <w:pPr>
        <w:ind w:right="480" w:firstLine="464"/>
        <w:spacing w:after="0" w:line="332" w:lineRule="auto"/>
        <w:tabs>
          <w:tab w:leader="none" w:pos="695" w:val="left"/>
        </w:tabs>
        <w:numPr>
          <w:ilvl w:val="0"/>
          <w:numId w:val="3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Minimum Net Worth</w:t>
      </w:r>
      <w:r>
        <w:rPr>
          <w:rFonts w:ascii="Arial" w:cs="Arial" w:eastAsia="Arial" w:hAnsi="Arial"/>
          <w:sz w:val="16"/>
          <w:szCs w:val="16"/>
          <w:color w:val="auto"/>
        </w:rPr>
        <w:t xml:space="preserve">. Tangible Net Worth at any time to be less than (i) $1,500,000,000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75% of the Net Proceeds of all Equity Issuances effected by the Borrower or any Subsidiary after March 31, 2009 (other than Equity Issuances to the Borrower or any Subsidiary).</w:t>
      </w:r>
    </w:p>
    <w:p>
      <w:pPr>
        <w:spacing w:after="0" w:line="85" w:lineRule="exact"/>
        <w:rPr>
          <w:rFonts w:ascii="Arial" w:cs="Arial" w:eastAsia="Arial" w:hAnsi="Arial"/>
          <w:sz w:val="16"/>
          <w:szCs w:val="16"/>
          <w:color w:val="auto"/>
        </w:rPr>
      </w:pPr>
    </w:p>
    <w:p>
      <w:pPr>
        <w:ind w:right="240" w:firstLine="464"/>
        <w:spacing w:after="0" w:line="268" w:lineRule="auto"/>
        <w:tabs>
          <w:tab w:leader="none" w:pos="676"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Assets Owned by Borrower and Guarantors</w:t>
      </w:r>
      <w:r>
        <w:rPr>
          <w:rFonts w:ascii="Arial" w:cs="Arial" w:eastAsia="Arial" w:hAnsi="Arial"/>
          <w:sz w:val="18"/>
          <w:szCs w:val="18"/>
          <w:color w:val="auto"/>
        </w:rPr>
        <w:t>. The amount of Adjusted Total Asset Value attributable to assets directly owned by the Borrower and the Guarantors to be less than 95.0% of Adjusted Total Asset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Restricted Payments.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Borrower shall not, and shall not permit any of its Subsidiaries to, declare or make any Restricted Payment if an Event of Default or a Major Default exists or a Default or Event of Default would result from the making of such Restricted Payment, except that the Borrower may, subject to the immediately following sentence, declare and make cash distributions to its shareholders during any fiscal year in an aggregate amount not to exceed the minimum amount necessary for the Borrower to remain in compliance with Section 7.13. If an Event of Default specified in Section 10.1.(a), Section 10.1.(b), Section 10.1.(f) or Section 10.1.(g) shall exist, or if as a result of the occurrence of any other Event of Default any of the Obligations have been accelerated pursuant to Section 10.2. (a), the Borrower shall not, and shall not permit any Subsidiary to, make any Restricted Payments to any Person other than to the Borrower or any Subsidiary.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Indebtedness.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Borrower shall not, and shall not permit any Subsidiary or any other Loan Party to, incur, assume, or otherwise become obligated in respect of any Indebtedness after the Agreement Date if as a result of the assumption, incurring or becoming obligated in respect thereof, and after giving effect thereto, a Default or Event of Default is or would be caused thereby, or any Major Default or Event of Default is then in existence, including, without limitation, a Default or Event of Default resulting from a violation of any of the covenants contained in Section 9.1.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Certain Permitted Investments.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Borrower shall not, and shall not permit any Subsidiary to, make any Investment in or otherwise own the following items which would cause the aggregate value of such holdings of the Borrower and such other Subsidiaries to exceed the following percentages of Total Asset Value at any time:</w:t>
      </w:r>
    </w:p>
    <w:p>
      <w:pPr>
        <w:spacing w:after="0" w:line="85" w:lineRule="exact"/>
        <w:rPr>
          <w:sz w:val="20"/>
          <w:szCs w:val="20"/>
          <w:color w:val="auto"/>
        </w:rPr>
      </w:pPr>
    </w:p>
    <w:p>
      <w:pPr>
        <w:ind w:right="180" w:firstLine="464"/>
        <w:spacing w:after="0" w:line="306" w:lineRule="auto"/>
        <w:tabs>
          <w:tab w:leader="none" w:pos="69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Investments in Unconsolidated Affiliates and other Persons that are not Subsidiaries and Investments in Subsidiaries that own Non-Controlled Properties, such that the aggregate value of such Investments determined in a manner consistent with the definition of Total Asset Value or, if not contemplated under the definition of Total Asset Value, as determined in accordance with GAAP, exceeds 15% of Total Asset Value;</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380"/>
          </w:cols>
          <w:pgMar w:left="240" w:top="279" w:right="279" w:bottom="1440" w:gutter="0" w:footer="0" w:header="0"/>
        </w:sectPr>
      </w:pPr>
    </w:p>
    <w:bookmarkStart w:id="464" w:name="page465"/>
    <w:bookmarkEnd w:id="464"/>
    <w:p>
      <w:pPr>
        <w:ind w:left="720" w:hanging="256"/>
        <w:spacing w:after="0"/>
        <w:tabs>
          <w:tab w:leader="none" w:pos="7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Mortgage Receivables such that the aggregate book value exceeds 7.5% of Total Asset Value;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Construction Budget for all real property under construction such that the aggregate exceeds 15% of Total Asset Value.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Unimproved Land such that the aggregate value of such Unimproved Land, calculated on the basis of cost, exceeds 5% of Total Asset Value.</w:t>
      </w:r>
    </w:p>
    <w:p>
      <w:pPr>
        <w:spacing w:after="0" w:line="194" w:lineRule="exact"/>
        <w:rPr>
          <w:rFonts w:ascii="Arial" w:cs="Arial" w:eastAsia="Arial" w:hAnsi="Arial"/>
          <w:sz w:val="16"/>
          <w:szCs w:val="16"/>
          <w:color w:val="auto"/>
        </w:rPr>
      </w:pPr>
    </w:p>
    <w:p>
      <w:pPr>
        <w:ind w:right="480" w:firstLine="464"/>
        <w:spacing w:after="0" w:line="268" w:lineRule="auto"/>
        <w:tabs>
          <w:tab w:leader="none" w:pos="69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Investments in Persons (other than Investments in Subsidiaries and Unconsolidated Affiliates) such that the aggregate value of such Investments, calculated on the basis of cost, exceeds 5% of Total Asset Value.</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to the foregoing limitations, the aggregate value of the Investments and other items subject to the limitations in the preceding clauses (a) through (e) shall not exceed 30% of Total Asset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Investments Generally.</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Borrower shall not, and shall not permit any Subsidiary or other Loan Party to, directly or indirectly, acquire, make or purchase any Investment, or permit any Investment of such Person to be outstanding on and after the Agreement Date, other than the following:</w:t>
      </w:r>
    </w:p>
    <w:p>
      <w:pPr>
        <w:spacing w:after="0" w:line="132" w:lineRule="exact"/>
        <w:rPr>
          <w:sz w:val="20"/>
          <w:szCs w:val="20"/>
          <w:color w:val="auto"/>
        </w:rPr>
      </w:pPr>
    </w:p>
    <w:p>
      <w:pPr>
        <w:ind w:left="700" w:hanging="236"/>
        <w:spacing w:after="0"/>
        <w:tabs>
          <w:tab w:leader="none" w:pos="7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Investments in Subsidiaries in existence on the Agreement Date and disclosed on Part I of Schedule 6.1.(b);</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Investments to acquire Equity Interests of a Subsidiary or any other Person who after giving effect to such acquisition would be a Subsidiary, so long as in each case (i) as a result of such Investment, and after giving effect thereto, no Default or Event of Default is or would be caused thereby, and no other Major Default or Event of Default is then in existence and (ii) if such Subsidiary is (or after giving effect to such Investment would become) a Material Subsidiary, and is not an Excluded Subsidiary and does not own a Non-Controlled Property, the terms and conditions set forth in Section 7.12. are satisfied;</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Investments permitted under Section 9.4.;</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71" w:lineRule="exact"/>
        <w:rPr>
          <w:rFonts w:ascii="Arial" w:cs="Arial" w:eastAsia="Arial" w:hAnsi="Arial"/>
          <w:sz w:val="18"/>
          <w:szCs w:val="18"/>
          <w:color w:val="auto"/>
        </w:rPr>
      </w:pPr>
    </w:p>
    <w:p>
      <w:pPr>
        <w:ind w:right="420" w:firstLine="464"/>
        <w:spacing w:after="0" w:line="268" w:lineRule="auto"/>
        <w:tabs>
          <w:tab w:leader="none" w:pos="69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intercompany Indebtedness among the Borrower and its Wholly Owned Subsidiaries provided that such Indebtedness is permitted by the terms of Section 9.3.;</w:t>
      </w:r>
    </w:p>
    <w:p>
      <w:pPr>
        <w:spacing w:after="0" w:line="131" w:lineRule="exact"/>
        <w:rPr>
          <w:rFonts w:ascii="Arial" w:cs="Arial" w:eastAsia="Arial" w:hAnsi="Arial"/>
          <w:sz w:val="18"/>
          <w:szCs w:val="18"/>
          <w:color w:val="auto"/>
        </w:rPr>
      </w:pPr>
    </w:p>
    <w:p>
      <w:pPr>
        <w:ind w:right="60" w:firstLine="464"/>
        <w:spacing w:after="0" w:line="259" w:lineRule="auto"/>
        <w:tabs>
          <w:tab w:leader="none" w:pos="67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loans and advances to officers and employees (i) to finance their exercise of options to acquire stock in the Borrower to the extent made pursuant to arrangements in existence on the Agreement Date and only as permitted by Applicable Law and (ii) for moving, entertainment, travel and other similar expenses in the ordinary course of business consistent with past practices; and</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360"/>
          </w:cols>
          <w:pgMar w:left="240" w:top="280" w:right="299" w:bottom="1440" w:gutter="0" w:footer="0" w:header="0"/>
        </w:sectPr>
      </w:pPr>
    </w:p>
    <w:bookmarkStart w:id="465" w:name="page466"/>
    <w:bookmarkEnd w:id="465"/>
    <w:p>
      <w:pPr>
        <w:ind w:right="160" w:firstLine="464"/>
        <w:spacing w:after="0" w:line="268" w:lineRule="auto"/>
        <w:tabs>
          <w:tab w:leader="none" w:pos="705" w:val="left"/>
        </w:tabs>
        <w:numPr>
          <w:ilvl w:val="0"/>
          <w:numId w:val="3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Investment so long as a result of making such Investment, and immediately thereafter and after giving effect thereto, no Default or Event of Default is or would be caused thereby, and no other Major Default or Event of Default is then in existence.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Liens; Negative Pledges; Other Matters.</w:t>
      </w:r>
    </w:p>
    <w:p>
      <w:pPr>
        <w:spacing w:after="0" w:line="96" w:lineRule="exact"/>
        <w:rPr>
          <w:sz w:val="20"/>
          <w:szCs w:val="20"/>
          <w:color w:val="auto"/>
        </w:rPr>
      </w:pPr>
    </w:p>
    <w:p>
      <w:pPr>
        <w:ind w:right="40" w:firstLine="464"/>
        <w:spacing w:after="0" w:line="298" w:lineRule="auto"/>
        <w:tabs>
          <w:tab w:leader="none" w:pos="69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is then in existence, including without limitation, a Default or Event of Default resulting from a violation of any of the covenants contained in Section 9.1.</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enter into, assume or otherwise be bound by any Negative Pledge except for a Negative Pledge contained in any agreement (i) evidencing Indebtedness which the Borrower or such Subsidiary may create, incur, assume, or permit or suffer to exist under Section 9.3.; (ii) which Indebtedness is secured by a Lien permitted to exist hereunder and (iii) which prohibits the creation of any other Lien on only the property securing such Indebtedness as of the date such agreement was entered into.</w:t>
      </w:r>
    </w:p>
    <w:p>
      <w:pPr>
        <w:spacing w:after="0" w:line="112" w:lineRule="exact"/>
        <w:rPr>
          <w:rFonts w:ascii="Arial" w:cs="Arial" w:eastAsia="Arial" w:hAnsi="Arial"/>
          <w:sz w:val="16"/>
          <w:szCs w:val="16"/>
          <w:color w:val="auto"/>
        </w:rPr>
      </w:pPr>
    </w:p>
    <w:p>
      <w:pPr>
        <w:ind w:right="80" w:firstLine="464"/>
        <w:spacing w:after="0" w:line="291" w:lineRule="auto"/>
        <w:tabs>
          <w:tab w:leader="none" w:pos="69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create or otherwise cause or suffer to exist or become effective any consensual encumbrance or restriction of any kind on the ability of any Subsidiary (other than an Excluded Subsidiary) to: (i) pay dividends or make any other distribution on any of such Subsidiary’s capital stock or other equity interests owned by the Borrower or any Subsidiary; (ii) pay any Indebtedness owed to the Borrower or any Subsidiary; (iii) make loans or advances to the Borrower or any Subsidiary; or (iv) transfer any of its property or assets to the Borrower or any Subsidiary other than, in the case of any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Merger, Consolidation, Sales of Assets and Other Arrangements.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The Borrower shall not, and shall not permit any Subsidiary or other Loan Party to: (i) enter into any transaction of merger or consolidation; (ii) liquidate, wind up or dissolve itself (or suffer any liquidation or dissolution); or (iii) convey, sell, lease, sublease, transfer or otherwise dispose of, in one transaction or a series of transactions, all or any substantial part of its business or assets, whether now owned or hereafter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07" w:lineRule="exact"/>
        <w:rPr>
          <w:sz w:val="20"/>
          <w:szCs w:val="20"/>
          <w:color w:val="auto"/>
        </w:rPr>
      </w:pPr>
    </w:p>
    <w:p>
      <w:pPr>
        <w:jc w:val="both"/>
        <w:ind w:right="100" w:firstLine="464"/>
        <w:spacing w:after="0" w:line="259" w:lineRule="auto"/>
        <w:tabs>
          <w:tab w:leader="none" w:pos="69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of the actions described in the immediately preceding clauses (i) through (iii) may be taken with respect to any Subsidiary or any other Loan Party (other than the Borrower) so long as, as a result of the taking of such action, and after giving effect thereto, no Default or Event of Default is or would be caused thereby or any other Major Default or Event of Default is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380"/>
          </w:cols>
          <w:pgMar w:left="240" w:top="280" w:right="279" w:bottom="1440" w:gutter="0" w:footer="0" w:header="0"/>
        </w:sectPr>
      </w:pPr>
    </w:p>
    <w:bookmarkStart w:id="466" w:name="page467"/>
    <w:bookmarkEnd w:id="46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in existence; notwithstanding the foregoing, any such Loan Party may enter into a transaction of merger pursuant to which such Loan Party is not the survivor of such merger only if (i) the Borrower shall have given the Agent and the Lenders at least 10 Business Days’ prior written notice of such merger; (ii) if the survivor entity is a Material Subsidiary (and not an Excluded Subsidiary) within 5 Business Days of consummation of such merger, the survivor entity (if not already a Guarantor) shall have executed and delivered an assumption agreement in form and substance satisfactory to the Agent pursuant to which such survivor entity shall assume all of the such Loan Party’s Obligations under this Agreement and the other Loan Documents to which it is a party; (iii) within 30 days of consummation of such merger, the survivor entity delivers to the Agent the following: (A) items of the type referred to in Sections 5.1.(a)(ix) through (xii) with respect to the survivor entity as in effect after consummation of such merger (if not previously delivered to the Agent and still in effect), (B) copies of all documents entered into by such Loan Party or the survivor entity to effectuate the consummation of such merger, including, but not limited to, articles of merger and the plan of merger, (C) copies, certified by the Secretary or Assistant Secretary (or other individual performing similar functions) of such Loan Party or the survivor entity, of all corporate and shareholder action authorizing such merger and (D) copies of any filings with the Securities and Exchange Commission in connection with such merger; and (iv) such Loan Party and the survivor entity each takes such other action and delivers such other documents, instruments, opinions and agreements as the Agent may reasonably request;</w:t>
      </w:r>
    </w:p>
    <w:p>
      <w:pPr>
        <w:spacing w:after="0" w:line="124" w:lineRule="exact"/>
        <w:rPr>
          <w:sz w:val="20"/>
          <w:szCs w:val="20"/>
          <w:color w:val="auto"/>
        </w:rPr>
      </w:pPr>
    </w:p>
    <w:p>
      <w:pPr>
        <w:ind w:right="160" w:firstLine="464"/>
        <w:spacing w:after="0" w:line="268" w:lineRule="auto"/>
        <w:tabs>
          <w:tab w:leader="none" w:pos="70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Borrower, its Subsidiaries and the other Loan Parties may lease and sublease their respective assets, as lessor or sublessor (as the case may be), in the ordinary course of their business;</w:t>
      </w:r>
    </w:p>
    <w:p>
      <w:pPr>
        <w:spacing w:after="0" w:line="131" w:lineRule="exact"/>
        <w:rPr>
          <w:rFonts w:ascii="Arial" w:cs="Arial" w:eastAsia="Arial" w:hAnsi="Arial"/>
          <w:sz w:val="18"/>
          <w:szCs w:val="18"/>
          <w:color w:val="auto"/>
        </w:rPr>
      </w:pPr>
    </w:p>
    <w:p>
      <w:pPr>
        <w:ind w:right="40" w:firstLine="464"/>
        <w:spacing w:after="0" w:line="256" w:lineRule="auto"/>
        <w:tabs>
          <w:tab w:leader="none" w:pos="69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 Person may merge with and into the Borrower so long as (i) the Borrower is the survivor of such merger, (ii) immediately prior to such merger, and immediately thereafter and after giving effect thereto, no Default or Event of Default is or would be in existence, and (iii) the Borrower shall have given the Agent and the Lenders at least 10 Business Days’ prior written notice of such merger (except that such prior notice shall not be required in the case of the merger of a Subsidiary with and into the Borrower);</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Borrower and each Subsidiary may sell, transfer or dispose of assets (including by merger or liquidation of Subsidiaries) among themselves; and</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Borrower and each Subsidiary may transfer property as security for Indebtedness permitted by Section 9.3.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Fiscal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change its fiscal year from that in effect as of the Agreement 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360"/>
          </w:cols>
          <w:pgMar w:left="240" w:top="280" w:right="299" w:bottom="1440" w:gutter="0" w:footer="0" w:header="0"/>
        </w:sectPr>
      </w:pPr>
    </w:p>
    <w:bookmarkStart w:id="467" w:name="page468"/>
    <w:bookmarkEnd w:id="4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9.9. Modifications of Organizational Documents.</w:t>
      </w:r>
    </w:p>
    <w:p>
      <w:pPr>
        <w:spacing w:after="0" w:line="96"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The Borrower shall not, and shall not permit any Loan Party or other Subsidiary to, amend, supplement, restate or otherwise modify its articles or certificate of incorporation,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9.10. Transactions with Affiliates.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not, and shall not permit any of its Subsidiaries or any other Loan Party to, permit to exist or enter into, any transaction (including the purchase, sale, lease or exchange of any property or the rendering of any service) with any Affiliate, except (a) compensation, bonus and benefit arrangements with employees and trustees as permitted by Applicable Law; (b) transactions not prohibited by Section 9.7. to the extent among the Borrower, the other Loan Parties and other Subsidiaries; and (c) other transactions in the ordinary course of and pursuant to the reasonable requirements of the business of the Borrower or any of its Subsidiaries and upon fair and reasonable terms which are no less favorable to the Borrower or such Subsidiary than would be obtained in a comparable arm’s length transaction with a Person that is not an Affiliate.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9.11. ERISA Exemptions.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Borrower shall not, and shall not permit any Subsidiary to, permit any of its respective assets to become or be deemed to be “plan assets” within the meaning of ERISA, the Internal Revenue Code and the respective regulations promulgated thereunder other than as a result of contributions by the Borrower or a Subsidiary to Benefit Arrangements, Plans or Multiemployer Plans not prohibited by this Agreement or any other Loan Document.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9.12. Non-Controlled Properties.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9.13. OFAC.</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Borrower shall not, and shall not permit any Subsidiary or any Affiliate of the Borrower to, violate any of the country or list based economic and trade sanctions administered and enforced by OFAC that are described or referenced at http://www.ustreas.gov/offices/enforcement/ofac/ or as otherwise published from time to time.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00"/>
          </w:cols>
          <w:pgMar w:left="240" w:top="273" w:right="259" w:bottom="1440" w:gutter="0" w:footer="0" w:header="0"/>
        </w:sectPr>
      </w:pPr>
    </w:p>
    <w:bookmarkStart w:id="468" w:name="page469"/>
    <w:bookmarkEnd w:id="4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 D</w:t>
      </w:r>
      <w:r>
        <w:rPr>
          <w:rFonts w:ascii="Arial" w:cs="Arial" w:eastAsia="Arial" w:hAnsi="Arial"/>
          <w:sz w:val="14"/>
          <w:szCs w:val="14"/>
          <w:b w:val="1"/>
          <w:bCs w:val="1"/>
          <w:color w:val="auto"/>
        </w:rPr>
        <w:t>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Events of Default.</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32" w:lineRule="exact"/>
        <w:rPr>
          <w:sz w:val="20"/>
          <w:szCs w:val="20"/>
          <w:color w:val="auto"/>
        </w:rPr>
      </w:pPr>
    </w:p>
    <w:p>
      <w:pPr>
        <w:ind w:right="180" w:firstLine="464"/>
        <w:spacing w:after="0" w:line="268" w:lineRule="auto"/>
        <w:tabs>
          <w:tab w:leader="none" w:pos="695"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w:t>
      </w:r>
      <w:r>
        <w:rPr>
          <w:rFonts w:ascii="Arial" w:cs="Arial" w:eastAsia="Arial" w:hAnsi="Arial"/>
          <w:sz w:val="18"/>
          <w:szCs w:val="18"/>
          <w:color w:val="auto"/>
        </w:rPr>
        <w:t>. The Borrower shall fail to pay when due (whether upon demand, at maturity, by reason of acceleration or otherwise) the principal of any of the Loans.</w:t>
      </w:r>
    </w:p>
    <w:p>
      <w:pPr>
        <w:spacing w:after="0" w:line="131" w:lineRule="exact"/>
        <w:rPr>
          <w:rFonts w:ascii="Arial" w:cs="Arial" w:eastAsia="Arial" w:hAnsi="Arial"/>
          <w:sz w:val="18"/>
          <w:szCs w:val="18"/>
          <w:color w:val="auto"/>
        </w:rPr>
      </w:pPr>
    </w:p>
    <w:p>
      <w:pPr>
        <w:ind w:right="140" w:firstLine="464"/>
        <w:spacing w:after="0" w:line="256" w:lineRule="auto"/>
        <w:tabs>
          <w:tab w:leader="none" w:pos="705"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Default in Payment of Interest and Other Obligations</w:t>
      </w:r>
      <w:r>
        <w:rPr>
          <w:rFonts w:ascii="Arial" w:cs="Arial" w:eastAsia="Arial" w:hAnsi="Arial"/>
          <w:sz w:val="18"/>
          <w:szCs w:val="18"/>
          <w:color w:val="auto"/>
        </w:rPr>
        <w:t>. The Borrower shall fail to pay when due any interest on any of the Loans or any of the other payment Obligations (other than the principal of any Loan) owing by the Borrower under this Agreement or any other Loan Document, or any other Loan Party shall fail to pay when due any payment Obligation owing by such other Loan Party under any Loan Document to which it is a party, and such failure shall continue for a period of 5 Business Days.</w:t>
      </w:r>
    </w:p>
    <w:p>
      <w:pPr>
        <w:spacing w:after="0" w:line="143" w:lineRule="exact"/>
        <w:rPr>
          <w:rFonts w:ascii="Arial" w:cs="Arial" w:eastAsia="Arial" w:hAnsi="Arial"/>
          <w:sz w:val="18"/>
          <w:szCs w:val="18"/>
          <w:color w:val="auto"/>
        </w:rPr>
      </w:pPr>
    </w:p>
    <w:p>
      <w:pPr>
        <w:ind w:firstLine="464"/>
        <w:spacing w:after="0" w:line="283" w:lineRule="auto"/>
        <w:tabs>
          <w:tab w:leader="none" w:pos="695"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t>Default in Performance</w:t>
      </w:r>
      <w:r>
        <w:rPr>
          <w:rFonts w:ascii="Arial" w:cs="Arial" w:eastAsia="Arial" w:hAnsi="Arial"/>
          <w:sz w:val="16"/>
          <w:szCs w:val="16"/>
          <w:color w:val="auto"/>
        </w:rPr>
        <w:t>. (i) The Borrower shall fail to perform or observe any term, covenant, condition or agreement contained in Section 8.4.(i) or Article IX. or (ii) the Borrower or any other Loan Party shall fail to perform or observe any term, covenant, condition or agreement contained in this Agreement or any other Loan Document to which it is a party and not otherwise mentioned in this Section and in the case of this clause (ii) such failure shall continue for a period of 30 days after the earlier of (x) the date upon which a Responsible Officer of the Borrower or such other Loan Party obtains knowledge of such failure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date upon which the Borrower has received written notice of such failure from the Agent.</w:t>
      </w:r>
    </w:p>
    <w:p>
      <w:pPr>
        <w:spacing w:after="0" w:line="164" w:lineRule="exact"/>
        <w:rPr>
          <w:rFonts w:ascii="Arial" w:cs="Arial" w:eastAsia="Arial" w:hAnsi="Arial"/>
          <w:sz w:val="18"/>
          <w:szCs w:val="18"/>
          <w:color w:val="auto"/>
        </w:rPr>
      </w:pPr>
    </w:p>
    <w:p>
      <w:pPr>
        <w:ind w:right="20" w:firstLine="464"/>
        <w:spacing w:after="0" w:line="298" w:lineRule="auto"/>
        <w:tabs>
          <w:tab w:leader="none" w:pos="705" w:val="left"/>
        </w:tabs>
        <w:numPr>
          <w:ilvl w:val="1"/>
          <w:numId w:val="354"/>
        </w:numPr>
        <w:rPr>
          <w:rFonts w:ascii="Arial" w:cs="Arial" w:eastAsia="Arial" w:hAnsi="Arial"/>
          <w:sz w:val="16"/>
          <w:szCs w:val="16"/>
          <w:color w:val="auto"/>
        </w:rPr>
      </w:pPr>
      <w:r>
        <w:rPr>
          <w:rFonts w:ascii="Arial" w:cs="Arial" w:eastAsia="Arial" w:hAnsi="Arial"/>
          <w:sz w:val="16"/>
          <w:szCs w:val="16"/>
          <w:u w:val="single" w:color="auto"/>
          <w:color w:val="auto"/>
        </w:rPr>
        <w:t>Misrepresentations</w:t>
      </w:r>
      <w:r>
        <w:rPr>
          <w:rFonts w:ascii="Arial" w:cs="Arial" w:eastAsia="Arial" w:hAnsi="Arial"/>
          <w:sz w:val="16"/>
          <w:szCs w:val="16"/>
          <w:color w:val="auto"/>
        </w:rPr>
        <w:t>. Any written statement, representation or warranty made or deemed made by or on behalf of the Borrower or any other Loan Party under this Agreement or under any other Loan Document, or any amendment hereto or thereto, or in any other writing or statement at any time furnished or made or deemed made by or on behalf of the Borrower or any other Loan Party to the Agent or any Lender, shall at any time prove to have been incorrect or misleading, in light of the circumstances in which made or deemed made, in any material respect when furnished or made or deemed made.</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354"/>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43"/>
        <w:spacing w:after="0" w:line="298" w:lineRule="auto"/>
        <w:tabs>
          <w:tab w:leader="none" w:pos="1108" w:val="left"/>
        </w:tabs>
        <w:numPr>
          <w:ilvl w:val="2"/>
          <w:numId w:val="354"/>
        </w:numPr>
        <w:rPr>
          <w:rFonts w:ascii="Arial" w:cs="Arial" w:eastAsia="Arial" w:hAnsi="Arial"/>
          <w:sz w:val="16"/>
          <w:szCs w:val="16"/>
          <w:color w:val="auto"/>
        </w:rPr>
      </w:pPr>
      <w:r>
        <w:rPr>
          <w:rFonts w:ascii="Arial" w:cs="Arial" w:eastAsia="Arial" w:hAnsi="Arial"/>
          <w:sz w:val="16"/>
          <w:szCs w:val="16"/>
          <w:color w:val="auto"/>
        </w:rPr>
        <w:t>The Borrower, any Subsidiary or any other Loan Party shall fail to pay when due and payable the principal of, or interest on (after giving effect to the expiration of any grace period for such payment), any Indebtedness (other than the Loans but including Secured Indebtedness accelerated, or required to be prepaid or repurchased prior to the stated maturity thereof, as a result of a casualty with respect to, or condemnation of, the property securing such Secured Indebtedness) having an aggregate outstanding principal amount of $25,000,000 or more (“</w:t>
      </w:r>
      <w:r>
        <w:rPr>
          <w:rFonts w:ascii="Arial" w:cs="Arial" w:eastAsia="Arial" w:hAnsi="Arial"/>
          <w:sz w:val="16"/>
          <w:szCs w:val="16"/>
          <w:b w:val="1"/>
          <w:bCs w:val="1"/>
          <w:color w:val="auto"/>
        </w:rPr>
        <w:t>Material Indebtedness</w:t>
      </w:r>
      <w:r>
        <w:rPr>
          <w:rFonts w:ascii="Arial" w:cs="Arial" w:eastAsia="Arial" w:hAnsi="Arial"/>
          <w:sz w:val="16"/>
          <w:szCs w:val="16"/>
          <w:color w:val="auto"/>
        </w:rPr>
        <w:t>”); or</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3"/>
          <w:numId w:val="354"/>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380"/>
          </w:cols>
          <w:pgMar w:left="240" w:top="273" w:right="279" w:bottom="1440" w:gutter="0" w:footer="0" w:header="0"/>
        </w:sectPr>
      </w:pPr>
    </w:p>
    <w:bookmarkStart w:id="469" w:name="page470"/>
    <w:bookmarkEnd w:id="469"/>
    <w:p>
      <w:pPr>
        <w:ind w:left="460" w:right="100" w:firstLine="443"/>
        <w:spacing w:after="0" w:line="259" w:lineRule="auto"/>
        <w:tabs>
          <w:tab w:leader="none" w:pos="1157" w:val="left"/>
        </w:tabs>
        <w:numPr>
          <w:ilvl w:val="0"/>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w:t>
      </w:r>
    </w:p>
    <w:p>
      <w:pPr>
        <w:spacing w:after="0" w:line="59" w:lineRule="exact"/>
        <w:rPr>
          <w:rFonts w:ascii="Arial" w:cs="Arial" w:eastAsia="Arial" w:hAnsi="Arial"/>
          <w:sz w:val="18"/>
          <w:szCs w:val="18"/>
          <w:color w:val="auto"/>
        </w:rPr>
      </w:pPr>
    </w:p>
    <w:p>
      <w:pPr>
        <w:ind w:left="460" w:right="40" w:firstLine="443"/>
        <w:spacing w:after="0" w:line="306" w:lineRule="auto"/>
        <w:tabs>
          <w:tab w:leader="none" w:pos="120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any other event shall have occurred and be continuing (and any related grace period shall have expired) which would permit any holder or holders of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25" w:lineRule="exact"/>
        <w:rPr>
          <w:rFonts w:ascii="Arial" w:cs="Arial" w:eastAsia="Arial" w:hAnsi="Arial"/>
          <w:sz w:val="16"/>
          <w:szCs w:val="16"/>
          <w:color w:val="auto"/>
        </w:rPr>
      </w:pPr>
    </w:p>
    <w:p>
      <w:pPr>
        <w:ind w:left="1200" w:hanging="297"/>
        <w:spacing w:after="0"/>
        <w:tabs>
          <w:tab w:leader="none" w:pos="120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any Loan Party shall fail to pay when due and payable amounts in excess of $25,000,000 in the aggregate owing in respect of any Derivatives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Contracts.</w:t>
      </w:r>
    </w:p>
    <w:p>
      <w:pPr>
        <w:spacing w:after="0" w:line="165"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62" w:lineRule="exact"/>
        <w:rPr>
          <w:sz w:val="20"/>
          <w:szCs w:val="20"/>
          <w:color w:val="auto"/>
        </w:rPr>
      </w:pPr>
    </w:p>
    <w:p>
      <w:pPr>
        <w:ind w:right="40" w:firstLine="464"/>
        <w:spacing w:after="0" w:line="289" w:lineRule="auto"/>
        <w:tabs>
          <w:tab w:leader="none" w:pos="676"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The Borrower, any other Loan Party or any Significant Subsidiary shall: (i) commence a voluntary case under the Bankruptcy Code of 1978, as amended,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18" w:lineRule="exact"/>
        <w:rPr>
          <w:rFonts w:ascii="Arial" w:cs="Arial" w:eastAsia="Arial" w:hAnsi="Arial"/>
          <w:sz w:val="16"/>
          <w:szCs w:val="16"/>
          <w:color w:val="auto"/>
        </w:rPr>
      </w:pPr>
    </w:p>
    <w:p>
      <w:pPr>
        <w:ind w:firstLine="464"/>
        <w:spacing w:after="0" w:line="290" w:lineRule="auto"/>
        <w:tabs>
          <w:tab w:leader="none" w:pos="705"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the Borrower, any other Loan Party or any Significant Subsidiary in any court of competent jurisdiction seeking: (i) relief under the Bankruptcy Code of 1978, as amended,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such case or proceeding shall continue undismissed or unstayed for a period of 60 consecutive calendar days, or an order granting the remedy or other relief requested in such case or proceeding against the Borrower, such Subsidiary or such other Loan Party (including, but not limited to, an order for relief under such Bankruptcy Code or such other federal bankruptcy laws) shall be entered.</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380"/>
          </w:cols>
          <w:pgMar w:left="240" w:top="280" w:right="279" w:bottom="1440" w:gutter="0" w:footer="0" w:header="0"/>
        </w:sectPr>
      </w:pPr>
    </w:p>
    <w:bookmarkStart w:id="470" w:name="page471"/>
    <w:bookmarkEnd w:id="470"/>
    <w:p>
      <w:pPr>
        <w:ind w:left="-464" w:right="20" w:firstLine="464"/>
        <w:spacing w:after="0" w:line="256" w:lineRule="auto"/>
        <w:tabs>
          <w:tab w:leader="none" w:pos="241"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Litigation; Enforceability</w:t>
      </w:r>
      <w:r>
        <w:rPr>
          <w:rFonts w:ascii="Arial" w:cs="Arial" w:eastAsia="Arial" w:hAnsi="Arial"/>
          <w:sz w:val="18"/>
          <w:szCs w:val="18"/>
          <w:color w:val="auto"/>
        </w:rPr>
        <w:t>. The Borrower or any other Loan Party shall disavow, revoke or terminate (or attempt to terminate) any Loan Document to which it is a party or shall otherwise challenge or contest in any action, suit or proceeding in any court or before any Governmental Authority the validity or enforceability of this Agreement, any Note or any other Loan Document or this Agreement, any Note, the Guaranty or any other Loan Document shall cease to be in full force and effect (except as a result of the express terms thereof).</w:t>
      </w:r>
    </w:p>
    <w:p>
      <w:pPr>
        <w:spacing w:after="0" w:line="143" w:lineRule="exact"/>
        <w:rPr>
          <w:rFonts w:ascii="Arial" w:cs="Arial" w:eastAsia="Arial" w:hAnsi="Arial"/>
          <w:sz w:val="18"/>
          <w:szCs w:val="18"/>
          <w:color w:val="auto"/>
        </w:rPr>
      </w:pPr>
    </w:p>
    <w:p>
      <w:pPr>
        <w:ind w:left="-464" w:right="160" w:firstLine="464"/>
        <w:spacing w:after="0" w:line="291" w:lineRule="auto"/>
        <w:tabs>
          <w:tab w:leader="none" w:pos="202"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Judgment</w:t>
      </w:r>
      <w:r>
        <w:rPr>
          <w:rFonts w:ascii="Arial" w:cs="Arial" w:eastAsia="Arial" w:hAnsi="Arial"/>
          <w:sz w:val="16"/>
          <w:szCs w:val="16"/>
          <w:color w:val="auto"/>
        </w:rPr>
        <w:t>. A judgment or order for the payment of money or for an injunction shall be entered against the Borrower, any Subsidiary or any other Loan Party, by any court or other tribunal and (i) such judgment or order shall continue for a period of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Borrower, such Subsidiaries and such other Loan Parties, $25,000,000 or (B) in the case of an injunction or other non-monetary judgment, such judgment could reasonably be expected to have a Material Adverse Effect.</w:t>
      </w:r>
    </w:p>
    <w:p>
      <w:pPr>
        <w:spacing w:after="0" w:line="120" w:lineRule="exact"/>
        <w:rPr>
          <w:rFonts w:ascii="Arial" w:cs="Arial" w:eastAsia="Arial" w:hAnsi="Arial"/>
          <w:sz w:val="16"/>
          <w:szCs w:val="16"/>
          <w:color w:val="auto"/>
        </w:rPr>
      </w:pPr>
    </w:p>
    <w:p>
      <w:pPr>
        <w:ind w:left="-464" w:right="20" w:firstLine="464"/>
        <w:spacing w:after="0" w:line="291" w:lineRule="auto"/>
        <w:tabs>
          <w:tab w:leader="none" w:pos="202"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A warrant, writ of attachment, execution or similar process shall be issued against any property of the Borrower, any Subsidiary or any other Loan Party which exceeds, individually or together with all other such warrants, writs, executions and processes, $25,000,000 in amount and such warrant, writ, execution or process shall not be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Agent pursuant to which the issuer of such bond subordinates its right of reimbursement, contribution or subrogation to the Obligations and waives or subordinates any Lien it may have on the assets of any Loan Party.</w:t>
      </w:r>
    </w:p>
    <w:p>
      <w:pPr>
        <w:spacing w:after="0" w:line="120" w:lineRule="exact"/>
        <w:rPr>
          <w:rFonts w:ascii="Arial" w:cs="Arial" w:eastAsia="Arial" w:hAnsi="Arial"/>
          <w:sz w:val="16"/>
          <w:szCs w:val="16"/>
          <w:color w:val="auto"/>
        </w:rPr>
      </w:pPr>
    </w:p>
    <w:p>
      <w:pPr>
        <w:ind w:left="-464" w:firstLine="464"/>
        <w:spacing w:after="0" w:line="288" w:lineRule="auto"/>
        <w:tabs>
          <w:tab w:leader="none" w:pos="241"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Any member of the ERISA Group shall fail to pay when due an amount or amounts aggregating in excess of $25,000,000 which it shall have become liable to pay under Title IV of ERISA; or notice of intent to terminate a Plan or Plans having Unfunded Liabilities in excess of $25,000,000 in the aggregate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Plan or Plans having Unfunded Liabilities in excess of $25,000,000 in the aggregate; or a condition shall exist by reason of which the PBGC would be entitled to obtain a decree adjudicating that any Plan or Plans having Unfunded Liabilities in excess of $25,000,000 in the aggregate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$25,000,000.</w:t>
      </w:r>
    </w:p>
    <w:p>
      <w:pPr>
        <w:spacing w:after="0" w:line="106" w:lineRule="exact"/>
        <w:rPr>
          <w:rFonts w:ascii="Arial" w:cs="Arial" w:eastAsia="Arial" w:hAnsi="Arial"/>
          <w:sz w:val="16"/>
          <w:szCs w:val="16"/>
          <w:color w:val="auto"/>
        </w:rPr>
      </w:pPr>
    </w:p>
    <w:p>
      <w:pPr>
        <w:ind w:left="5156" w:hanging="96"/>
        <w:spacing w:after="0"/>
        <w:tabs>
          <w:tab w:leader="none" w:pos="5156" w:val="left"/>
        </w:tabs>
        <w:numPr>
          <w:ilvl w:val="1"/>
          <w:numId w:val="357"/>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0936"/>
          </w:cols>
          <w:pgMar w:left="704" w:top="280" w:right="259" w:bottom="1440" w:gutter="0" w:footer="0" w:header="0"/>
        </w:sectPr>
      </w:pPr>
    </w:p>
    <w:bookmarkStart w:id="471" w:name="page472"/>
    <w:bookmarkEnd w:id="471"/>
    <w:p>
      <w:pPr>
        <w:ind w:left="680" w:hanging="216"/>
        <w:spacing w:after="0"/>
        <w:tabs>
          <w:tab w:leader="none" w:pos="68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Documents</w:t>
      </w:r>
      <w:r>
        <w:rPr>
          <w:rFonts w:ascii="Arial" w:cs="Arial" w:eastAsia="Arial" w:hAnsi="Arial"/>
          <w:sz w:val="18"/>
          <w:szCs w:val="18"/>
          <w:color w:val="auto"/>
        </w:rPr>
        <w:t>. An Event of Default (as defined therein) shall occur under any of the other Loan Documents.</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Change of Control/Change in Management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60" w:right="20" w:firstLine="443"/>
        <w:spacing w:after="0" w:line="301" w:lineRule="auto"/>
        <w:tabs>
          <w:tab w:leader="none" w:pos="1108" w:val="left"/>
        </w:tabs>
        <w:numPr>
          <w:ilvl w:val="1"/>
          <w:numId w:val="358"/>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is or becomes the “beneficial owner” (as defined in Rules 13d-3 and 13d-5 under the Exchange Act, except that a Person will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ownership” of all securities that such Person has the right to acquire, whether such right is exercisable immediately or only after the passage of time), directly or indirectly, of more than 20.0% of the total voting power of the then outstanding voting stock of the Borrower; or</w:t>
      </w:r>
    </w:p>
    <w:p>
      <w:pPr>
        <w:spacing w:after="0" w:line="28" w:lineRule="exact"/>
        <w:rPr>
          <w:rFonts w:ascii="Arial" w:cs="Arial" w:eastAsia="Arial" w:hAnsi="Arial"/>
          <w:sz w:val="16"/>
          <w:szCs w:val="16"/>
          <w:color w:val="auto"/>
        </w:rPr>
      </w:pPr>
    </w:p>
    <w:p>
      <w:pPr>
        <w:ind w:left="460" w:right="220" w:firstLine="443"/>
        <w:spacing w:after="0" w:line="255" w:lineRule="auto"/>
        <w:tabs>
          <w:tab w:leader="none" w:pos="115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at least two-thirds of the Board of Trustees of the Borrower then in office.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Remedies Upon Event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 Event of Default the following provisions shall apply:</w:t>
      </w:r>
    </w:p>
    <w:p>
      <w:pPr>
        <w:spacing w:after="0" w:line="171" w:lineRule="exact"/>
        <w:rPr>
          <w:sz w:val="20"/>
          <w:szCs w:val="20"/>
          <w:color w:val="auto"/>
        </w:rPr>
      </w:pPr>
    </w:p>
    <w:p>
      <w:pPr>
        <w:ind w:left="700" w:hanging="236"/>
        <w:spacing w:after="0"/>
        <w:tabs>
          <w:tab w:leader="none" w:pos="70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120" w:firstLine="443"/>
        <w:spacing w:after="0" w:line="298" w:lineRule="auto"/>
        <w:tabs>
          <w:tab w:leader="none" w:pos="1108" w:val="left"/>
        </w:tabs>
        <w:numPr>
          <w:ilvl w:val="1"/>
          <w:numId w:val="359"/>
        </w:numPr>
        <w:rPr>
          <w:rFonts w:ascii="Arial" w:cs="Arial" w:eastAsia="Arial" w:hAnsi="Arial"/>
          <w:sz w:val="16"/>
          <w:szCs w:val="16"/>
          <w:color w:val="auto"/>
        </w:rPr>
      </w:pPr>
      <w:r>
        <w:rPr>
          <w:rFonts w:ascii="Arial" w:cs="Arial" w:eastAsia="Arial" w:hAnsi="Arial"/>
          <w:sz w:val="16"/>
          <w:szCs w:val="16"/>
          <w:u w:val="single" w:color="auto"/>
          <w:color w:val="auto"/>
        </w:rPr>
        <w:t>Automatic</w:t>
      </w:r>
      <w:r>
        <w:rPr>
          <w:rFonts w:ascii="Arial" w:cs="Arial" w:eastAsia="Arial" w:hAnsi="Arial"/>
          <w:sz w:val="16"/>
          <w:szCs w:val="16"/>
          <w:color w:val="auto"/>
        </w:rPr>
        <w:t>. Upon the occurrence of an Event of Default specified in Sections 10.1.(f) or 10.1.(g), (A) the principal of, and all accrued interest on, the Loans and the Notes at the time outstanding and (B) all of the other Obligations of the Borrower, including, but not limited to, the other amounts owed to the Lenders and the Agent under this Agreement, the Notes or any of the other Loan Documents shall become immediately and automatically due and payable by the Borrower without presentment, demand, protest, or other notice of any kind, all of which are expressly waived by the Borrower.</w:t>
      </w:r>
    </w:p>
    <w:p>
      <w:pPr>
        <w:spacing w:after="0" w:line="31" w:lineRule="exact"/>
        <w:rPr>
          <w:rFonts w:ascii="Arial" w:cs="Arial" w:eastAsia="Arial" w:hAnsi="Arial"/>
          <w:sz w:val="16"/>
          <w:szCs w:val="16"/>
          <w:color w:val="auto"/>
        </w:rPr>
      </w:pPr>
    </w:p>
    <w:p>
      <w:pPr>
        <w:ind w:left="460" w:firstLine="443"/>
        <w:spacing w:after="0" w:line="255" w:lineRule="auto"/>
        <w:tabs>
          <w:tab w:leader="none" w:pos="1156"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If any other Event of Default shall exist, the Agent shall, at the direction of the Requisite Lenders, declare (A) the principal of, and accrued interest on, the Loans and the Notes at the time outstanding and (B) all of the other Obligations, including, but not limited to, the other amounts owed to the Lenders and the Agent under this Agreement, the Notes or any of the other Loan Documents to be forthwith due and payable, whereupon the same shall immediately become due and payable without presentment, demand, protest or other notice of any kind, all of which are expressly waived by the Borrower.</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420"/>
          </w:cols>
          <w:pgMar w:left="240" w:top="280" w:right="239" w:bottom="1440" w:gutter="0" w:footer="0" w:header="0"/>
        </w:sectPr>
      </w:pPr>
    </w:p>
    <w:bookmarkStart w:id="472" w:name="page473"/>
    <w:bookmarkEnd w:id="472"/>
    <w:p>
      <w:pPr>
        <w:ind w:right="140" w:firstLine="464"/>
        <w:spacing w:after="0" w:line="268" w:lineRule="auto"/>
        <w:tabs>
          <w:tab w:leader="none" w:pos="705"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Documents</w:t>
      </w:r>
      <w:r>
        <w:rPr>
          <w:rFonts w:ascii="Arial" w:cs="Arial" w:eastAsia="Arial" w:hAnsi="Arial"/>
          <w:sz w:val="18"/>
          <w:szCs w:val="18"/>
          <w:color w:val="auto"/>
        </w:rPr>
        <w:t>. The Requisite Lenders may direct the Agent to, and the Agent if so directed shall, exercise any and all of its rights under any and all of the other Loan Documents.</w:t>
      </w:r>
    </w:p>
    <w:p>
      <w:pPr>
        <w:spacing w:after="0" w:line="131"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Requisite Lenders may direct the Agent to, and the Agent if so directed shall, exercise all other rights and remedies it may have under any Applicable Law.</w:t>
      </w:r>
    </w:p>
    <w:p>
      <w:pPr>
        <w:spacing w:after="0" w:line="131" w:lineRule="exact"/>
        <w:rPr>
          <w:rFonts w:ascii="Arial" w:cs="Arial" w:eastAsia="Arial" w:hAnsi="Arial"/>
          <w:sz w:val="18"/>
          <w:szCs w:val="18"/>
          <w:color w:val="auto"/>
        </w:rPr>
      </w:pPr>
    </w:p>
    <w:p>
      <w:pPr>
        <w:jc w:val="both"/>
        <w:ind w:right="360" w:firstLine="464"/>
        <w:spacing w:after="0" w:line="298" w:lineRule="auto"/>
        <w:tabs>
          <w:tab w:leader="none" w:pos="705"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Appointment of Receiver</w:t>
      </w:r>
      <w:r>
        <w:rPr>
          <w:rFonts w:ascii="Arial" w:cs="Arial" w:eastAsia="Arial" w:hAnsi="Arial"/>
          <w:sz w:val="16"/>
          <w:szCs w:val="16"/>
          <w:color w:val="auto"/>
        </w:rPr>
        <w:t>. To the extent permitted by Applicable Law and as directed by the Requisite Lenders, the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business operations of the Borrower and its Subsidiaries and to exercise such power as the court shall confer upon such receiver.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Allocation of Proceeds.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shall exist and maturity of any of the Obligations has been accelerated, all payments received by the Agent under any of the Loan Documents, in respect of any principal of or interest on the Obligations or any other amounts payable by the Borrower hereunder or thereunder, shall be applied in the following order and priority:</w:t>
      </w:r>
    </w:p>
    <w:p>
      <w:pPr>
        <w:spacing w:after="0" w:line="140" w:lineRule="exact"/>
        <w:rPr>
          <w:sz w:val="20"/>
          <w:szCs w:val="20"/>
          <w:color w:val="auto"/>
        </w:rPr>
      </w:pPr>
    </w:p>
    <w:p>
      <w:pPr>
        <w:ind w:left="1140" w:hanging="237"/>
        <w:spacing w:after="0"/>
        <w:tabs>
          <w:tab w:leader="none" w:pos="11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amounts due to the Agent in respect of fees and expenses due under Section 12.2.;</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amounts due to the Lenders in respect of fees and expenses due under Section 12.2., pro rata in the amount then due each Lender;</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payments of interest on all the Loans, to be applied for the ratable benefit of the Lenders;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payments of principal of all the Loans, to be applied for the ratable benefit of the Lenders;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amounts due the Agent and the Lenders from the Borrower or the other Loan Parties pursuant to Sections 11.7. and 12.9.;</w:t>
      </w:r>
    </w:p>
    <w:p>
      <w:pPr>
        <w:spacing w:after="0" w:line="90" w:lineRule="exact"/>
        <w:rPr>
          <w:rFonts w:ascii="Arial" w:cs="Arial" w:eastAsia="Arial" w:hAnsi="Arial"/>
          <w:sz w:val="18"/>
          <w:szCs w:val="18"/>
          <w:color w:val="auto"/>
        </w:rPr>
      </w:pPr>
    </w:p>
    <w:p>
      <w:pPr>
        <w:ind w:left="460" w:right="860" w:firstLine="443"/>
        <w:spacing w:after="0" w:line="268" w:lineRule="auto"/>
        <w:tabs>
          <w:tab w:leader="none" w:pos="111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payments of all other Obligations and other amounts due and owing by the Borrower and the other Loan Parties under any of the Loan Documents, if any, to be applied for the ratable benefit of the Lenders;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any amount remaining after application as provided above, shall be paid to the Borrower or whomever else may be legally entitled thereto.</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420"/>
          </w:cols>
          <w:pgMar w:left="240" w:top="279" w:right="23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10.4. Performance by Agent.</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the Borrower shall fail to perform any covenant, duty or agreement contained in any of the Loan Documents, the Agent may, after notice to the Borrower, perform or attempt to perform such covenant, duty or agreement on behalf of the Borrower after the expiration of any cure or grace periods set forth herein. In such event, the Borrower shall, at the request of the Agent, promptly pay any amount reasonably expended by the Agent in such performance or attempted performance to the Agent, together with interest thereon at the applicable Post-Default Rate from the date of such expenditure until paid. Notwithstanding the foregoing, neither the Agent nor any Lender shall have any liability or responsibility whatsoever for the performance of any obligation of the Borrower under this Agreement or any other Loan Document except to the extent resulting from its gross negligence or willful misconduct as determined by a court of competent jurisdiction in a final, non-appealable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Rights Cumulative.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rights and remedies of the Agent and the Lenders under this Agreement and each of the other Loan Documents shall be cumulative and not exclusive of any rights or remedies which any of them may otherwise have under Applicable Law. In exercising their respective rights and remedies the Agent and the Lenders may be selective and no failure or delay by the Agent or any of the Lenders in exercising any right shall operate as a waiver of it, nor shall any single or partial exercise of any power or right preclude its other or further exercise or the exercise of any other power or right.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Authorization and Action.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Lender hereby appoints and authorizes the Agent to take such action as contractual representative on such Lender’s behalf and to exercise such powers under this Agreement and the other Loan Documents as are specifically delegated to the Agent by the terms hereof and thereof, together with such powers as are reasonably incidental thereto. Not in limitation of the foregoing, each Lender authorizes and directs the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Agent a trustee or fiduciary for any Lender or to impose on the Agent duties or obligations other than those expressly provided for herein. At the request of a Lender, the Agent will forward to such Lender copies or, where appropriate, originals of the documents delivered to the Agent pursuant to this Agreement or the other Loan Documents. The Agent will also furnish to any Lender, upon request of such Lender, a copy of any certificate or notice furnished to the Agent by the Borrower, any other Loan Party or any other Affiliate of the Borrower, pursuant to this Agreement or any other Loan Document not already delivered to such Lender pursuant to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00"/>
          </w:cols>
          <w:pgMar w:left="240" w:top="273" w:right="259" w:bottom="1440" w:gutter="0" w:footer="0" w:header="0"/>
        </w:sectPr>
      </w:pPr>
    </w:p>
    <w:bookmarkStart w:id="474" w:name="page475"/>
    <w:bookmarkEnd w:id="47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of this Agreement or any such other Loan Document. As to any matters not expressly provided for by the Loan Documents (including, without limitation, enforcement or collection of any of the Obligations), the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Agent shall not be required to take any action which exposes the Agent to personal liability or which is contrary to this Agreement or any other Loan Document or Applicable Law. Not in limitation of the foregoing, the Agent shall not exercise any right or remedy it or the Lenders may have under any Loan Document upon the occurrence of a Default or an Event of Default unless the Requisite Lenders (or all of the Lenders if explicitly required under any provision of this Agreement) have so directed the Agent to exercise such right or remedy.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Agent’s Reliance, Etc.</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Notwithstanding any other provisions of this Agreement or any other Loan Documents, neither the Agent nor any of its directors, officers, agents, employees or counsel shall be liable for any action taken or omitted to be taken by it or them under or in connection with this Agreement or any other Loan Document, except for its or their own gross negligence or willful misconduct as determined by a court of competent jurisdiction in a final, non-appealable judgment. Without limiting the generality of the foregoing, the Agent: (a) may treat the payee of any Note as the holder thereof until the Agent receives written notice of the assignment or transfer thereof signed by such payee and in form satisfactory to the Agent; (b)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or any other Person and shall not be responsible to any Lender or any other Person for any statements, warranties or representations made by any Person in or in connection with this Agreement or any other Loan Document; (d) shall not have any duty to ascertain or to inquire as to the performance or observance of any of the terms, covenants or conditions of any of this Agreement or any other Loan Document or the satisfaction of any conditions precedent under this Agreement or any Loan Document on the part of the Borrower or other Persons or inspect the property, books or records of the Borrower or any other Person; (e) shall not be responsible to any Lender for the due execution, legality, validity, enforceability, genuineness, sufficiency or value of this Agreement or any other Loan Document, any other instrument or document furnished pursuant thereto or any collateral covered thereby or the perfection or priority of any Lien in favor of the Agent on behalf of the Lenders in any such collateral; and (f) shall incur no liability under or in respect of this Agreement or any other Loan Document by acting upon any notice, consent, certificate or other instrument or writing (which may be by telephone or telecopy) believed by it to be genuine and signed, sent or given by the proper party or parties.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00"/>
          </w:cols>
          <w:pgMar w:left="240" w:top="280" w:right="25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11.3. Notice of Defaults.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Agent shall not be deemed to have knowledge or notice of the occurrence of a Default or Event of Default unless the Agent has received notice from a Lender or the Borrower referring to this Agreement, describing with reasonable specificity such Default or Event of Default and stating that such notice is a “notice of default.” If any Lender (excluding the Lender which is also serving as the Agent) becomes aware of any Default or Event of Default, it shall promptly send to the Agent such a “notice of default.” Further, if the Agent receives such a “notice of default”, the Agent shall give prompt notice thereof to the Lenders.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Wachovia as Lender.</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Wachovia, as a Lender, shall have the same rights and powers under this Agreement and any other Loan Document as any other Lender and may exercise the same as though it were not the Agent; and the term “Lender” or “Lenders” shall, unless otherwise expressly indicated, include Wachovia in each case in its individual capacity. Wachovia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Further, the Agent and any affiliate may accept fees and other consideration from the Borrower for services in connection with this Agreement and otherwise without having to account for the same to the other Lenders. The Lenders acknowledge that, pursuant to such activities, Wachovia or its affiliates may receive information regarding the Borrower, other Loan Parties, other Subsidiaries and other Affiliates (including information that may be subject to confidentiality obligations in favor of such Person) and acknowledge that the Agent shall be under no obligation to provide such information to them.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Approvals of Lenders.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communications from the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 summary of all oral information provided to the Agent by the Borrower in respect of the matter or issue to be resolved, and (d) shall include the Agent’s recommended course of action or determination in respect thereof. Each Lender shall reply promptly, but in any event within 10 Business Days (or such lesser or greater period as may be specifically required under the Loan Documents) of receipt of such communication. Except as otherwise provided in this Agreement, unless a Lender shall give written notice to the Agent that it specifically objects to the recommendation or determination of the Agent (together with a written explanation of the reasons behind such objection) within the applicable time period for reply, such Lender shall be deemed to have conclusively approved of or consented to such recommendation or determination.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274" w:right="239"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11.6. Lender Credit Decision, Etc.</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Lender expressly acknowledges and agrees that neither the Agent nor any of its officers, directors, employees, agents, counsel, attorneys-in-fact or other affiliates has made any representations or warranties as to the financial condition, operations, creditworthiness, solvency or other information concerning the business or affairs of the Borrower, any other Loan Party, any Subsidiary or any other Person to such Lender and that no act by the Agent hereafter taken, including any review of the affairs of the Borrower, any other Loan Party or any other Subsidiary, shall be deemed to constitute any such representation or warranty by the Agent to any Lender. Each Lender acknowledges that it has made its own credit and legal analysis and decision to enter into this Agreement and the transactions contemplated hereby independently and without reliance upon the Agent, any other Lender or counsel to the Agent, or any of their respective officers, directors, employees and agents, and based on the financial statements of the Borrower, the Subsidiaries or any other Affiliate thereof, and inquiries of such Persons, its independent due diligence of the business and affairs of the Borrower, the other Loan Parties, the Subsidiaries and other Persons, its review of the Loan Documents, the legal opinions required to be delivered to it hereunder, the advice of its own counsel and such other documents and information as it has deemed appropriate. Each Lender also acknowledges that it will, independently and without reliance upon the Agent, any other Lender or counsel to the Agent or any of their respective officers, directors, employees and agents, and based on such review, advice, documents and information as it shall deem appropriate at the time, continue to make its own decisions in taking or not taking action under the Loan Documents. Except for notices, reports and other documents and information expressly required to be furnished to the Lenders by the Agent under this Agreement or any of the other Loan Documents, the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Agent, or any of its officers, directors, employees, agents, attorneys-in-fact or other affiliates. Each Lender acknowledges that the Agent’s legal counsel in connection with the transactions contemplated by this Agreement is only acting as counsel to the Agent and is not acting as counsel to such Lender.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Indemnification of Agent.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Lender agrees to indemnify the Agent (to the extent not reimbursed by the Borrower and without limiting the obligation of the Borrower to do so) pro rata in accordance with such Lender’s respective Credit Percentage, from and against any and all liabilities, obligations, losses, damages, penalties, actions, judgments, suits, reasonable out-of-pocket costs and expenses, or disbursements of any kind or nature whatsoever which may at any time be imposed on, incurred by, or asserted against the Agent (in its capacity as Agent but not as a Lender) in any way relating to or arising out of the Loan Documents, any transaction contemplated hereby or thereby or any action taken or omitted by the Agent under the Loan Documents (collectively, “</w:t>
      </w:r>
      <w:r>
        <w:rPr>
          <w:rFonts w:ascii="Arial" w:cs="Arial" w:eastAsia="Arial" w:hAnsi="Arial"/>
          <w:sz w:val="16"/>
          <w:szCs w:val="16"/>
          <w:b w:val="1"/>
          <w:bCs w:val="1"/>
          <w:color w:val="auto"/>
        </w:rPr>
        <w:t>Indemnifiable Amounts</w:t>
      </w:r>
      <w:r>
        <w:rPr>
          <w:rFonts w:ascii="Arial" w:cs="Arial" w:eastAsia="Arial" w:hAnsi="Arial"/>
          <w:sz w:val="16"/>
          <w:szCs w:val="16"/>
          <w:color w:val="auto"/>
        </w:rPr>
        <w:t>”); provided, however, that no Lender shall be liable for any portion of such Indemnifiable Amounts to the extent resulting from the Agent’s gross negligence or willful misconduct as determined by a court of competent jurisdiction in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274" w:right="239" w:bottom="1440" w:gutter="0" w:footer="0" w:header="0"/>
        </w:sectPr>
      </w:pPr>
    </w:p>
    <w:bookmarkStart w:id="477" w:name="page478"/>
    <w:bookmarkEnd w:id="47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 non-appealable judgment or if the Agent fails to follow the written direction of the Requisite Lenders (or all of the Lenders if expressly required hereunder) unless such failure results from the Agent following the advice of counsel to the Agent of which advice the Lenders have received notice. Without limiting the generality of the foregoing but subject to the preceding proviso, each Lender agrees to reimburse the Agent (to the extent not reimbursed by the Borrower and without limiting the obligation of the Borrower to do so), promptly upon demand for its ratable share of any out-of-pocket expenses (including counsel fees of the counsel(s) of the Agent’s own choosing) incurred by the Agent in connection with the preparation, negotiation, execution, or enforcement of, or legal advice with respect to the rights or responsibilities of the parties under, the Loan Documents, any suit or action brought by the Agent to enforce the terms of the Loan Documents and/or collect any Obligations, any “lender liability” suit or claim brought against the Agent and/or the Lenders, and any claim or suit brought against the Agent, and/or the Lenders arising under any Environmental Laws. Such out-of-pocket expenses (including counsel fees) shall be advanced by the Lenders on the request of the Agent notwithstanding any claim or assertion that the Agent is not entitled to indemnification hereunder upon receipt of an undertaking by the Agent that the Agent will reimburse the Lenders if it is actually and finally determined by a court of competent jurisdiction that the Agent is not so entitled to indemnification. The agreements in this Section shall survive the payment of the Loans and all other amounts payable hereunder or under the other Loan Documents and the termination of this Agreement. If the Borrower shall reimburse the Agent for any Indemnifiable Amount following payment by any Lender to the Agent in respect of such Indemnifiable Amount pursuant to this Section, the Agent shall share such reimbursement on a ratable basis with each Lender making any such payment.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11.8. Successor Agent.</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Agent may resign at any time as Agent under the Loan Documents by giving written notice thereof to the Lenders and the Borrower. The Agent may be removed as Agent under the Loan Documents for good cause by all of the Lenders (other than the Lender then acting as Agent) upon 30 days’ prior written notice to the Agent. Upon any such resignation or removal, the Requisite Lenders (other than the Lender then acting as Agent, in the case of the removal of the Agent under the immediately preceding sentence) shall have the right to appoint a successor Agent which appointment shall, provided no Event of Default exists, be subject to the Borrower’s approval, which approval shall not be unreasonably withheld or delayed (except that the Borrower shall, in all events, be deemed to have approved each Lender and its affiliates as a successor Agent). If no successor Agent shall have been so appointed in accordance with the immediately preceding sentence, and shall have accepted such appointment, within 30 days after the resigning Agent’s giving of notice of resignation or the Lenders’ removal of the resigning Agent, then the resigning or removed Agent may, on behalf of the Lenders, appoint a successor Agent, which shall be a Lender, if any Lender shall be willing to serve, and otherwise shall be a commercial bank having total combined assets of at least $50,000,000,000. Upon the acceptance of any appointment as Agent hereunder by a successor Agent, such successor Agent shall thereupon succeed to and become vested with all the rights, powers, privileges and duties of the retiring or removed Agent, and the retiring or removed Agent shall be discharged from its duties and obligations under the Loan Documents. After any Agent’s resignation or removal hereunder as Agent, the provisions of this Article XI. shall continue to inure to its benefit as to any actions taken or omitted to be taken by it while it was Agent under the Loan Documents.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380"/>
          </w:cols>
          <w:pgMar w:left="240" w:top="279" w:right="279" w:bottom="1440" w:gutter="0" w:footer="0" w:header="0"/>
        </w:sectPr>
      </w:pPr>
    </w:p>
    <w:bookmarkStart w:id="478" w:name="page479"/>
    <w:bookmarkEnd w:id="4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11.9. Titled Agents.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of the Titled Agents in each such respective capacity, assumes no responsibility or obligation hereunder, including, without limitation, for servicing, enforcement or collection of any of the Loans, nor any duties as an agent hereunder for the Lenders. The titles of “Arranger,” “Book Manager”, “Syndication Agent” and “Documentation Agent” are solely honorific and imply no fiduciary responsibility on the part of the Titled Agents to the Agent, the Borrower or any Lender and the use of such titles does not impose on the Titled Agents any duties or obligations greater than those of any other Lender or entitle the Titled Agents to any rights other than those to which any other Lender is entitled.</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 M</w:t>
      </w:r>
      <w:r>
        <w:rPr>
          <w:rFonts w:ascii="Arial" w:cs="Arial" w:eastAsia="Arial" w:hAnsi="Arial"/>
          <w:sz w:val="14"/>
          <w:szCs w:val="14"/>
          <w:b w:val="1"/>
          <w:bCs w:val="1"/>
          <w:color w:val="auto"/>
        </w:rPr>
        <w:t>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provided herein, communications provided for hereunder shall be in writing and shall be mailed, telecopied or delivered as follows: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Borrower: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Chief Accounting Officer</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Telephone:</w:t>
        <w:tab/>
        <w:t>(301) 998-8318</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Telecopy:</w:t>
        <w:tab/>
        <w:t>(301) 998-3701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for all notices (other than notices solely under Article II), with copies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Telephone:</w:t>
        <w:tab/>
        <w:t>(301) 998-8100</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Telecopy:</w:t>
        <w:tab/>
        <w:t>(301) 998-3715</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380"/>
          </w:cols>
          <w:pgMar w:left="240" w:top="273" w:right="279" w:bottom="1440" w:gutter="0" w:footer="0" w:header="0"/>
        </w:sectPr>
      </w:pPr>
    </w:p>
    <w:bookmarkStart w:id="479" w:name="page480"/>
    <w:bookmarkEnd w:id="47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Wendelin A. White, P.C.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Pillsbury Winthrop Shaw Pittman LLP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Telephone:</w:t>
        <w:tab/>
        <w:t>(202) 663-8360</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Telecopy:</w:t>
        <w:tab/>
        <w:t>(202) 663-8007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Agent: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301 S. College Street, NC0172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Rex E. Rudy</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Telephone:</w:t>
        <w:tab/>
        <w:t>(704) 383-6506</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Telecopy:</w:t>
        <w:tab/>
        <w:t>(704) 383-6205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 Lender: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such Lender’s address or telecopy number, as applicable, as set forth in its Administrative Questionnaire;</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or, as to each party at such other address as shall be designated by such party in a written notice to the other parties delivered in compliance with this Section. All such notices and other communications shall be effective (i) if mailed, when received; (ii) if telecopied on a Business Day, when transmitted; or (iii) if hand delivered or sent by overnight courier, when delivered. Notwithstanding the immediately preceding sentence, all notices or communications to the Agent or any Lender under Article II. shall be effective only when actually received. Neither the Agent nor any Lender shall incur any liability to any Loan Party (nor shall the Agent incur any liability to the Lenders) for acting upon any telephonic notice referred to in this Agreement which the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any other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Expenses.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Borrower agrees (a) to pay or reimburse the Agent for all of its reasonable out-of-pocket costs and expenses incurred in connection with the preparation,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Agent and costs and expenses in connection with the use of IntraLinks, Inc., SyndTrak or other similar information transmission systems in connection with the Loan Documents, (b) to pay or reimburse the Agent and the Lenders for all their costs and expenses incurred in connection with the enforcement or preservation of any rights under the Loan Documents, including the reasonable fees and disbursements of counsel to the Agent and one separate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00"/>
          </w:cols>
          <w:pgMar w:left="240" w:top="280" w:right="259" w:bottom="1440" w:gutter="0" w:footer="0" w:header="0"/>
        </w:sectPr>
      </w:pPr>
    </w:p>
    <w:bookmarkStart w:id="480" w:name="page481"/>
    <w:bookmarkEnd w:id="48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for the Lenders and any payments in indemnification or otherwise payable by the Lenders to the Agent pursuant to the Loan Documents, (c) to pay, and indemnify and hold harmless the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Agent and the Lenders for all their costs and expenses incurred in connection with any bankruptcy or other proceeding of the type described in Sections 10.1.(f) or 10.1.(g), including the reasonable fees and disbursements of counsel to the Agent and one separate counsel for the Lenders (but also including special insolvency counsel and any required local counsel), whether such fees and expenses are incurred prior to, during or after the commencement of such proceeding or the confirmation or conclusion of any such proceeding. If the Borrower shall fail to pay any amounts required to be paid by it pursuant to this Section, the Agent and/or the Lenders may pay such amounts on behalf of the Borrower and either deem the same to be Loans outstanding hereunder or otherwise Obligations owing hereunder.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Setoff.</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Subject to Section 3.3. and in addition to any rights now or hereafter granted under Applicable Law and not by way of limitation of any such rights, the Borrower hereby authorizes the Agent, each Lender and each affiliate of the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such affiliate of the Agent or such Lender, to or for the credit or the account of the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12.4. Litigation; Jurisdiction; Other Matters; Waivers.</w:t>
      </w:r>
    </w:p>
    <w:p>
      <w:pPr>
        <w:spacing w:after="0" w:line="96" w:lineRule="exact"/>
        <w:rPr>
          <w:sz w:val="20"/>
          <w:szCs w:val="20"/>
          <w:color w:val="auto"/>
        </w:rPr>
      </w:pPr>
    </w:p>
    <w:p>
      <w:pPr>
        <w:ind w:right="20" w:firstLine="464"/>
        <w:spacing w:after="0" w:line="294" w:lineRule="auto"/>
        <w:tabs>
          <w:tab w:leader="none" w:pos="695" w:val="left"/>
        </w:tabs>
        <w:numPr>
          <w:ilvl w:val="0"/>
          <w:numId w:val="362"/>
        </w:numPr>
        <w:rPr>
          <w:rFonts w:ascii="Arial" w:cs="Arial" w:eastAsia="Arial" w:hAnsi="Arial"/>
          <w:sz w:val="16"/>
          <w:szCs w:val="16"/>
          <w:color w:val="auto"/>
        </w:rPr>
      </w:pPr>
      <w:r>
        <w:rPr>
          <w:rFonts w:ascii="Arial" w:cs="Arial" w:eastAsia="Arial" w:hAnsi="Arial"/>
          <w:sz w:val="16"/>
          <w:szCs w:val="16"/>
          <w:color w:val="auto"/>
        </w:rPr>
        <w:t>EACH PARTY HERETO ACKNOWLEDGES THAT ANY DISPUTE OR CONTROVERSY BETWEEN OR AMONG THE BORROWER, THE AGENT OR ANY OF THE LENDERS WOULD BE BASED ON DIFFICULT AND COMPLEX ISSUES OF LAW AND FACT AND WOULD RESULT IN DELAY AND EXPENSE TO THE PARTIES. ACCORDINGLY, TO THE EXTENT PERMITTED BY APPLICABLE LAW, EACH OF THE LENDERS, THE AGENT AND THE BORROWER HEREBY WAIVES ITS RIGHT TO A TRIAL BY JURY IN ANY ACTION OR PROCEEDING OF ANY KIND OR NATURE IN ANY COURT OR TRIBUNAL IN WHICH AN ACTION MAY BE COMMENCED BY OR</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1320"/>
          </w:cols>
          <w:pgMar w:left="240" w:top="280" w:right="339" w:bottom="1440" w:gutter="0" w:footer="0" w:header="0"/>
        </w:sectPr>
      </w:pPr>
    </w:p>
    <w:bookmarkStart w:id="481" w:name="page482"/>
    <w:bookmarkEnd w:id="481"/>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ANY PARTY HERETO ARISING OUT OF THIS AGREEMENT, THE NOTES, OR ANY OTHER LOAN DOCUMENT OR BY REASON OF ANY OTHER SUIT, CAUSE OF ACTION OR DISPUTE WHATSOEVER BETWEEN OR AMONG THE BORROWER, THE AGENT OR ANY OF THE LENDERS OF ANY KIND OR NATURE RELATING TO ANY OF THE LOAN DOCUMENTS.</w:t>
      </w:r>
    </w:p>
    <w:p>
      <w:pPr>
        <w:spacing w:after="0" w:line="140" w:lineRule="exact"/>
        <w:rPr>
          <w:sz w:val="20"/>
          <w:szCs w:val="20"/>
          <w:color w:val="auto"/>
        </w:rPr>
      </w:pPr>
    </w:p>
    <w:p>
      <w:pPr>
        <w:ind w:firstLine="464"/>
        <w:spacing w:after="0" w:line="286" w:lineRule="auto"/>
        <w:tabs>
          <w:tab w:leader="none" w:pos="705" w:val="left"/>
        </w:tabs>
        <w:numPr>
          <w:ilvl w:val="0"/>
          <w:numId w:val="363"/>
        </w:numPr>
        <w:rPr>
          <w:rFonts w:ascii="Arial" w:cs="Arial" w:eastAsia="Arial" w:hAnsi="Arial"/>
          <w:sz w:val="16"/>
          <w:szCs w:val="16"/>
          <w:color w:val="auto"/>
        </w:rPr>
      </w:pPr>
      <w:r>
        <w:rPr>
          <w:rFonts w:ascii="Arial" w:cs="Arial" w:eastAsia="Arial" w:hAnsi="Arial"/>
          <w:sz w:val="16"/>
          <w:szCs w:val="16"/>
          <w:color w:val="auto"/>
        </w:rPr>
        <w:t>EACH OF THE BORROWER, THE AGENT AND EACH LENDER HEREBY AGREES THAT THE FEDERAL DISTRICT COURT FOR THE SOUTHERN DISTRICT OF NEW YORK, AND ANY STATE COURT LOCATED IN THE BOROUGH OF MANHATTAN OF NEW YORK, NEW YORK, SHALL HAVE JURISDICTION TO HEAR AND DETERMINE ANY CLAIMS OR DISPUTES BETWEEN OR AMONG THE BORROWER, THE AGENT OR ANY OF THE LENDERS PERTAINING DIRECTLY OR INDIRECTLY TO THIS AGREEMENT, THE LOANS, THE NOTES OR ANY OTHER LOAN DOCUMENT OR TO ANY MATTER ARISING HEREFROM OR THEREFROM. THE BORROWER AND EACH OF THE LENDERS EXPRESSLY SUBMIT AND CONSENT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27" w:lineRule="exact"/>
        <w:rPr>
          <w:rFonts w:ascii="Arial" w:cs="Arial" w:eastAsia="Arial" w:hAnsi="Arial"/>
          <w:sz w:val="16"/>
          <w:szCs w:val="16"/>
          <w:color w:val="auto"/>
        </w:rPr>
      </w:pPr>
    </w:p>
    <w:p>
      <w:pPr>
        <w:ind w:right="80" w:firstLine="464"/>
        <w:spacing w:after="0" w:line="306" w:lineRule="auto"/>
        <w:tabs>
          <w:tab w:leader="none" w:pos="695"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Successors and Assigns.</w:t>
      </w:r>
    </w:p>
    <w:p>
      <w:pPr>
        <w:spacing w:after="0" w:line="96" w:lineRule="exact"/>
        <w:rPr>
          <w:sz w:val="20"/>
          <w:szCs w:val="20"/>
          <w:color w:val="auto"/>
        </w:rPr>
      </w:pPr>
    </w:p>
    <w:p>
      <w:pPr>
        <w:jc w:val="both"/>
        <w:ind w:right="200" w:firstLine="464"/>
        <w:spacing w:after="0" w:line="303" w:lineRule="auto"/>
        <w:tabs>
          <w:tab w:leader="none" w:pos="695" w:val="left"/>
        </w:tabs>
        <w:numPr>
          <w:ilvl w:val="1"/>
          <w:numId w:val="364"/>
        </w:numPr>
        <w:rPr>
          <w:rFonts w:ascii="Arial" w:cs="Arial" w:eastAsia="Arial" w:hAnsi="Arial"/>
          <w:sz w:val="15"/>
          <w:szCs w:val="15"/>
          <w:color w:val="auto"/>
        </w:rPr>
      </w:pPr>
      <w:r>
        <w:rPr>
          <w:rFonts w:ascii="Arial" w:cs="Arial" w:eastAsia="Arial" w:hAnsi="Arial"/>
          <w:sz w:val="15"/>
          <w:szCs w:val="15"/>
          <w:u w:val="single" w:color="auto"/>
          <w:color w:val="auto"/>
        </w:rPr>
        <w:t>Successors and Assigns Generally</w:t>
      </w:r>
      <w:r>
        <w:rPr>
          <w:rFonts w:ascii="Arial" w:cs="Arial" w:eastAsia="Arial" w:hAnsi="Arial"/>
          <w:sz w:val="15"/>
          <w:szCs w:val="15"/>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Agent and each Lender and no Lender may assign or otherwise transfer any of its rights or obligations hereunder except</w:t>
      </w:r>
    </w:p>
    <w:p>
      <w:pPr>
        <w:spacing w:after="0" w:line="1" w:lineRule="exact"/>
        <w:rPr>
          <w:rFonts w:ascii="Arial" w:cs="Arial" w:eastAsia="Arial" w:hAnsi="Arial"/>
          <w:sz w:val="15"/>
          <w:szCs w:val="15"/>
          <w:color w:val="auto"/>
        </w:rPr>
      </w:pPr>
    </w:p>
    <w:p>
      <w:pPr>
        <w:ind w:right="120" w:firstLine="8"/>
        <w:spacing w:after="0" w:line="302" w:lineRule="auto"/>
        <w:tabs>
          <w:tab w:leader="none" w:pos="21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any other attempted assignment or transfer by any party hereto shall be null and void). Nothing in this Agreement, expressed or</w:t>
      </w:r>
    </w:p>
    <w:p>
      <w:pPr>
        <w:spacing w:after="0" w:line="95" w:lineRule="exact"/>
        <w:rPr>
          <w:rFonts w:ascii="Arial" w:cs="Arial" w:eastAsia="Arial" w:hAnsi="Arial"/>
          <w:sz w:val="16"/>
          <w:szCs w:val="16"/>
          <w:color w:val="auto"/>
        </w:rPr>
      </w:pPr>
    </w:p>
    <w:p>
      <w:pPr>
        <w:ind w:left="5620" w:hanging="96"/>
        <w:spacing w:after="0"/>
        <w:tabs>
          <w:tab w:leader="none" w:pos="5620" w:val="left"/>
        </w:tabs>
        <w:numPr>
          <w:ilvl w:val="2"/>
          <w:numId w:val="365"/>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420"/>
          </w:cols>
          <w:pgMar w:left="240" w:top="280" w:right="239" w:bottom="1440" w:gutter="0" w:footer="0" w:header="0"/>
        </w:sectPr>
      </w:pPr>
    </w:p>
    <w:bookmarkStart w:id="482" w:name="page483"/>
    <w:bookmarkEnd w:id="48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implied, shall be construed to confer upon any Person (other than the parties hereto, their respective successors and assigns permitted hereby, Participants to the extent provided in the immediately following subsection (d) and, to the extent expressly contemplated hereby, the Affiliates and the partners, directors, officers, employees, agents and advisors of the Agent and the Lenders and of their respective Affiliates) any legal or equitable right, remedy or claim under or by reason of this Agreement.</w:t>
      </w:r>
    </w:p>
    <w:p>
      <w:pPr>
        <w:spacing w:after="0" w:line="137" w:lineRule="exact"/>
        <w:rPr>
          <w:sz w:val="20"/>
          <w:szCs w:val="20"/>
          <w:color w:val="auto"/>
        </w:rPr>
      </w:pPr>
    </w:p>
    <w:p>
      <w:pPr>
        <w:ind w:right="540" w:firstLine="464"/>
        <w:spacing w:after="0" w:line="262" w:lineRule="auto"/>
        <w:tabs>
          <w:tab w:leader="none" w:pos="705"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may at any time assign to one or more Eligible Assignees (an “</w:t>
      </w:r>
      <w:r>
        <w:rPr>
          <w:rFonts w:ascii="Arial" w:cs="Arial" w:eastAsia="Arial" w:hAnsi="Arial"/>
          <w:sz w:val="18"/>
          <w:szCs w:val="18"/>
          <w:b w:val="1"/>
          <w:bCs w:val="1"/>
          <w:color w:val="auto"/>
        </w:rPr>
        <w:t>Assignee</w:t>
      </w:r>
      <w:r>
        <w:rPr>
          <w:rFonts w:ascii="Arial" w:cs="Arial" w:eastAsia="Arial" w:hAnsi="Arial"/>
          <w:sz w:val="18"/>
          <w:szCs w:val="18"/>
          <w:color w:val="auto"/>
        </w:rPr>
        <w:t xml:space="preserve">”) all or a portion of its rights and obligations under this Agreement (including all or a portion of the Loan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38" w:lineRule="exact"/>
        <w:rPr>
          <w:rFonts w:ascii="Arial" w:cs="Arial" w:eastAsia="Arial" w:hAnsi="Arial"/>
          <w:sz w:val="18"/>
          <w:szCs w:val="18"/>
          <w:color w:val="auto"/>
        </w:rPr>
      </w:pPr>
    </w:p>
    <w:p>
      <w:pPr>
        <w:ind w:left="1120" w:hanging="217"/>
        <w:spacing w:after="0"/>
        <w:tabs>
          <w:tab w:leader="none" w:pos="112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540" w:firstLine="421"/>
        <w:spacing w:after="0" w:line="268" w:lineRule="auto"/>
        <w:tabs>
          <w:tab w:leader="none" w:pos="1627" w:val="left"/>
        </w:tabs>
        <w:numPr>
          <w:ilvl w:val="2"/>
          <w:numId w:val="366"/>
        </w:numPr>
        <w:rPr>
          <w:rFonts w:ascii="Arial" w:cs="Arial" w:eastAsia="Arial" w:hAnsi="Arial"/>
          <w:sz w:val="18"/>
          <w:szCs w:val="18"/>
          <w:color w:val="auto"/>
        </w:rPr>
      </w:pPr>
      <w:r>
        <w:rPr>
          <w:rFonts w:ascii="Arial" w:cs="Arial" w:eastAsia="Arial" w:hAnsi="Arial"/>
          <w:sz w:val="18"/>
          <w:szCs w:val="18"/>
          <w:color w:val="auto"/>
        </w:rPr>
        <w:t>in the case of an assignment of all of the Loan at the time owing to it or in the case of an assignment to a Lender or an Affiliate of a Lender, no minimum amount need be assigned; and</w:t>
      </w:r>
    </w:p>
    <w:p>
      <w:pPr>
        <w:spacing w:after="0" w:line="50" w:lineRule="exact"/>
        <w:rPr>
          <w:rFonts w:ascii="Arial" w:cs="Arial" w:eastAsia="Arial" w:hAnsi="Arial"/>
          <w:sz w:val="18"/>
          <w:szCs w:val="18"/>
          <w:color w:val="auto"/>
        </w:rPr>
      </w:pPr>
    </w:p>
    <w:p>
      <w:pPr>
        <w:ind w:left="920" w:right="160" w:firstLine="421"/>
        <w:spacing w:after="0" w:line="255" w:lineRule="auto"/>
        <w:tabs>
          <w:tab w:leader="none" w:pos="1618" w:val="left"/>
        </w:tabs>
        <w:numPr>
          <w:ilvl w:val="2"/>
          <w:numId w:val="366"/>
        </w:numPr>
        <w:rPr>
          <w:rFonts w:ascii="Arial" w:cs="Arial" w:eastAsia="Arial" w:hAnsi="Arial"/>
          <w:sz w:val="18"/>
          <w:szCs w:val="18"/>
          <w:color w:val="auto"/>
        </w:rPr>
      </w:pPr>
      <w:r>
        <w:rPr>
          <w:rFonts w:ascii="Arial" w:cs="Arial" w:eastAsia="Arial" w:hAnsi="Arial"/>
          <w:sz w:val="18"/>
          <w:szCs w:val="18"/>
          <w:color w:val="auto"/>
        </w:rPr>
        <w:t>in any case not described in the immediately preceding subsection (A), the principal outstanding balance of the Loan of the assigning Lender subject to each such assignment (determined as of the date the Assignment and Assumption with respect to such assignment is delivered to the Agent or, if “Trade Date” is specified in the Assignment and Assumption, as of the Trade Date) shall not be less than $5,000,000 unless each of the Agent and, so long as no Event of Default shall exist, the Borrower otherwise consents (each such consent not to be unreasonably withheld or delayed).</w:t>
      </w:r>
    </w:p>
    <w:p>
      <w:pPr>
        <w:spacing w:after="0" w:line="61" w:lineRule="exact"/>
        <w:rPr>
          <w:rFonts w:ascii="Arial" w:cs="Arial" w:eastAsia="Arial" w:hAnsi="Arial"/>
          <w:sz w:val="18"/>
          <w:szCs w:val="18"/>
          <w:color w:val="auto"/>
        </w:rPr>
      </w:pPr>
    </w:p>
    <w:p>
      <w:pPr>
        <w:ind w:left="460" w:right="180" w:firstLine="443"/>
        <w:spacing w:after="0" w:line="268" w:lineRule="auto"/>
        <w:tabs>
          <w:tab w:leader="none" w:pos="1156"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assigned.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clause (i)(B) of this subsection (b), and,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83" w:lineRule="exact"/>
        <w:rPr>
          <w:rFonts w:ascii="Arial" w:cs="Arial" w:eastAsia="Arial" w:hAnsi="Arial"/>
          <w:sz w:val="16"/>
          <w:szCs w:val="16"/>
          <w:color w:val="auto"/>
        </w:rPr>
      </w:pPr>
    </w:p>
    <w:p>
      <w:pPr>
        <w:ind w:left="920" w:right="300" w:firstLine="421"/>
        <w:spacing w:after="0" w:line="332" w:lineRule="auto"/>
        <w:tabs>
          <w:tab w:leader="none" w:pos="1627" w:val="left"/>
        </w:tabs>
        <w:numPr>
          <w:ilvl w:val="2"/>
          <w:numId w:val="366"/>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 (x) an Event of Default shall exist at the time of such assignment or (y) such assignment is to a Person who is a Lender or an Affiliate of a Lender; and</w:t>
      </w:r>
    </w:p>
    <w:p>
      <w:pPr>
        <w:spacing w:after="0" w:line="4" w:lineRule="exact"/>
        <w:rPr>
          <w:rFonts w:ascii="Arial" w:cs="Arial" w:eastAsia="Arial" w:hAnsi="Arial"/>
          <w:sz w:val="16"/>
          <w:szCs w:val="16"/>
          <w:color w:val="auto"/>
        </w:rPr>
      </w:pPr>
    </w:p>
    <w:p>
      <w:pPr>
        <w:ind w:left="920" w:right="120" w:firstLine="421"/>
        <w:spacing w:after="0" w:line="268" w:lineRule="auto"/>
        <w:tabs>
          <w:tab w:leader="none" w:pos="1618" w:val="left"/>
        </w:tabs>
        <w:numPr>
          <w:ilvl w:val="2"/>
          <w:numId w:val="366"/>
        </w:numPr>
        <w:rPr>
          <w:rFonts w:ascii="Arial" w:cs="Arial" w:eastAsia="Arial" w:hAnsi="Arial"/>
          <w:sz w:val="18"/>
          <w:szCs w:val="18"/>
          <w:color w:val="auto"/>
        </w:rPr>
      </w:pPr>
      <w:r>
        <w:rPr>
          <w:rFonts w:ascii="Arial" w:cs="Arial" w:eastAsia="Arial" w:hAnsi="Arial"/>
          <w:sz w:val="18"/>
          <w:szCs w:val="18"/>
          <w:color w:val="auto"/>
        </w:rPr>
        <w:t>the consent of the Agent (such consent not to be unreasonably withheld or delayed) shall be required for assignments in respect of a Loan to a Person who is not a Lender or an Affiliate of a Lender.</w:t>
      </w:r>
    </w:p>
    <w:p>
      <w:pPr>
        <w:spacing w:after="0" w:line="50" w:lineRule="exact"/>
        <w:rPr>
          <w:rFonts w:ascii="Arial" w:cs="Arial" w:eastAsia="Arial" w:hAnsi="Arial"/>
          <w:sz w:val="18"/>
          <w:szCs w:val="18"/>
          <w:color w:val="auto"/>
        </w:rPr>
      </w:pPr>
    </w:p>
    <w:p>
      <w:pPr>
        <w:ind w:left="460" w:firstLine="443"/>
        <w:spacing w:after="0" w:line="259" w:lineRule="auto"/>
        <w:tabs>
          <w:tab w:leader="none" w:pos="1195"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The parties to each assignment shall execute and deliver to the Agent an Assignment and Acceptance, together with a processing and recordation fee of $3,500 for each assignment, and the Assignee, if it is not a Lender, shall deliver to the Agent an Administrative Details Form.</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3"/>
          <w:numId w:val="366"/>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1400"/>
          </w:cols>
          <w:pgMar w:left="240" w:top="279" w:right="259" w:bottom="1440" w:gutter="0" w:footer="0" w:header="0"/>
        </w:sectPr>
      </w:pPr>
    </w:p>
    <w:bookmarkStart w:id="483" w:name="page484"/>
    <w:bookmarkEnd w:id="483"/>
    <w:p>
      <w:pPr>
        <w:ind w:left="1160" w:hanging="257"/>
        <w:spacing w:after="0"/>
        <w:tabs>
          <w:tab w:leader="none" w:pos="1160"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Assignment to Borrower</w:t>
      </w:r>
      <w:r>
        <w:rPr>
          <w:rFonts w:ascii="Arial" w:cs="Arial" w:eastAsia="Arial" w:hAnsi="Arial"/>
          <w:sz w:val="16"/>
          <w:szCs w:val="16"/>
          <w:color w:val="auto"/>
        </w:rPr>
        <w:t>. No such assignment shall be made to the Borrower or any of the Borrower’s Affiliates or Subsidiaries.</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Subject to acceptance and recording thereof by the Agent pursuant to the immediately following subsection (c),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only Sections 4.4., 12.2. and 12.9. and the other provisions of this Agreement and the other Loan Documents as provided in Section 12.10. solely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120" w:lineRule="exact"/>
        <w:rPr>
          <w:sz w:val="20"/>
          <w:szCs w:val="20"/>
          <w:color w:val="auto"/>
        </w:rPr>
      </w:pPr>
    </w:p>
    <w:p>
      <w:pPr>
        <w:ind w:right="20" w:firstLine="464"/>
        <w:spacing w:after="0" w:line="291" w:lineRule="auto"/>
        <w:tabs>
          <w:tab w:leader="none" w:pos="695"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Agent, acting solely for this purpose as an agent of the Borrower, shall maintain at the Principal Office a copy of each Assignment and Acceptance delivered to it and a register for the recordation of the names and addresses of the Lenders, and principal amounts of the Loans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and the Borrower, the Agent and the Lenders may treat each Person whose name is recorded in the Register pursuant to the terms hereof as a Lender hereunder for all purposes of this Agreement, notwithstanding notice to the contrary, in the absence of manifest error. The Register shall be available for inspection by the Borrower and any Lender, at any reasonable time and from time to time upon reasonable prior notice.</w:t>
      </w:r>
    </w:p>
    <w:p>
      <w:pPr>
        <w:spacing w:after="0" w:line="120" w:lineRule="exact"/>
        <w:rPr>
          <w:rFonts w:ascii="Arial" w:cs="Arial" w:eastAsia="Arial" w:hAnsi="Arial"/>
          <w:sz w:val="16"/>
          <w:szCs w:val="16"/>
          <w:color w:val="auto"/>
        </w:rPr>
      </w:pPr>
    </w:p>
    <w:p>
      <w:pPr>
        <w:ind w:firstLine="464"/>
        <w:spacing w:after="0" w:line="254" w:lineRule="auto"/>
        <w:tabs>
          <w:tab w:leader="none" w:pos="705"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Agent, sell participations to any Person (other than a natural person or the Borrower or any of the Borrower’s Affiliates or Subsidiaries) (each, a “</w:t>
      </w:r>
      <w:r>
        <w:rPr>
          <w:rFonts w:ascii="Arial" w:cs="Arial" w:eastAsia="Arial" w:hAnsi="Arial"/>
          <w:sz w:val="18"/>
          <w:szCs w:val="18"/>
          <w:b w:val="1"/>
          <w:bCs w:val="1"/>
          <w:color w:val="auto"/>
        </w:rPr>
        <w:t>Participant</w:t>
      </w:r>
      <w:r>
        <w:rPr>
          <w:rFonts w:ascii="Arial" w:cs="Arial" w:eastAsia="Arial" w:hAnsi="Arial"/>
          <w:sz w:val="18"/>
          <w:szCs w:val="18"/>
          <w:color w:val="auto"/>
        </w:rPr>
        <w:t>”) in all or a portion of such Lender’s rights and/or obligations under this Agreement (including all or a portion of the Loan owing to it); provided that (i) such Lender’s obligations under this Agreement shall remain unchanged, (ii) such Lender shall remain solely responsible to the other parties hereto for the performance of such obligations, (iii) the Borrower, the Agent and the Lenders shall continue to deal solely and directly with such Lender in connection with such Lender’s rights and obligations under this Agreement and (iv) unless the Borrower and the Agent</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400"/>
          </w:cols>
          <w:pgMar w:left="240" w:top="279" w:right="259" w:bottom="1440" w:gutter="0" w:footer="0" w:header="0"/>
        </w:sectPr>
      </w:pPr>
    </w:p>
    <w:bookmarkStart w:id="484" w:name="page485"/>
    <w:bookmarkEnd w:id="484"/>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agree, after giving effect to the grant of a participating interest in a Lender’s Loan, the amount of its Loan in which it has not granted any participating interests must be equal to at least $5,000,000.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of any provision of any Loan Document described in Section 12.6.(b) that adversely affects such Participant. Subject to the immediately following subsection (e), the Borrower agrees that each Participant shall be entitled to the benefits of only Sections 3.12., 4.1., 4.4. to the same extent as if it were a Lender and had acquired its interest by assignment pursuant to paragraph (b) of this Section. Upon request from the Agent, a Lender shall notify the Agent and the Borrower of the sale of any participation hereunder.</w:t>
      </w:r>
    </w:p>
    <w:p>
      <w:pPr>
        <w:spacing w:after="0" w:line="118" w:lineRule="exact"/>
        <w:rPr>
          <w:sz w:val="20"/>
          <w:szCs w:val="20"/>
          <w:color w:val="auto"/>
        </w:rPr>
      </w:pPr>
    </w:p>
    <w:p>
      <w:pPr>
        <w:ind w:firstLine="464"/>
        <w:spacing w:after="0" w:line="294" w:lineRule="auto"/>
        <w:tabs>
          <w:tab w:leader="none" w:pos="695"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Limitations upon Participant Rights</w:t>
      </w:r>
      <w:r>
        <w:rPr>
          <w:rFonts w:ascii="Arial" w:cs="Arial" w:eastAsia="Arial" w:hAnsi="Arial"/>
          <w:sz w:val="16"/>
          <w:szCs w:val="16"/>
          <w:color w:val="auto"/>
        </w:rPr>
        <w:t>. A Participant shall not be entitled to receive any greater payment under Sections 3.12., 4.1. and 4.4. than the applicable Lender would have been entitled to receive with respect to the participation sold to such Participant, unless the sale of the participation to such Participant is made with the Borrower’s prior written consent. A Participant that is organized under the laws of a jurisdiction outside the United States of America shall not be entitled to the benefits of Section 3.12. unless the Borrower is notified of the participation sold to such Participant and such Participant agrees, for the benefit of the Borrower and the Agent, to comply with Section 3.12.(c) as though it were a Lender.</w:t>
      </w:r>
    </w:p>
    <w:p>
      <w:pPr>
        <w:spacing w:after="0" w:line="115" w:lineRule="exact"/>
        <w:rPr>
          <w:rFonts w:ascii="Arial" w:cs="Arial" w:eastAsia="Arial" w:hAnsi="Arial"/>
          <w:sz w:val="16"/>
          <w:szCs w:val="16"/>
          <w:color w:val="auto"/>
        </w:rPr>
      </w:pPr>
    </w:p>
    <w:p>
      <w:pPr>
        <w:ind w:firstLine="464"/>
        <w:spacing w:after="0" w:line="255" w:lineRule="auto"/>
        <w:tabs>
          <w:tab w:leader="none" w:pos="676"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substitute any such pledgee or assignee for such Lender as a party hereto, or allow any pledgee or assignee other than the Federal Reserve Bank to exercise any rights of a Lender under the Loan Documents other than to receive payments to which the assigning or pledging Lender is entitled.</w:t>
      </w:r>
    </w:p>
    <w:p>
      <w:pPr>
        <w:spacing w:after="0" w:line="142"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No Registration</w:t>
      </w:r>
      <w:r>
        <w:rPr>
          <w:rFonts w:ascii="Arial" w:cs="Arial" w:eastAsia="Arial" w:hAnsi="Arial"/>
          <w:sz w:val="18"/>
          <w:szCs w:val="18"/>
          <w:color w:val="auto"/>
        </w:rPr>
        <w:t>. Each Lender agrees that, without the prior written consent of the Borrower and the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12.6. Amendments.</w:t>
      </w:r>
    </w:p>
    <w:p>
      <w:pPr>
        <w:spacing w:after="0" w:line="96" w:lineRule="exact"/>
        <w:rPr>
          <w:sz w:val="20"/>
          <w:szCs w:val="20"/>
          <w:color w:val="auto"/>
        </w:rPr>
      </w:pPr>
    </w:p>
    <w:p>
      <w:pPr>
        <w:ind w:right="200" w:firstLine="464"/>
        <w:spacing w:after="0" w:line="298" w:lineRule="auto"/>
        <w:tabs>
          <w:tab w:leader="none" w:pos="695" w:val="left"/>
        </w:tabs>
        <w:numPr>
          <w:ilvl w:val="0"/>
          <w:numId w:val="370"/>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any consent or approval required or permitted by this Agreement or any other Loan Document to be given by the Lenders may be given, and any term of this Agreement or of any other Loan Document may be amended, and the performance or observance by the Borrower or any other Loan Party or any Subsidiary of any terms of this Agreement or such other Loan Document or the continuance of any Default or Event of Default may be waived (either generally or in a particular instance and</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1380"/>
          </w:cols>
          <w:pgMar w:left="240" w:top="280" w:right="279" w:bottom="1440" w:gutter="0" w:footer="0" w:header="0"/>
        </w:sectPr>
      </w:pPr>
    </w:p>
    <w:bookmarkStart w:id="485" w:name="page486"/>
    <w:bookmarkEnd w:id="48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retroactively or prospectively) with, but only with, the written consent of the Requisite Lenders (and, in the case of an amendment to any Loan Document, the written consent of each Loan Party a party thereto).</w:t>
      </w:r>
    </w:p>
    <w:p>
      <w:pPr>
        <w:spacing w:after="0" w:line="132" w:lineRule="exact"/>
        <w:rPr>
          <w:sz w:val="20"/>
          <w:szCs w:val="20"/>
          <w:color w:val="auto"/>
        </w:rPr>
      </w:pPr>
    </w:p>
    <w:p>
      <w:pPr>
        <w:ind w:right="120" w:firstLine="464"/>
        <w:spacing w:after="0" w:line="268" w:lineRule="auto"/>
        <w:tabs>
          <w:tab w:leader="none" w:pos="70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Notwithstanding the foregoing, without the prior written consent of each Lender adversely affected thereby, no amendment, waiver or consent shall do any of the following:</w:t>
      </w:r>
    </w:p>
    <w:p>
      <w:pPr>
        <w:spacing w:after="0" w:line="131" w:lineRule="exact"/>
        <w:rPr>
          <w:rFonts w:ascii="Arial" w:cs="Arial" w:eastAsia="Arial" w:hAnsi="Arial"/>
          <w:sz w:val="18"/>
          <w:szCs w:val="18"/>
          <w:color w:val="auto"/>
        </w:rPr>
      </w:pPr>
    </w:p>
    <w:p>
      <w:pPr>
        <w:ind w:left="1120" w:hanging="217"/>
        <w:spacing w:after="0"/>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subject the Lenders to any additional obligations;</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5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reduce the principal of, or interest that has accrued or the rates of interest that will be charged on the outstanding principal amount of, any Loans or other Obligations;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reduce the amount of any Fees payable hereunder or postpone any date fixed for payment thereof;</w:t>
      </w:r>
    </w:p>
    <w:p>
      <w:pPr>
        <w:spacing w:after="0" w:line="90" w:lineRule="exact"/>
        <w:rPr>
          <w:rFonts w:ascii="Arial" w:cs="Arial" w:eastAsia="Arial" w:hAnsi="Arial"/>
          <w:sz w:val="18"/>
          <w:szCs w:val="18"/>
          <w:color w:val="auto"/>
        </w:rPr>
      </w:pPr>
    </w:p>
    <w:p>
      <w:pPr>
        <w:ind w:left="460" w:right="160" w:firstLine="443"/>
        <w:spacing w:after="0" w:line="259" w:lineRule="auto"/>
        <w:tabs>
          <w:tab w:leader="none" w:pos="119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modify the definition of the term “Termination Date” or otherwise postpone any date fixed for any payment of any principal of, or interest on, any Loans or any other Obligations (including the waiver of any Default or Event of Default as a result of the nonpayment of any such Obligations as and when due);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amend or otherwise modify the provisions of Section 3.2.;</w:t>
      </w:r>
    </w:p>
    <w:p>
      <w:pPr>
        <w:spacing w:after="0" w:line="90" w:lineRule="exact"/>
        <w:rPr>
          <w:rFonts w:ascii="Arial" w:cs="Arial" w:eastAsia="Arial" w:hAnsi="Arial"/>
          <w:sz w:val="18"/>
          <w:szCs w:val="18"/>
          <w:color w:val="auto"/>
        </w:rPr>
      </w:pPr>
    </w:p>
    <w:p>
      <w:pPr>
        <w:ind w:left="460" w:firstLine="443"/>
        <w:spacing w:after="0" w:line="259" w:lineRule="auto"/>
        <w:tabs>
          <w:tab w:leader="none" w:pos="119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modify the definition of the term “Requisite Lenders” or otherwise modify in any other manner the number or percentage of the Lenders required to make any determinations or waive any rights hereunder or to modify any provision hereof, including without limitation, any modification of this Section 12.6. if such modification would have such effect;</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release any Guarantor from its obligations under the Guaranty (except as otherwise permitted under Section 7.12. (c)); or</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increase the number of Interest Periods permitted with respect to Loans under Section 2.3.</w:t>
      </w:r>
    </w:p>
    <w:p>
      <w:pPr>
        <w:spacing w:after="0" w:line="171"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amendment, waiver or consent, unless in writing and signed by the Agent, in such capacity, in addition to the Lenders required hereinabove to take such action, shall affect the rights or duties of the Agent under this Agreement or any of the other Loan Documents.</w:t>
      </w:r>
    </w:p>
    <w:p>
      <w:pPr>
        <w:spacing w:after="0" w:line="131" w:lineRule="exact"/>
        <w:rPr>
          <w:rFonts w:ascii="Arial" w:cs="Arial" w:eastAsia="Arial" w:hAnsi="Arial"/>
          <w:sz w:val="18"/>
          <w:szCs w:val="18"/>
          <w:color w:val="auto"/>
        </w:rPr>
      </w:pPr>
    </w:p>
    <w:p>
      <w:pPr>
        <w:ind w:right="60" w:firstLine="464"/>
        <w:spacing w:after="0" w:line="255" w:lineRule="auto"/>
        <w:tabs>
          <w:tab w:leader="none" w:pos="70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waiver shall extend to or affect any obligation not expressly waived or impair any right consequent thereon, and any amendment, waiver or consent shall be effective only in the specific instance and for the specific purpose set forth therein. Except as otherwise provided in Section 11.5., no course of dealing or delay or omission on the part of the Agent or any Lender in exercising any right shall operate as a waiver thereof or otherwise be prejudicial thereto. Except as otherwise explicitly provided for herein or in any other Loan Document, no notice to or demand upon the Borrower shall entitle the Borrower to any other or further notice or demand in similar or other circumstances.</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2"/>
          <w:numId w:val="371"/>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420"/>
          </w:cols>
          <w:pgMar w:left="240" w:top="280" w:right="239" w:bottom="1440" w:gutter="0" w:footer="0" w:header="0"/>
        </w:sectPr>
      </w:pPr>
    </w:p>
    <w:bookmarkStart w:id="486" w:name="page487"/>
    <w:bookmarkEnd w:id="4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12.7. Nonliability of Agent and Lenders.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relationship between the Borrower and the Lenders and the Agent shall be solely that of borrower and lender. Neither the Agent nor any Lender shall have any fiduciary responsibilities to the Borrower or any other Loan Party, and no provision in this Agreement or in any of the other Loan Documents, and no course of dealing between or among any of the parties hereto, shall be deemed to create any fiduciary duty owing by the Agent or any Lender to any Lender, the Borrower, any Subsidiary or any other Loan Party. Neither the Agent nor any Lender undertakes any responsibility to the Borrower to review or inform the Borrower of any matter in connection with any phase of the Borrower’s business or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Confidentiality.</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Agent and each Lender shall use reasonable efforts to assure that information about Borrower, the other Loan Parties and other Subsidiaries, and the Properties thereof and their operations, affairs and financial condition, not generally disclosed to the public, which is furnished to the Agent or any Lender pursuant to the provisions of this Agreement or any other Loan Document, is used only for the purposes of this Agreement and the other Loan Documents and shall not be divulged to any Person other than the Agent, the Lenders, and their respective officers, directors, employees and agents who are actively and directly participating in the evaluation, administration or enforcement of the Loan Documents and other transactions between the Agent or such Lender, as applicable, and the Borrower, but in any event the Agent and the Lenders may make disclosure: (a) to any of their respective affiliates (provided they shall agree to keep such information confidential in accordance with the terms of this Section 12.8.); (b) as reasonably requested by any bona fide prospective Assignee, Participant or other transferee in connection with the contemplated transfer of any Loan or participations therein as permitted hereunder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Agent’s or such Lender’s independent auditors and other professional advisors (provided they shall be notified of the confidential nature of the information); (e) after the happening and during the continuance of an Event of Default, to any other Person, as necessary for the exercise by the Agent or the Lenders of rights hereunder or under any of the other Loan Documents; (f) upon Borrower’s prior consent (which consent shall not be unreasonably withheld), to any contractual counter-parties to any swap or similar hedging agreement or to any rating agency; and (g) to the extent such information (x) becomes publicly available other than as a result of a breach by such party of this Section or (y) becomes available to the Agent or any Lender on a nonconfidential basis from a source other than the Borrower or any Affiliate unless the Agent or such Lender has actual knowledge that such information became nonconfidential as a result of a breach of a confidential arrangement with the Borrower or such Loan Party. Notwithstanding the foregoing, the Agent and each Lender may disclose any such confidential information, without notice to the Borrower or any other Loan Party, to Governmental Authorities in connection with any regulatory examination of the Agent or such Lender or in accordance with the regulatory compliance policy of the Agent or such Lender.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00"/>
          </w:cols>
          <w:pgMar w:left="240" w:top="274" w:right="259" w:bottom="1440" w:gutter="0" w:footer="0" w:header="0"/>
        </w:sectPr>
      </w:pPr>
    </w:p>
    <w:bookmarkStart w:id="487" w:name="page488"/>
    <w:bookmarkEnd w:id="4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12.9. Indemnification.</w:t>
      </w:r>
    </w:p>
    <w:p>
      <w:pPr>
        <w:spacing w:after="0" w:line="96" w:lineRule="exact"/>
        <w:rPr>
          <w:sz w:val="20"/>
          <w:szCs w:val="20"/>
          <w:color w:val="auto"/>
        </w:rPr>
      </w:pPr>
    </w:p>
    <w:p>
      <w:pPr>
        <w:ind w:firstLine="464"/>
        <w:spacing w:after="0" w:line="283" w:lineRule="auto"/>
        <w:tabs>
          <w:tab w:leader="none" w:pos="69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Borrower shall and hereby agrees to indemnify, defend and hold harmless the Agent, each of the Lenders, any affiliate of the Agent or any Lender, and their respective directors, officers, shareholders, agents, employees and counsel (each referred to herein as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of the following (collectively, the “</w:t>
      </w:r>
      <w:r>
        <w:rPr>
          <w:rFonts w:ascii="Arial" w:cs="Arial" w:eastAsia="Arial" w:hAnsi="Arial"/>
          <w:sz w:val="16"/>
          <w:szCs w:val="16"/>
          <w:b w:val="1"/>
          <w:bCs w:val="1"/>
          <w:color w:val="auto"/>
        </w:rPr>
        <w:t>Indemnified Costs</w:t>
      </w:r>
      <w:r>
        <w:rPr>
          <w:rFonts w:ascii="Arial" w:cs="Arial" w:eastAsia="Arial" w:hAnsi="Arial"/>
          <w:sz w:val="16"/>
          <w:szCs w:val="16"/>
          <w:color w:val="auto"/>
        </w:rPr>
        <w:t>”): losses, costs, claims,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lost profits, losses, costs, claims, damages, liabilities, deficiencies, judgments or expenses indemnification in respect of which is specifically covered by Section 3.12. or 4.1. or expressly excluded from the coverage of such Sections 3.12. or 4.1.) incurred by an Indemnified Party in connection with, arising out of, or by reason of, any suit, cause of action, claim, arbitration, investigation or settlement, consent decree or other proceeding (the foregoing referred to herein as an “</w:t>
      </w:r>
      <w:r>
        <w:rPr>
          <w:rFonts w:ascii="Arial" w:cs="Arial" w:eastAsia="Arial" w:hAnsi="Arial"/>
          <w:sz w:val="16"/>
          <w:szCs w:val="16"/>
          <w:b w:val="1"/>
          <w:bCs w:val="1"/>
          <w:color w:val="auto"/>
        </w:rPr>
        <w:t>Indemnity Proceeding</w:t>
      </w:r>
      <w:r>
        <w:rPr>
          <w:rFonts w:ascii="Arial" w:cs="Arial" w:eastAsia="Arial" w:hAnsi="Arial"/>
          <w:sz w:val="16"/>
          <w:szCs w:val="16"/>
          <w:color w:val="auto"/>
        </w:rPr>
        <w:t>”) which is in any way related directly or indirectly to: (i) this Agreement or any other Loan Document or the transactions contemplated thereby; (ii) the making of any Loans hereunder; (iii) any actual or proposed use by the Borrower of the proceeds of the Loans; (iv) the Agent’s or any Lender’s entering into this Agreement; (v) the fact that the Agent and the Lenders have established the credit facility evidenced hereby in favor of the Borrower; (vi) the fact that the Agent and the Lenders are creditors of the Borrower and have or are alleged to have information regarding the financial condition, strategic plans or business operations of the Borrower and the Subsidiaries; (vii) the fact that the Agent and the Lenders are material creditors of the Borrower and are alleged to influence directly or indirectly the business decisions or affairs of the Borrower and the Subsidiaries or their financial condition; (viii) the exercise of any right or remedy the Agent or the Lenders may have under this Agreement or the other Loan Documents; (ix) any civil penalty or fine assessed by the OFAC against, and all reasonable costs and expenses (including counsel fees and disbursements) incurred in connection with defense thereof by, the Agent or any Lender as a result of conduct of the Borrower, any other Loan Party or any Subsidiary that violates or threatens to violate a sanction enforced by the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subsection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w:t>
      </w:r>
    </w:p>
    <w:p>
      <w:pPr>
        <w:spacing w:after="0" w:line="126" w:lineRule="exact"/>
        <w:rPr>
          <w:rFonts w:ascii="Arial" w:cs="Arial" w:eastAsia="Arial" w:hAnsi="Arial"/>
          <w:sz w:val="16"/>
          <w:szCs w:val="16"/>
          <w:color w:val="auto"/>
        </w:rPr>
      </w:pPr>
    </w:p>
    <w:p>
      <w:pPr>
        <w:ind w:left="5620" w:hanging="96"/>
        <w:spacing w:after="0"/>
        <w:tabs>
          <w:tab w:leader="none" w:pos="562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400"/>
          </w:cols>
          <w:pgMar w:left="240" w:top="273" w:right="259" w:bottom="1440" w:gutter="0" w:footer="0" w:header="0"/>
        </w:sectPr>
      </w:pPr>
    </w:p>
    <w:bookmarkStart w:id="488" w:name="page489"/>
    <w:bookmarkEnd w:id="488"/>
    <w:p>
      <w:pPr>
        <w:ind w:left="-464" w:right="20" w:firstLine="464"/>
        <w:spacing w:after="0" w:line="288" w:lineRule="auto"/>
        <w:tabs>
          <w:tab w:leader="none" w:pos="241" w:val="left"/>
        </w:tabs>
        <w:numPr>
          <w:ilvl w:val="0"/>
          <w:numId w:val="3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Borrower’s indemnification obligations under this Section 12.9.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notify the Borrower of the commencement of any Indemnity Proceeding; provided, however, that the failure to so notify the Borrower shall not relieve the Borrower from any liability that it may have to such Indemnified Party pursuant to this Section 12.9.</w:t>
      </w:r>
    </w:p>
    <w:p>
      <w:pPr>
        <w:spacing w:after="0" w:line="119" w:lineRule="exact"/>
        <w:rPr>
          <w:rFonts w:ascii="Arial" w:cs="Arial" w:eastAsia="Arial" w:hAnsi="Arial"/>
          <w:sz w:val="16"/>
          <w:szCs w:val="16"/>
          <w:color w:val="auto"/>
        </w:rPr>
      </w:pPr>
    </w:p>
    <w:p>
      <w:pPr>
        <w:ind w:left="-464" w:right="580" w:firstLine="464"/>
        <w:spacing w:after="0" w:line="268" w:lineRule="auto"/>
        <w:tabs>
          <w:tab w:leader="none" w:pos="23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This indemnification shall apply to any Indemnity Proceeding arising during the pendency of any bankruptcy proceeding filed by or against the Borrower and/or any Subsidiary.</w:t>
      </w:r>
    </w:p>
    <w:p>
      <w:pPr>
        <w:spacing w:after="0" w:line="131" w:lineRule="exact"/>
        <w:rPr>
          <w:rFonts w:ascii="Arial" w:cs="Arial" w:eastAsia="Arial" w:hAnsi="Arial"/>
          <w:sz w:val="18"/>
          <w:szCs w:val="18"/>
          <w:color w:val="auto"/>
        </w:rPr>
      </w:pPr>
    </w:p>
    <w:p>
      <w:pPr>
        <w:jc w:val="both"/>
        <w:ind w:left="-464" w:firstLine="464"/>
        <w:spacing w:after="0" w:line="298" w:lineRule="auto"/>
        <w:tabs>
          <w:tab w:leader="none" w:pos="241"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12" w:lineRule="exact"/>
        <w:rPr>
          <w:rFonts w:ascii="Arial" w:cs="Arial" w:eastAsia="Arial" w:hAnsi="Arial"/>
          <w:sz w:val="16"/>
          <w:szCs w:val="16"/>
          <w:color w:val="auto"/>
        </w:rPr>
      </w:pPr>
    </w:p>
    <w:p>
      <w:pPr>
        <w:ind w:left="-464" w:right="20" w:firstLine="464"/>
        <w:spacing w:after="0" w:line="286" w:lineRule="auto"/>
        <w:tabs>
          <w:tab w:leader="none" w:pos="231"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13" w:lineRule="exact"/>
        <w:rPr>
          <w:rFonts w:ascii="Arial" w:cs="Arial" w:eastAsia="Arial" w:hAnsi="Arial"/>
          <w:sz w:val="16"/>
          <w:szCs w:val="16"/>
          <w:color w:val="auto"/>
        </w:rPr>
      </w:pPr>
    </w:p>
    <w:p>
      <w:pPr>
        <w:ind w:left="5156" w:hanging="96"/>
        <w:spacing w:after="0"/>
        <w:tabs>
          <w:tab w:leader="none" w:pos="5156" w:val="left"/>
        </w:tabs>
        <w:numPr>
          <w:ilvl w:val="1"/>
          <w:numId w:val="373"/>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0896"/>
          </w:cols>
          <w:pgMar w:left="704" w:top="280" w:right="299" w:bottom="1440" w:gutter="0" w:footer="0" w:header="0"/>
        </w:sectPr>
      </w:pPr>
    </w:p>
    <w:bookmarkStart w:id="489" w:name="page490"/>
    <w:bookmarkEnd w:id="489"/>
    <w:p>
      <w:pPr>
        <w:ind w:right="240" w:firstLine="464"/>
        <w:spacing w:after="0" w:line="268" w:lineRule="auto"/>
        <w:tabs>
          <w:tab w:leader="none" w:pos="676" w:val="left"/>
        </w:tabs>
        <w:numPr>
          <w:ilvl w:val="0"/>
          <w:numId w:val="3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Borrower’s obligations under this Section shall survive any termination of this Agreement and the other Loan Documents and the payment in full in cash of the Obligations, and are in addition to, and not in substitution of, any other of their obligations set forth in this Agreement or any other Loan Document to which it is a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Termination; Survival.</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such time as (a) the outstanding principal balance of the Loans and (b) all other Obligations (other than obligations which survive as provided in the following sentence) have been paid and satisfied in full, this Agreement shall terminate. The indemnities to which the Agent and the Lenders are entitled under the provisions of Sections 3.12., 4.1., 4.4., 11.7., 12.2. and 12.9. and any other provision of this Agreement and the other Loan Documents, and the provisions of Section 12.4., shall continue in full force and effect and shall protect the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12.11. Severability of Provisions.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12.12. GOVERNING LAW.</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APPLICABLE TO CONTRACTS EXECUTED, AND TO BE FULLY PERFORMED, IN SUCH STATE.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12.13. Patriot Act.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Lenders and the Agent each hereby notifies the Borrower that pursuant to the requirements of the USA Patriot Act (Title III of Pub. L. 107-56 (signed into law October 26, 2001)), it is required to obtain, verify and record information that identifies the Borrower and the other Loan Parties, which information includes the name and address of the Borrower and the other Loan Parties and other information that will allow such Lender or the Agent, as applicable, to identify the Borrower and the other Loan Parties in accordance with such Act.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60"/>
          </w:cols>
          <w:pgMar w:left="240" w:top="280" w:right="299" w:bottom="1440" w:gutter="0" w:footer="0" w:header="0"/>
        </w:sectPr>
      </w:pPr>
    </w:p>
    <w:bookmarkStart w:id="490" w:name="page491"/>
    <w:bookmarkEnd w:id="4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12.14. Counterparts.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This Agreement and any amendments, waivers, consents or supplements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12.15. Obligations with Respect to Loan Parties.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12.16. Limitation of Liability.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Neither the Agent nor any Lender, nor any affiliate, officer, director, employee, attorney, or agent of the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or any of the other Loan Documents, or any of the transactions contemplated by this Agreement or any of the other Loan Documents. The Borrower hereby waives, releases, and agrees not to sue the Agent or any Lender or any of the Agent’s or any Lender’s affiliates, officers, directors, employees, attorneys, or agents for punitive damages in respect of any claim in connection with, arising out of, or in any way related to, this Agreement or any of the other Loan Documents, or any of the transactions contemplated by this Agreement or financed hereby.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12.17. Entire Agreement.</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This Agreement, the Notes, and the other Loan Documents referred to herein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12.18. Construction.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Agent, the Borrower and each Lender.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360"/>
          </w:cols>
          <w:pgMar w:left="240" w:top="273" w:right="299" w:bottom="1440" w:gutter="0" w:footer="0" w:header="0"/>
        </w:sectPr>
      </w:pPr>
    </w:p>
    <w:bookmarkStart w:id="491" w:name="page492"/>
    <w:bookmarkEnd w:id="4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12.19. Limitation of Liability of Trustees, Etc.</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ANY OTHER PROVISION OF THIS AGREEMENT AND THE OTHER LOAN DOCUMENTS, THE AGENT AND THE LENDERS SHALL LOOK SOLELY TO THE PROPERTY OF THE BORROWER AND THE OTHER LOAN PARTIES FOR THE ENFORCEMENT OF ANY CLAIM AGAINST THE BORROWER AND SUCH LOAN PARTY UNDER OR IN RESPECT OF ANY OF THE LOAN DOCUMENTS AND ACCORDINGLY NEITHER THE TRUSTEES, OFFICERS, EMPLOYEES, AGENTS NOR SHAREHOLDERS OF THE BORROWER SHALL HAVE ANY PERSONAL LIABILITY FOR OBLIGATIONS ENTERED INTO BY OR ON BEHALF OF THE BORROWER OR ANY OTHER LOAN PARTY.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240"/>
          </w:cols>
          <w:pgMar w:left="240" w:top="274" w:right="419" w:bottom="1440" w:gutter="0" w:footer="0" w:header="0"/>
        </w:sectPr>
      </w:pPr>
    </w:p>
    <w:bookmarkStart w:id="492" w:name="page493"/>
    <w:bookmarkEnd w:id="492"/>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Credit Agreement to be executed by their authorized officers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3040" w:type="dxa"/>
            <w:vAlign w:val="bottom"/>
          </w:tcPr>
          <w:p>
            <w:pPr>
              <w:ind w:left="24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17"/>
        </w:trPr>
        <w:tc>
          <w:tcPr>
            <w:tcW w:w="3040" w:type="dxa"/>
            <w:vAlign w:val="bottom"/>
          </w:tcPr>
          <w:p>
            <w:pPr>
              <w:ind w:left="24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Andrew P. Blocher</w:t>
            </w:r>
          </w:p>
        </w:tc>
      </w:tr>
      <w:tr>
        <w:trPr>
          <w:trHeight w:val="216"/>
        </w:trPr>
        <w:tc>
          <w:tcPr>
            <w:tcW w:w="3040" w:type="dxa"/>
            <w:vAlign w:val="bottom"/>
          </w:tcPr>
          <w:p>
            <w:pPr>
              <w:ind w:left="24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President-Chief Financial Officer and</w:t>
            </w:r>
          </w:p>
        </w:tc>
      </w:tr>
      <w:tr>
        <w:trPr>
          <w:trHeight w:val="222"/>
        </w:trPr>
        <w:tc>
          <w:tcPr>
            <w:tcW w:w="30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r>
        <w:trPr>
          <w:trHeight w:val="378"/>
        </w:trPr>
        <w:tc>
          <w:tcPr>
            <w:tcW w:w="3040" w:type="dxa"/>
            <w:vAlign w:val="bottom"/>
          </w:tcPr>
          <w:p>
            <w:pPr>
              <w:jc w:val="center"/>
              <w:ind w:right="332"/>
              <w:spacing w:after="0"/>
              <w:rPr>
                <w:sz w:val="20"/>
                <w:szCs w:val="20"/>
                <w:color w:val="auto"/>
              </w:rPr>
            </w:pPr>
            <w:r>
              <w:rPr>
                <w:rFonts w:ascii="Arial" w:cs="Arial" w:eastAsia="Arial" w:hAnsi="Arial"/>
                <w:sz w:val="18"/>
                <w:szCs w:val="18"/>
                <w:color w:val="auto"/>
                <w:w w:val="88"/>
              </w:rPr>
              <w:t>[Signatures Continued on Next Page]</w:t>
            </w:r>
          </w:p>
        </w:tc>
        <w:tc>
          <w:tcPr>
            <w:tcW w:w="3980" w:type="dxa"/>
            <w:vAlign w:val="bottom"/>
          </w:tcPr>
          <w:p>
            <w:pPr>
              <w:spacing w:after="0"/>
              <w:rPr>
                <w:sz w:val="24"/>
                <w:szCs w:val="24"/>
                <w:color w:val="auto"/>
              </w:rPr>
            </w:pPr>
          </w:p>
        </w:tc>
      </w:tr>
      <w:tr>
        <w:trPr>
          <w:trHeight w:val="365"/>
        </w:trPr>
        <w:tc>
          <w:tcPr>
            <w:tcW w:w="3040" w:type="dxa"/>
            <w:vAlign w:val="bottom"/>
          </w:tcPr>
          <w:p>
            <w:pPr>
              <w:jc w:val="right"/>
              <w:ind w:right="1452"/>
              <w:spacing w:after="0"/>
              <w:rPr>
                <w:sz w:val="20"/>
                <w:szCs w:val="20"/>
                <w:color w:val="auto"/>
              </w:rPr>
            </w:pPr>
            <w:r>
              <w:rPr>
                <w:rFonts w:ascii="Arial" w:cs="Arial" w:eastAsia="Arial" w:hAnsi="Arial"/>
                <w:sz w:val="18"/>
                <w:szCs w:val="18"/>
                <w:color w:val="auto"/>
              </w:rPr>
              <w:t>- 84 -</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493" w:name="page494"/>
    <w:bookmarkEnd w:id="493"/>
    <w:p>
      <w:pPr>
        <w:jc w:val="center"/>
        <w:ind w:right="1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May 4, 2009 with Federal Realty Investment Trust]</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and 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Amit Khimji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Amit Khimji</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6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[Signatures Continued on Next Page]</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0020"/>
          </w:cols>
          <w:pgMar w:left="1440" w:top="274" w:right="439" w:bottom="1440" w:gutter="0" w:footer="0" w:header="0"/>
        </w:sectPr>
      </w:pPr>
    </w:p>
    <w:bookmarkStart w:id="494" w:name="page495"/>
    <w:bookmarkEnd w:id="49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May 4, 2009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PNC BANK, NATIONAL ASSOCIATION</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R. Lynch,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R. Lynch, III</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Kimberly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Kimberly Turner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Executive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T. Horstman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Gregory T. Horstman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REGIONS BANK</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Cathy A.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Cathy A. Casey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Edwards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9019"/>
          </w:cols>
          <w:pgMar w:left="1440" w:top="274" w:right="1440" w:bottom="1440" w:gutter="0" w:footer="0" w:header="0"/>
        </w:sectPr>
      </w:pPr>
    </w:p>
    <w:bookmarkStart w:id="495" w:name="page496"/>
    <w:bookmarkEnd w:id="49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 BANK OF CANADA</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LePage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 LePage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CHEVY CHASE BANK, F.S.B.</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Frederick H. Denecke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Frederick H. Denecke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CITICORP NORTH AMERICA, INC.</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Gouger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Daniel Gouger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COMERICA BANK</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J.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Adam J. Sheets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RAYMOND JAMES BANK, FSB</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M. Armstrong</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0220"/>
          </w:cols>
          <w:pgMar w:left="1440" w:top="280" w:right="239" w:bottom="1440" w:gutter="0" w:footer="0" w:header="0"/>
        </w:sectPr>
      </w:pPr>
    </w:p>
    <w:bookmarkStart w:id="496" w:name="page497"/>
    <w:bookmarkEnd w:id="496"/>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460" w:type="dxa"/>
            <w:vAlign w:val="bottom"/>
            <w:gridSpan w:val="2"/>
          </w:tcPr>
          <w:p>
            <w:pPr>
              <w:ind w:left="1240"/>
              <w:spacing w:after="0"/>
              <w:rPr>
                <w:sz w:val="20"/>
                <w:szCs w:val="20"/>
                <w:color w:val="auto"/>
              </w:rPr>
            </w:pPr>
            <w:r>
              <w:rPr>
                <w:rFonts w:ascii="Arial" w:cs="Arial" w:eastAsia="Arial" w:hAnsi="Arial"/>
                <w:sz w:val="18"/>
                <w:szCs w:val="18"/>
                <w:color w:val="auto"/>
              </w:rPr>
              <w:t>SCHEDULE 1</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460" w:type="dxa"/>
            <w:vAlign w:val="bottom"/>
            <w:gridSpan w:val="2"/>
          </w:tcPr>
          <w:p>
            <w:pPr>
              <w:ind w:left="1280"/>
              <w:spacing w:after="0"/>
              <w:rPr>
                <w:sz w:val="20"/>
                <w:szCs w:val="20"/>
                <w:color w:val="auto"/>
              </w:rPr>
            </w:pPr>
            <w:r>
              <w:rPr>
                <w:rFonts w:ascii="Arial" w:cs="Arial" w:eastAsia="Arial" w:hAnsi="Arial"/>
                <w:sz w:val="18"/>
                <w:szCs w:val="18"/>
                <w:color w:val="auto"/>
              </w:rPr>
              <w:t>Commitments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62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88"/>
              </w:rPr>
              <w:t>Commitment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Bank, National Association</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c>
          <w:tcPr>
            <w:tcW w:w="646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SunTrust Bank</w:t>
            </w:r>
          </w:p>
        </w:tc>
        <w:tc>
          <w:tcPr>
            <w:tcW w:w="646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Bank</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646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Chevy Chase Bank, F.S.B.</w:t>
            </w:r>
          </w:p>
        </w:tc>
        <w:tc>
          <w:tcPr>
            <w:tcW w:w="646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Citicorp North America Inc.</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Comerica Bank</w:t>
            </w:r>
          </w:p>
        </w:tc>
        <w:tc>
          <w:tcPr>
            <w:tcW w:w="646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Bank, FSB</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460" w:type="dxa"/>
            <w:vAlign w:val="bottom"/>
            <w:gridSpan w:val="2"/>
          </w:tcPr>
          <w:p>
            <w:pPr>
              <w:ind w:left="62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372,000,000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97" w:name="page498"/>
    <w:bookmarkEnd w:id="497"/>
    <w:p>
      <w:pPr>
        <w:jc w:val="center"/>
        <w:ind w:right="-119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1.1(A)</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u w:val="single" w:color="auto"/>
          <w:color w:val="auto"/>
        </w:rPr>
        <w:t>LIST OF LOAN PARTIES</w:t>
      </w:r>
    </w:p>
    <w:p>
      <w:pPr>
        <w:spacing w:after="0" w:line="241" w:lineRule="exact"/>
        <w:rPr>
          <w:sz w:val="20"/>
          <w:szCs w:val="20"/>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FR ASSOCIATES LIMITED PARTNERSHIP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BERMAN ENTERPRISES II LIMITED PARTNERSHIP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GOVERNOR PLAZA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ANDORRA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SHOPPING CENTER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FR PIKE 7 LIMITED PARTNERSHIP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STREET RETAIL,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FRIT SAN JOSE TOWN AND COUNTRY VILLAGE,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SAN JOSE RESIDENTIAL,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STREET RETAIL FOREST HILLS 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SRI OLD TOWN,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FEDERAL REALTY PARTNERS,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FEDERAL REALTY PARTNERS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FRLP,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STREET RETAIL WEST GP,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STREET RETAIL WEST I,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STREET RETAIL WEST II,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STREET RETAIL WEST 3,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STREET RETAIL WEST 4,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STREET RETAIL WEST 6, L.P.</w:t>
      </w:r>
    </w:p>
    <w:p>
      <w:pPr>
        <w:spacing w:after="0" w:line="158"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11"/>
          </w:cols>
          <w:pgMar w:left="248" w:top="273" w:right="1440" w:bottom="1440" w:gutter="0" w:footer="0" w:header="0"/>
        </w:sectPr>
      </w:pPr>
    </w:p>
    <w:bookmarkStart w:id="498" w:name="page499"/>
    <w:bookmarkEnd w:id="498"/>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STREET RETAIL WEST 10, L.P.</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ASSEMBLY SQUARE,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STURTEVANT STREET,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STURTEVANT STREET,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WESTGATE MALL,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WESTGATE MALL,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STREET RETAIL SAN ANTONIO, LP</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SRI SAN ANTONIO,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SRI TEXAS,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LINDEN SQUARE,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CHELSEA COMMONS II,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CHELSEA COMMONS II,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NORTH DARTMOUTH,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NORTH DARTMOUTH,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WHITE MARSH,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CORDON FAIRFIELD BUSINESS TRUST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CAMPBELL-PHILADELPHIA BUSINESS TRUST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SHOPPES AT NOTTINGHAM SQUARE BUSINESS TRUST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RETAIL PROPERTIES BUSINESS TRUST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NOTTINGHAM SQUARE BUSINESS TRUST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BYRON STATION,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BYRON STATION LIMITED PARTNERSHIP, LLLP</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MERCER MALL,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FR MERCER MALL, INC.</w:t>
      </w:r>
    </w:p>
    <w:p>
      <w:pPr>
        <w:spacing w:after="0" w:line="158"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219"/>
          </w:cols>
          <w:pgMar w:left="240" w:top="280" w:right="1440" w:bottom="1440" w:gutter="0" w:footer="0" w:header="0"/>
        </w:sectPr>
      </w:pPr>
    </w:p>
    <w:bookmarkStart w:id="499" w:name="page500"/>
    <w:bookmarkEnd w:id="499"/>
    <w:p>
      <w:pPr>
        <w:ind w:left="460" w:hanging="452"/>
        <w:spacing w:after="0"/>
        <w:tabs>
          <w:tab w:leader="none" w:pos="4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 DEL MAR VILLAGE,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FR DEL MAR VILLAGE II,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FR CHELSEA COMMONS III, LLC</w:t>
      </w:r>
    </w:p>
    <w:p>
      <w:pPr>
        <w:spacing w:after="0" w:line="158"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219"/>
          </w:cols>
          <w:pgMar w:left="240" w:top="280" w:right="1440" w:bottom="1440" w:gutter="0" w:footer="0" w:header="0"/>
        </w:sectPr>
      </w:pPr>
    </w:p>
    <w:bookmarkStart w:id="500" w:name="page501"/>
    <w:bookmarkEnd w:id="50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Nature of</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 Ownership</w:t>
            </w:r>
          </w:p>
        </w:tc>
        <w:tc>
          <w:tcPr>
            <w:tcW w:w="1460" w:type="dxa"/>
            <w:vAlign w:val="bottom"/>
          </w:tcPr>
          <w:p>
            <w:pPr>
              <w:ind w:left="140"/>
              <w:spacing w:after="0"/>
              <w:rPr>
                <w:sz w:val="20"/>
                <w:szCs w:val="20"/>
                <w:color w:val="auto"/>
              </w:rPr>
            </w:pPr>
            <w:r>
              <w:rPr>
                <w:rFonts w:ascii="Arial" w:cs="Arial" w:eastAsia="Arial" w:hAnsi="Arial"/>
                <w:sz w:val="14"/>
                <w:szCs w:val="14"/>
                <w:b w:val="1"/>
                <w:bCs w:val="1"/>
                <w:color w:val="auto"/>
                <w:w w:val="94"/>
              </w:rPr>
              <w:t>Excluded Subsidiary</w:t>
            </w:r>
          </w:p>
        </w:tc>
        <w:tc>
          <w:tcPr>
            <w:tcW w:w="120" w:type="dxa"/>
            <w:vAlign w:val="bottom"/>
          </w:tcPr>
          <w:p>
            <w:pPr>
              <w:spacing w:after="0"/>
              <w:rPr>
                <w:sz w:val="15"/>
                <w:szCs w:val="15"/>
                <w:color w:val="auto"/>
              </w:rPr>
            </w:pPr>
          </w:p>
        </w:tc>
        <w:tc>
          <w:tcPr>
            <w:tcW w:w="2940" w:type="dxa"/>
            <w:vAlign w:val="bottom"/>
          </w:tcPr>
          <w:p>
            <w:pPr>
              <w:ind w:left="320"/>
              <w:spacing w:after="0"/>
              <w:rPr>
                <w:sz w:val="20"/>
                <w:szCs w:val="20"/>
                <w:color w:val="auto"/>
              </w:rPr>
            </w:pPr>
            <w:r>
              <w:rPr>
                <w:rFonts w:ascii="Arial" w:cs="Arial" w:eastAsia="Arial" w:hAnsi="Arial"/>
                <w:sz w:val="14"/>
                <w:szCs w:val="14"/>
                <w:b w:val="1"/>
                <w:bCs w:val="1"/>
                <w:color w:val="auto"/>
                <w:w w:val="97"/>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Borders>
              <w:top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Borrower</w:t>
            </w: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Permitted Liens on properties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identified in Schedule 6.1(f);</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   Stock options in favor of Trustees,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employees and certain vendors;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Dividend reinvestment plan;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   Active shelf registration statement;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Active registration statements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certain stock issued as unregistered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shares and for stock that may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issued on conversion of Series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Preferred Shares and downreit units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 NVI-Avenue, LLC;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   See Federal Realty Partners L.P., FR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Leesburg Plaza, LP, FR Pike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Limited Partnership and Street Retail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West 7, L.P. for registration rights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agreements;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2007 Employee Stock Purchase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FR ASSOCIATES LIMITED</w:t>
            </w: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6"/>
              </w:rPr>
              <w:t>General partner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Guarantor</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w w:val="96"/>
              </w:rPr>
              <w:t>PARTNERSHIP, a Maryland limited</w:t>
            </w: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partnership</w:t>
            </w: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Limited partner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97.97%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Street Retail, Inc.</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Limited partner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BERMAN ENTERPRISES II</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6"/>
              </w:rPr>
              <w:t>General partner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PARTNERSHIP, a</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4"/>
              </w:rPr>
              <w:t>Material Subsidiary</w:t>
            </w: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 limited partnership</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4"/>
              </w:rPr>
              <w:t>(in conjunction with</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FR Associates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GOVERNOR PLAZA</w:t>
            </w: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6"/>
              </w:rPr>
              <w:t>General partner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Guarantor</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ASSOCIATES, a Pennsylvania</w:t>
            </w: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general partnership</w:t>
            </w:r>
          </w:p>
        </w:tc>
        <w:tc>
          <w:tcPr>
            <w:tcW w:w="1620" w:type="dxa"/>
            <w:vAlign w:val="bottom"/>
          </w:tcPr>
          <w:p>
            <w:pPr>
              <w:spacing w:after="0"/>
              <w:rPr>
                <w:sz w:val="20"/>
                <w:szCs w:val="20"/>
                <w:color w:val="auto"/>
              </w:rPr>
            </w:pPr>
            <w:r>
              <w:rPr>
                <w:rFonts w:ascii="Arial" w:cs="Arial" w:eastAsia="Arial" w:hAnsi="Arial"/>
                <w:sz w:val="18"/>
                <w:szCs w:val="18"/>
                <w:color w:val="auto"/>
              </w:rPr>
              <w:t>FR Associates</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6"/>
              </w:rPr>
              <w:t>General partner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3" w:right="239" w:bottom="1440" w:gutter="0" w:footer="0" w:header="0"/>
        </w:sectPr>
      </w:pPr>
    </w:p>
    <w:bookmarkStart w:id="501" w:name="page502"/>
    <w:bookmarkEnd w:id="50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Nature of</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Material and/or</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 Ownership</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Excluded Subsidiary</w:t>
            </w:r>
          </w:p>
        </w:tc>
        <w:tc>
          <w:tcPr>
            <w:tcW w:w="120" w:type="dxa"/>
            <w:vAlign w:val="bottom"/>
          </w:tcPr>
          <w:p>
            <w:pPr>
              <w:spacing w:after="0"/>
              <w:rPr>
                <w:sz w:val="15"/>
                <w:szCs w:val="15"/>
                <w:color w:val="auto"/>
              </w:rPr>
            </w:pPr>
          </w:p>
        </w:tc>
        <w:tc>
          <w:tcPr>
            <w:tcW w:w="2820" w:type="dxa"/>
            <w:vAlign w:val="bottom"/>
            <w:gridSpan w:val="2"/>
          </w:tcPr>
          <w:p>
            <w:pPr>
              <w:ind w:left="260"/>
              <w:spacing w:after="0"/>
              <w:rPr>
                <w:sz w:val="20"/>
                <w:szCs w:val="20"/>
                <w:color w:val="auto"/>
              </w:rPr>
            </w:pPr>
            <w:r>
              <w:rPr>
                <w:rFonts w:ascii="Arial" w:cs="Arial" w:eastAsia="Arial" w:hAnsi="Arial"/>
                <w:sz w:val="14"/>
                <w:szCs w:val="14"/>
                <w:b w:val="1"/>
                <w:bCs w:val="1"/>
                <w:color w:val="auto"/>
                <w:w w:val="95"/>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5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ANDORRA ASSOCIATES, a</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6"/>
              </w:rPr>
              <w:t>General partner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 limited partnership</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FR Associates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SHOPPING CENTER</w:t>
            </w: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6"/>
              </w:rPr>
              <w:t>General partner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ASSOCIATES, a Pennsylvania</w:t>
            </w: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limited partnership</w:t>
            </w:r>
          </w:p>
        </w:tc>
        <w:tc>
          <w:tcPr>
            <w:tcW w:w="162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Limited partner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FR Associates</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Limited partner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PIKE 7 LIMITED</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6"/>
              </w:rPr>
              <w:t>General partner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Right to exchange 12,393.71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PARTNERSHIP, a Delaware limited</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88"/>
              </w:rPr>
              <w:t>partnership units for Federal Realty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 (DownREIT)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98.3143%</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2"/>
              </w:rPr>
              <w:t>stock or cash (at Federal Realty’s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option);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M&amp;R Associates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0"/>
              </w:rPr>
              <w:t>Registration rights for stock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89"/>
              </w:rPr>
              <w:t>on redemption of partnership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Partnership, Pike 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Plaza</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273"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5"/>
              </w:rPr>
              <w:t>FRIT ESCONDIDO PROMENADE,</w:t>
            </w:r>
          </w:p>
        </w:tc>
        <w:tc>
          <w:tcPr>
            <w:tcW w:w="1620" w:type="dxa"/>
            <w:vAlign w:val="bottom"/>
          </w:tcPr>
          <w:p>
            <w:pPr>
              <w:ind w:left="60"/>
              <w:spacing w:after="0"/>
              <w:rPr>
                <w:sz w:val="20"/>
                <w:szCs w:val="20"/>
                <w:color w:val="auto"/>
              </w:rPr>
            </w:pPr>
            <w:r>
              <w:rPr>
                <w:rFonts w:ascii="Arial" w:cs="Arial" w:eastAsia="Arial" w:hAnsi="Arial"/>
                <w:sz w:val="18"/>
                <w:szCs w:val="18"/>
                <w:color w:val="auto"/>
              </w:rPr>
              <w:t>Federal Realty</w:t>
            </w:r>
          </w:p>
        </w:tc>
        <w:tc>
          <w:tcPr>
            <w:tcW w:w="800" w:type="dxa"/>
            <w:vAlign w:val="bottom"/>
          </w:tcPr>
          <w:p>
            <w:pPr>
              <w:ind w:left="180"/>
              <w:spacing w:after="0"/>
              <w:rPr>
                <w:sz w:val="20"/>
                <w:szCs w:val="20"/>
                <w:color w:val="auto"/>
              </w:rPr>
            </w:pPr>
            <w:r>
              <w:rPr>
                <w:rFonts w:ascii="Arial" w:cs="Arial" w:eastAsia="Arial" w:hAnsi="Arial"/>
                <w:sz w:val="18"/>
                <w:szCs w:val="18"/>
                <w:color w:val="auto"/>
                <w:w w:val="84"/>
              </w:rPr>
              <w:t>Manager</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LLC, a California limited liability</w:t>
            </w:r>
          </w:p>
        </w:tc>
        <w:tc>
          <w:tcPr>
            <w:tcW w:w="1620" w:type="dxa"/>
            <w:vAlign w:val="bottom"/>
          </w:tcPr>
          <w:p>
            <w:pPr>
              <w:ind w:left="60"/>
              <w:spacing w:after="0"/>
              <w:rPr>
                <w:sz w:val="20"/>
                <w:szCs w:val="20"/>
                <w:color w:val="auto"/>
              </w:rPr>
            </w:pPr>
            <w:r>
              <w:rPr>
                <w:rFonts w:ascii="Arial" w:cs="Arial" w:eastAsia="Arial" w:hAnsi="Arial"/>
                <w:sz w:val="18"/>
                <w:szCs w:val="18"/>
                <w:color w:val="auto"/>
              </w:rPr>
              <w:t>Investment Trust</w:t>
            </w:r>
          </w:p>
        </w:tc>
        <w:tc>
          <w:tcPr>
            <w:tcW w:w="80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company</w:t>
            </w:r>
          </w:p>
        </w:tc>
        <w:tc>
          <w:tcPr>
            <w:tcW w:w="1620" w:type="dxa"/>
            <w:vAlign w:val="bottom"/>
          </w:tcPr>
          <w:p>
            <w:pPr>
              <w:ind w:left="60"/>
              <w:spacing w:after="0"/>
              <w:rPr>
                <w:sz w:val="20"/>
                <w:szCs w:val="20"/>
                <w:color w:val="auto"/>
              </w:rPr>
            </w:pPr>
            <w:r>
              <w:rPr>
                <w:rFonts w:ascii="Arial" w:cs="Arial" w:eastAsia="Arial" w:hAnsi="Arial"/>
                <w:sz w:val="18"/>
                <w:szCs w:val="18"/>
                <w:color w:val="auto"/>
                <w:w w:val="97"/>
              </w:rPr>
              <w:t>Spark Development</w:t>
            </w:r>
          </w:p>
        </w:tc>
        <w:tc>
          <w:tcPr>
            <w:tcW w:w="800" w:type="dxa"/>
            <w:vAlign w:val="bottom"/>
          </w:tcPr>
          <w:p>
            <w:pPr>
              <w:ind w:left="180"/>
              <w:spacing w:after="0"/>
              <w:rPr>
                <w:sz w:val="20"/>
                <w:szCs w:val="20"/>
                <w:color w:val="auto"/>
              </w:rPr>
            </w:pPr>
            <w:r>
              <w:rPr>
                <w:rFonts w:ascii="Arial" w:cs="Arial" w:eastAsia="Arial" w:hAnsi="Arial"/>
                <w:sz w:val="18"/>
                <w:szCs w:val="18"/>
                <w:color w:val="auto"/>
                <w:w w:val="90"/>
              </w:rPr>
              <w:t>Member</w:t>
            </w:r>
          </w:p>
        </w:tc>
      </w:tr>
      <w:tr>
        <w:trPr>
          <w:trHeight w:val="222"/>
        </w:trPr>
        <w:tc>
          <w:tcPr>
            <w:tcW w:w="2700" w:type="dxa"/>
            <w:vAlign w:val="bottom"/>
          </w:tcPr>
          <w:p>
            <w:pPr>
              <w:spacing w:after="0"/>
              <w:rPr>
                <w:sz w:val="19"/>
                <w:szCs w:val="19"/>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Partners, LLC</w:t>
            </w:r>
          </w:p>
        </w:tc>
        <w:tc>
          <w:tcPr>
            <w:tcW w:w="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3"/>
              </w:rPr>
              <w:t>70%</w:t>
            </w:r>
          </w:p>
        </w:tc>
        <w:tc>
          <w:tcPr>
            <w:tcW w:w="1600" w:type="dxa"/>
            <w:vAlign w:val="bottom"/>
          </w:tcPr>
          <w:p>
            <w:pPr>
              <w:ind w:left="60"/>
              <w:spacing w:after="0"/>
              <w:rPr>
                <w:sz w:val="20"/>
                <w:szCs w:val="20"/>
                <w:color w:val="auto"/>
              </w:rPr>
            </w:pPr>
            <w:r>
              <w:rPr>
                <w:rFonts w:ascii="Arial" w:cs="Arial" w:eastAsia="Arial" w:hAnsi="Arial"/>
                <w:sz w:val="18"/>
                <w:szCs w:val="18"/>
                <w:color w:val="auto"/>
              </w:rPr>
              <w:t>Owner of Non-</w:t>
            </w:r>
          </w:p>
        </w:tc>
        <w:tc>
          <w:tcPr>
            <w:tcW w:w="540" w:type="dxa"/>
            <w:vAlign w:val="bottom"/>
          </w:tcPr>
          <w:p>
            <w:pPr>
              <w:ind w:left="160"/>
              <w:spacing w:after="0"/>
              <w:rPr>
                <w:sz w:val="20"/>
                <w:szCs w:val="20"/>
                <w:color w:val="auto"/>
              </w:rPr>
            </w:pPr>
            <w:r>
              <w:rPr>
                <w:rFonts w:ascii="Arial" w:cs="Arial" w:eastAsia="Arial" w:hAnsi="Arial"/>
                <w:sz w:val="18"/>
                <w:szCs w:val="18"/>
                <w:color w:val="auto"/>
                <w:w w:val="83"/>
              </w:rPr>
              <w:t>None</w:t>
            </w:r>
          </w:p>
        </w:tc>
        <w:tc>
          <w:tcPr>
            <w:tcW w:w="0" w:type="dxa"/>
            <w:vAlign w:val="bottom"/>
          </w:tcPr>
          <w:p>
            <w:pPr>
              <w:spacing w:after="0"/>
              <w:rPr>
                <w:sz w:val="1"/>
                <w:szCs w:val="1"/>
                <w:color w:val="auto"/>
              </w:rPr>
            </w:pPr>
          </w:p>
        </w:tc>
      </w:tr>
      <w:tr>
        <w:trPr>
          <w:trHeight w:val="222"/>
        </w:trPr>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83"/>
              </w:rPr>
              <w:t>30%</w:t>
            </w:r>
          </w:p>
        </w:tc>
        <w:tc>
          <w:tcPr>
            <w:tcW w:w="1600" w:type="dxa"/>
            <w:vAlign w:val="bottom"/>
          </w:tcPr>
          <w:p>
            <w:pPr>
              <w:ind w:left="60"/>
              <w:spacing w:after="0"/>
              <w:rPr>
                <w:sz w:val="20"/>
                <w:szCs w:val="20"/>
                <w:color w:val="auto"/>
              </w:rPr>
            </w:pPr>
            <w:r>
              <w:rPr>
                <w:rFonts w:ascii="Arial" w:cs="Arial" w:eastAsia="Arial" w:hAnsi="Arial"/>
                <w:sz w:val="18"/>
                <w:szCs w:val="18"/>
                <w:color w:val="auto"/>
                <w:w w:val="97"/>
              </w:rPr>
              <w:t>Controlled Property</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80" w:type="dxa"/>
            <w:vAlign w:val="bottom"/>
            <w:vMerge w:val="continue"/>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18"/>
                <w:szCs w:val="18"/>
                <w:color w:val="auto"/>
              </w:rPr>
              <w:t>• Escondido</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Promenade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Shopping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Escondido, CA</w:t>
      </w:r>
    </w:p>
    <w:p>
      <w:pPr>
        <w:spacing w:after="0" w:line="200" w:lineRule="exact"/>
        <w:rPr>
          <w:sz w:val="20"/>
          <w:szCs w:val="20"/>
          <w:color w:val="auto"/>
        </w:rPr>
      </w:pPr>
    </w:p>
    <w:p>
      <w:pPr>
        <w:sectPr>
          <w:pgSz w:w="11900" w:h="16838" w:orient="portrait"/>
          <w:cols w:equalWidth="0" w:num="2">
            <w:col w:w="5740" w:space="720"/>
            <w:col w:w="4960"/>
          </w:cols>
          <w:pgMar w:left="240" w:top="273"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FR FEDERAL PLAZA, INC., a</w:t>
            </w:r>
          </w:p>
        </w:tc>
        <w:tc>
          <w:tcPr>
            <w:tcW w:w="1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Realty</w:t>
            </w:r>
          </w:p>
        </w:tc>
        <w:tc>
          <w:tcPr>
            <w:tcW w:w="1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Sole</w:t>
            </w:r>
          </w:p>
        </w:tc>
        <w:tc>
          <w:tcPr>
            <w:tcW w:w="60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100% Excluded subsidiary   None</w:t>
            </w:r>
          </w:p>
        </w:tc>
      </w:tr>
      <w:tr>
        <w:trPr>
          <w:trHeight w:val="238"/>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Delaware corporation</w:t>
            </w:r>
          </w:p>
        </w:tc>
        <w:tc>
          <w:tcPr>
            <w:tcW w:w="1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Trust</w:t>
            </w:r>
          </w:p>
        </w:tc>
        <w:tc>
          <w:tcPr>
            <w:tcW w:w="11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stockholder</w:t>
            </w:r>
          </w:p>
        </w:tc>
        <w:tc>
          <w:tcPr>
            <w:tcW w:w="602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Material subsidiary</w:t>
            </w:r>
          </w:p>
        </w:tc>
      </w:tr>
      <w:tr>
        <w:trPr>
          <w:trHeight w:val="363"/>
        </w:trPr>
        <w:tc>
          <w:tcPr>
            <w:tcW w:w="2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Arial" w:cs="Arial" w:eastAsia="Arial" w:hAnsi="Arial"/>
                <w:sz w:val="18"/>
                <w:szCs w:val="18"/>
                <w:color w:val="auto"/>
              </w:rPr>
              <w:t>Page 2</w:t>
            </w:r>
          </w:p>
        </w:tc>
      </w:tr>
    </w:tbl>
    <w:p>
      <w:pPr>
        <w:sectPr>
          <w:pgSz w:w="11900" w:h="16838" w:orient="portrait"/>
          <w:cols w:equalWidth="0" w:num="1">
            <w:col w:w="11420"/>
          </w:cols>
          <w:pgMar w:left="240" w:top="273" w:right="239" w:bottom="1440" w:gutter="0" w:footer="0" w:header="0"/>
          <w:type w:val="continuous"/>
        </w:sectPr>
      </w:pPr>
    </w:p>
    <w:bookmarkStart w:id="502" w:name="page503"/>
    <w:bookmarkEnd w:id="50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Nature of</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w w:val="97"/>
              </w:rPr>
              <w:t>ENTITY NAME/Jurisdiction of Formation</w:t>
            </w:r>
          </w:p>
        </w:tc>
        <w:tc>
          <w:tcPr>
            <w:tcW w:w="1480" w:type="dxa"/>
            <w:vAlign w:val="bottom"/>
          </w:tcPr>
          <w:p>
            <w:pPr>
              <w:ind w:left="30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 Ownership</w:t>
            </w:r>
          </w:p>
        </w:tc>
        <w:tc>
          <w:tcPr>
            <w:tcW w:w="1580" w:type="dxa"/>
            <w:vAlign w:val="bottom"/>
          </w:tcPr>
          <w:p>
            <w:pPr>
              <w:ind w:left="200"/>
              <w:spacing w:after="0"/>
              <w:rPr>
                <w:sz w:val="20"/>
                <w:szCs w:val="20"/>
                <w:color w:val="auto"/>
              </w:rPr>
            </w:pPr>
            <w:r>
              <w:rPr>
                <w:rFonts w:ascii="Arial" w:cs="Arial" w:eastAsia="Arial" w:hAnsi="Arial"/>
                <w:sz w:val="14"/>
                <w:szCs w:val="14"/>
                <w:b w:val="1"/>
                <w:bCs w:val="1"/>
                <w:color w:val="auto"/>
                <w:w w:val="98"/>
              </w:rPr>
              <w:t>Excluded Subsidiary</w:t>
            </w:r>
          </w:p>
        </w:tc>
        <w:tc>
          <w:tcPr>
            <w:tcW w:w="120" w:type="dxa"/>
            <w:vAlign w:val="bottom"/>
          </w:tcPr>
          <w:p>
            <w:pPr>
              <w:spacing w:after="0"/>
              <w:rPr>
                <w:sz w:val="15"/>
                <w:szCs w:val="15"/>
                <w:color w:val="auto"/>
              </w:rPr>
            </w:pPr>
          </w:p>
        </w:tc>
        <w:tc>
          <w:tcPr>
            <w:tcW w:w="2820" w:type="dxa"/>
            <w:vAlign w:val="bottom"/>
          </w:tcPr>
          <w:p>
            <w:pPr>
              <w:ind w:left="260"/>
              <w:spacing w:after="0"/>
              <w:rPr>
                <w:sz w:val="20"/>
                <w:szCs w:val="20"/>
                <w:color w:val="auto"/>
              </w:rPr>
            </w:pPr>
            <w:r>
              <w:rPr>
                <w:rFonts w:ascii="Arial" w:cs="Arial" w:eastAsia="Arial" w:hAnsi="Arial"/>
                <w:sz w:val="14"/>
                <w:szCs w:val="14"/>
                <w:b w:val="1"/>
                <w:bCs w:val="1"/>
                <w:color w:val="auto"/>
                <w:w w:val="95"/>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FEDERAL PLAZA, LLC, a</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FR Federal Plaza,</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Sole member</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Delaware limited liability company</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FR LEESBURG PLAZA, LLC, a</w:t>
            </w:r>
          </w:p>
        </w:tc>
        <w:tc>
          <w:tcPr>
            <w:tcW w:w="1480" w:type="dxa"/>
            <w:vAlign w:val="bottom"/>
          </w:tcPr>
          <w:p>
            <w:pPr>
              <w:spacing w:after="0"/>
              <w:rPr>
                <w:sz w:val="20"/>
                <w:szCs w:val="20"/>
                <w:color w:val="auto"/>
              </w:rPr>
            </w:pPr>
            <w:r>
              <w:rPr>
                <w:rFonts w:ascii="Arial" w:cs="Arial" w:eastAsia="Arial" w:hAnsi="Arial"/>
                <w:sz w:val="18"/>
                <w:szCs w:val="18"/>
                <w:color w:val="auto"/>
              </w:rPr>
              <w:t>Federal Realty</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Sole member</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640" w:type="dxa"/>
            <w:vAlign w:val="bottom"/>
            <w:gridSpan w:val="3"/>
          </w:tcPr>
          <w:p>
            <w:pPr>
              <w:spacing w:after="0"/>
              <w:rPr>
                <w:sz w:val="20"/>
                <w:szCs w:val="20"/>
                <w:color w:val="auto"/>
              </w:rPr>
            </w:pPr>
            <w:r>
              <w:rPr>
                <w:rFonts w:ascii="Arial" w:cs="Arial" w:eastAsia="Arial" w:hAnsi="Arial"/>
                <w:sz w:val="18"/>
                <w:szCs w:val="18"/>
                <w:color w:val="auto"/>
              </w:rPr>
              <w:t>Delaware corporation</w:t>
            </w:r>
          </w:p>
        </w:tc>
        <w:tc>
          <w:tcPr>
            <w:tcW w:w="148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LEESBURG PLAZA, LP, a</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1"/>
              </w:rPr>
              <w:t>FR Leesburg Plaza,</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General partner</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319,233 units</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7"/>
              </w:rPr>
              <w:t>Excluded subsidiary</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1"/>
              </w:rPr>
              <w:t>•   Right to exchange partnership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limited partnership</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for Federal Realty stock or cash (at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(DownREIT)</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Realty’s option); and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Paulson Brothers,</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33,267 units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4"/>
              </w:rPr>
              <w:t>•   Registration rights for stock issued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on redemption of partnership units.</w:t>
            </w:r>
          </w:p>
        </w:tc>
        <w:tc>
          <w:tcPr>
            <w:tcW w:w="0" w:type="dxa"/>
            <w:vAlign w:val="bottom"/>
          </w:tcPr>
          <w:p>
            <w:pPr>
              <w:spacing w:after="0"/>
              <w:rPr>
                <w:sz w:val="1"/>
                <w:szCs w:val="1"/>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CONGRESSIONAL PLAZA</w:t>
            </w:r>
          </w:p>
        </w:tc>
        <w:tc>
          <w:tcPr>
            <w:tcW w:w="1480" w:type="dxa"/>
            <w:vAlign w:val="bottom"/>
          </w:tcPr>
          <w:p>
            <w:pPr>
              <w:spacing w:after="0"/>
              <w:rPr>
                <w:sz w:val="20"/>
                <w:szCs w:val="20"/>
                <w:color w:val="auto"/>
              </w:rPr>
            </w:pPr>
            <w:r>
              <w:rPr>
                <w:rFonts w:ascii="Arial" w:cs="Arial" w:eastAsia="Arial" w:hAnsi="Arial"/>
                <w:sz w:val="18"/>
                <w:szCs w:val="18"/>
                <w:color w:val="auto"/>
              </w:rPr>
              <w:t>Federal Realty</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Managing</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64.1030%</w:t>
            </w:r>
          </w:p>
        </w:tc>
        <w:tc>
          <w:tcPr>
            <w:tcW w:w="1580" w:type="dxa"/>
            <w:vAlign w:val="bottom"/>
          </w:tcPr>
          <w:p>
            <w:pPr>
              <w:spacing w:after="0"/>
              <w:rPr>
                <w:sz w:val="20"/>
                <w:szCs w:val="20"/>
                <w:color w:val="auto"/>
              </w:rPr>
            </w:pPr>
            <w:r>
              <w:rPr>
                <w:rFonts w:ascii="Arial" w:cs="Arial" w:eastAsia="Arial" w:hAnsi="Arial"/>
                <w:sz w:val="18"/>
                <w:szCs w:val="18"/>
                <w:color w:val="auto"/>
              </w:rPr>
              <w:t>Owner of Non-</w:t>
            </w:r>
          </w:p>
        </w:tc>
        <w:tc>
          <w:tcPr>
            <w:tcW w:w="12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5"/>
              </w:rPr>
              <w:t>•   Rockville Plaza Company (“RPC”)</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ASSOCIATES, LLC, a Maryland</w:t>
            </w:r>
          </w:p>
        </w:tc>
        <w:tc>
          <w:tcPr>
            <w:tcW w:w="1480" w:type="dxa"/>
            <w:vAlign w:val="bottom"/>
          </w:tcPr>
          <w:p>
            <w:pPr>
              <w:spacing w:after="0"/>
              <w:rPr>
                <w:sz w:val="20"/>
                <w:szCs w:val="20"/>
                <w:color w:val="auto"/>
              </w:rPr>
            </w:pPr>
            <w:r>
              <w:rPr>
                <w:rFonts w:ascii="Arial" w:cs="Arial" w:eastAsia="Arial" w:hAnsi="Arial"/>
                <w:sz w:val="18"/>
                <w:szCs w:val="18"/>
                <w:color w:val="auto"/>
              </w:rPr>
              <w:t>Investment Trust</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member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Controlled Property</w:t>
            </w:r>
          </w:p>
        </w:tc>
        <w:tc>
          <w:tcPr>
            <w:tcW w:w="120" w:type="dxa"/>
            <w:vAlign w:val="bottom"/>
          </w:tcPr>
          <w:p>
            <w:pPr>
              <w:spacing w:after="0"/>
              <w:rPr>
                <w:sz w:val="18"/>
                <w:szCs w:val="18"/>
                <w:color w:val="auto"/>
              </w:rPr>
            </w:pPr>
          </w:p>
        </w:tc>
        <w:tc>
          <w:tcPr>
            <w:tcW w:w="2820" w:type="dxa"/>
            <w:vAlign w:val="bottom"/>
          </w:tcPr>
          <w:p>
            <w:pPr>
              <w:ind w:left="320"/>
              <w:spacing w:after="0"/>
              <w:rPr>
                <w:sz w:val="20"/>
                <w:szCs w:val="20"/>
                <w:color w:val="auto"/>
              </w:rPr>
            </w:pPr>
            <w:r>
              <w:rPr>
                <w:rFonts w:ascii="Arial" w:cs="Arial" w:eastAsia="Arial" w:hAnsi="Arial"/>
                <w:sz w:val="18"/>
                <w:szCs w:val="18"/>
                <w:color w:val="auto"/>
                <w:w w:val="92"/>
              </w:rPr>
              <w:t>has right to require other partners</w:t>
            </w:r>
          </w:p>
        </w:tc>
        <w:tc>
          <w:tcPr>
            <w:tcW w:w="0" w:type="dxa"/>
            <w:vAlign w:val="bottom"/>
          </w:tcPr>
          <w:p>
            <w:pPr>
              <w:spacing w:after="0"/>
              <w:rPr>
                <w:sz w:val="1"/>
                <w:szCs w:val="1"/>
                <w:color w:val="auto"/>
              </w:rPr>
            </w:pPr>
          </w:p>
        </w:tc>
      </w:tr>
      <w:tr>
        <w:trPr>
          <w:trHeight w:val="251"/>
        </w:trPr>
        <w:tc>
          <w:tcPr>
            <w:tcW w:w="2640" w:type="dxa"/>
            <w:vAlign w:val="bottom"/>
            <w:gridSpan w:val="3"/>
          </w:tcPr>
          <w:p>
            <w:pPr>
              <w:spacing w:after="0"/>
              <w:rPr>
                <w:sz w:val="20"/>
                <w:szCs w:val="20"/>
                <w:color w:val="auto"/>
              </w:rPr>
            </w:pPr>
            <w:r>
              <w:rPr>
                <w:rFonts w:ascii="Arial" w:cs="Arial" w:eastAsia="Arial" w:hAnsi="Arial"/>
                <w:sz w:val="18"/>
                <w:szCs w:val="18"/>
                <w:color w:val="auto"/>
              </w:rPr>
              <w:t>limited liability company</w:t>
            </w:r>
          </w:p>
        </w:tc>
        <w:tc>
          <w:tcPr>
            <w:tcW w:w="1480" w:type="dxa"/>
            <w:vAlign w:val="bottom"/>
          </w:tcPr>
          <w:p>
            <w:pPr>
              <w:spacing w:after="0"/>
              <w:rPr>
                <w:sz w:val="20"/>
                <w:szCs w:val="20"/>
                <w:color w:val="auto"/>
              </w:rPr>
            </w:pPr>
            <w:r>
              <w:rPr>
                <w:rFonts w:ascii="Arial" w:cs="Arial" w:eastAsia="Arial" w:hAnsi="Arial"/>
                <w:sz w:val="18"/>
                <w:szCs w:val="18"/>
                <w:color w:val="auto"/>
              </w:rPr>
              <w:t>Rockville Plaza</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Member</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29.4673%</w:t>
            </w:r>
          </w:p>
        </w:tc>
        <w:tc>
          <w:tcPr>
            <w:tcW w:w="1580" w:type="dxa"/>
            <w:vAlign w:val="bottom"/>
          </w:tcPr>
          <w:p>
            <w:pPr>
              <w:spacing w:after="0"/>
              <w:rPr>
                <w:sz w:val="20"/>
                <w:szCs w:val="20"/>
                <w:color w:val="auto"/>
              </w:rPr>
            </w:pPr>
            <w:r>
              <w:rPr>
                <w:rFonts w:ascii="Arial" w:cs="Arial" w:eastAsia="Arial" w:hAnsi="Arial"/>
                <w:sz w:val="18"/>
                <w:szCs w:val="18"/>
                <w:color w:val="auto"/>
                <w:w w:val="88"/>
              </w:rPr>
              <w:t>• Congressional Plaza</w:t>
            </w:r>
          </w:p>
        </w:tc>
        <w:tc>
          <w:tcPr>
            <w:tcW w:w="120" w:type="dxa"/>
            <w:vAlign w:val="bottom"/>
          </w:tcPr>
          <w:p>
            <w:pPr>
              <w:spacing w:after="0"/>
              <w:rPr>
                <w:sz w:val="21"/>
                <w:szCs w:val="21"/>
                <w:color w:val="auto"/>
              </w:rPr>
            </w:pPr>
          </w:p>
        </w:tc>
        <w:tc>
          <w:tcPr>
            <w:tcW w:w="2820" w:type="dxa"/>
            <w:vAlign w:val="bottom"/>
          </w:tcPr>
          <w:p>
            <w:pPr>
              <w:ind w:left="320"/>
              <w:spacing w:after="0"/>
              <w:rPr>
                <w:sz w:val="20"/>
                <w:szCs w:val="20"/>
                <w:color w:val="auto"/>
              </w:rPr>
            </w:pPr>
            <w:r>
              <w:rPr>
                <w:rFonts w:ascii="Arial" w:cs="Arial" w:eastAsia="Arial" w:hAnsi="Arial"/>
                <w:sz w:val="18"/>
                <w:szCs w:val="18"/>
                <w:color w:val="auto"/>
              </w:rPr>
              <w:t xml:space="preserve">to buy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to all of RPC’s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line="181" w:lineRule="exact"/>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vMerge w:val="restart"/>
          </w:tcPr>
          <w:p>
            <w:pPr>
              <w:ind w:left="220"/>
              <w:spacing w:after="0"/>
              <w:rPr>
                <w:sz w:val="20"/>
                <w:szCs w:val="20"/>
                <w:color w:val="auto"/>
              </w:rPr>
            </w:pPr>
            <w:r>
              <w:rPr>
                <w:rFonts w:ascii="Arial" w:cs="Arial" w:eastAsia="Arial" w:hAnsi="Arial"/>
                <w:sz w:val="18"/>
                <w:szCs w:val="18"/>
                <w:color w:val="auto"/>
                <w:w w:val="95"/>
              </w:rPr>
              <w:t>Shopping Center,</w:t>
            </w:r>
          </w:p>
        </w:tc>
        <w:tc>
          <w:tcPr>
            <w:tcW w:w="120" w:type="dxa"/>
            <w:vAlign w:val="bottom"/>
          </w:tcPr>
          <w:p>
            <w:pPr>
              <w:spacing w:after="0"/>
              <w:rPr>
                <w:sz w:val="15"/>
                <w:szCs w:val="15"/>
                <w:color w:val="auto"/>
              </w:rPr>
            </w:pPr>
          </w:p>
        </w:tc>
        <w:tc>
          <w:tcPr>
            <w:tcW w:w="2820" w:type="dxa"/>
            <w:vAlign w:val="bottom"/>
          </w:tcPr>
          <w:p>
            <w:pPr>
              <w:ind w:left="320"/>
              <w:spacing w:after="0" w:line="181" w:lineRule="exact"/>
              <w:rPr>
                <w:sz w:val="20"/>
                <w:szCs w:val="20"/>
                <w:color w:val="auto"/>
              </w:rPr>
            </w:pPr>
            <w:r>
              <w:rPr>
                <w:rFonts w:ascii="Arial" w:cs="Arial" w:eastAsia="Arial" w:hAnsi="Arial"/>
                <w:sz w:val="18"/>
                <w:szCs w:val="18"/>
                <w:color w:val="auto"/>
              </w:rPr>
              <w:t>ownership interests.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80" w:type="dxa"/>
            <w:vAlign w:val="bottom"/>
            <w:vMerge w:val="restart"/>
          </w:tcPr>
          <w:p>
            <w:pPr>
              <w:spacing w:after="0"/>
              <w:rPr>
                <w:sz w:val="20"/>
                <w:szCs w:val="20"/>
                <w:color w:val="auto"/>
              </w:rPr>
            </w:pPr>
            <w:r>
              <w:rPr>
                <w:rFonts w:ascii="Arial" w:cs="Arial" w:eastAsia="Arial" w:hAnsi="Arial"/>
                <w:sz w:val="18"/>
                <w:szCs w:val="18"/>
                <w:color w:val="auto"/>
              </w:rPr>
              <w:t>Congressional</w:t>
            </w:r>
          </w:p>
        </w:tc>
        <w:tc>
          <w:tcPr>
            <w:tcW w:w="1380" w:type="dxa"/>
            <w:vAlign w:val="bottom"/>
            <w:gridSpan w:val="2"/>
            <w:vMerge w:val="restart"/>
          </w:tcPr>
          <w:p>
            <w:pPr>
              <w:ind w:left="120"/>
              <w:spacing w:after="0"/>
              <w:rPr>
                <w:sz w:val="20"/>
                <w:szCs w:val="20"/>
                <w:color w:val="auto"/>
              </w:rPr>
            </w:pPr>
            <w:r>
              <w:rPr>
                <w:rFonts w:ascii="Arial" w:cs="Arial" w:eastAsia="Arial" w:hAnsi="Arial"/>
                <w:sz w:val="18"/>
                <w:szCs w:val="18"/>
                <w:color w:val="auto"/>
              </w:rPr>
              <w:t>Member</w:t>
            </w:r>
          </w:p>
        </w:tc>
        <w:tc>
          <w:tcPr>
            <w:tcW w:w="14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5.0951%</w:t>
            </w:r>
          </w:p>
        </w:tc>
        <w:tc>
          <w:tcPr>
            <w:tcW w:w="1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580" w:type="dxa"/>
            <w:vAlign w:val="bottom"/>
            <w:vMerge w:val="restart"/>
          </w:tcPr>
          <w:p>
            <w:pPr>
              <w:ind w:left="220"/>
              <w:spacing w:after="0"/>
              <w:rPr>
                <w:sz w:val="20"/>
                <w:szCs w:val="20"/>
                <w:color w:val="auto"/>
              </w:rPr>
            </w:pPr>
            <w:r>
              <w:rPr>
                <w:rFonts w:ascii="Arial" w:cs="Arial" w:eastAsia="Arial" w:hAnsi="Arial"/>
                <w:sz w:val="18"/>
                <w:szCs w:val="18"/>
                <w:color w:val="auto"/>
              </w:rPr>
              <w:t>Rockville, MD</w:t>
            </w: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80" w:type="dxa"/>
            <w:vAlign w:val="bottom"/>
            <w:vMerge w:val="restart"/>
          </w:tcPr>
          <w:p>
            <w:pPr>
              <w:spacing w:after="0"/>
              <w:rPr>
                <w:sz w:val="20"/>
                <w:szCs w:val="20"/>
                <w:color w:val="auto"/>
              </w:rPr>
            </w:pPr>
            <w:r>
              <w:rPr>
                <w:rFonts w:ascii="Arial" w:cs="Arial" w:eastAsia="Arial" w:hAnsi="Arial"/>
                <w:sz w:val="18"/>
                <w:szCs w:val="18"/>
                <w:color w:val="auto"/>
              </w:rPr>
              <w:t>Plaza One, L.L.C.</w:t>
            </w: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vMerge w:val="restart"/>
          </w:tcPr>
          <w:p>
            <w:pPr>
              <w:spacing w:after="0"/>
              <w:rPr>
                <w:sz w:val="20"/>
                <w:szCs w:val="20"/>
                <w:color w:val="auto"/>
              </w:rPr>
            </w:pPr>
            <w:r>
              <w:rPr>
                <w:rFonts w:ascii="Arial" w:cs="Arial" w:eastAsia="Arial" w:hAnsi="Arial"/>
                <w:sz w:val="18"/>
                <w:szCs w:val="18"/>
                <w:color w:val="auto"/>
              </w:rPr>
              <w:t>• The Crest at</w:t>
            </w: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line="170" w:lineRule="exact"/>
              <w:rPr>
                <w:sz w:val="20"/>
                <w:szCs w:val="20"/>
                <w:color w:val="auto"/>
              </w:rPr>
            </w:pPr>
            <w:r>
              <w:rPr>
                <w:rFonts w:ascii="Arial" w:cs="Arial" w:eastAsia="Arial" w:hAnsi="Arial"/>
                <w:sz w:val="18"/>
                <w:szCs w:val="18"/>
                <w:color w:val="auto"/>
              </w:rPr>
              <w:t>Daniel Lyons</w:t>
            </w:r>
          </w:p>
        </w:tc>
        <w:tc>
          <w:tcPr>
            <w:tcW w:w="1380" w:type="dxa"/>
            <w:vAlign w:val="bottom"/>
            <w:gridSpan w:val="2"/>
          </w:tcPr>
          <w:p>
            <w:pPr>
              <w:ind w:left="120"/>
              <w:spacing w:after="0" w:line="170" w:lineRule="exact"/>
              <w:rPr>
                <w:sz w:val="20"/>
                <w:szCs w:val="20"/>
                <w:color w:val="auto"/>
              </w:rPr>
            </w:pPr>
            <w:r>
              <w:rPr>
                <w:rFonts w:ascii="Arial" w:cs="Arial" w:eastAsia="Arial" w:hAnsi="Arial"/>
                <w:sz w:val="18"/>
                <w:szCs w:val="18"/>
                <w:color w:val="auto"/>
              </w:rPr>
              <w:t>Member</w:t>
            </w:r>
          </w:p>
        </w:tc>
        <w:tc>
          <w:tcPr>
            <w:tcW w:w="1400" w:type="dxa"/>
            <w:vAlign w:val="bottom"/>
            <w:gridSpan w:val="3"/>
          </w:tcPr>
          <w:p>
            <w:pPr>
              <w:jc w:val="right"/>
              <w:ind w:right="120"/>
              <w:spacing w:after="0" w:line="170" w:lineRule="exact"/>
              <w:rPr>
                <w:sz w:val="20"/>
                <w:szCs w:val="20"/>
                <w:color w:val="auto"/>
              </w:rPr>
            </w:pPr>
            <w:r>
              <w:rPr>
                <w:rFonts w:ascii="Arial" w:cs="Arial" w:eastAsia="Arial" w:hAnsi="Arial"/>
                <w:sz w:val="18"/>
                <w:szCs w:val="18"/>
                <w:color w:val="auto"/>
              </w:rPr>
              <w:t>1.3346%</w:t>
            </w: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ind w:left="220"/>
              <w:spacing w:after="0" w:line="127" w:lineRule="exact"/>
              <w:rPr>
                <w:sz w:val="20"/>
                <w:szCs w:val="20"/>
                <w:color w:val="auto"/>
              </w:rPr>
            </w:pPr>
            <w:r>
              <w:rPr>
                <w:rFonts w:ascii="Arial" w:cs="Arial" w:eastAsia="Arial" w:hAnsi="Arial"/>
                <w:sz w:val="14"/>
                <w:szCs w:val="14"/>
                <w:color w:val="auto"/>
              </w:rPr>
              <w:t>Congressional</w:t>
            </w: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ind w:left="220"/>
              <w:spacing w:after="0"/>
              <w:rPr>
                <w:sz w:val="20"/>
                <w:szCs w:val="20"/>
                <w:color w:val="auto"/>
              </w:rPr>
            </w:pPr>
            <w:r>
              <w:rPr>
                <w:rFonts w:ascii="Arial" w:cs="Arial" w:eastAsia="Arial" w:hAnsi="Arial"/>
                <w:sz w:val="18"/>
                <w:szCs w:val="18"/>
                <w:color w:val="auto"/>
              </w:rPr>
              <w:t>Plaza, Rockville,</w:t>
            </w: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ind w:left="220"/>
              <w:spacing w:after="0"/>
              <w:rPr>
                <w:sz w:val="20"/>
                <w:szCs w:val="20"/>
                <w:color w:val="auto"/>
              </w:rPr>
            </w:pPr>
            <w:r>
              <w:rPr>
                <w:rFonts w:ascii="Arial" w:cs="Arial" w:eastAsia="Arial" w:hAnsi="Arial"/>
                <w:sz w:val="18"/>
                <w:szCs w:val="18"/>
                <w:color w:val="auto"/>
              </w:rPr>
              <w:t>MD</w:t>
            </w: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Material Subsidiary</w:t>
            </w: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1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FEDERAL REALTY</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MANAGEMENT SERVICES,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 a Delaware corporation</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 BE DISSOLVED)</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FRIT LEASING &amp;</w:t>
            </w:r>
          </w:p>
        </w:tc>
        <w:tc>
          <w:tcPr>
            <w:tcW w:w="1480" w:type="dxa"/>
            <w:vAlign w:val="bottom"/>
          </w:tcPr>
          <w:p>
            <w:pPr>
              <w:spacing w:after="0"/>
              <w:rPr>
                <w:sz w:val="20"/>
                <w:szCs w:val="20"/>
                <w:color w:val="auto"/>
              </w:rPr>
            </w:pPr>
            <w:r>
              <w:rPr>
                <w:rFonts w:ascii="Arial" w:cs="Arial" w:eastAsia="Arial" w:hAnsi="Arial"/>
                <w:sz w:val="18"/>
                <w:szCs w:val="18"/>
                <w:color w:val="auto"/>
              </w:rPr>
              <w:t>Federal Realty</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Sole</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DEVELOPMENT SERVICES,</w:t>
            </w:r>
          </w:p>
        </w:tc>
        <w:tc>
          <w:tcPr>
            <w:tcW w:w="1480" w:type="dxa"/>
            <w:vAlign w:val="bottom"/>
          </w:tcPr>
          <w:p>
            <w:pPr>
              <w:spacing w:after="0"/>
              <w:rPr>
                <w:sz w:val="20"/>
                <w:szCs w:val="20"/>
                <w:color w:val="auto"/>
              </w:rPr>
            </w:pPr>
            <w:r>
              <w:rPr>
                <w:rFonts w:ascii="Arial" w:cs="Arial" w:eastAsia="Arial" w:hAnsi="Arial"/>
                <w:sz w:val="18"/>
                <w:szCs w:val="18"/>
                <w:color w:val="auto"/>
              </w:rPr>
              <w:t>Investment Trust</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stockholder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gridSpan w:val="3"/>
          </w:tcPr>
          <w:p>
            <w:pPr>
              <w:spacing w:after="0"/>
              <w:rPr>
                <w:sz w:val="20"/>
                <w:szCs w:val="20"/>
                <w:color w:val="auto"/>
              </w:rPr>
            </w:pPr>
            <w:r>
              <w:rPr>
                <w:rFonts w:ascii="Arial" w:cs="Arial" w:eastAsia="Arial" w:hAnsi="Arial"/>
                <w:sz w:val="18"/>
                <w:szCs w:val="18"/>
                <w:color w:val="auto"/>
              </w:rPr>
              <w:t>INC., a Delaware corporation</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FRIT SANTANA ROW TRS,</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FRIT Leasing &amp;</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Sole</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 a Delaware corporation</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stockholder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Services, Inc.</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503" w:name="page504"/>
    <w:bookmarkEnd w:id="50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Material and/or</w:t>
            </w: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1040" w:type="dxa"/>
            <w:vAlign w:val="bottom"/>
          </w:tcPr>
          <w:p>
            <w:pPr>
              <w:ind w:left="60"/>
              <w:spacing w:after="0"/>
              <w:rPr>
                <w:sz w:val="20"/>
                <w:szCs w:val="20"/>
                <w:color w:val="auto"/>
              </w:rPr>
            </w:pPr>
            <w:r>
              <w:rPr>
                <w:rFonts w:ascii="Arial" w:cs="Arial" w:eastAsia="Arial" w:hAnsi="Arial"/>
                <w:sz w:val="14"/>
                <w:szCs w:val="14"/>
                <w:b w:val="1"/>
                <w:bCs w:val="1"/>
                <w:color w:val="auto"/>
                <w:w w:val="97"/>
              </w:rPr>
              <w:t>Equity Holders</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4"/>
                <w:szCs w:val="14"/>
                <w:b w:val="1"/>
                <w:bCs w:val="1"/>
                <w:color w:val="auto"/>
              </w:rPr>
              <w:t>% Ownership</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Excluded Subsidiary</w:t>
            </w:r>
          </w:p>
        </w:tc>
        <w:tc>
          <w:tcPr>
            <w:tcW w:w="100" w:type="dxa"/>
            <w:vAlign w:val="bottom"/>
          </w:tcPr>
          <w:p>
            <w:pPr>
              <w:spacing w:after="0"/>
              <w:rPr>
                <w:sz w:val="15"/>
                <w:szCs w:val="15"/>
                <w:color w:val="auto"/>
              </w:rPr>
            </w:pPr>
          </w:p>
        </w:tc>
        <w:tc>
          <w:tcPr>
            <w:tcW w:w="3080" w:type="dxa"/>
            <w:vAlign w:val="bottom"/>
          </w:tcPr>
          <w:p>
            <w:pPr>
              <w:ind w:left="400"/>
              <w:spacing w:after="0"/>
              <w:rPr>
                <w:sz w:val="20"/>
                <w:szCs w:val="20"/>
                <w:color w:val="auto"/>
              </w:rPr>
            </w:pPr>
            <w:r>
              <w:rPr>
                <w:rFonts w:ascii="Arial" w:cs="Arial" w:eastAsia="Arial" w:hAnsi="Arial"/>
                <w:sz w:val="14"/>
                <w:szCs w:val="14"/>
                <w:b w:val="1"/>
                <w:bCs w:val="1"/>
                <w:color w:val="auto"/>
                <w:w w:val="99"/>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REALTY PARTNERS, INC., a</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7"/>
              </w:rPr>
              <w:t>Federal Realty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corporation</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Trust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FEDERAL REALTY PARTNERS L.P., a</w:t>
            </w:r>
          </w:p>
        </w:tc>
        <w:tc>
          <w:tcPr>
            <w:tcW w:w="1040" w:type="dxa"/>
            <w:vAlign w:val="bottom"/>
          </w:tcPr>
          <w:p>
            <w:pPr>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718,795 units</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7"/>
              </w:rPr>
              <w:t>Guarantor Material</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   Right to exchange partnership units for</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Delaware limited partnership (Master</w:t>
            </w:r>
          </w:p>
        </w:tc>
        <w:tc>
          <w:tcPr>
            <w:tcW w:w="1040" w:type="dxa"/>
            <w:vAlign w:val="bottom"/>
          </w:tcPr>
          <w:p>
            <w:pPr>
              <w:spacing w:after="0"/>
              <w:rPr>
                <w:sz w:val="20"/>
                <w:szCs w:val="20"/>
                <w:color w:val="auto"/>
              </w:rPr>
            </w:pPr>
            <w:r>
              <w:rPr>
                <w:rFonts w:ascii="Arial" w:cs="Arial" w:eastAsia="Arial" w:hAnsi="Arial"/>
                <w:sz w:val="18"/>
                <w:szCs w:val="18"/>
                <w:color w:val="auto"/>
                <w:w w:val="95"/>
              </w:rPr>
              <w:t>Partners, Inc.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subsidiary</w:t>
            </w:r>
          </w:p>
        </w:tc>
        <w:tc>
          <w:tcPr>
            <w:tcW w:w="100" w:type="dxa"/>
            <w:vAlign w:val="bottom"/>
          </w:tcPr>
          <w:p>
            <w:pPr>
              <w:spacing w:after="0"/>
              <w:rPr>
                <w:sz w:val="18"/>
                <w:szCs w:val="18"/>
                <w:color w:val="auto"/>
              </w:rPr>
            </w:pPr>
          </w:p>
        </w:tc>
        <w:tc>
          <w:tcPr>
            <w:tcW w:w="3080" w:type="dxa"/>
            <w:vAlign w:val="bottom"/>
          </w:tcPr>
          <w:p>
            <w:pPr>
              <w:ind w:left="440"/>
              <w:spacing w:after="0"/>
              <w:rPr>
                <w:sz w:val="20"/>
                <w:szCs w:val="20"/>
                <w:color w:val="auto"/>
              </w:rPr>
            </w:pPr>
            <w:r>
              <w:rPr>
                <w:rFonts w:ascii="Arial" w:cs="Arial" w:eastAsia="Arial" w:hAnsi="Arial"/>
                <w:sz w:val="18"/>
                <w:szCs w:val="18"/>
                <w:color w:val="auto"/>
              </w:rPr>
              <w:t>Federal Realty stock or cash (at</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DownREIT)</w:t>
            </w:r>
          </w:p>
        </w:tc>
        <w:tc>
          <w:tcPr>
            <w:tcW w:w="1040" w:type="dxa"/>
            <w:vAlign w:val="bottom"/>
          </w:tcPr>
          <w:p>
            <w:pPr>
              <w:spacing w:after="0"/>
              <w:rPr>
                <w:sz w:val="20"/>
                <w:szCs w:val="20"/>
                <w:color w:val="auto"/>
              </w:rPr>
            </w:pPr>
            <w:r>
              <w:rPr>
                <w:rFonts w:ascii="Arial" w:cs="Arial" w:eastAsia="Arial" w:hAnsi="Arial"/>
                <w:sz w:val="18"/>
                <w:szCs w:val="18"/>
                <w:color w:val="auto"/>
              </w:rPr>
              <w:t>FRLP, Inc.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Limited</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 units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ind w:left="440"/>
              <w:spacing w:after="0"/>
              <w:rPr>
                <w:sz w:val="20"/>
                <w:szCs w:val="20"/>
                <w:color w:val="auto"/>
              </w:rPr>
            </w:pPr>
            <w:r>
              <w:rPr>
                <w:rFonts w:ascii="Arial" w:cs="Arial" w:eastAsia="Arial" w:hAnsi="Arial"/>
                <w:sz w:val="18"/>
                <w:szCs w:val="18"/>
                <w:color w:val="auto"/>
              </w:rPr>
              <w:t>Federal Realty’s option);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vMerge w:val="restart"/>
          </w:tcPr>
          <w:p>
            <w:pPr>
              <w:spacing w:after="0"/>
              <w:rPr>
                <w:sz w:val="20"/>
                <w:szCs w:val="20"/>
                <w:color w:val="auto"/>
              </w:rPr>
            </w:pPr>
            <w:r>
              <w:rPr>
                <w:rFonts w:ascii="Arial" w:cs="Arial" w:eastAsia="Arial" w:hAnsi="Arial"/>
                <w:sz w:val="18"/>
                <w:szCs w:val="18"/>
                <w:color w:val="auto"/>
              </w:rPr>
              <w:t>•   Holders of 100,259 units have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auto"/>
              </w:rPr>
              <w:t>8 separate</w:t>
            </w:r>
          </w:p>
        </w:tc>
        <w:tc>
          <w:tcPr>
            <w:tcW w:w="120" w:type="dxa"/>
            <w:vAlign w:val="bottom"/>
          </w:tcPr>
          <w:p>
            <w:pPr>
              <w:spacing w:after="0"/>
              <w:rPr>
                <w:sz w:val="7"/>
                <w:szCs w:val="7"/>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auto"/>
              </w:rPr>
              <w:t>Limited</w:t>
            </w:r>
          </w:p>
        </w:tc>
        <w:tc>
          <w:tcPr>
            <w:tcW w:w="100" w:type="dxa"/>
            <w:vAlign w:val="bottom"/>
          </w:tcPr>
          <w:p>
            <w:pPr>
              <w:spacing w:after="0"/>
              <w:rPr>
                <w:sz w:val="7"/>
                <w:szCs w:val="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142,793 units</w:t>
            </w: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80" w:type="dxa"/>
            <w:vAlign w:val="bottom"/>
            <w:vMerge w:val="restart"/>
          </w:tcPr>
          <w:p>
            <w:pPr>
              <w:ind w:left="440"/>
              <w:spacing w:after="0"/>
              <w:rPr>
                <w:sz w:val="20"/>
                <w:szCs w:val="20"/>
                <w:color w:val="auto"/>
              </w:rPr>
            </w:pPr>
            <w:r>
              <w:rPr>
                <w:rFonts w:ascii="Arial" w:cs="Arial" w:eastAsia="Arial" w:hAnsi="Arial"/>
                <w:sz w:val="18"/>
                <w:szCs w:val="18"/>
                <w:color w:val="auto"/>
                <w:w w:val="89"/>
              </w:rPr>
              <w:t>registration rights for stock issued 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auto"/>
              </w:rPr>
              <w:t>limited</w:t>
            </w:r>
          </w:p>
        </w:tc>
        <w:tc>
          <w:tcPr>
            <w:tcW w:w="120" w:type="dxa"/>
            <w:vAlign w:val="bottom"/>
          </w:tcPr>
          <w:p>
            <w:pPr>
              <w:spacing w:after="0"/>
              <w:rPr>
                <w:sz w:val="7"/>
                <w:szCs w:val="7"/>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80" w:type="dxa"/>
            <w:vAlign w:val="bottom"/>
            <w:vMerge w:val="restart"/>
          </w:tcPr>
          <w:p>
            <w:pPr>
              <w:ind w:left="440"/>
              <w:spacing w:after="0"/>
              <w:rPr>
                <w:sz w:val="20"/>
                <w:szCs w:val="20"/>
                <w:color w:val="auto"/>
              </w:rPr>
            </w:pPr>
            <w:r>
              <w:rPr>
                <w:rFonts w:ascii="Arial" w:cs="Arial" w:eastAsia="Arial" w:hAnsi="Arial"/>
                <w:sz w:val="18"/>
                <w:szCs w:val="18"/>
                <w:color w:val="auto"/>
              </w:rPr>
              <w:t>redemption of partnership units.</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auto"/>
              </w:rPr>
              <w:t>partners</w:t>
            </w: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FRLP, INC., a Delaware corporation</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7"/>
              </w:rPr>
              <w:t>Federal Realty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Trust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w w:val="99"/>
              </w:rPr>
              <w:t>FR CROW CANYON, INC. F/K/A JS&amp;DB,</w:t>
            </w:r>
          </w:p>
        </w:tc>
        <w:tc>
          <w:tcPr>
            <w:tcW w:w="1040" w:type="dxa"/>
            <w:vAlign w:val="bottom"/>
          </w:tcPr>
          <w:p>
            <w:pPr>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INC., a Delaware corporation</w:t>
            </w:r>
          </w:p>
        </w:tc>
        <w:tc>
          <w:tcPr>
            <w:tcW w:w="1040" w:type="dxa"/>
            <w:vAlign w:val="bottom"/>
          </w:tcPr>
          <w:p>
            <w:pPr>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CROW CANYON, LLC, a Delaware</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FR Crow</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1"/>
              </w:rPr>
              <w:t>Excluded subsidiary</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Canyon, 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FR MERCER MALL, INC., a Delaware</w:t>
            </w:r>
          </w:p>
        </w:tc>
        <w:tc>
          <w:tcPr>
            <w:tcW w:w="1040" w:type="dxa"/>
            <w:vAlign w:val="bottom"/>
          </w:tcPr>
          <w:p>
            <w:pPr>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corporation</w:t>
            </w:r>
          </w:p>
        </w:tc>
        <w:tc>
          <w:tcPr>
            <w:tcW w:w="1040" w:type="dxa"/>
            <w:vAlign w:val="bottom"/>
          </w:tcPr>
          <w:p>
            <w:pPr>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MERCER MALL, LLC, a Delaware</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FR Mercer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Mall, 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FR STURTEVANT STREET, INC., a</w:t>
            </w:r>
          </w:p>
        </w:tc>
        <w:tc>
          <w:tcPr>
            <w:tcW w:w="1040" w:type="dxa"/>
            <w:vAlign w:val="bottom"/>
          </w:tcPr>
          <w:p>
            <w:pPr>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Delaware corporation</w:t>
            </w:r>
          </w:p>
        </w:tc>
        <w:tc>
          <w:tcPr>
            <w:tcW w:w="1040" w:type="dxa"/>
            <w:vAlign w:val="bottom"/>
          </w:tcPr>
          <w:p>
            <w:pPr>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STURTEVANT STREET, LLC, a</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1"/>
              </w:rPr>
              <w:t>FR Sturtevant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Street, 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FR ASSEMBLY SQUARE, LLC, a</w:t>
            </w:r>
          </w:p>
        </w:tc>
        <w:tc>
          <w:tcPr>
            <w:tcW w:w="1040" w:type="dxa"/>
            <w:vAlign w:val="bottom"/>
          </w:tcPr>
          <w:p>
            <w:pPr>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Delaware limited liability company</w:t>
            </w:r>
          </w:p>
        </w:tc>
        <w:tc>
          <w:tcPr>
            <w:tcW w:w="1040" w:type="dxa"/>
            <w:vAlign w:val="bottom"/>
          </w:tcPr>
          <w:p>
            <w:pPr>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member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3" w:right="239" w:bottom="1440" w:gutter="0" w:footer="0" w:header="0"/>
        </w:sectPr>
      </w:pPr>
    </w:p>
    <w:bookmarkStart w:id="504" w:name="page505"/>
    <w:bookmarkEnd w:id="50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Material and/or</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80" w:type="dxa"/>
            <w:vAlign w:val="bottom"/>
          </w:tcPr>
          <w:p>
            <w:pPr>
              <w:spacing w:after="0"/>
              <w:rPr>
                <w:sz w:val="15"/>
                <w:szCs w:val="15"/>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w w:val="95"/>
              </w:rPr>
              <w:t>Equity Holders</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 Ownership</w:t>
            </w:r>
          </w:p>
        </w:tc>
        <w:tc>
          <w:tcPr>
            <w:tcW w:w="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Excluded Subsidiary</w:t>
            </w:r>
          </w:p>
        </w:tc>
        <w:tc>
          <w:tcPr>
            <w:tcW w:w="120" w:type="dxa"/>
            <w:vAlign w:val="bottom"/>
          </w:tcPr>
          <w:p>
            <w:pPr>
              <w:spacing w:after="0"/>
              <w:rPr>
                <w:sz w:val="15"/>
                <w:szCs w:val="15"/>
                <w:color w:val="auto"/>
              </w:rPr>
            </w:pPr>
          </w:p>
        </w:tc>
        <w:tc>
          <w:tcPr>
            <w:tcW w:w="3180" w:type="dxa"/>
            <w:vAlign w:val="bottom"/>
          </w:tcPr>
          <w:p>
            <w:pPr>
              <w:ind w:left="440"/>
              <w:spacing w:after="0"/>
              <w:rPr>
                <w:sz w:val="20"/>
                <w:szCs w:val="20"/>
                <w:color w:val="auto"/>
              </w:rPr>
            </w:pPr>
            <w:r>
              <w:rPr>
                <w:rFonts w:ascii="Arial" w:cs="Arial" w:eastAsia="Arial" w:hAnsi="Arial"/>
                <w:sz w:val="14"/>
                <w:szCs w:val="14"/>
                <w:b w:val="1"/>
                <w:bCs w:val="1"/>
                <w:color w:val="auto"/>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WESTGATE MALL, INC., a Delaware</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Federal Realty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Trust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FR WESTGATE MALL, LLC, a Delaware</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97"/>
              </w:rPr>
              <w:t>FR Westgate</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95"/>
              </w:rPr>
              <w:t>Guarantor Material</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3380" w:type="dxa"/>
            <w:vAlign w:val="bottom"/>
            <w:gridSpan w:val="3"/>
          </w:tcPr>
          <w:p>
            <w:pPr>
              <w:spacing w:after="0"/>
              <w:rPr>
                <w:sz w:val="20"/>
                <w:szCs w:val="20"/>
                <w:color w:val="auto"/>
              </w:rPr>
            </w:pPr>
            <w:r>
              <w:rPr>
                <w:rFonts w:ascii="Arial" w:cs="Arial" w:eastAsia="Arial" w:hAnsi="Arial"/>
                <w:sz w:val="18"/>
                <w:szCs w:val="18"/>
                <w:color w:val="auto"/>
              </w:rPr>
              <w:t>limited liability company</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Mall, 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member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FEDERAL/LPF GP, INC., a Delaware</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Federal Realty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Trust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FR CHELSEA COMMONS I, INC., a</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Delaware corporation</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CHELSEA COMMONS I, LLC, a</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FR Chelsea</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Excluded Subsidiary</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Commons I,</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FR CHELSEA COMMONS II, INC., a</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Delaware corporation</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CHELSEA COMMONS II, LLC, a</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FR Chelsea</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Commons II,</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FR NORTH DARTMOUTH, INC., a</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Delaware corporation</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FR NORTH DARTMOUTH, LLC, a Delaware</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FR North</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Dartmouth,</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FR LINDEN SQUARE, INC., a Delaware</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95"/>
              </w:rPr>
              <w:t>Guarantor Material</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corporation</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 KEY ROAD,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 (TO BE DISSOLVED)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505" w:name="page506"/>
    <w:bookmarkEnd w:id="50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Material and/or</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120" w:type="dxa"/>
            <w:vAlign w:val="bottom"/>
          </w:tcPr>
          <w:p>
            <w:pPr>
              <w:spacing w:after="0"/>
              <w:rPr>
                <w:sz w:val="15"/>
                <w:szCs w:val="15"/>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w w:val="95"/>
              </w:rPr>
              <w:t>Equity Holders</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 Ownership</w:t>
            </w:r>
          </w:p>
        </w:tc>
        <w:tc>
          <w:tcPr>
            <w:tcW w:w="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Excluded Subsidiary</w:t>
            </w:r>
          </w:p>
        </w:tc>
        <w:tc>
          <w:tcPr>
            <w:tcW w:w="120" w:type="dxa"/>
            <w:vAlign w:val="bottom"/>
          </w:tcPr>
          <w:p>
            <w:pPr>
              <w:spacing w:after="0"/>
              <w:rPr>
                <w:sz w:val="15"/>
                <w:szCs w:val="15"/>
                <w:color w:val="auto"/>
              </w:rPr>
            </w:pPr>
          </w:p>
        </w:tc>
        <w:tc>
          <w:tcPr>
            <w:tcW w:w="3180" w:type="dxa"/>
            <w:vAlign w:val="bottom"/>
          </w:tcPr>
          <w:p>
            <w:pPr>
              <w:ind w:left="440"/>
              <w:spacing w:after="0"/>
              <w:rPr>
                <w:sz w:val="20"/>
                <w:szCs w:val="20"/>
                <w:color w:val="auto"/>
              </w:rPr>
            </w:pPr>
            <w:r>
              <w:rPr>
                <w:rFonts w:ascii="Arial" w:cs="Arial" w:eastAsia="Arial" w:hAnsi="Arial"/>
                <w:sz w:val="14"/>
                <w:szCs w:val="14"/>
                <w:b w:val="1"/>
                <w:bCs w:val="1"/>
                <w:color w:val="auto"/>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FR RIVERSIDE, INC., a Delaware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corporation (TO BE DISSOLVED)</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w w:val="95"/>
              </w:rPr>
              <w:t>FR SHOPPERS WORLD, INC., a Delaware</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corporation</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FR SHOPPERS WORLD, LLC, a Delaware</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FR Shoppers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Excluded Subsidiary</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World, 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FR WHITE MARSH, INC., a Maryland</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8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corporation</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4"/>
              </w:rPr>
              <w:t>Stockholder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WHITE MARSH PLAZA, LLC, a Maryland</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 White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Marsh, 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WHITE MARSH PLAZA LIMITED</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White Marsh</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PARTNERSHIP, a Maryland limited</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Plaza, LLC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partnership</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FR White</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Limited</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Marsh, 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MARSH PLAZA BUSINESS</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White Marsh</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Excluded Subsidiary</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 a Maryland business trust</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Plaza Limited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shareholder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Partnership</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w w:val="95"/>
              </w:rPr>
              <w:t>BYRON STATION, LLC, a Maryland limited</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FR White</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liability company</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Marsh, 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member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BYRON STATION LIMITED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0"/>
              </w:rPr>
              <w:t>Byron Station,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PARTNERSHIP, LLLP, a Maryland limited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limited partnership</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FR White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Marsh, 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w w:val="92"/>
              </w:rPr>
              <w:t>CORDON FAIRFIELD BUSINESS TRUST, a</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FR White</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Maryland business trust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Marsh, 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4"/>
              </w:rPr>
              <w:t>shareholder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3" w:right="239" w:bottom="1440" w:gutter="0" w:footer="0" w:header="0"/>
        </w:sectPr>
      </w:pPr>
    </w:p>
    <w:bookmarkStart w:id="506" w:name="page507"/>
    <w:bookmarkEnd w:id="50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Material and/or</w:t>
            </w: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12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5"/>
                <w:szCs w:val="15"/>
                <w:color w:val="auto"/>
              </w:rPr>
            </w:pPr>
          </w:p>
        </w:tc>
        <w:tc>
          <w:tcPr>
            <w:tcW w:w="1140" w:type="dxa"/>
            <w:vAlign w:val="bottom"/>
          </w:tcPr>
          <w:p>
            <w:pPr>
              <w:jc w:val="right"/>
              <w:ind w:right="99"/>
              <w:spacing w:after="0"/>
              <w:rPr>
                <w:sz w:val="20"/>
                <w:szCs w:val="20"/>
                <w:color w:val="auto"/>
              </w:rPr>
            </w:pPr>
            <w:r>
              <w:rPr>
                <w:rFonts w:ascii="Arial" w:cs="Arial" w:eastAsia="Arial" w:hAnsi="Arial"/>
                <w:sz w:val="14"/>
                <w:szCs w:val="14"/>
                <w:b w:val="1"/>
                <w:bCs w:val="1"/>
                <w:color w:val="auto"/>
              </w:rPr>
              <w:t>% Ownership</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Excluded Subsidiary</w:t>
            </w:r>
          </w:p>
        </w:tc>
        <w:tc>
          <w:tcPr>
            <w:tcW w:w="100" w:type="dxa"/>
            <w:vAlign w:val="bottom"/>
          </w:tcPr>
          <w:p>
            <w:pPr>
              <w:spacing w:after="0"/>
              <w:rPr>
                <w:sz w:val="15"/>
                <w:szCs w:val="15"/>
                <w:color w:val="auto"/>
              </w:rPr>
            </w:pPr>
          </w:p>
        </w:tc>
        <w:tc>
          <w:tcPr>
            <w:tcW w:w="3080" w:type="dxa"/>
            <w:vAlign w:val="bottom"/>
          </w:tcPr>
          <w:p>
            <w:pPr>
              <w:ind w:left="400"/>
              <w:spacing w:after="0"/>
              <w:rPr>
                <w:sz w:val="20"/>
                <w:szCs w:val="20"/>
                <w:color w:val="auto"/>
              </w:rPr>
            </w:pPr>
            <w:r>
              <w:rPr>
                <w:rFonts w:ascii="Arial" w:cs="Arial" w:eastAsia="Arial" w:hAnsi="Arial"/>
                <w:sz w:val="14"/>
                <w:szCs w:val="14"/>
                <w:b w:val="1"/>
                <w:bCs w:val="1"/>
                <w:color w:val="auto"/>
                <w:w w:val="99"/>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CAMPBELL-PHILADELPHIA</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 White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BUSINESS TRUST, a Maryland business</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Marsh, Inc.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shareholder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100" w:type="dxa"/>
            <w:vAlign w:val="bottom"/>
            <w:gridSpan w:val="3"/>
          </w:tcPr>
          <w:p>
            <w:pPr>
              <w:spacing w:after="0"/>
              <w:rPr>
                <w:sz w:val="20"/>
                <w:szCs w:val="20"/>
                <w:color w:val="auto"/>
              </w:rPr>
            </w:pPr>
            <w:r>
              <w:rPr>
                <w:rFonts w:ascii="Arial" w:cs="Arial" w:eastAsia="Arial" w:hAnsi="Arial"/>
                <w:sz w:val="18"/>
                <w:szCs w:val="18"/>
                <w:color w:val="auto"/>
                <w:w w:val="95"/>
              </w:rPr>
              <w:t>SHOPPES AT NOTTINGHAM SQUARE</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FR White</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w w:val="93"/>
              </w:rPr>
              <w:t>BUSINESS TRUST, a Maryland business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Marsh, Inc.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4"/>
              </w:rPr>
              <w:t>shareholder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PROPERTIES BUSINESS</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 White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 a Maryland business trust</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Marsh, Inc.</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shareholder</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100" w:type="dxa"/>
            <w:vAlign w:val="bottom"/>
            <w:gridSpan w:val="3"/>
          </w:tcPr>
          <w:p>
            <w:pPr>
              <w:spacing w:after="0"/>
              <w:rPr>
                <w:sz w:val="20"/>
                <w:szCs w:val="20"/>
                <w:color w:val="auto"/>
              </w:rPr>
            </w:pPr>
            <w:r>
              <w:rPr>
                <w:rFonts w:ascii="Arial" w:cs="Arial" w:eastAsia="Arial" w:hAnsi="Arial"/>
                <w:sz w:val="18"/>
                <w:szCs w:val="18"/>
                <w:color w:val="auto"/>
              </w:rPr>
              <w:t>NOTTINGHAM SQUARE BUSINESS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FR White</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3100" w:type="dxa"/>
            <w:vAlign w:val="bottom"/>
            <w:gridSpan w:val="3"/>
          </w:tcPr>
          <w:p>
            <w:pPr>
              <w:spacing w:after="0"/>
              <w:rPr>
                <w:sz w:val="20"/>
                <w:szCs w:val="20"/>
                <w:color w:val="auto"/>
              </w:rPr>
            </w:pPr>
            <w:r>
              <w:rPr>
                <w:rFonts w:ascii="Arial" w:cs="Arial" w:eastAsia="Arial" w:hAnsi="Arial"/>
                <w:sz w:val="18"/>
                <w:szCs w:val="18"/>
                <w:color w:val="auto"/>
              </w:rPr>
              <w:t>TRUST, a Maryland business trust</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Marsh, 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4"/>
              </w:rPr>
              <w:t>shareholder</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AVENUE AT WHITE MARSH</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 White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9"/>
              </w:rPr>
              <w:t>Excluded Subsidiary</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BUSINESS TRUST, a Maryland business</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Marsh, Inc.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shareholder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100" w:type="dxa"/>
            <w:vAlign w:val="bottom"/>
            <w:gridSpan w:val="3"/>
          </w:tcPr>
          <w:p>
            <w:pPr>
              <w:spacing w:after="0"/>
              <w:rPr>
                <w:sz w:val="20"/>
                <w:szCs w:val="20"/>
                <w:color w:val="auto"/>
              </w:rPr>
            </w:pPr>
            <w:r>
              <w:rPr>
                <w:rFonts w:ascii="Arial" w:cs="Arial" w:eastAsia="Arial" w:hAnsi="Arial"/>
                <w:sz w:val="18"/>
                <w:szCs w:val="18"/>
                <w:color w:val="auto"/>
                <w:w w:val="99"/>
              </w:rPr>
              <w:t>NVI-AVENUE, LLC, a Maryland limited</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FR White</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Managing</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2,698 units</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89"/>
              </w:rPr>
              <w:t>Excluded Subsidiary</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   Right to exchange membership units</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liability company (DownREIT)</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Marsh, Inc.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member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ind w:left="440"/>
              <w:spacing w:after="0"/>
              <w:rPr>
                <w:sz w:val="20"/>
                <w:szCs w:val="20"/>
                <w:color w:val="auto"/>
              </w:rPr>
            </w:pPr>
            <w:r>
              <w:rPr>
                <w:rFonts w:ascii="Arial" w:cs="Arial" w:eastAsia="Arial" w:hAnsi="Arial"/>
                <w:sz w:val="18"/>
                <w:szCs w:val="18"/>
                <w:color w:val="auto"/>
                <w:w w:val="93"/>
              </w:rPr>
              <w:t>for Federal Realty stock or cash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54 separate</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Members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182,806 units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ind w:left="440"/>
              <w:spacing w:after="0"/>
              <w:rPr>
                <w:sz w:val="20"/>
                <w:szCs w:val="20"/>
                <w:color w:val="auto"/>
              </w:rPr>
            </w:pPr>
            <w:r>
              <w:rPr>
                <w:rFonts w:ascii="Arial" w:cs="Arial" w:eastAsia="Arial" w:hAnsi="Arial"/>
                <w:sz w:val="18"/>
                <w:szCs w:val="18"/>
                <w:color w:val="auto"/>
              </w:rPr>
              <w:t>Federal Realty’s 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investor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members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RETAIL FUNDING AFFILIATES, LLC, a</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FR White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Managing</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 limited liability company</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Marsh, 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NVI-Avenue,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7"/>
              </w:rPr>
              <w:t>The Avenue at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White Marsh</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5"/>
              </w:rPr>
              <w:t>Business Trust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100" w:type="dxa"/>
            <w:vAlign w:val="bottom"/>
            <w:gridSpan w:val="3"/>
          </w:tcPr>
          <w:p>
            <w:pPr>
              <w:spacing w:after="0"/>
              <w:rPr>
                <w:sz w:val="20"/>
                <w:szCs w:val="20"/>
                <w:color w:val="auto"/>
              </w:rPr>
            </w:pPr>
            <w:r>
              <w:rPr>
                <w:rFonts w:ascii="Arial" w:cs="Arial" w:eastAsia="Arial" w:hAnsi="Arial"/>
                <w:sz w:val="18"/>
                <w:szCs w:val="18"/>
                <w:color w:val="auto"/>
              </w:rPr>
              <w:t>FR FLORIDA, INC. (F/K7A FR</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w w:val="97"/>
              </w:rPr>
              <w:t>Federal Realty</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CHELSEA COMMONS III, INC.), a</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4"/>
              </w:rPr>
              <w:t>Stockholder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spacing w:after="0"/>
              <w:rPr>
                <w:sz w:val="20"/>
                <w:szCs w:val="20"/>
                <w:color w:val="auto"/>
              </w:rPr>
            </w:pPr>
            <w:r>
              <w:rPr>
                <w:rFonts w:ascii="Arial" w:cs="Arial" w:eastAsia="Arial" w:hAnsi="Arial"/>
                <w:sz w:val="18"/>
                <w:szCs w:val="18"/>
                <w:color w:val="auto"/>
              </w:rPr>
              <w:t>Delaware corporation</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4" w:right="239" w:bottom="1440" w:gutter="0" w:footer="0" w:header="0"/>
        </w:sectPr>
      </w:pPr>
    </w:p>
    <w:bookmarkStart w:id="507" w:name="page508"/>
    <w:bookmarkEnd w:id="50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Nature of</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Material and/or</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 Ownership</w:t>
            </w:r>
          </w:p>
        </w:tc>
        <w:tc>
          <w:tcPr>
            <w:tcW w:w="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Excluded Subsidiary</w:t>
            </w:r>
          </w:p>
        </w:tc>
        <w:tc>
          <w:tcPr>
            <w:tcW w:w="120" w:type="dxa"/>
            <w:vAlign w:val="bottom"/>
          </w:tcPr>
          <w:p>
            <w:pPr>
              <w:spacing w:after="0"/>
              <w:rPr>
                <w:sz w:val="15"/>
                <w:szCs w:val="15"/>
                <w:color w:val="auto"/>
              </w:rPr>
            </w:pPr>
          </w:p>
        </w:tc>
        <w:tc>
          <w:tcPr>
            <w:tcW w:w="3180" w:type="dxa"/>
            <w:vAlign w:val="bottom"/>
          </w:tcPr>
          <w:p>
            <w:pPr>
              <w:ind w:left="440"/>
              <w:spacing w:after="0"/>
              <w:rPr>
                <w:sz w:val="20"/>
                <w:szCs w:val="20"/>
                <w:color w:val="auto"/>
              </w:rPr>
            </w:pPr>
            <w:r>
              <w:rPr>
                <w:rFonts w:ascii="Arial" w:cs="Arial" w:eastAsia="Arial" w:hAnsi="Arial"/>
                <w:sz w:val="14"/>
                <w:szCs w:val="14"/>
                <w:b w:val="1"/>
                <w:bCs w:val="1"/>
                <w:color w:val="auto"/>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FR DEL MAR VILLAGE, LLC, a Delaware</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0"/>
              </w:rPr>
              <w:t>FR Florida, Inc.</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Sole</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1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member</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FR DEL MAR VILLAGE II, LLC, a</w:t>
            </w:r>
          </w:p>
        </w:tc>
        <w:tc>
          <w:tcPr>
            <w:tcW w:w="1140" w:type="dxa"/>
            <w:vAlign w:val="bottom"/>
          </w:tcPr>
          <w:p>
            <w:pPr>
              <w:spacing w:after="0"/>
              <w:rPr>
                <w:sz w:val="20"/>
                <w:szCs w:val="20"/>
                <w:color w:val="auto"/>
              </w:rPr>
            </w:pPr>
            <w:r>
              <w:rPr>
                <w:rFonts w:ascii="Arial" w:cs="Arial" w:eastAsia="Arial" w:hAnsi="Arial"/>
                <w:sz w:val="18"/>
                <w:szCs w:val="18"/>
                <w:color w:val="auto"/>
                <w:w w:val="90"/>
              </w:rPr>
              <w:t>FR Florida, Inc.</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Sole</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Delaware limited liability company</w:t>
            </w:r>
          </w:p>
        </w:tc>
        <w:tc>
          <w:tcPr>
            <w:tcW w:w="114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member</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COURTYARD SHOPS, LLC, 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0"/>
              </w:rPr>
              <w:t>FR Florida, Inc.</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Sole</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Excluded Subsidiary</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member</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FR CHELSEA COMMONS III, LLC, a</w:t>
            </w:r>
          </w:p>
        </w:tc>
        <w:tc>
          <w:tcPr>
            <w:tcW w:w="1140" w:type="dxa"/>
            <w:vAlign w:val="bottom"/>
          </w:tcPr>
          <w:p>
            <w:pPr>
              <w:spacing w:after="0"/>
              <w:rPr>
                <w:sz w:val="20"/>
                <w:szCs w:val="20"/>
                <w:color w:val="auto"/>
              </w:rPr>
            </w:pPr>
            <w:r>
              <w:rPr>
                <w:rFonts w:ascii="Arial" w:cs="Arial" w:eastAsia="Arial" w:hAnsi="Arial"/>
                <w:sz w:val="18"/>
                <w:szCs w:val="18"/>
                <w:color w:val="auto"/>
                <w:w w:val="95"/>
              </w:rPr>
              <w:t>Federal Realty</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Sole</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Delaware limited liability company</w:t>
            </w:r>
          </w:p>
        </w:tc>
        <w:tc>
          <w:tcPr>
            <w:tcW w:w="1140" w:type="dxa"/>
            <w:vAlign w:val="bottom"/>
          </w:tcPr>
          <w:p>
            <w:pPr>
              <w:spacing w:after="0"/>
              <w:rPr>
                <w:sz w:val="20"/>
                <w:szCs w:val="20"/>
                <w:color w:val="auto"/>
              </w:rPr>
            </w:pPr>
            <w:r>
              <w:rPr>
                <w:rFonts w:ascii="Arial" w:cs="Arial" w:eastAsia="Arial" w:hAnsi="Arial"/>
                <w:sz w:val="18"/>
                <w:szCs w:val="18"/>
                <w:color w:val="auto"/>
              </w:rPr>
              <w:t>Investment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member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ROLLINGWOOD, LLC, a Delaware</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5"/>
              </w:rPr>
              <w:t>Federal Realty</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Sole</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member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Trust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FR ROLLINGWOOD, INC., a Delaware</w:t>
            </w:r>
          </w:p>
        </w:tc>
        <w:tc>
          <w:tcPr>
            <w:tcW w:w="1140" w:type="dxa"/>
            <w:vAlign w:val="bottom"/>
          </w:tcPr>
          <w:p>
            <w:pPr>
              <w:spacing w:after="0"/>
              <w:rPr>
                <w:sz w:val="20"/>
                <w:szCs w:val="20"/>
                <w:color w:val="auto"/>
              </w:rPr>
            </w:pPr>
            <w:r>
              <w:rPr>
                <w:rFonts w:ascii="Arial" w:cs="Arial" w:eastAsia="Arial" w:hAnsi="Arial"/>
                <w:sz w:val="18"/>
                <w:szCs w:val="18"/>
                <w:color w:val="auto"/>
              </w:rPr>
              <w:t>FR</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Sole</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88"/>
              </w:rPr>
              <w:t>Excluded Subsidiary</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corporation</w:t>
            </w:r>
          </w:p>
        </w:tc>
        <w:tc>
          <w:tcPr>
            <w:tcW w:w="1140" w:type="dxa"/>
            <w:vAlign w:val="bottom"/>
          </w:tcPr>
          <w:p>
            <w:pPr>
              <w:spacing w:after="0"/>
              <w:rPr>
                <w:sz w:val="20"/>
                <w:szCs w:val="20"/>
                <w:color w:val="auto"/>
              </w:rPr>
            </w:pPr>
            <w:r>
              <w:rPr>
                <w:rFonts w:ascii="Arial" w:cs="Arial" w:eastAsia="Arial" w:hAnsi="Arial"/>
                <w:sz w:val="18"/>
                <w:szCs w:val="18"/>
                <w:color w:val="auto"/>
              </w:rPr>
              <w:t>Rollingwood,</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97"/>
              </w:rPr>
              <w:t>stockholder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STREET RETAIL, INC., a Maryland</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5"/>
              </w:rPr>
              <w:t>Federal Realty</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Sole</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Guarantor Material</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stockholder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Subsidiary</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Trust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FRIT SAN JOSE TOWN AND COUNTRY</w:t>
            </w:r>
          </w:p>
        </w:tc>
        <w:tc>
          <w:tcPr>
            <w:tcW w:w="1140" w:type="dxa"/>
            <w:vAlign w:val="bottom"/>
          </w:tcPr>
          <w:p>
            <w:pPr>
              <w:spacing w:after="0"/>
              <w:rPr>
                <w:sz w:val="20"/>
                <w:szCs w:val="20"/>
                <w:color w:val="auto"/>
              </w:rPr>
            </w:pPr>
            <w:r>
              <w:rPr>
                <w:rFonts w:ascii="Arial" w:cs="Arial" w:eastAsia="Arial" w:hAnsi="Arial"/>
                <w:sz w:val="18"/>
                <w:szCs w:val="18"/>
                <w:color w:val="auto"/>
              </w:rPr>
              <w:t>Street Retail,</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Sole</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95"/>
              </w:rPr>
              <w:t>Guarantor Material</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VILLAGE, LLC, a California limited</w:t>
            </w:r>
          </w:p>
        </w:tc>
        <w:tc>
          <w:tcPr>
            <w:tcW w:w="1140" w:type="dxa"/>
            <w:vAlign w:val="bottom"/>
          </w:tcPr>
          <w:p>
            <w:pPr>
              <w:spacing w:after="0"/>
              <w:rPr>
                <w:sz w:val="20"/>
                <w:szCs w:val="20"/>
                <w:color w:val="auto"/>
              </w:rPr>
            </w:pPr>
            <w:r>
              <w:rPr>
                <w:rFonts w:ascii="Arial" w:cs="Arial" w:eastAsia="Arial" w:hAnsi="Arial"/>
                <w:sz w:val="18"/>
                <w:szCs w:val="18"/>
                <w:color w:val="auto"/>
              </w:rPr>
              <w:t>Inc.</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member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liability company</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RESIDENTIAL, INC., 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5"/>
              </w:rPr>
              <w:t>Federal Realty</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A</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 corporation</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Voting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Trust</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Stockholder</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Jeanne T.</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A</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Connor</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Voting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Stockholder</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3" w:right="239" w:bottom="1440" w:gutter="0" w:footer="0" w:header="0"/>
        </w:sectPr>
      </w:pPr>
    </w:p>
    <w:bookmarkStart w:id="508" w:name="page509"/>
    <w:bookmarkEnd w:id="50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Material and/or</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120" w:type="dxa"/>
            <w:vAlign w:val="bottom"/>
          </w:tcPr>
          <w:p>
            <w:pPr>
              <w:spacing w:after="0"/>
              <w:rPr>
                <w:sz w:val="15"/>
                <w:szCs w:val="15"/>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w w:val="95"/>
              </w:rPr>
              <w:t>Equity Holders</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 Ownership</w:t>
            </w:r>
          </w:p>
        </w:tc>
        <w:tc>
          <w:tcPr>
            <w:tcW w:w="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Excluded Subsidiary</w:t>
            </w:r>
          </w:p>
        </w:tc>
        <w:tc>
          <w:tcPr>
            <w:tcW w:w="120" w:type="dxa"/>
            <w:vAlign w:val="bottom"/>
          </w:tcPr>
          <w:p>
            <w:pPr>
              <w:spacing w:after="0"/>
              <w:rPr>
                <w:sz w:val="15"/>
                <w:szCs w:val="15"/>
                <w:color w:val="auto"/>
              </w:rPr>
            </w:pPr>
          </w:p>
        </w:tc>
        <w:tc>
          <w:tcPr>
            <w:tcW w:w="3180" w:type="dxa"/>
            <w:vAlign w:val="bottom"/>
          </w:tcPr>
          <w:p>
            <w:pPr>
              <w:ind w:left="440"/>
              <w:spacing w:after="0"/>
              <w:rPr>
                <w:sz w:val="20"/>
                <w:szCs w:val="20"/>
                <w:color w:val="auto"/>
              </w:rPr>
            </w:pPr>
            <w:r>
              <w:rPr>
                <w:rFonts w:ascii="Arial" w:cs="Arial" w:eastAsia="Arial" w:hAnsi="Arial"/>
                <w:sz w:val="14"/>
                <w:szCs w:val="14"/>
                <w:b w:val="1"/>
                <w:bCs w:val="1"/>
                <w:color w:val="auto"/>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4"/>
              </w:rPr>
              <w:t>FRIT San Jose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Class B</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Town &amp;</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9"/>
              </w:rPr>
              <w:t>Non-Voting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Country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Village, LLC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4"/>
              </w:rPr>
              <w:t>Stockholder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w w:val="96"/>
              </w:rPr>
              <w:t>STREET RETAIL FOREST HILLS I, LLC, a</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Delaware limited liability company</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member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STREET RETAIL FOREST HILLS II,</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LLC, a Delaware limited liability company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 BE DISSOLVED)</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w w:val="99"/>
              </w:rPr>
              <w:t>SRI OLD TOWN, LLC, a California limited</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liability company</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member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STREET RETAIL WEST GP, INC., a</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 corporation</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w w:val="95"/>
              </w:rPr>
              <w:t>STREET RETAIL WEST I, L.P., a Delaware</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Street Retail</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95"/>
              </w:rPr>
              <w:t>Guarantor Material</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limited partnership</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1"/>
              </w:rPr>
              <w:t>West GP, Inc.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Limited</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STREET RETAIL WEST II, L.P., a Delaware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Street Retail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1"/>
              </w:rPr>
              <w:t>West GP, 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Street Retail,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Street Retail,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w w:val="93"/>
              </w:rPr>
              <w:t>STREET RETAIL WEST 3, L.P., a Delaware</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Street Retail</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limited partnership</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1"/>
              </w:rPr>
              <w:t>West GP, Inc.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Limited</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4" w:right="239" w:bottom="1440" w:gutter="0" w:footer="0" w:header="0"/>
        </w:sectPr>
      </w:pPr>
    </w:p>
    <w:bookmarkStart w:id="509" w:name="page510"/>
    <w:bookmarkEnd w:id="50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right"/>
              <w:ind w:right="206"/>
              <w:spacing w:after="0" w:line="149" w:lineRule="exact"/>
              <w:rPr>
                <w:sz w:val="20"/>
                <w:szCs w:val="20"/>
                <w:color w:val="auto"/>
              </w:rPr>
            </w:pPr>
            <w:r>
              <w:rPr>
                <w:rFonts w:ascii="Arial" w:cs="Arial" w:eastAsia="Arial" w:hAnsi="Arial"/>
                <w:sz w:val="14"/>
                <w:szCs w:val="14"/>
                <w:b w:val="1"/>
                <w:bCs w:val="1"/>
                <w:color w:val="auto"/>
              </w:rPr>
              <w:t>Material and/or</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120" w:type="dxa"/>
            <w:vAlign w:val="bottom"/>
          </w:tcPr>
          <w:p>
            <w:pPr>
              <w:spacing w:after="0"/>
              <w:rPr>
                <w:sz w:val="15"/>
                <w:szCs w:val="15"/>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w w:val="95"/>
              </w:rPr>
              <w:t>Equity Holders</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 Ownership</w:t>
            </w:r>
          </w:p>
        </w:tc>
        <w:tc>
          <w:tcPr>
            <w:tcW w:w="60" w:type="dxa"/>
            <w:vAlign w:val="bottom"/>
          </w:tcPr>
          <w:p>
            <w:pPr>
              <w:spacing w:after="0"/>
              <w:rPr>
                <w:sz w:val="15"/>
                <w:szCs w:val="15"/>
                <w:color w:val="auto"/>
              </w:rPr>
            </w:pPr>
          </w:p>
        </w:tc>
        <w:tc>
          <w:tcPr>
            <w:tcW w:w="1460" w:type="dxa"/>
            <w:vAlign w:val="bottom"/>
          </w:tcPr>
          <w:p>
            <w:pPr>
              <w:jc w:val="right"/>
              <w:ind w:right="66"/>
              <w:spacing w:after="0"/>
              <w:rPr>
                <w:sz w:val="20"/>
                <w:szCs w:val="20"/>
                <w:color w:val="auto"/>
              </w:rPr>
            </w:pPr>
            <w:r>
              <w:rPr>
                <w:rFonts w:ascii="Arial" w:cs="Arial" w:eastAsia="Arial" w:hAnsi="Arial"/>
                <w:sz w:val="14"/>
                <w:szCs w:val="14"/>
                <w:b w:val="1"/>
                <w:bCs w:val="1"/>
                <w:color w:val="auto"/>
                <w:w w:val="94"/>
              </w:rPr>
              <w:t>Excluded Subsidiary</w:t>
            </w:r>
          </w:p>
        </w:tc>
        <w:tc>
          <w:tcPr>
            <w:tcW w:w="120" w:type="dxa"/>
            <w:vAlign w:val="bottom"/>
          </w:tcPr>
          <w:p>
            <w:pPr>
              <w:spacing w:after="0"/>
              <w:rPr>
                <w:sz w:val="15"/>
                <w:szCs w:val="15"/>
                <w:color w:val="auto"/>
              </w:rPr>
            </w:pPr>
          </w:p>
        </w:tc>
        <w:tc>
          <w:tcPr>
            <w:tcW w:w="3180" w:type="dxa"/>
            <w:vAlign w:val="bottom"/>
          </w:tcPr>
          <w:p>
            <w:pPr>
              <w:ind w:left="440"/>
              <w:spacing w:after="0"/>
              <w:rPr>
                <w:sz w:val="20"/>
                <w:szCs w:val="20"/>
                <w:color w:val="auto"/>
              </w:rPr>
            </w:pPr>
            <w:r>
              <w:rPr>
                <w:rFonts w:ascii="Arial" w:cs="Arial" w:eastAsia="Arial" w:hAnsi="Arial"/>
                <w:sz w:val="14"/>
                <w:szCs w:val="14"/>
                <w:b w:val="1"/>
                <w:bCs w:val="1"/>
                <w:color w:val="auto"/>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STREET RETAIL WEST 4, L.P., a Delaware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Street Retail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6"/>
              <w:spacing w:after="0"/>
              <w:rPr>
                <w:sz w:val="20"/>
                <w:szCs w:val="20"/>
                <w:color w:val="auto"/>
              </w:rPr>
            </w:pPr>
            <w:r>
              <w:rPr>
                <w:rFonts w:ascii="Arial" w:cs="Arial" w:eastAsia="Arial" w:hAnsi="Arial"/>
                <w:sz w:val="18"/>
                <w:szCs w:val="18"/>
                <w:color w:val="auto"/>
                <w:w w:val="83"/>
              </w:rPr>
              <w:t>Guarantor</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1"/>
              </w:rPr>
              <w:t>West GP, 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Street Retail,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Street Retail,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w w:val="93"/>
              </w:rPr>
              <w:t>STREET RETAIL WEST 6, L.P., a Delaware</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Street Retail</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1520" w:type="dxa"/>
            <w:vAlign w:val="bottom"/>
            <w:gridSpan w:val="2"/>
          </w:tcPr>
          <w:p>
            <w:pPr>
              <w:jc w:val="right"/>
              <w:ind w:right="686"/>
              <w:spacing w:after="0"/>
              <w:rPr>
                <w:sz w:val="20"/>
                <w:szCs w:val="20"/>
                <w:color w:val="auto"/>
              </w:rPr>
            </w:pPr>
            <w:r>
              <w:rPr>
                <w:rFonts w:ascii="Arial" w:cs="Arial" w:eastAsia="Arial" w:hAnsi="Arial"/>
                <w:sz w:val="18"/>
                <w:szCs w:val="18"/>
                <w:color w:val="auto"/>
                <w:w w:val="91"/>
              </w:rPr>
              <w:t>Guarantor</w:t>
            </w: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limited partnership</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1"/>
              </w:rPr>
              <w:t>West GP, Inc.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Limited</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42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auto"/>
                <w:w w:val="93"/>
              </w:rPr>
              <w:t>STREET RETAIL WEST 7, L.P., a Delaware</w:t>
            </w:r>
          </w:p>
        </w:tc>
        <w:tc>
          <w:tcPr>
            <w:tcW w:w="1180" w:type="dxa"/>
            <w:vAlign w:val="bottom"/>
          </w:tcPr>
          <w:p>
            <w:pPr>
              <w:ind w:left="140"/>
              <w:spacing w:after="0"/>
              <w:rPr>
                <w:sz w:val="20"/>
                <w:szCs w:val="20"/>
                <w:color w:val="auto"/>
              </w:rPr>
            </w:pPr>
            <w:r>
              <w:rPr>
                <w:rFonts w:ascii="Arial" w:cs="Arial" w:eastAsia="Arial" w:hAnsi="Arial"/>
                <w:sz w:val="18"/>
                <w:szCs w:val="18"/>
                <w:color w:val="auto"/>
              </w:rPr>
              <w:t>Street Retail</w:t>
            </w:r>
          </w:p>
        </w:tc>
        <w:tc>
          <w:tcPr>
            <w:tcW w:w="660" w:type="dxa"/>
            <w:vAlign w:val="bottom"/>
          </w:tcPr>
          <w:p>
            <w:pPr>
              <w:ind w:left="120"/>
              <w:spacing w:after="0"/>
              <w:rPr>
                <w:sz w:val="20"/>
                <w:szCs w:val="20"/>
                <w:color w:val="auto"/>
              </w:rPr>
            </w:pPr>
            <w:r>
              <w:rPr>
                <w:rFonts w:ascii="Arial" w:cs="Arial" w:eastAsia="Arial" w:hAnsi="Arial"/>
                <w:sz w:val="18"/>
                <w:szCs w:val="18"/>
                <w:color w:val="auto"/>
                <w:w w:val="82"/>
              </w:rPr>
              <w:t>Class C</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limited partnership</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West GP, Inc.</w:t>
            </w:r>
          </w:p>
        </w:tc>
        <w:tc>
          <w:tcPr>
            <w:tcW w:w="660" w:type="dxa"/>
            <w:vAlign w:val="bottom"/>
          </w:tcPr>
          <w:p>
            <w:pPr>
              <w:ind w:left="120"/>
              <w:spacing w:after="0"/>
              <w:rPr>
                <w:sz w:val="20"/>
                <w:szCs w:val="20"/>
                <w:color w:val="auto"/>
              </w:rPr>
            </w:pPr>
            <w:r>
              <w:rPr>
                <w:rFonts w:ascii="Arial" w:cs="Arial" w:eastAsia="Arial" w:hAnsi="Arial"/>
                <w:sz w:val="18"/>
                <w:szCs w:val="18"/>
                <w:color w:val="auto"/>
                <w:w w:val="86"/>
              </w:rPr>
              <w:t>general</w:t>
            </w:r>
          </w:p>
        </w:tc>
      </w:tr>
      <w:tr>
        <w:trPr>
          <w:trHeight w:val="216"/>
        </w:trPr>
        <w:tc>
          <w:tcPr>
            <w:tcW w:w="3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w w:val="91"/>
              </w:rPr>
              <w:t>partner</w:t>
            </w:r>
          </w:p>
        </w:tc>
      </w:tr>
      <w:tr>
        <w:trPr>
          <w:trHeight w:val="216"/>
        </w:trPr>
        <w:tc>
          <w:tcPr>
            <w:tcW w:w="33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Delaware</w:t>
            </w:r>
          </w:p>
        </w:tc>
        <w:tc>
          <w:tcPr>
            <w:tcW w:w="660" w:type="dxa"/>
            <w:vAlign w:val="bottom"/>
          </w:tcPr>
          <w:p>
            <w:pPr>
              <w:ind w:left="120"/>
              <w:spacing w:after="0"/>
              <w:rPr>
                <w:sz w:val="20"/>
                <w:szCs w:val="20"/>
                <w:color w:val="auto"/>
              </w:rPr>
            </w:pPr>
            <w:r>
              <w:rPr>
                <w:rFonts w:ascii="Arial" w:cs="Arial" w:eastAsia="Arial" w:hAnsi="Arial"/>
                <w:sz w:val="18"/>
                <w:szCs w:val="18"/>
                <w:color w:val="auto"/>
                <w:w w:val="83"/>
              </w:rPr>
              <w:t>Class A</w:t>
            </w:r>
          </w:p>
        </w:tc>
      </w:tr>
      <w:tr>
        <w:trPr>
          <w:trHeight w:val="216"/>
        </w:trPr>
        <w:tc>
          <w:tcPr>
            <w:tcW w:w="33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GPO 7 Inc.</w:t>
            </w:r>
          </w:p>
        </w:tc>
        <w:tc>
          <w:tcPr>
            <w:tcW w:w="660" w:type="dxa"/>
            <w:vAlign w:val="bottom"/>
          </w:tcPr>
          <w:p>
            <w:pPr>
              <w:ind w:left="120"/>
              <w:spacing w:after="0"/>
              <w:rPr>
                <w:sz w:val="20"/>
                <w:szCs w:val="20"/>
                <w:color w:val="auto"/>
              </w:rPr>
            </w:pPr>
            <w:r>
              <w:rPr>
                <w:rFonts w:ascii="Arial" w:cs="Arial" w:eastAsia="Arial" w:hAnsi="Arial"/>
                <w:sz w:val="18"/>
                <w:szCs w:val="18"/>
                <w:color w:val="auto"/>
                <w:w w:val="86"/>
              </w:rPr>
              <w:t>general</w:t>
            </w:r>
          </w:p>
        </w:tc>
      </w:tr>
      <w:tr>
        <w:trPr>
          <w:trHeight w:val="95"/>
        </w:trPr>
        <w:tc>
          <w:tcPr>
            <w:tcW w:w="3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1"/>
                <w:szCs w:val="11"/>
                <w:color w:val="auto"/>
              </w:rPr>
              <w:t>partner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4219575" cy="24701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219575" cy="247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right="60" w:hanging="439"/>
        <w:spacing w:after="0" w:line="332" w:lineRule="auto"/>
        <w:rPr>
          <w:sz w:val="20"/>
          <w:szCs w:val="20"/>
          <w:color w:val="auto"/>
        </w:rPr>
      </w:pPr>
      <w:r>
        <w:rPr>
          <w:rFonts w:ascii="Arial" w:cs="Arial" w:eastAsia="Arial" w:hAnsi="Arial"/>
          <w:sz w:val="16"/>
          <w:szCs w:val="16"/>
          <w:color w:val="auto"/>
        </w:rPr>
        <w:t>90%</w:t>
      </w:r>
      <w:r>
        <w:rPr>
          <w:sz w:val="20"/>
          <w:szCs w:val="20"/>
          <w:color w:val="auto"/>
        </w:rPr>
        <w:t xml:space="preserve"> </w:t>
      </w:r>
      <w:r>
        <w:rPr>
          <w:rFonts w:ascii="Arial" w:cs="Arial" w:eastAsia="Arial" w:hAnsi="Arial"/>
          <w:sz w:val="16"/>
          <w:szCs w:val="16"/>
          <w:color w:val="auto"/>
        </w:rPr>
        <w:t>Owner of Non-Controlled Property</w:t>
      </w:r>
    </w:p>
    <w:p>
      <w:pPr>
        <w:spacing w:after="0" w:line="4" w:lineRule="exact"/>
        <w:rPr>
          <w:sz w:val="20"/>
          <w:szCs w:val="20"/>
          <w:color w:val="auto"/>
        </w:rPr>
      </w:pPr>
    </w:p>
    <w:p>
      <w:pPr>
        <w:ind w:left="287" w:hanging="287"/>
        <w:spacing w:after="0"/>
        <w:tabs>
          <w:tab w:leader="none" w:pos="287" w:val="left"/>
        </w:tabs>
        <w:numPr>
          <w:ilvl w:val="0"/>
          <w:numId w:val="378"/>
        </w:numPr>
        <w:rPr>
          <w:rFonts w:ascii="Arial" w:cs="Arial" w:eastAsia="Arial" w:hAnsi="Arial"/>
          <w:sz w:val="16"/>
          <w:szCs w:val="16"/>
          <w:color w:val="auto"/>
        </w:rPr>
      </w:pPr>
      <w:r>
        <w:rPr>
          <w:rFonts w:ascii="Arial" w:cs="Arial" w:eastAsia="Arial" w:hAnsi="Arial"/>
          <w:sz w:val="16"/>
          <w:szCs w:val="16"/>
          <w:color w:val="auto"/>
        </w:rPr>
        <w:t>7001 Hollywood</w:t>
      </w:r>
    </w:p>
    <w:p>
      <w:pPr>
        <w:spacing w:after="0" w:line="38" w:lineRule="exact"/>
        <w:rPr>
          <w:rFonts w:ascii="Arial" w:cs="Arial" w:eastAsia="Arial" w:hAnsi="Arial"/>
          <w:sz w:val="16"/>
          <w:szCs w:val="16"/>
          <w:color w:val="auto"/>
        </w:rPr>
      </w:pPr>
    </w:p>
    <w:p>
      <w:pPr>
        <w:jc w:val="right"/>
        <w:ind w:left="427" w:right="200" w:hanging="774"/>
        <w:spacing w:after="0" w:line="286" w:lineRule="auto"/>
        <w:rPr>
          <w:rFonts w:ascii="Arial" w:cs="Arial" w:eastAsia="Arial" w:hAnsi="Arial"/>
          <w:sz w:val="16"/>
          <w:szCs w:val="16"/>
          <w:color w:val="auto"/>
        </w:rPr>
      </w:pPr>
      <w:r>
        <w:rPr>
          <w:rFonts w:ascii="Arial" w:cs="Arial" w:eastAsia="Arial" w:hAnsi="Arial"/>
          <w:sz w:val="35"/>
          <w:szCs w:val="35"/>
          <w:color w:val="auto"/>
          <w:vertAlign w:val="superscript"/>
        </w:rPr>
        <w:t>0%</w:t>
      </w:r>
      <w:r>
        <w:rPr>
          <w:rFonts w:ascii="Arial" w:cs="Arial" w:eastAsia="Arial" w:hAnsi="Arial"/>
          <w:sz w:val="16"/>
          <w:szCs w:val="16"/>
          <w:color w:val="auto"/>
        </w:rPr>
        <w:t>Boulevard, Hollywood,</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Arial" w:cs="Arial" w:eastAsia="Arial" w:hAnsi="Arial"/>
          <w:sz w:val="16"/>
          <w:szCs w:val="16"/>
          <w:color w:val="auto"/>
        </w:rPr>
        <w:t>•</w:t>
        <w:tab/>
        <w:t>Right to merge entities into a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-111125</wp:posOffset>
            </wp:positionV>
            <wp:extent cx="3027045" cy="24701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027045" cy="2470150"/>
                    </a:xfrm>
                    <a:prstGeom prst="rect">
                      <a:avLst/>
                    </a:prstGeom>
                    <a:noFill/>
                  </pic:spPr>
                </pic:pic>
              </a:graphicData>
            </a:graphic>
          </wp:anchor>
        </w:drawing>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Realty entity in exchange for Federal</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Realty stock or cash (at option of non-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Federal Realty partners, subject to</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conditions); and</w:t>
      </w:r>
    </w:p>
    <w:p>
      <w:pPr>
        <w:spacing w:after="0" w:line="98" w:lineRule="exact"/>
        <w:rPr>
          <w:sz w:val="20"/>
          <w:szCs w:val="20"/>
          <w:color w:val="auto"/>
        </w:rPr>
      </w:pPr>
    </w:p>
    <w:p>
      <w:pPr>
        <w:sectPr>
          <w:pgSz w:w="11900" w:h="16838" w:orient="portrait"/>
          <w:cols w:equalWidth="0" w:num="3">
            <w:col w:w="5933" w:space="720"/>
            <w:col w:w="1467" w:space="120"/>
            <w:col w:w="3180"/>
          </w:cols>
          <w:pgMar w:left="240" w:top="274" w:right="239" w:bottom="1440" w:gutter="0" w:footer="0" w:header="0"/>
          <w:type w:val="continuous"/>
        </w:sectPr>
      </w:pPr>
    </w:p>
    <w:p>
      <w:pPr>
        <w:spacing w:after="0" w:line="120" w:lineRule="exact"/>
        <w:rPr>
          <w:sz w:val="20"/>
          <w:szCs w:val="20"/>
          <w:color w:val="auto"/>
        </w:rPr>
      </w:pPr>
    </w:p>
    <w:p>
      <w:pPr>
        <w:ind w:left="3460"/>
        <w:spacing w:after="0"/>
        <w:tabs>
          <w:tab w:leader="none" w:pos="4600" w:val="left"/>
        </w:tabs>
        <w:rPr>
          <w:sz w:val="20"/>
          <w:szCs w:val="20"/>
          <w:color w:val="auto"/>
        </w:rPr>
      </w:pPr>
      <w:r>
        <w:rPr>
          <w:rFonts w:ascii="Arial" w:cs="Arial" w:eastAsia="Arial" w:hAnsi="Arial"/>
          <w:sz w:val="15"/>
          <w:szCs w:val="15"/>
          <w:color w:val="auto"/>
        </w:rPr>
        <w:t>Delaware</w:t>
      </w:r>
      <w:r>
        <w:rPr>
          <w:sz w:val="20"/>
          <w:szCs w:val="20"/>
          <w:color w:val="auto"/>
        </w:rPr>
        <w:tab/>
      </w:r>
      <w:r>
        <w:rPr>
          <w:rFonts w:ascii="Arial" w:cs="Arial" w:eastAsia="Arial" w:hAnsi="Arial"/>
          <w:sz w:val="15"/>
          <w:szCs w:val="15"/>
          <w:color w:val="auto"/>
        </w:rPr>
        <w:t>Class B</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Arial" w:cs="Arial" w:eastAsia="Arial" w:hAnsi="Arial"/>
          <w:sz w:val="16"/>
          <w:szCs w:val="16"/>
          <w:color w:val="auto"/>
        </w:rPr>
        <w:t>•</w:t>
        <w:tab/>
        <w:t>Registration rights for Federal Realty</w:t>
      </w:r>
    </w:p>
    <w:p>
      <w:pPr>
        <w:ind w:left="420"/>
        <w:spacing w:after="0" w:line="181" w:lineRule="auto"/>
        <w:rPr>
          <w:sz w:val="20"/>
          <w:szCs w:val="20"/>
          <w:color w:val="auto"/>
        </w:rPr>
      </w:pPr>
      <w:r>
        <w:rPr>
          <w:rFonts w:ascii="Arial" w:cs="Arial" w:eastAsia="Arial" w:hAnsi="Arial"/>
          <w:sz w:val="13"/>
          <w:szCs w:val="13"/>
          <w:color w:val="auto"/>
        </w:rPr>
        <w:t>stock issued in connection with</w:t>
      </w:r>
    </w:p>
    <w:p>
      <w:pPr>
        <w:spacing w:after="0" w:line="1" w:lineRule="exact"/>
        <w:rPr>
          <w:sz w:val="20"/>
          <w:szCs w:val="20"/>
          <w:color w:val="auto"/>
        </w:rPr>
      </w:pPr>
    </w:p>
    <w:p>
      <w:pPr>
        <w:sectPr>
          <w:pgSz w:w="11900" w:h="16838" w:orient="portrait"/>
          <w:cols w:equalWidth="0" w:num="4">
            <w:col w:w="5540" w:space="720"/>
            <w:col w:w="280" w:space="540"/>
            <w:col w:w="440" w:space="720"/>
            <w:col w:w="3180"/>
          </w:cols>
          <w:pgMar w:left="240" w:top="274"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GPO 7 Inc.</w:t>
            </w: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240" w:type="dxa"/>
            <w:vAlign w:val="bottom"/>
            <w:vMerge w:val="restart"/>
          </w:tcPr>
          <w:p>
            <w:pPr>
              <w:ind w:left="80"/>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Class 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GPM 7 Inc.</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general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Delaware</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Class B</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GPO 7 Inc.</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Delaware</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Class B</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GPM 7 Inc.</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80" w:type="dxa"/>
            <w:vAlign w:val="bottom"/>
          </w:tcPr>
          <w:p>
            <w:pPr>
              <w:spacing w:after="0"/>
              <w:rPr>
                <w:sz w:val="20"/>
                <w:szCs w:val="20"/>
                <w:color w:val="auto"/>
              </w:rPr>
            </w:pPr>
            <w:r>
              <w:rPr>
                <w:rFonts w:ascii="Arial" w:cs="Arial" w:eastAsia="Arial" w:hAnsi="Arial"/>
                <w:sz w:val="18"/>
                <w:szCs w:val="18"/>
                <w:color w:val="auto"/>
                <w:w w:val="92"/>
              </w:rPr>
              <w:t>STREET RETAIL WEST 10, L.P., a Delaware</w:t>
            </w:r>
          </w:p>
        </w:tc>
        <w:tc>
          <w:tcPr>
            <w:tcW w:w="1240" w:type="dxa"/>
            <w:vAlign w:val="bottom"/>
          </w:tcPr>
          <w:p>
            <w:pPr>
              <w:ind w:left="80"/>
              <w:spacing w:after="0"/>
              <w:rPr>
                <w:sz w:val="20"/>
                <w:szCs w:val="20"/>
                <w:color w:val="auto"/>
              </w:rPr>
            </w:pPr>
            <w:r>
              <w:rPr>
                <w:rFonts w:ascii="Arial" w:cs="Arial" w:eastAsia="Arial" w:hAnsi="Arial"/>
                <w:sz w:val="18"/>
                <w:szCs w:val="18"/>
                <w:color w:val="auto"/>
              </w:rPr>
              <w:t>Street Retail</w:t>
            </w: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limited partnership</w:t>
            </w:r>
          </w:p>
        </w:tc>
        <w:tc>
          <w:tcPr>
            <w:tcW w:w="1240" w:type="dxa"/>
            <w:vAlign w:val="bottom"/>
          </w:tcPr>
          <w:p>
            <w:pPr>
              <w:ind w:left="80"/>
              <w:spacing w:after="0"/>
              <w:rPr>
                <w:sz w:val="20"/>
                <w:szCs w:val="20"/>
                <w:color w:val="auto"/>
              </w:rPr>
            </w:pPr>
            <w:r>
              <w:rPr>
                <w:rFonts w:ascii="Arial" w:cs="Arial" w:eastAsia="Arial" w:hAnsi="Arial"/>
                <w:sz w:val="18"/>
                <w:szCs w:val="18"/>
                <w:color w:val="auto"/>
              </w:rPr>
              <w:t>West GP, Inc.</w:t>
            </w: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Street Retail,</w:t>
            </w:r>
          </w:p>
        </w:tc>
        <w:tc>
          <w:tcPr>
            <w:tcW w:w="920" w:type="dxa"/>
            <w:vAlign w:val="bottom"/>
          </w:tcPr>
          <w:p>
            <w:pPr>
              <w:spacing w:after="0"/>
              <w:rPr>
                <w:sz w:val="20"/>
                <w:szCs w:val="20"/>
                <w:color w:val="auto"/>
              </w:rPr>
            </w:pPr>
            <w:r>
              <w:rPr>
                <w:rFonts w:ascii="Arial" w:cs="Arial" w:eastAsia="Arial" w:hAnsi="Arial"/>
                <w:sz w:val="18"/>
                <w:szCs w:val="18"/>
                <w:color w:val="auto"/>
              </w:rPr>
              <w:t>General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Inc.</w:t>
            </w: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Street Retail,</w:t>
            </w:r>
          </w:p>
        </w:tc>
        <w:tc>
          <w:tcPr>
            <w:tcW w:w="920" w:type="dxa"/>
            <w:vAlign w:val="bottom"/>
          </w:tcPr>
          <w:p>
            <w:pPr>
              <w:spacing w:after="0"/>
              <w:rPr>
                <w:sz w:val="20"/>
                <w:szCs w:val="20"/>
                <w:color w:val="auto"/>
              </w:rPr>
            </w:pPr>
            <w:r>
              <w:rPr>
                <w:rFonts w:ascii="Arial" w:cs="Arial" w:eastAsia="Arial" w:hAnsi="Arial"/>
                <w:sz w:val="18"/>
                <w:szCs w:val="18"/>
                <w:color w:val="auto"/>
              </w:rPr>
              <w:t>Limited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Inc.</w:t>
            </w:r>
          </w:p>
        </w:tc>
        <w:tc>
          <w:tcPr>
            <w:tcW w:w="920" w:type="dxa"/>
            <w:vAlign w:val="bottom"/>
          </w:tcPr>
          <w:p>
            <w:pPr>
              <w:spacing w:after="0"/>
              <w:rPr>
                <w:sz w:val="20"/>
                <w:szCs w:val="20"/>
                <w:color w:val="auto"/>
              </w:rPr>
            </w:pPr>
            <w:r>
              <w:rPr>
                <w:rFonts w:ascii="Arial" w:cs="Arial" w:eastAsia="Arial" w:hAnsi="Arial"/>
                <w:sz w:val="18"/>
                <w:szCs w:val="18"/>
                <w:color w:val="auto"/>
              </w:rPr>
              <w:t>partner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900" w:hanging="427"/>
        <w:spacing w:after="0" w:line="276" w:lineRule="auto"/>
        <w:tabs>
          <w:tab w:leader="none" w:pos="749" w:val="left"/>
        </w:tabs>
        <w:numPr>
          <w:ilvl w:val="0"/>
          <w:numId w:val="379"/>
        </w:numPr>
        <w:rPr>
          <w:rFonts w:ascii="Arial" w:cs="Arial" w:eastAsia="Arial" w:hAnsi="Arial"/>
          <w:sz w:val="16"/>
          <w:szCs w:val="16"/>
          <w:color w:val="auto"/>
        </w:rPr>
      </w:pPr>
      <w:r>
        <w:rPr>
          <w:rFonts w:ascii="Arial" w:cs="Arial" w:eastAsia="Arial" w:hAnsi="Arial"/>
          <w:sz w:val="16"/>
          <w:szCs w:val="16"/>
          <w:color w:val="auto"/>
        </w:rPr>
        <w:t>7021 Hollywood Boulevard,</w:t>
      </w:r>
    </w:p>
    <w:p>
      <w:pPr>
        <w:spacing w:after="0"/>
        <w:tabs>
          <w:tab w:leader="none" w:pos="880" w:val="left"/>
        </w:tabs>
        <w:rPr>
          <w:sz w:val="20"/>
          <w:szCs w:val="20"/>
          <w:color w:val="auto"/>
        </w:rPr>
      </w:pPr>
      <w:r>
        <w:rPr>
          <w:rFonts w:ascii="Arial" w:cs="Arial" w:eastAsia="Arial" w:hAnsi="Arial"/>
          <w:sz w:val="26"/>
          <w:szCs w:val="26"/>
          <w:color w:val="auto"/>
          <w:vertAlign w:val="subscript"/>
        </w:rPr>
        <w:t>8.1%</w:t>
      </w:r>
      <w:r>
        <w:rPr>
          <w:sz w:val="20"/>
          <w:szCs w:val="20"/>
          <w:color w:val="auto"/>
        </w:rPr>
        <w:tab/>
      </w:r>
      <w:r>
        <w:rPr>
          <w:rFonts w:ascii="Arial" w:cs="Arial" w:eastAsia="Arial" w:hAnsi="Arial"/>
          <w:sz w:val="16"/>
          <w:szCs w:val="16"/>
          <w:color w:val="auto"/>
        </w:rPr>
        <w:t>Hollywood,</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w:t>
      </w:r>
    </w:p>
    <w:p>
      <w:pPr>
        <w:spacing w:after="0" w:line="26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90% Guarantor</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420" w:right="560"/>
        <w:spacing w:after="0" w:line="268" w:lineRule="auto"/>
        <w:rPr>
          <w:sz w:val="20"/>
          <w:szCs w:val="20"/>
          <w:color w:val="auto"/>
        </w:rPr>
      </w:pPr>
      <w:r>
        <w:rPr>
          <w:rFonts w:ascii="Arial" w:cs="Arial" w:eastAsia="Arial" w:hAnsi="Arial"/>
          <w:sz w:val="18"/>
          <w:szCs w:val="18"/>
          <w:color w:val="auto"/>
        </w:rPr>
        <w:t>transfer of partnership interests through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05" w:lineRule="exact"/>
        <w:rPr>
          <w:sz w:val="20"/>
          <w:szCs w:val="20"/>
          <w:color w:val="auto"/>
        </w:rPr>
      </w:pPr>
    </w:p>
    <w:p>
      <w:pPr>
        <w:sectPr>
          <w:pgSz w:w="11900" w:h="16838" w:orient="portrait"/>
          <w:cols w:equalWidth="0" w:num="3">
            <w:col w:w="5640" w:space="540"/>
            <w:col w:w="1940" w:space="120"/>
            <w:col w:w="31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SRI SAN ANTONIO, INC. (F/K/A DIM</w:t>
            </w:r>
          </w:p>
        </w:tc>
        <w:tc>
          <w:tcPr>
            <w:tcW w:w="12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Street Retail,</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Guarantor</w:t>
            </w:r>
          </w:p>
        </w:tc>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38"/>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SUM, INC.), a Maryland corporation</w:t>
            </w:r>
          </w:p>
        </w:tc>
        <w:tc>
          <w:tcPr>
            <w:tcW w:w="1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w:t>
            </w:r>
          </w:p>
        </w:tc>
        <w:tc>
          <w:tcPr>
            <w:tcW w:w="1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w:t>
            </w:r>
          </w:p>
        </w:tc>
        <w:tc>
          <w:tcPr>
            <w:tcW w:w="8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r>
      <w:tr>
        <w:trPr>
          <w:trHeight w:val="316"/>
        </w:trPr>
        <w:tc>
          <w:tcPr>
            <w:tcW w:w="3220" w:type="dxa"/>
            <w:vAlign w:val="bottom"/>
          </w:tcPr>
          <w:p>
            <w:pPr>
              <w:spacing w:after="0"/>
              <w:rPr>
                <w:sz w:val="20"/>
                <w:szCs w:val="20"/>
                <w:color w:val="auto"/>
              </w:rPr>
            </w:pPr>
            <w:r>
              <w:rPr>
                <w:rFonts w:ascii="Arial" w:cs="Arial" w:eastAsia="Arial" w:hAnsi="Arial"/>
                <w:sz w:val="18"/>
                <w:szCs w:val="18"/>
                <w:color w:val="auto"/>
                <w:w w:val="99"/>
              </w:rPr>
              <w:t>STREET RETAIL SAN ANTONIO, LP, a</w:t>
            </w:r>
          </w:p>
        </w:tc>
        <w:tc>
          <w:tcPr>
            <w:tcW w:w="1280" w:type="dxa"/>
            <w:vAlign w:val="bottom"/>
          </w:tcPr>
          <w:p>
            <w:pPr>
              <w:ind w:left="240"/>
              <w:spacing w:after="0"/>
              <w:rPr>
                <w:sz w:val="20"/>
                <w:szCs w:val="20"/>
                <w:color w:val="auto"/>
              </w:rPr>
            </w:pPr>
            <w:r>
              <w:rPr>
                <w:rFonts w:ascii="Arial" w:cs="Arial" w:eastAsia="Arial" w:hAnsi="Arial"/>
                <w:sz w:val="18"/>
                <w:szCs w:val="18"/>
                <w:color w:val="auto"/>
              </w:rPr>
              <w:t>SRI San</w:t>
            </w:r>
          </w:p>
        </w:tc>
        <w:tc>
          <w:tcPr>
            <w:tcW w:w="1260" w:type="dxa"/>
            <w:vAlign w:val="bottom"/>
          </w:tcPr>
          <w:p>
            <w:pPr>
              <w:ind w:left="120"/>
              <w:spacing w:after="0"/>
              <w:rPr>
                <w:sz w:val="20"/>
                <w:szCs w:val="20"/>
                <w:color w:val="auto"/>
              </w:rPr>
            </w:pPr>
            <w:r>
              <w:rPr>
                <w:rFonts w:ascii="Arial" w:cs="Arial" w:eastAsia="Arial" w:hAnsi="Arial"/>
                <w:sz w:val="18"/>
                <w:szCs w:val="18"/>
                <w:color w:val="auto"/>
              </w:rPr>
              <w:t>General</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0" w:type="dxa"/>
            <w:vAlign w:val="bottom"/>
          </w:tcPr>
          <w:p>
            <w:pPr>
              <w:ind w:left="60"/>
              <w:spacing w:after="0"/>
              <w:rPr>
                <w:sz w:val="20"/>
                <w:szCs w:val="20"/>
                <w:color w:val="auto"/>
              </w:rPr>
            </w:pPr>
            <w:r>
              <w:rPr>
                <w:rFonts w:ascii="Arial" w:cs="Arial" w:eastAsia="Arial" w:hAnsi="Arial"/>
                <w:sz w:val="18"/>
                <w:szCs w:val="18"/>
                <w:color w:val="auto"/>
              </w:rPr>
              <w:t>Guarantor</w:t>
            </w:r>
          </w:p>
        </w:tc>
        <w:tc>
          <w:tcPr>
            <w:tcW w:w="362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Delaware limited partnership</w:t>
            </w:r>
          </w:p>
        </w:tc>
        <w:tc>
          <w:tcPr>
            <w:tcW w:w="1280" w:type="dxa"/>
            <w:vAlign w:val="bottom"/>
          </w:tcPr>
          <w:p>
            <w:pPr>
              <w:ind w:left="240"/>
              <w:spacing w:after="0"/>
              <w:rPr>
                <w:sz w:val="20"/>
                <w:szCs w:val="20"/>
                <w:color w:val="auto"/>
              </w:rPr>
            </w:pPr>
            <w:r>
              <w:rPr>
                <w:rFonts w:ascii="Arial" w:cs="Arial" w:eastAsia="Arial" w:hAnsi="Arial"/>
                <w:sz w:val="18"/>
                <w:szCs w:val="18"/>
                <w:color w:val="auto"/>
              </w:rPr>
              <w:t>Antonio, Inc.</w:t>
            </w:r>
          </w:p>
        </w:tc>
        <w:tc>
          <w:tcPr>
            <w:tcW w:w="1260" w:type="dxa"/>
            <w:vAlign w:val="bottom"/>
          </w:tcPr>
          <w:p>
            <w:pPr>
              <w:ind w:left="120"/>
              <w:spacing w:after="0"/>
              <w:rPr>
                <w:sz w:val="20"/>
                <w:szCs w:val="20"/>
                <w:color w:val="auto"/>
              </w:rPr>
            </w:pPr>
            <w:r>
              <w:rPr>
                <w:rFonts w:ascii="Arial" w:cs="Arial" w:eastAsia="Arial" w:hAnsi="Arial"/>
                <w:sz w:val="18"/>
                <w:szCs w:val="18"/>
                <w:color w:val="auto"/>
              </w:rPr>
              <w:t>partner</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280" w:type="dxa"/>
            <w:vAlign w:val="bottom"/>
          </w:tcPr>
          <w:p>
            <w:pPr>
              <w:ind w:left="240"/>
              <w:spacing w:after="0"/>
              <w:rPr>
                <w:sz w:val="20"/>
                <w:szCs w:val="20"/>
                <w:color w:val="auto"/>
              </w:rPr>
            </w:pPr>
            <w:r>
              <w:rPr>
                <w:rFonts w:ascii="Arial" w:cs="Arial" w:eastAsia="Arial" w:hAnsi="Arial"/>
                <w:sz w:val="18"/>
                <w:szCs w:val="18"/>
                <w:color w:val="auto"/>
              </w:rPr>
              <w:t>SRI Texas,</w:t>
            </w:r>
          </w:p>
        </w:tc>
        <w:tc>
          <w:tcPr>
            <w:tcW w:w="1260" w:type="dxa"/>
            <w:vAlign w:val="bottom"/>
          </w:tcPr>
          <w:p>
            <w:pPr>
              <w:ind w:left="120"/>
              <w:spacing w:after="0"/>
              <w:rPr>
                <w:sz w:val="20"/>
                <w:szCs w:val="20"/>
                <w:color w:val="auto"/>
              </w:rPr>
            </w:pPr>
            <w:r>
              <w:rPr>
                <w:rFonts w:ascii="Arial" w:cs="Arial" w:eastAsia="Arial" w:hAnsi="Arial"/>
                <w:sz w:val="18"/>
                <w:szCs w:val="18"/>
                <w:color w:val="auto"/>
              </w:rPr>
              <w:t>Limited</w:t>
            </w:r>
          </w:p>
        </w:tc>
        <w:tc>
          <w:tcPr>
            <w:tcW w:w="840" w:type="dxa"/>
            <w:vAlign w:val="bottom"/>
          </w:tcPr>
          <w:p>
            <w:pPr>
              <w:jc w:val="right"/>
              <w:spacing w:after="0"/>
              <w:rPr>
                <w:sz w:val="20"/>
                <w:szCs w:val="20"/>
                <w:color w:val="auto"/>
              </w:rPr>
            </w:pPr>
            <w:r>
              <w:rPr>
                <w:rFonts w:ascii="Arial" w:cs="Arial" w:eastAsia="Arial" w:hAnsi="Arial"/>
                <w:sz w:val="18"/>
                <w:szCs w:val="18"/>
                <w:color w:val="auto"/>
              </w:rPr>
              <w:t>99.9%</w:t>
            </w:r>
          </w:p>
        </w:tc>
        <w:tc>
          <w:tcPr>
            <w:tcW w:w="120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1280" w:type="dxa"/>
            <w:vAlign w:val="bottom"/>
          </w:tcPr>
          <w:p>
            <w:pPr>
              <w:ind w:left="240"/>
              <w:spacing w:after="0"/>
              <w:rPr>
                <w:sz w:val="20"/>
                <w:szCs w:val="20"/>
                <w:color w:val="auto"/>
              </w:rPr>
            </w:pPr>
            <w:r>
              <w:rPr>
                <w:rFonts w:ascii="Arial" w:cs="Arial" w:eastAsia="Arial" w:hAnsi="Arial"/>
                <w:sz w:val="18"/>
                <w:szCs w:val="18"/>
                <w:color w:val="auto"/>
              </w:rPr>
              <w:t>Inc.</w:t>
            </w:r>
          </w:p>
        </w:tc>
        <w:tc>
          <w:tcPr>
            <w:tcW w:w="1260" w:type="dxa"/>
            <w:vAlign w:val="bottom"/>
          </w:tcPr>
          <w:p>
            <w:pPr>
              <w:ind w:left="120"/>
              <w:spacing w:after="0"/>
              <w:rPr>
                <w:sz w:val="20"/>
                <w:szCs w:val="20"/>
                <w:color w:val="auto"/>
              </w:rPr>
            </w:pPr>
            <w:r>
              <w:rPr>
                <w:rFonts w:ascii="Arial" w:cs="Arial" w:eastAsia="Arial" w:hAnsi="Arial"/>
                <w:sz w:val="18"/>
                <w:szCs w:val="18"/>
                <w:color w:val="auto"/>
              </w:rPr>
              <w:t>partner</w:t>
            </w: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20" w:type="dxa"/>
            <w:vAlign w:val="bottom"/>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type w:val="continuous"/>
        </w:sectPr>
      </w:pPr>
    </w:p>
    <w:bookmarkStart w:id="510" w:name="page511"/>
    <w:bookmarkEnd w:id="5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Material and/or</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120" w:type="dxa"/>
            <w:vAlign w:val="bottom"/>
          </w:tcPr>
          <w:p>
            <w:pPr>
              <w:spacing w:after="0"/>
              <w:rPr>
                <w:sz w:val="15"/>
                <w:szCs w:val="15"/>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w w:val="95"/>
              </w:rPr>
              <w:t>Equity Holders</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 Ownership</w:t>
            </w:r>
          </w:p>
        </w:tc>
        <w:tc>
          <w:tcPr>
            <w:tcW w:w="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Excluded Subsidiary</w:t>
            </w:r>
          </w:p>
        </w:tc>
        <w:tc>
          <w:tcPr>
            <w:tcW w:w="120" w:type="dxa"/>
            <w:vAlign w:val="bottom"/>
          </w:tcPr>
          <w:p>
            <w:pPr>
              <w:spacing w:after="0"/>
              <w:rPr>
                <w:sz w:val="15"/>
                <w:szCs w:val="15"/>
                <w:color w:val="auto"/>
              </w:rPr>
            </w:pPr>
          </w:p>
        </w:tc>
        <w:tc>
          <w:tcPr>
            <w:tcW w:w="3180" w:type="dxa"/>
            <w:vAlign w:val="bottom"/>
          </w:tcPr>
          <w:p>
            <w:pPr>
              <w:ind w:left="440"/>
              <w:spacing w:after="0"/>
              <w:rPr>
                <w:sz w:val="20"/>
                <w:szCs w:val="20"/>
                <w:color w:val="auto"/>
              </w:rPr>
            </w:pPr>
            <w:r>
              <w:rPr>
                <w:rFonts w:ascii="Arial" w:cs="Arial" w:eastAsia="Arial" w:hAnsi="Arial"/>
                <w:sz w:val="14"/>
                <w:szCs w:val="14"/>
                <w:b w:val="1"/>
                <w:bCs w:val="1"/>
                <w:color w:val="auto"/>
              </w:rPr>
              <w:t>Liens, Options, Registration Rights, etc.</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SRI TEXAS, INC., a Delaware corporation</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Guarantor</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SRI ARLINGTON ROAD WEST, INC., a</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Delaware corporation</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ARLINGTON ROAD WEST, LLC, a</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SRI Arlington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Excluded Subsidiary</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Road West,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w w:val="95"/>
              </w:rPr>
              <w:t>SRI BETHESDA AVENUE NORTH, INC., a</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Delaware corporation</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SRI BETHESDA AVENUE NORTH, LLC, a</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SRI Bethesda</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Excluded Subsidiary</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Avenue North,</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SANTANA ROW SERVICES, INC., a</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Delaware corporation</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SANTANA ROW ROF, INC., a Delaware</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Street Retail,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Sole</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stockholder</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3" w:right="239" w:bottom="1440" w:gutter="0" w:footer="0" w:header="0"/>
        </w:sectPr>
      </w:pPr>
    </w:p>
    <w:bookmarkStart w:id="511" w:name="page512"/>
    <w:bookmarkEnd w:id="51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Unconsolidated Affiliates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Material and/or Excluded</w:t>
            </w:r>
          </w:p>
        </w:tc>
        <w:tc>
          <w:tcPr>
            <w:tcW w:w="0" w:type="dxa"/>
            <w:vAlign w:val="bottom"/>
          </w:tcPr>
          <w:p>
            <w:pPr>
              <w:spacing w:after="0"/>
              <w:rPr>
                <w:sz w:val="1"/>
                <w:szCs w:val="1"/>
                <w:color w:val="auto"/>
              </w:rPr>
            </w:pPr>
          </w:p>
        </w:tc>
      </w:tr>
      <w:tr>
        <w:trPr>
          <w:trHeight w:val="175"/>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 Formation</w:t>
            </w:r>
          </w:p>
        </w:tc>
        <w:tc>
          <w:tcPr>
            <w:tcW w:w="3220" w:type="dxa"/>
            <w:vAlign w:val="bottom"/>
          </w:tcPr>
          <w:p>
            <w:pPr>
              <w:ind w:left="1160"/>
              <w:spacing w:after="0"/>
              <w:rPr>
                <w:sz w:val="20"/>
                <w:szCs w:val="20"/>
                <w:color w:val="auto"/>
              </w:rPr>
            </w:pPr>
            <w:r>
              <w:rPr>
                <w:rFonts w:ascii="Arial" w:cs="Arial" w:eastAsia="Arial" w:hAnsi="Arial"/>
                <w:sz w:val="14"/>
                <w:szCs w:val="14"/>
                <w:b w:val="1"/>
                <w:bCs w:val="1"/>
                <w:color w:val="auto"/>
              </w:rPr>
              <w:t>Equity Holders</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 Ownership</w:t>
            </w:r>
          </w:p>
        </w:tc>
        <w:tc>
          <w:tcPr>
            <w:tcW w:w="2000" w:type="dxa"/>
            <w:vAlign w:val="bottom"/>
          </w:tcPr>
          <w:p>
            <w:pPr>
              <w:ind w:left="680"/>
              <w:spacing w:after="0"/>
              <w:rPr>
                <w:sz w:val="20"/>
                <w:szCs w:val="20"/>
                <w:color w:val="auto"/>
              </w:rPr>
            </w:pPr>
            <w:r>
              <w:rPr>
                <w:rFonts w:ascii="Arial" w:cs="Arial" w:eastAsia="Arial" w:hAnsi="Arial"/>
                <w:sz w:val="14"/>
                <w:szCs w:val="14"/>
                <w:b w:val="1"/>
                <w:bCs w:val="1"/>
                <w:color w:val="auto"/>
              </w:rPr>
              <w:t>Subsidiary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Borders>
              <w:top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32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RIVE GAUCHE SAN JOSE, LLC, a</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limited liability company</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Vine Dining Enterprises, Inc.</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Manager/member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720" w:type="dxa"/>
            <w:vAlign w:val="bottom"/>
            <w:gridSpan w:val="3"/>
          </w:tcPr>
          <w:p>
            <w:pPr>
              <w:spacing w:after="0"/>
              <w:rPr>
                <w:sz w:val="20"/>
                <w:szCs w:val="20"/>
                <w:color w:val="auto"/>
              </w:rPr>
            </w:pPr>
            <w:r>
              <w:rPr>
                <w:rFonts w:ascii="Arial" w:cs="Arial" w:eastAsia="Arial" w:hAnsi="Arial"/>
                <w:sz w:val="18"/>
                <w:szCs w:val="18"/>
                <w:color w:val="auto"/>
              </w:rPr>
              <w:t>STRAITS SANTANA ROW, LLC, a California</w:t>
            </w:r>
          </w:p>
        </w:tc>
        <w:tc>
          <w:tcPr>
            <w:tcW w:w="3220" w:type="dxa"/>
            <w:vAlign w:val="bottom"/>
          </w:tcPr>
          <w:p>
            <w:pPr>
              <w:spacing w:after="0"/>
              <w:rPr>
                <w:sz w:val="20"/>
                <w:szCs w:val="20"/>
                <w:color w:val="auto"/>
              </w:rPr>
            </w:pPr>
            <w:r>
              <w:rPr>
                <w:rFonts w:ascii="Arial" w:cs="Arial" w:eastAsia="Arial" w:hAnsi="Arial"/>
                <w:sz w:val="18"/>
                <w:szCs w:val="18"/>
                <w:color w:val="auto"/>
              </w:rPr>
              <w:t>Santana Row ROF, Inc.</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Member</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c>
          <w:tcPr>
            <w:tcW w:w="200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3720" w:type="dxa"/>
            <w:vAlign w:val="bottom"/>
            <w:gridSpan w:val="3"/>
          </w:tcPr>
          <w:p>
            <w:pPr>
              <w:spacing w:after="0"/>
              <w:rPr>
                <w:sz w:val="20"/>
                <w:szCs w:val="20"/>
                <w:color w:val="auto"/>
              </w:rPr>
            </w:pPr>
            <w:r>
              <w:rPr>
                <w:rFonts w:ascii="Arial" w:cs="Arial" w:eastAsia="Arial" w:hAnsi="Arial"/>
                <w:sz w:val="18"/>
                <w:szCs w:val="18"/>
                <w:color w:val="auto"/>
              </w:rPr>
              <w:t>limited liability company</w:t>
            </w:r>
          </w:p>
        </w:tc>
        <w:tc>
          <w:tcPr>
            <w:tcW w:w="3220" w:type="dxa"/>
            <w:vAlign w:val="bottom"/>
          </w:tcPr>
          <w:p>
            <w:pPr>
              <w:spacing w:after="0"/>
              <w:rPr>
                <w:sz w:val="20"/>
                <w:szCs w:val="20"/>
                <w:color w:val="auto"/>
              </w:rPr>
            </w:pPr>
            <w:r>
              <w:rPr>
                <w:rFonts w:ascii="Arial" w:cs="Arial" w:eastAsia="Arial" w:hAnsi="Arial"/>
                <w:sz w:val="18"/>
                <w:szCs w:val="18"/>
                <w:color w:val="auto"/>
              </w:rPr>
              <w:t>Christopher Yeo</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87"/>
              </w:rPr>
              <w:t>Manager/member</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VILLAGE CAFE SANTANA ROW, LLC, a</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limited liability company</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5"/>
              </w:rPr>
              <w:t>San Francisco Coffee Roasting Company,</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Manager/member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720" w:type="dxa"/>
            <w:vAlign w:val="bottom"/>
            <w:gridSpan w:val="3"/>
          </w:tcPr>
          <w:p>
            <w:pPr>
              <w:spacing w:after="0"/>
              <w:rPr>
                <w:sz w:val="20"/>
                <w:szCs w:val="20"/>
                <w:color w:val="auto"/>
              </w:rPr>
            </w:pPr>
            <w:r>
              <w:rPr>
                <w:rFonts w:ascii="Arial" w:cs="Arial" w:eastAsia="Arial" w:hAnsi="Arial"/>
                <w:sz w:val="18"/>
                <w:szCs w:val="18"/>
                <w:color w:val="auto"/>
              </w:rPr>
              <w:t>BLOWFISH SR, LLC, a California limited</w:t>
            </w:r>
          </w:p>
        </w:tc>
        <w:tc>
          <w:tcPr>
            <w:tcW w:w="3220" w:type="dxa"/>
            <w:vAlign w:val="bottom"/>
          </w:tcPr>
          <w:p>
            <w:pPr>
              <w:spacing w:after="0"/>
              <w:rPr>
                <w:sz w:val="20"/>
                <w:szCs w:val="20"/>
                <w:color w:val="auto"/>
              </w:rPr>
            </w:pPr>
            <w:r>
              <w:rPr>
                <w:rFonts w:ascii="Arial" w:cs="Arial" w:eastAsia="Arial" w:hAnsi="Arial"/>
                <w:sz w:val="18"/>
                <w:szCs w:val="18"/>
                <w:color w:val="auto"/>
              </w:rPr>
              <w:t>Santana Row ROF, Inc.</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Member</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200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3720" w:type="dxa"/>
            <w:vAlign w:val="bottom"/>
            <w:gridSpan w:val="3"/>
          </w:tcPr>
          <w:p>
            <w:pPr>
              <w:spacing w:after="0"/>
              <w:rPr>
                <w:sz w:val="20"/>
                <w:szCs w:val="20"/>
                <w:color w:val="auto"/>
              </w:rPr>
            </w:pPr>
            <w:r>
              <w:rPr>
                <w:rFonts w:ascii="Arial" w:cs="Arial" w:eastAsia="Arial" w:hAnsi="Arial"/>
                <w:sz w:val="18"/>
                <w:szCs w:val="18"/>
                <w:color w:val="auto"/>
              </w:rPr>
              <w:t>liability company</w:t>
            </w:r>
          </w:p>
        </w:tc>
        <w:tc>
          <w:tcPr>
            <w:tcW w:w="3220" w:type="dxa"/>
            <w:vAlign w:val="bottom"/>
          </w:tcPr>
          <w:p>
            <w:pPr>
              <w:spacing w:after="0"/>
              <w:rPr>
                <w:sz w:val="20"/>
                <w:szCs w:val="20"/>
                <w:color w:val="auto"/>
              </w:rPr>
            </w:pPr>
            <w:r>
              <w:rPr>
                <w:rFonts w:ascii="Arial" w:cs="Arial" w:eastAsia="Arial" w:hAnsi="Arial"/>
                <w:sz w:val="18"/>
                <w:szCs w:val="18"/>
                <w:color w:val="auto"/>
              </w:rPr>
              <w:t>Fugu Management, LLC</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87"/>
              </w:rPr>
              <w:t>Manager/member</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YANKEE PIER SANTANA ROW, LLC, a</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limited liability company</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Lark Creek Cafe, Inc.</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Manager/member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720" w:type="dxa"/>
            <w:vAlign w:val="bottom"/>
            <w:gridSpan w:val="3"/>
          </w:tcPr>
          <w:p>
            <w:pPr>
              <w:spacing w:after="0"/>
              <w:rPr>
                <w:sz w:val="20"/>
                <w:szCs w:val="20"/>
                <w:color w:val="auto"/>
              </w:rPr>
            </w:pPr>
            <w:r>
              <w:rPr>
                <w:rFonts w:ascii="Arial" w:cs="Arial" w:eastAsia="Arial" w:hAnsi="Arial"/>
                <w:sz w:val="18"/>
                <w:szCs w:val="18"/>
                <w:color w:val="auto"/>
              </w:rPr>
              <w:t>PIZZA ANTICA, LLC, a California limited</w:t>
            </w:r>
          </w:p>
        </w:tc>
        <w:tc>
          <w:tcPr>
            <w:tcW w:w="3220" w:type="dxa"/>
            <w:vAlign w:val="bottom"/>
          </w:tcPr>
          <w:p>
            <w:pPr>
              <w:spacing w:after="0"/>
              <w:rPr>
                <w:sz w:val="20"/>
                <w:szCs w:val="20"/>
                <w:color w:val="auto"/>
              </w:rPr>
            </w:pPr>
            <w:r>
              <w:rPr>
                <w:rFonts w:ascii="Arial" w:cs="Arial" w:eastAsia="Arial" w:hAnsi="Arial"/>
                <w:sz w:val="18"/>
                <w:szCs w:val="18"/>
                <w:color w:val="auto"/>
              </w:rPr>
              <w:t>Santana Row ROF, Inc.</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Member</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200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3720" w:type="dxa"/>
            <w:vAlign w:val="bottom"/>
            <w:gridSpan w:val="3"/>
          </w:tcPr>
          <w:p>
            <w:pPr>
              <w:spacing w:after="0"/>
              <w:rPr>
                <w:sz w:val="20"/>
                <w:szCs w:val="20"/>
                <w:color w:val="auto"/>
              </w:rPr>
            </w:pPr>
            <w:r>
              <w:rPr>
                <w:rFonts w:ascii="Arial" w:cs="Arial" w:eastAsia="Arial" w:hAnsi="Arial"/>
                <w:sz w:val="18"/>
                <w:szCs w:val="18"/>
                <w:color w:val="auto"/>
              </w:rPr>
              <w:t>liability company</w:t>
            </w:r>
          </w:p>
        </w:tc>
        <w:tc>
          <w:tcPr>
            <w:tcW w:w="3220" w:type="dxa"/>
            <w:vAlign w:val="bottom"/>
          </w:tcPr>
          <w:p>
            <w:pPr>
              <w:spacing w:after="0"/>
              <w:rPr>
                <w:sz w:val="20"/>
                <w:szCs w:val="20"/>
                <w:color w:val="auto"/>
              </w:rPr>
            </w:pPr>
            <w:r>
              <w:rPr>
                <w:rFonts w:ascii="Arial" w:cs="Arial" w:eastAsia="Arial" w:hAnsi="Arial"/>
                <w:sz w:val="18"/>
                <w:szCs w:val="18"/>
                <w:color w:val="auto"/>
              </w:rPr>
              <w:t>Tim Stannard</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87"/>
              </w:rPr>
              <w:t>Manager/member</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SINO, LLC F/K/A RED LANTERN</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RESTAURANT, LLC, a California limited liability</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Christopher Yeo</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Manager/member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company</w:t>
            </w:r>
          </w:p>
        </w:tc>
        <w:tc>
          <w:tcPr>
            <w:tcW w:w="3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3720" w:type="dxa"/>
            <w:vAlign w:val="bottom"/>
            <w:gridSpan w:val="3"/>
          </w:tcPr>
          <w:p>
            <w:pPr>
              <w:spacing w:after="0"/>
              <w:rPr>
                <w:sz w:val="20"/>
                <w:szCs w:val="20"/>
                <w:color w:val="auto"/>
              </w:rPr>
            </w:pPr>
            <w:r>
              <w:rPr>
                <w:rFonts w:ascii="Arial" w:cs="Arial" w:eastAsia="Arial" w:hAnsi="Arial"/>
                <w:sz w:val="18"/>
                <w:szCs w:val="18"/>
                <w:color w:val="auto"/>
                <w:w w:val="97"/>
              </w:rPr>
              <w:t>SANTANA GRILL PARTNERS, LP, a California</w:t>
            </w:r>
          </w:p>
        </w:tc>
        <w:tc>
          <w:tcPr>
            <w:tcW w:w="3220" w:type="dxa"/>
            <w:vAlign w:val="bottom"/>
          </w:tcPr>
          <w:p>
            <w:pPr>
              <w:spacing w:after="0"/>
              <w:rPr>
                <w:sz w:val="20"/>
                <w:szCs w:val="20"/>
                <w:color w:val="auto"/>
              </w:rPr>
            </w:pPr>
            <w:r>
              <w:rPr>
                <w:rFonts w:ascii="Arial" w:cs="Arial" w:eastAsia="Arial" w:hAnsi="Arial"/>
                <w:sz w:val="18"/>
                <w:szCs w:val="18"/>
                <w:color w:val="auto"/>
              </w:rPr>
              <w:t>VDAE, LLC</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98"/>
              </w:rPr>
              <w:t>General partner</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65.000%</w:t>
            </w:r>
          </w:p>
        </w:tc>
        <w:tc>
          <w:tcPr>
            <w:tcW w:w="200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limited partnership</w:t>
            </w:r>
          </w:p>
        </w:tc>
        <w:tc>
          <w:tcPr>
            <w:tcW w:w="3220" w:type="dxa"/>
            <w:vAlign w:val="bottom"/>
          </w:tcPr>
          <w:p>
            <w:pPr>
              <w:spacing w:after="0"/>
              <w:rPr>
                <w:sz w:val="20"/>
                <w:szCs w:val="20"/>
                <w:color w:val="auto"/>
              </w:rPr>
            </w:pPr>
            <w:r>
              <w:rPr>
                <w:rFonts w:ascii="Arial" w:cs="Arial" w:eastAsia="Arial" w:hAnsi="Arial"/>
                <w:sz w:val="18"/>
                <w:szCs w:val="18"/>
                <w:color w:val="auto"/>
              </w:rPr>
              <w:t>Santana Row ROF, Inc.</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Limited partner</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29.167%</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VDAE, LLC</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Limited partner</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1.250%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VDAE, Inc.</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Limited partner</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4.583%</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FEDERAL/LION VENTURE LP, a Delaware</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Federal/LPF GP, Inc.</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General partner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CLPF-Federal GP, LLC</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General partner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Federal Realty Investment Trust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CLPF-Federal, L.P.</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3" w:right="239" w:bottom="1440" w:gutter="0" w:footer="0" w:header="0"/>
        </w:sectPr>
      </w:pPr>
    </w:p>
    <w:bookmarkStart w:id="512" w:name="page513"/>
    <w:bookmarkEnd w:id="5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FLV ATLANTIC PLAZA GP, LLC, a Delaware limited liability company</w:t>
      </w:r>
    </w:p>
    <w:p>
      <w:pPr>
        <w:spacing w:after="0" w:line="31"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FLV ATLANTIC PLAZA LIMITED PARTNERSHIP, a Delaware limited partnership</w:t>
      </w:r>
    </w:p>
    <w:p>
      <w:pPr>
        <w:spacing w:after="0" w:line="8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FLV PLEASANT SHOPS GP, LLC, a Delaware limited liability company</w:t>
      </w:r>
    </w:p>
    <w:p>
      <w:pPr>
        <w:spacing w:after="0" w:line="3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FLV PLEASANT SHOPS LIMITED PARTNERSHIP, a Delaware limited partnership</w:t>
      </w:r>
    </w:p>
    <w:p>
      <w:pPr>
        <w:spacing w:after="0" w:line="8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FLV CAMPUS PLAZA GP, LLC, a Delaware limited liability company</w:t>
      </w:r>
    </w:p>
    <w:p>
      <w:pPr>
        <w:spacing w:after="0" w:line="31"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FLV CAMPUS PLAZA LIMITED PARTNERSHIP, a Delaware limited partnership</w:t>
      </w:r>
    </w:p>
    <w:p>
      <w:pPr>
        <w:spacing w:after="0" w:line="8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FLV PLAZA DEL MERCADO, LLC, a Delaware limited liability company</w:t>
      </w:r>
    </w:p>
    <w:p>
      <w:pPr>
        <w:spacing w:after="0" w:line="3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FLV PLAZA DEL MERCADO, LP, a Delaware limited partnership</w:t>
      </w:r>
    </w:p>
    <w:p>
      <w:pPr>
        <w:spacing w:after="0" w:line="3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FLV GREENLAWN PLAZA GP, LLC, a Delaware limited liability company</w:t>
      </w:r>
    </w:p>
    <w:p>
      <w:pPr>
        <w:spacing w:after="0" w:line="3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FLV GREENLAWN PLAZA, LP, a Delaware limited partnership</w:t>
      </w:r>
    </w:p>
    <w:p>
      <w:pPr>
        <w:spacing w:after="0" w:line="3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FLV BARCROFT PLAZA GP, LLC, a Delaware limited liability company</w:t>
      </w:r>
    </w:p>
    <w:p>
      <w:pPr>
        <w:spacing w:after="0" w:line="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FLV BARCROFT PLAZA, LP, a Delaware limited partnership</w:t>
      </w:r>
    </w:p>
    <w:p>
      <w:pPr>
        <w:spacing w:after="0" w:line="20" w:lineRule="exact"/>
        <w:rPr>
          <w:sz w:val="20"/>
          <w:szCs w:val="20"/>
          <w:color w:val="auto"/>
        </w:rPr>
      </w:pPr>
      <w:r>
        <w:rPr>
          <w:sz w:val="20"/>
          <w:szCs w:val="20"/>
          <w:color w:val="auto"/>
        </w:rPr>
        <w:br w:type="column"/>
      </w:r>
    </w:p>
    <w:p>
      <w:pPr>
        <w:jc w:val="center"/>
        <w:ind w:right="2260"/>
        <w:spacing w:after="0"/>
        <w:rPr>
          <w:sz w:val="20"/>
          <w:szCs w:val="20"/>
          <w:color w:val="auto"/>
        </w:rPr>
      </w:pPr>
      <w:r>
        <w:rPr>
          <w:rFonts w:ascii="Arial" w:cs="Arial" w:eastAsia="Arial" w:hAnsi="Arial"/>
          <w:sz w:val="18"/>
          <w:szCs w:val="18"/>
          <w:b w:val="1"/>
          <w:bCs w:val="1"/>
          <w:u w:val="single" w:color="auto"/>
          <w:color w:val="auto"/>
        </w:rPr>
        <w:t>SCHEDULE 6.1(B)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-215900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1" w:lineRule="exact"/>
        <w:rPr>
          <w:sz w:val="20"/>
          <w:szCs w:val="20"/>
          <w:color w:val="auto"/>
        </w:rPr>
      </w:pPr>
    </w:p>
    <w:p>
      <w:pPr>
        <w:jc w:val="center"/>
        <w:ind w:right="2260"/>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Sole member</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540"/>
        </w:trPr>
        <w:tc>
          <w:tcPr>
            <w:tcW w:w="2540" w:type="dxa"/>
            <w:vAlign w:val="bottom"/>
          </w:tcPr>
          <w:p>
            <w:pPr>
              <w:spacing w:after="0"/>
              <w:rPr>
                <w:sz w:val="20"/>
                <w:szCs w:val="20"/>
                <w:color w:val="auto"/>
              </w:rPr>
            </w:pPr>
            <w:r>
              <w:rPr>
                <w:rFonts w:ascii="Arial" w:cs="Arial" w:eastAsia="Arial" w:hAnsi="Arial"/>
                <w:sz w:val="18"/>
                <w:szCs w:val="18"/>
                <w:color w:val="auto"/>
              </w:rPr>
              <w:t>FLV Atlantic Plaza GP, LLC</w:t>
            </w:r>
          </w:p>
        </w:tc>
        <w:tc>
          <w:tcPr>
            <w:tcW w:w="1840" w:type="dxa"/>
            <w:vAlign w:val="bottom"/>
          </w:tcPr>
          <w:p>
            <w:pPr>
              <w:ind w:left="300"/>
              <w:spacing w:after="0"/>
              <w:rPr>
                <w:sz w:val="20"/>
                <w:szCs w:val="20"/>
                <w:color w:val="auto"/>
              </w:rPr>
            </w:pPr>
            <w:r>
              <w:rPr>
                <w:rFonts w:ascii="Arial" w:cs="Arial" w:eastAsia="Arial" w:hAnsi="Arial"/>
                <w:sz w:val="18"/>
                <w:szCs w:val="18"/>
                <w:color w:val="auto"/>
              </w:rPr>
              <w:t>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Limited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99.9%</w:t>
            </w:r>
          </w:p>
        </w:tc>
        <w:tc>
          <w:tcPr>
            <w:tcW w:w="1740" w:type="dxa"/>
            <w:vAlign w:val="bottom"/>
          </w:tcPr>
          <w:p>
            <w:pPr>
              <w:spacing w:after="0"/>
              <w:rPr>
                <w:sz w:val="24"/>
                <w:szCs w:val="24"/>
                <w:color w:val="auto"/>
              </w:rPr>
            </w:pPr>
          </w:p>
        </w:tc>
      </w:tr>
      <w:tr>
        <w:trPr>
          <w:trHeight w:val="432"/>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Sole member</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540"/>
        </w:trPr>
        <w:tc>
          <w:tcPr>
            <w:tcW w:w="2540" w:type="dxa"/>
            <w:vAlign w:val="bottom"/>
          </w:tcPr>
          <w:p>
            <w:pPr>
              <w:spacing w:after="0"/>
              <w:rPr>
                <w:sz w:val="20"/>
                <w:szCs w:val="20"/>
                <w:color w:val="auto"/>
              </w:rPr>
            </w:pPr>
            <w:r>
              <w:rPr>
                <w:rFonts w:ascii="Arial" w:cs="Arial" w:eastAsia="Arial" w:hAnsi="Arial"/>
                <w:sz w:val="18"/>
                <w:szCs w:val="18"/>
                <w:color w:val="auto"/>
              </w:rPr>
              <w:t>FLV Pleasant Shops GP, LLC</w:t>
            </w:r>
          </w:p>
        </w:tc>
        <w:tc>
          <w:tcPr>
            <w:tcW w:w="1840" w:type="dxa"/>
            <w:vAlign w:val="bottom"/>
          </w:tcPr>
          <w:p>
            <w:pPr>
              <w:ind w:left="300"/>
              <w:spacing w:after="0"/>
              <w:rPr>
                <w:sz w:val="20"/>
                <w:szCs w:val="20"/>
                <w:color w:val="auto"/>
              </w:rPr>
            </w:pPr>
            <w:r>
              <w:rPr>
                <w:rFonts w:ascii="Arial" w:cs="Arial" w:eastAsia="Arial" w:hAnsi="Arial"/>
                <w:sz w:val="18"/>
                <w:szCs w:val="18"/>
                <w:color w:val="auto"/>
              </w:rPr>
              <w:t>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Limited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99.9%</w:t>
            </w:r>
          </w:p>
        </w:tc>
        <w:tc>
          <w:tcPr>
            <w:tcW w:w="1740" w:type="dxa"/>
            <w:vAlign w:val="bottom"/>
          </w:tcPr>
          <w:p>
            <w:pPr>
              <w:spacing w:after="0"/>
              <w:rPr>
                <w:sz w:val="24"/>
                <w:szCs w:val="24"/>
                <w:color w:val="auto"/>
              </w:rPr>
            </w:pPr>
          </w:p>
        </w:tc>
      </w:tr>
      <w:tr>
        <w:trPr>
          <w:trHeight w:val="432"/>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Sole member</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540"/>
        </w:trPr>
        <w:tc>
          <w:tcPr>
            <w:tcW w:w="2540" w:type="dxa"/>
            <w:vAlign w:val="bottom"/>
          </w:tcPr>
          <w:p>
            <w:pPr>
              <w:spacing w:after="0"/>
              <w:rPr>
                <w:sz w:val="20"/>
                <w:szCs w:val="20"/>
                <w:color w:val="auto"/>
              </w:rPr>
            </w:pPr>
            <w:r>
              <w:rPr>
                <w:rFonts w:ascii="Arial" w:cs="Arial" w:eastAsia="Arial" w:hAnsi="Arial"/>
                <w:sz w:val="18"/>
                <w:szCs w:val="18"/>
                <w:color w:val="auto"/>
              </w:rPr>
              <w:t>FLV Campus Plaza GP, LLC</w:t>
            </w:r>
          </w:p>
        </w:tc>
        <w:tc>
          <w:tcPr>
            <w:tcW w:w="1840" w:type="dxa"/>
            <w:vAlign w:val="bottom"/>
          </w:tcPr>
          <w:p>
            <w:pPr>
              <w:ind w:left="300"/>
              <w:spacing w:after="0"/>
              <w:rPr>
                <w:sz w:val="20"/>
                <w:szCs w:val="20"/>
                <w:color w:val="auto"/>
              </w:rPr>
            </w:pPr>
            <w:r>
              <w:rPr>
                <w:rFonts w:ascii="Arial" w:cs="Arial" w:eastAsia="Arial" w:hAnsi="Arial"/>
                <w:sz w:val="18"/>
                <w:szCs w:val="18"/>
                <w:color w:val="auto"/>
              </w:rPr>
              <w:t>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Limited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99.9%</w:t>
            </w:r>
          </w:p>
        </w:tc>
        <w:tc>
          <w:tcPr>
            <w:tcW w:w="1740" w:type="dxa"/>
            <w:vAlign w:val="bottom"/>
          </w:tcPr>
          <w:p>
            <w:pPr>
              <w:spacing w:after="0"/>
              <w:rPr>
                <w:sz w:val="24"/>
                <w:szCs w:val="24"/>
                <w:color w:val="auto"/>
              </w:rPr>
            </w:pPr>
          </w:p>
        </w:tc>
      </w:tr>
      <w:tr>
        <w:trPr>
          <w:trHeight w:val="432"/>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Sole member</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534"/>
        </w:trPr>
        <w:tc>
          <w:tcPr>
            <w:tcW w:w="2540" w:type="dxa"/>
            <w:vAlign w:val="bottom"/>
          </w:tcPr>
          <w:p>
            <w:pPr>
              <w:spacing w:after="0"/>
              <w:rPr>
                <w:sz w:val="20"/>
                <w:szCs w:val="20"/>
                <w:color w:val="auto"/>
              </w:rPr>
            </w:pPr>
            <w:r>
              <w:rPr>
                <w:rFonts w:ascii="Arial" w:cs="Arial" w:eastAsia="Arial" w:hAnsi="Arial"/>
                <w:sz w:val="18"/>
                <w:szCs w:val="18"/>
                <w:color w:val="auto"/>
              </w:rPr>
              <w:t>FLV Plaza del Mercado, LLC</w:t>
            </w:r>
          </w:p>
        </w:tc>
        <w:tc>
          <w:tcPr>
            <w:tcW w:w="1840" w:type="dxa"/>
            <w:vAlign w:val="bottom"/>
          </w:tcPr>
          <w:p>
            <w:pPr>
              <w:ind w:left="300"/>
              <w:spacing w:after="0"/>
              <w:rPr>
                <w:sz w:val="20"/>
                <w:szCs w:val="20"/>
                <w:color w:val="auto"/>
              </w:rPr>
            </w:pPr>
            <w:r>
              <w:rPr>
                <w:rFonts w:ascii="Arial" w:cs="Arial" w:eastAsia="Arial" w:hAnsi="Arial"/>
                <w:sz w:val="18"/>
                <w:szCs w:val="18"/>
                <w:color w:val="auto"/>
              </w:rPr>
              <w:t>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Limited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99.9%</w:t>
            </w:r>
          </w:p>
        </w:tc>
        <w:tc>
          <w:tcPr>
            <w:tcW w:w="1740" w:type="dxa"/>
            <w:vAlign w:val="bottom"/>
          </w:tcPr>
          <w:p>
            <w:pPr>
              <w:spacing w:after="0"/>
              <w:rPr>
                <w:sz w:val="19"/>
                <w:szCs w:val="19"/>
                <w:color w:val="auto"/>
              </w:rPr>
            </w:pP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Sole member</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534"/>
        </w:trPr>
        <w:tc>
          <w:tcPr>
            <w:tcW w:w="2540" w:type="dxa"/>
            <w:vAlign w:val="bottom"/>
          </w:tcPr>
          <w:p>
            <w:pPr>
              <w:spacing w:after="0"/>
              <w:rPr>
                <w:sz w:val="20"/>
                <w:szCs w:val="20"/>
                <w:color w:val="auto"/>
              </w:rPr>
            </w:pPr>
            <w:r>
              <w:rPr>
                <w:rFonts w:ascii="Arial" w:cs="Arial" w:eastAsia="Arial" w:hAnsi="Arial"/>
                <w:sz w:val="18"/>
                <w:szCs w:val="18"/>
                <w:color w:val="auto"/>
              </w:rPr>
              <w:t>FLV Greenlawn Plaza GP, LLC</w:t>
            </w:r>
          </w:p>
        </w:tc>
        <w:tc>
          <w:tcPr>
            <w:tcW w:w="1840" w:type="dxa"/>
            <w:vAlign w:val="bottom"/>
          </w:tcPr>
          <w:p>
            <w:pPr>
              <w:ind w:left="300"/>
              <w:spacing w:after="0"/>
              <w:rPr>
                <w:sz w:val="20"/>
                <w:szCs w:val="20"/>
                <w:color w:val="auto"/>
              </w:rPr>
            </w:pPr>
            <w:r>
              <w:rPr>
                <w:rFonts w:ascii="Arial" w:cs="Arial" w:eastAsia="Arial" w:hAnsi="Arial"/>
                <w:sz w:val="18"/>
                <w:szCs w:val="18"/>
                <w:color w:val="auto"/>
              </w:rPr>
              <w:t>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Limited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99.9%</w:t>
            </w:r>
          </w:p>
        </w:tc>
        <w:tc>
          <w:tcPr>
            <w:tcW w:w="1740" w:type="dxa"/>
            <w:vAlign w:val="bottom"/>
          </w:tcPr>
          <w:p>
            <w:pPr>
              <w:spacing w:after="0"/>
              <w:rPr>
                <w:sz w:val="19"/>
                <w:szCs w:val="19"/>
                <w:color w:val="auto"/>
              </w:rPr>
            </w:pP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Sole member</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534"/>
        </w:trPr>
        <w:tc>
          <w:tcPr>
            <w:tcW w:w="2540" w:type="dxa"/>
            <w:vAlign w:val="bottom"/>
          </w:tcPr>
          <w:p>
            <w:pPr>
              <w:spacing w:after="0"/>
              <w:rPr>
                <w:sz w:val="20"/>
                <w:szCs w:val="20"/>
                <w:color w:val="auto"/>
              </w:rPr>
            </w:pPr>
            <w:r>
              <w:rPr>
                <w:rFonts w:ascii="Arial" w:cs="Arial" w:eastAsia="Arial" w:hAnsi="Arial"/>
                <w:sz w:val="18"/>
                <w:szCs w:val="18"/>
                <w:color w:val="auto"/>
              </w:rPr>
              <w:t>FLV Barcroft Plaza GP, LLC</w:t>
            </w:r>
          </w:p>
        </w:tc>
        <w:tc>
          <w:tcPr>
            <w:tcW w:w="1840" w:type="dxa"/>
            <w:vAlign w:val="bottom"/>
          </w:tcPr>
          <w:p>
            <w:pPr>
              <w:ind w:left="300"/>
              <w:spacing w:after="0"/>
              <w:rPr>
                <w:sz w:val="20"/>
                <w:szCs w:val="20"/>
                <w:color w:val="auto"/>
              </w:rPr>
            </w:pPr>
            <w:r>
              <w:rPr>
                <w:rFonts w:ascii="Arial" w:cs="Arial" w:eastAsia="Arial" w:hAnsi="Arial"/>
                <w:sz w:val="18"/>
                <w:szCs w:val="18"/>
                <w:color w:val="auto"/>
              </w:rPr>
              <w:t>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ind w:left="60"/>
              <w:spacing w:after="0"/>
              <w:rPr>
                <w:sz w:val="20"/>
                <w:szCs w:val="20"/>
                <w:color w:val="auto"/>
              </w:rPr>
            </w:pPr>
            <w:r>
              <w:rPr>
                <w:rFonts w:ascii="Arial" w:cs="Arial" w:eastAsia="Arial" w:hAnsi="Arial"/>
                <w:sz w:val="18"/>
                <w:szCs w:val="18"/>
                <w:color w:val="auto"/>
                <w:w w:val="89"/>
              </w:rPr>
              <w:t>Unconsolidated affiliate</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Limited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99.9%</w:t>
            </w:r>
          </w:p>
        </w:tc>
        <w:tc>
          <w:tcPr>
            <w:tcW w:w="1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-4457700</wp:posOffset>
            </wp:positionV>
            <wp:extent cx="7246620" cy="2743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-3634105</wp:posOffset>
            </wp:positionV>
            <wp:extent cx="7246620" cy="2743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-2811145</wp:posOffset>
            </wp:positionV>
            <wp:extent cx="7246620" cy="2743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-1987550</wp:posOffset>
            </wp:positionV>
            <wp:extent cx="7246620" cy="2743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-1301750</wp:posOffset>
            </wp:positionV>
            <wp:extent cx="7246620" cy="2743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-615315</wp:posOffset>
            </wp:positionV>
            <wp:extent cx="7246620" cy="2743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Page 13</w:t>
      </w:r>
    </w:p>
    <w:p>
      <w:pPr>
        <w:sectPr>
          <w:pgSz w:w="11900" w:h="16838" w:orient="portrait"/>
          <w:cols w:equalWidth="0" w:num="2">
            <w:col w:w="3060" w:space="240"/>
            <w:col w:w="7080"/>
          </w:cols>
          <w:pgMar w:left="240" w:top="273" w:right="1279" w:bottom="1440" w:gutter="0" w:footer="0" w:header="0"/>
        </w:sectPr>
      </w:pPr>
    </w:p>
    <w:bookmarkStart w:id="513" w:name="page514"/>
    <w:bookmarkEnd w:id="51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5"/>
              </w:rPr>
              <w:t>FLV FREE STATE GP, LLC, a Delaware</w:t>
            </w: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Federal/Lion Venture LP</w:t>
            </w:r>
          </w:p>
        </w:tc>
        <w:tc>
          <w:tcPr>
            <w:tcW w:w="1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Sole member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Unconsolidated affiliate</w:t>
            </w:r>
          </w:p>
        </w:tc>
      </w:tr>
      <w:tr>
        <w:trPr>
          <w:trHeight w:val="22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27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r>
      <w:tr>
        <w:trPr>
          <w:trHeight w:val="316"/>
        </w:trPr>
        <w:tc>
          <w:tcPr>
            <w:tcW w:w="3100" w:type="dxa"/>
            <w:vAlign w:val="bottom"/>
          </w:tcPr>
          <w:p>
            <w:pPr>
              <w:spacing w:after="0"/>
              <w:rPr>
                <w:sz w:val="20"/>
                <w:szCs w:val="20"/>
                <w:color w:val="auto"/>
              </w:rPr>
            </w:pPr>
            <w:r>
              <w:rPr>
                <w:rFonts w:ascii="Arial" w:cs="Arial" w:eastAsia="Arial" w:hAnsi="Arial"/>
                <w:sz w:val="18"/>
                <w:szCs w:val="18"/>
                <w:color w:val="auto"/>
              </w:rPr>
              <w:t>FLV FREE STATE LIMITED</w:t>
            </w:r>
          </w:p>
        </w:tc>
        <w:tc>
          <w:tcPr>
            <w:tcW w:w="2740" w:type="dxa"/>
            <w:vAlign w:val="bottom"/>
          </w:tcPr>
          <w:p>
            <w:pPr>
              <w:ind w:left="200"/>
              <w:spacing w:after="0"/>
              <w:rPr>
                <w:sz w:val="20"/>
                <w:szCs w:val="20"/>
                <w:color w:val="auto"/>
              </w:rPr>
            </w:pPr>
            <w:r>
              <w:rPr>
                <w:rFonts w:ascii="Arial" w:cs="Arial" w:eastAsia="Arial" w:hAnsi="Arial"/>
                <w:sz w:val="18"/>
                <w:szCs w:val="18"/>
                <w:color w:val="auto"/>
              </w:rPr>
              <w:t>FLV Greenlawn Plaza GP, LLC</w:t>
            </w:r>
          </w:p>
        </w:tc>
        <w:tc>
          <w:tcPr>
            <w:tcW w:w="1840" w:type="dxa"/>
            <w:vAlign w:val="bottom"/>
          </w:tcPr>
          <w:p>
            <w:pPr>
              <w:ind w:left="300"/>
              <w:spacing w:after="0"/>
              <w:rPr>
                <w:sz w:val="20"/>
                <w:szCs w:val="20"/>
                <w:color w:val="auto"/>
              </w:rPr>
            </w:pPr>
            <w:r>
              <w:rPr>
                <w:rFonts w:ascii="Arial" w:cs="Arial" w:eastAsia="Arial" w:hAnsi="Arial"/>
                <w:sz w:val="18"/>
                <w:szCs w:val="18"/>
                <w:color w:val="auto"/>
              </w:rPr>
              <w:t>General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780" w:type="dxa"/>
            <w:vAlign w:val="bottom"/>
          </w:tcPr>
          <w:p>
            <w:pPr>
              <w:ind w:left="60"/>
              <w:spacing w:after="0"/>
              <w:rPr>
                <w:sz w:val="20"/>
                <w:szCs w:val="20"/>
                <w:color w:val="auto"/>
              </w:rPr>
            </w:pPr>
            <w:r>
              <w:rPr>
                <w:rFonts w:ascii="Arial" w:cs="Arial" w:eastAsia="Arial" w:hAnsi="Arial"/>
                <w:sz w:val="18"/>
                <w:szCs w:val="18"/>
                <w:color w:val="auto"/>
              </w:rPr>
              <w:t>Unconsolidated affiliate</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PARTNERSHIP, a Delaware limited</w:t>
            </w:r>
          </w:p>
        </w:tc>
        <w:tc>
          <w:tcPr>
            <w:tcW w:w="2740" w:type="dxa"/>
            <w:vAlign w:val="bottom"/>
          </w:tcPr>
          <w:p>
            <w:pPr>
              <w:ind w:left="200"/>
              <w:spacing w:after="0"/>
              <w:rPr>
                <w:sz w:val="20"/>
                <w:szCs w:val="20"/>
                <w:color w:val="auto"/>
              </w:rPr>
            </w:pPr>
            <w:r>
              <w:rPr>
                <w:rFonts w:ascii="Arial" w:cs="Arial" w:eastAsia="Arial" w:hAnsi="Arial"/>
                <w:sz w:val="18"/>
                <w:szCs w:val="18"/>
                <w:color w:val="auto"/>
              </w:rPr>
              <w:t>Federal/Lion Venture LP</w:t>
            </w:r>
          </w:p>
        </w:tc>
        <w:tc>
          <w:tcPr>
            <w:tcW w:w="1840" w:type="dxa"/>
            <w:vAlign w:val="bottom"/>
          </w:tcPr>
          <w:p>
            <w:pPr>
              <w:ind w:left="300"/>
              <w:spacing w:after="0"/>
              <w:rPr>
                <w:sz w:val="20"/>
                <w:szCs w:val="20"/>
                <w:color w:val="auto"/>
              </w:rPr>
            </w:pPr>
            <w:r>
              <w:rPr>
                <w:rFonts w:ascii="Arial" w:cs="Arial" w:eastAsia="Arial" w:hAnsi="Arial"/>
                <w:sz w:val="18"/>
                <w:szCs w:val="18"/>
                <w:color w:val="auto"/>
              </w:rPr>
              <w:t>Limited partner</w:t>
            </w:r>
          </w:p>
        </w:tc>
        <w:tc>
          <w:tcPr>
            <w:tcW w:w="960" w:type="dxa"/>
            <w:vAlign w:val="bottom"/>
          </w:tcPr>
          <w:p>
            <w:pPr>
              <w:jc w:val="right"/>
              <w:spacing w:after="0"/>
              <w:rPr>
                <w:sz w:val="20"/>
                <w:szCs w:val="20"/>
                <w:color w:val="auto"/>
              </w:rPr>
            </w:pPr>
            <w:r>
              <w:rPr>
                <w:rFonts w:ascii="Arial" w:cs="Arial" w:eastAsia="Arial" w:hAnsi="Arial"/>
                <w:sz w:val="18"/>
                <w:szCs w:val="18"/>
                <w:color w:val="auto"/>
              </w:rPr>
              <w:t>99.9%</w:t>
            </w:r>
          </w:p>
        </w:tc>
        <w:tc>
          <w:tcPr>
            <w:tcW w:w="2780" w:type="dxa"/>
            <w:vAlign w:val="bottom"/>
          </w:tcPr>
          <w:p>
            <w:pPr>
              <w:spacing w:after="0"/>
              <w:rPr>
                <w:sz w:val="18"/>
                <w:szCs w:val="18"/>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partnership</w:t>
            </w:r>
          </w:p>
        </w:tc>
        <w:tc>
          <w:tcPr>
            <w:tcW w:w="2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78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Margo Building and Villa Cornet Building Condominium Owners Association, a California non-profit mutual benefit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4" w:right="239" w:bottom="1440" w:gutter="0" w:footer="0" w:header="0"/>
        </w:sectPr>
      </w:pPr>
    </w:p>
    <w:bookmarkStart w:id="514" w:name="page515"/>
    <w:bookmarkEnd w:id="5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4,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9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5"/>
                <w:szCs w:val="15"/>
                <w:color w:val="auto"/>
              </w:rPr>
            </w:pPr>
          </w:p>
        </w:tc>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5"/>
                <w:szCs w:val="15"/>
                <w:color w:val="auto"/>
              </w:rPr>
            </w:pPr>
          </w:p>
        </w:tc>
        <w:tc>
          <w:tcPr>
            <w:tcW w:w="20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State</w:t>
            </w:r>
          </w:p>
        </w:tc>
      </w:tr>
      <w:tr>
        <w:trPr>
          <w:trHeight w:val="309"/>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1</w:t>
            </w:r>
          </w:p>
        </w:tc>
        <w:tc>
          <w:tcPr>
            <w:tcW w:w="19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6"/>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Wholly Owned Properties</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8"/>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010-1002</w:t>
            </w: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Andorra Shopping Center</w:t>
            </w:r>
          </w:p>
        </w:tc>
        <w:tc>
          <w:tcPr>
            <w:tcW w:w="602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Philadelphia</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PA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040-1240</w:t>
            </w:r>
          </w:p>
        </w:tc>
        <w:tc>
          <w:tcPr>
            <w:tcW w:w="7960" w:type="dxa"/>
            <w:vAlign w:val="bottom"/>
            <w:gridSpan w:val="2"/>
          </w:tcPr>
          <w:p>
            <w:pPr>
              <w:spacing w:after="0"/>
              <w:rPr>
                <w:sz w:val="20"/>
                <w:szCs w:val="20"/>
                <w:color w:val="auto"/>
              </w:rPr>
            </w:pPr>
            <w:r>
              <w:rPr>
                <w:rFonts w:ascii="Arial" w:cs="Arial" w:eastAsia="Arial" w:hAnsi="Arial"/>
                <w:sz w:val="18"/>
                <w:szCs w:val="18"/>
                <w:color w:val="auto"/>
              </w:rPr>
              <w:t>Governor Plaza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Glen Burnie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500-1444</w:t>
            </w:r>
          </w:p>
        </w:tc>
        <w:tc>
          <w:tcPr>
            <w:tcW w:w="7960" w:type="dxa"/>
            <w:vAlign w:val="bottom"/>
            <w:gridSpan w:val="2"/>
          </w:tcPr>
          <w:p>
            <w:pPr>
              <w:spacing w:after="0"/>
              <w:rPr>
                <w:sz w:val="20"/>
                <w:szCs w:val="20"/>
                <w:color w:val="auto"/>
              </w:rPr>
            </w:pPr>
            <w:r>
              <w:rPr>
                <w:rFonts w:ascii="Arial" w:cs="Arial" w:eastAsia="Arial" w:hAnsi="Arial"/>
                <w:sz w:val="18"/>
                <w:szCs w:val="18"/>
                <w:color w:val="auto"/>
              </w:rPr>
              <w:t>Loehmann’s-Link Office Bld [1]</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500-1445</w:t>
            </w:r>
          </w:p>
        </w:tc>
        <w:tc>
          <w:tcPr>
            <w:tcW w:w="7960" w:type="dxa"/>
            <w:vAlign w:val="bottom"/>
            <w:gridSpan w:val="2"/>
          </w:tcPr>
          <w:p>
            <w:pPr>
              <w:spacing w:after="0"/>
              <w:rPr>
                <w:sz w:val="20"/>
                <w:szCs w:val="20"/>
                <w:color w:val="auto"/>
              </w:rPr>
            </w:pPr>
            <w:r>
              <w:rPr>
                <w:rFonts w:ascii="Arial" w:cs="Arial" w:eastAsia="Arial" w:hAnsi="Arial"/>
                <w:sz w:val="18"/>
                <w:szCs w:val="18"/>
                <w:color w:val="auto"/>
              </w:rPr>
              <w:t>Loehmann’s Link Shopping Ctr [1]</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500-1446</w:t>
            </w:r>
          </w:p>
        </w:tc>
        <w:tc>
          <w:tcPr>
            <w:tcW w:w="7960" w:type="dxa"/>
            <w:vAlign w:val="bottom"/>
            <w:gridSpan w:val="2"/>
          </w:tcPr>
          <w:p>
            <w:pPr>
              <w:spacing w:after="0"/>
              <w:rPr>
                <w:sz w:val="20"/>
                <w:szCs w:val="20"/>
                <w:color w:val="auto"/>
              </w:rPr>
            </w:pPr>
            <w:r>
              <w:rPr>
                <w:rFonts w:ascii="Arial" w:cs="Arial" w:eastAsia="Arial" w:hAnsi="Arial"/>
                <w:sz w:val="18"/>
                <w:szCs w:val="18"/>
                <w:color w:val="auto"/>
              </w:rPr>
              <w:t>Loehmann’s Redstone Office Bld [1]</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500-1447</w:t>
            </w:r>
          </w:p>
        </w:tc>
        <w:tc>
          <w:tcPr>
            <w:tcW w:w="7960" w:type="dxa"/>
            <w:vAlign w:val="bottom"/>
            <w:gridSpan w:val="2"/>
          </w:tcPr>
          <w:p>
            <w:pPr>
              <w:spacing w:after="0"/>
              <w:rPr>
                <w:sz w:val="20"/>
                <w:szCs w:val="20"/>
                <w:color w:val="auto"/>
              </w:rPr>
            </w:pPr>
            <w:r>
              <w:rPr>
                <w:rFonts w:ascii="Arial" w:cs="Arial" w:eastAsia="Arial" w:hAnsi="Arial"/>
                <w:sz w:val="18"/>
                <w:szCs w:val="18"/>
                <w:color w:val="auto"/>
              </w:rPr>
              <w:t>Loehmann’s Redstone Shop Ctr [1]</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080-1600</w:t>
            </w:r>
          </w:p>
        </w:tc>
        <w:tc>
          <w:tcPr>
            <w:tcW w:w="7960" w:type="dxa"/>
            <w:vAlign w:val="bottom"/>
            <w:gridSpan w:val="2"/>
          </w:tcPr>
          <w:p>
            <w:pPr>
              <w:spacing w:after="0"/>
              <w:rPr>
                <w:sz w:val="20"/>
                <w:szCs w:val="20"/>
                <w:color w:val="auto"/>
              </w:rPr>
            </w:pPr>
            <w:r>
              <w:rPr>
                <w:rFonts w:ascii="Arial" w:cs="Arial" w:eastAsia="Arial" w:hAnsi="Arial"/>
                <w:sz w:val="18"/>
                <w:szCs w:val="18"/>
                <w:color w:val="auto"/>
              </w:rPr>
              <w:t>Perring Plaza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Baltimore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100-1630</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1-Retail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100-1632</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1 B-Retail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100-1634</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1C-Retail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100-1638</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3-Retail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100-1642</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4-Retail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100-1644</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5-Retail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100-1645</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5-Hotel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100-1646</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6A-Retail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100-1650</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7-Retail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100-1652</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8A-Retail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100-1662</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11A-Retail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100-1668</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13/15 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100-1674</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K-Retail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100-1651</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7-Residential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100-1653</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8A-Residential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100-1663</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11A-Res/Office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100-1669</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Bld 13/15 Res/Off</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100-1692</w:t>
            </w:r>
          </w:p>
        </w:tc>
        <w:tc>
          <w:tcPr>
            <w:tcW w:w="7960" w:type="dxa"/>
            <w:vAlign w:val="bottom"/>
            <w:gridSpan w:val="2"/>
          </w:tcPr>
          <w:p>
            <w:pPr>
              <w:spacing w:after="0"/>
              <w:rPr>
                <w:sz w:val="20"/>
                <w:szCs w:val="20"/>
                <w:color w:val="auto"/>
              </w:rPr>
            </w:pPr>
            <w:r>
              <w:rPr>
                <w:rFonts w:ascii="Arial" w:cs="Arial" w:eastAsia="Arial" w:hAnsi="Arial"/>
                <w:sz w:val="18"/>
                <w:szCs w:val="18"/>
                <w:color w:val="auto"/>
              </w:rPr>
              <w:t>Santana Row - 300 Santana Row</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160-1800</w:t>
            </w:r>
          </w:p>
        </w:tc>
        <w:tc>
          <w:tcPr>
            <w:tcW w:w="7960" w:type="dxa"/>
            <w:vAlign w:val="bottom"/>
            <w:gridSpan w:val="2"/>
          </w:tcPr>
          <w:p>
            <w:pPr>
              <w:spacing w:after="0"/>
              <w:rPr>
                <w:sz w:val="20"/>
                <w:szCs w:val="20"/>
                <w:color w:val="auto"/>
              </w:rPr>
            </w:pPr>
            <w:r>
              <w:rPr>
                <w:rFonts w:ascii="Arial" w:cs="Arial" w:eastAsia="Arial" w:hAnsi="Arial"/>
                <w:sz w:val="18"/>
                <w:szCs w:val="18"/>
                <w:color w:val="auto"/>
              </w:rPr>
              <w:t>Westgate Mall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170-1730</w:t>
            </w:r>
          </w:p>
        </w:tc>
        <w:tc>
          <w:tcPr>
            <w:tcW w:w="7960" w:type="dxa"/>
            <w:vAlign w:val="bottom"/>
            <w:gridSpan w:val="2"/>
          </w:tcPr>
          <w:p>
            <w:pPr>
              <w:spacing w:after="0"/>
              <w:rPr>
                <w:sz w:val="20"/>
                <w:szCs w:val="20"/>
                <w:color w:val="auto"/>
              </w:rPr>
            </w:pPr>
            <w:r>
              <w:rPr>
                <w:rFonts w:ascii="Arial" w:cs="Arial" w:eastAsia="Arial" w:hAnsi="Arial"/>
                <w:sz w:val="18"/>
                <w:szCs w:val="18"/>
                <w:color w:val="auto"/>
              </w:rPr>
              <w:t>Assembly Sq Dev (Foley, Sturtevant, Amerigas Land)</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Somerville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MA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170-1732</w:t>
            </w:r>
          </w:p>
        </w:tc>
        <w:tc>
          <w:tcPr>
            <w:tcW w:w="7960" w:type="dxa"/>
            <w:vAlign w:val="bottom"/>
            <w:gridSpan w:val="2"/>
          </w:tcPr>
          <w:p>
            <w:pPr>
              <w:spacing w:after="0"/>
              <w:rPr>
                <w:sz w:val="20"/>
                <w:szCs w:val="20"/>
                <w:color w:val="auto"/>
              </w:rPr>
            </w:pPr>
            <w:r>
              <w:rPr>
                <w:rFonts w:ascii="Arial" w:cs="Arial" w:eastAsia="Arial" w:hAnsi="Arial"/>
                <w:sz w:val="18"/>
                <w:szCs w:val="18"/>
                <w:color w:val="auto"/>
              </w:rPr>
              <w:t>147 Foley Street</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Somerville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MA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180-1008</w:t>
            </w:r>
          </w:p>
        </w:tc>
        <w:tc>
          <w:tcPr>
            <w:tcW w:w="7960" w:type="dxa"/>
            <w:vAlign w:val="bottom"/>
            <w:gridSpan w:val="2"/>
          </w:tcPr>
          <w:p>
            <w:pPr>
              <w:spacing w:after="0"/>
              <w:rPr>
                <w:sz w:val="20"/>
                <w:szCs w:val="20"/>
                <w:color w:val="auto"/>
              </w:rPr>
            </w:pPr>
            <w:r>
              <w:rPr>
                <w:rFonts w:ascii="Arial" w:cs="Arial" w:eastAsia="Arial" w:hAnsi="Arial"/>
                <w:sz w:val="18"/>
                <w:szCs w:val="18"/>
                <w:color w:val="auto"/>
              </w:rPr>
              <w:t>Assembly Square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Somerville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MA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194-1940</w:t>
            </w:r>
          </w:p>
        </w:tc>
        <w:tc>
          <w:tcPr>
            <w:tcW w:w="7960" w:type="dxa"/>
            <w:vAlign w:val="bottom"/>
            <w:gridSpan w:val="2"/>
          </w:tcPr>
          <w:p>
            <w:pPr>
              <w:spacing w:after="0"/>
              <w:rPr>
                <w:sz w:val="20"/>
                <w:szCs w:val="20"/>
                <w:color w:val="auto"/>
              </w:rPr>
            </w:pPr>
            <w:r>
              <w:rPr>
                <w:rFonts w:ascii="Arial" w:cs="Arial" w:eastAsia="Arial" w:hAnsi="Arial"/>
                <w:sz w:val="18"/>
                <w:szCs w:val="18"/>
                <w:color w:val="auto"/>
              </w:rPr>
              <w:t>Del Mar Village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Boca Raton</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FL</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195-1950</w:t>
            </w:r>
          </w:p>
        </w:tc>
        <w:tc>
          <w:tcPr>
            <w:tcW w:w="7960" w:type="dxa"/>
            <w:vAlign w:val="bottom"/>
            <w:gridSpan w:val="2"/>
          </w:tcPr>
          <w:p>
            <w:pPr>
              <w:spacing w:after="0"/>
              <w:rPr>
                <w:sz w:val="20"/>
                <w:szCs w:val="20"/>
                <w:color w:val="auto"/>
              </w:rPr>
            </w:pPr>
            <w:r>
              <w:rPr>
                <w:rFonts w:ascii="Arial" w:cs="Arial" w:eastAsia="Arial" w:hAnsi="Arial"/>
                <w:sz w:val="18"/>
                <w:szCs w:val="18"/>
                <w:color w:val="auto"/>
              </w:rPr>
              <w:t>7015 Beracasa Way (Office)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Boca Raton</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FL</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195-1953</w:t>
            </w:r>
          </w:p>
        </w:tc>
        <w:tc>
          <w:tcPr>
            <w:tcW w:w="7960" w:type="dxa"/>
            <w:vAlign w:val="bottom"/>
            <w:gridSpan w:val="2"/>
          </w:tcPr>
          <w:p>
            <w:pPr>
              <w:spacing w:after="0"/>
              <w:rPr>
                <w:sz w:val="20"/>
                <w:szCs w:val="20"/>
                <w:color w:val="auto"/>
              </w:rPr>
            </w:pPr>
            <w:r>
              <w:rPr>
                <w:rFonts w:ascii="Arial" w:cs="Arial" w:eastAsia="Arial" w:hAnsi="Arial"/>
                <w:sz w:val="18"/>
                <w:szCs w:val="18"/>
                <w:color w:val="auto"/>
              </w:rPr>
              <w:t>7045 Beracasa Way (Blockbuster)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Boca Raton</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FL</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209-2090</w:t>
            </w:r>
          </w:p>
        </w:tc>
        <w:tc>
          <w:tcPr>
            <w:tcW w:w="7960" w:type="dxa"/>
            <w:vAlign w:val="bottom"/>
            <w:gridSpan w:val="2"/>
          </w:tcPr>
          <w:p>
            <w:pPr>
              <w:spacing w:after="0"/>
              <w:rPr>
                <w:sz w:val="20"/>
                <w:szCs w:val="20"/>
                <w:color w:val="auto"/>
              </w:rPr>
            </w:pPr>
            <w:r>
              <w:rPr>
                <w:rFonts w:ascii="Arial" w:cs="Arial" w:eastAsia="Arial" w:hAnsi="Arial"/>
                <w:sz w:val="18"/>
                <w:szCs w:val="18"/>
                <w:color w:val="auto"/>
              </w:rPr>
              <w:t>Chelsea Commons III</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Chelsea</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MA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210-2100</w:t>
            </w:r>
          </w:p>
        </w:tc>
        <w:tc>
          <w:tcPr>
            <w:tcW w:w="7960" w:type="dxa"/>
            <w:vAlign w:val="bottom"/>
            <w:gridSpan w:val="2"/>
          </w:tcPr>
          <w:p>
            <w:pPr>
              <w:spacing w:after="0"/>
              <w:rPr>
                <w:sz w:val="20"/>
                <w:szCs w:val="20"/>
                <w:color w:val="auto"/>
              </w:rPr>
            </w:pPr>
            <w:r>
              <w:rPr>
                <w:rFonts w:ascii="Arial" w:cs="Arial" w:eastAsia="Arial" w:hAnsi="Arial"/>
                <w:sz w:val="18"/>
                <w:szCs w:val="18"/>
                <w:color w:val="auto"/>
              </w:rPr>
              <w:t>Linden Square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Wellesley</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MA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211-2111</w:t>
            </w:r>
          </w:p>
        </w:tc>
        <w:tc>
          <w:tcPr>
            <w:tcW w:w="7960" w:type="dxa"/>
            <w:vAlign w:val="bottom"/>
            <w:gridSpan w:val="2"/>
          </w:tcPr>
          <w:p>
            <w:pPr>
              <w:spacing w:after="0"/>
              <w:rPr>
                <w:sz w:val="20"/>
                <w:szCs w:val="20"/>
                <w:color w:val="auto"/>
              </w:rPr>
            </w:pPr>
            <w:r>
              <w:rPr>
                <w:rFonts w:ascii="Arial" w:cs="Arial" w:eastAsia="Arial" w:hAnsi="Arial"/>
                <w:sz w:val="18"/>
                <w:szCs w:val="18"/>
                <w:color w:val="auto"/>
              </w:rPr>
              <w:t>1020 Revere Beach Parkway</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Chelsea</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MA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213-2130</w:t>
            </w:r>
          </w:p>
        </w:tc>
        <w:tc>
          <w:tcPr>
            <w:tcW w:w="7960" w:type="dxa"/>
            <w:vAlign w:val="bottom"/>
            <w:gridSpan w:val="2"/>
          </w:tcPr>
          <w:p>
            <w:pPr>
              <w:spacing w:after="0"/>
              <w:rPr>
                <w:sz w:val="20"/>
                <w:szCs w:val="20"/>
                <w:color w:val="auto"/>
              </w:rPr>
            </w:pPr>
            <w:r>
              <w:rPr>
                <w:rFonts w:ascii="Arial" w:cs="Arial" w:eastAsia="Arial" w:hAnsi="Arial"/>
                <w:sz w:val="18"/>
                <w:szCs w:val="18"/>
                <w:color w:val="auto"/>
              </w:rPr>
              <w:t>North Dartmouth LLC</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North Dartmouth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MA</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220-2200</w:t>
            </w:r>
          </w:p>
        </w:tc>
        <w:tc>
          <w:tcPr>
            <w:tcW w:w="7960" w:type="dxa"/>
            <w:vAlign w:val="bottom"/>
            <w:gridSpan w:val="2"/>
          </w:tcPr>
          <w:p>
            <w:pPr>
              <w:spacing w:after="0"/>
              <w:rPr>
                <w:sz w:val="20"/>
                <w:szCs w:val="20"/>
                <w:color w:val="auto"/>
              </w:rPr>
            </w:pPr>
            <w:r>
              <w:rPr>
                <w:rFonts w:ascii="Arial" w:cs="Arial" w:eastAsia="Arial" w:hAnsi="Arial"/>
                <w:sz w:val="18"/>
                <w:szCs w:val="18"/>
                <w:color w:val="auto"/>
              </w:rPr>
              <w:t>White Marsh Ground Leases</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222-2220</w:t>
            </w:r>
          </w:p>
        </w:tc>
        <w:tc>
          <w:tcPr>
            <w:tcW w:w="7960" w:type="dxa"/>
            <w:vAlign w:val="bottom"/>
            <w:gridSpan w:val="2"/>
          </w:tcPr>
          <w:p>
            <w:pPr>
              <w:spacing w:after="0"/>
              <w:rPr>
                <w:sz w:val="20"/>
                <w:szCs w:val="20"/>
                <w:color w:val="auto"/>
              </w:rPr>
            </w:pPr>
            <w:r>
              <w:rPr>
                <w:rFonts w:ascii="Arial" w:cs="Arial" w:eastAsia="Arial" w:hAnsi="Arial"/>
                <w:sz w:val="18"/>
                <w:szCs w:val="18"/>
                <w:color w:val="auto"/>
              </w:rPr>
              <w:t>Byron Station</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223-2230</w:t>
            </w:r>
          </w:p>
        </w:tc>
        <w:tc>
          <w:tcPr>
            <w:tcW w:w="7960" w:type="dxa"/>
            <w:vAlign w:val="bottom"/>
            <w:gridSpan w:val="2"/>
          </w:tcPr>
          <w:p>
            <w:pPr>
              <w:spacing w:after="0"/>
              <w:rPr>
                <w:sz w:val="20"/>
                <w:szCs w:val="20"/>
                <w:color w:val="auto"/>
              </w:rPr>
            </w:pPr>
            <w:r>
              <w:rPr>
                <w:rFonts w:ascii="Arial" w:cs="Arial" w:eastAsia="Arial" w:hAnsi="Arial"/>
                <w:sz w:val="18"/>
                <w:szCs w:val="18"/>
                <w:color w:val="auto"/>
              </w:rPr>
              <w:t>Fairfield Inn (Hotel Ground Lease)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224-2240</w:t>
            </w:r>
          </w:p>
        </w:tc>
        <w:tc>
          <w:tcPr>
            <w:tcW w:w="7960" w:type="dxa"/>
            <w:vAlign w:val="bottom"/>
            <w:gridSpan w:val="2"/>
          </w:tcPr>
          <w:p>
            <w:pPr>
              <w:spacing w:after="0"/>
              <w:rPr>
                <w:sz w:val="20"/>
                <w:szCs w:val="20"/>
                <w:color w:val="auto"/>
              </w:rPr>
            </w:pPr>
            <w:r>
              <w:rPr>
                <w:rFonts w:ascii="Arial" w:cs="Arial" w:eastAsia="Arial" w:hAnsi="Arial"/>
                <w:sz w:val="18"/>
                <w:szCs w:val="18"/>
                <w:color w:val="auto"/>
              </w:rPr>
              <w:t>Shoppes at Nottingham Sq II</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228-2280</w:t>
            </w:r>
          </w:p>
        </w:tc>
        <w:tc>
          <w:tcPr>
            <w:tcW w:w="7960" w:type="dxa"/>
            <w:vAlign w:val="bottom"/>
            <w:gridSpan w:val="2"/>
          </w:tcPr>
          <w:p>
            <w:pPr>
              <w:spacing w:after="0"/>
              <w:rPr>
                <w:sz w:val="20"/>
                <w:szCs w:val="20"/>
                <w:color w:val="auto"/>
              </w:rPr>
            </w:pPr>
            <w:r>
              <w:rPr>
                <w:rFonts w:ascii="Arial" w:cs="Arial" w:eastAsia="Arial" w:hAnsi="Arial"/>
                <w:sz w:val="18"/>
                <w:szCs w:val="18"/>
                <w:color w:val="auto"/>
              </w:rPr>
              <w:t>Shoppes at Nottingham Sq I</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229-2290</w:t>
            </w:r>
          </w:p>
        </w:tc>
        <w:tc>
          <w:tcPr>
            <w:tcW w:w="7960" w:type="dxa"/>
            <w:vAlign w:val="bottom"/>
            <w:gridSpan w:val="2"/>
          </w:tcPr>
          <w:p>
            <w:pPr>
              <w:spacing w:after="0"/>
              <w:rPr>
                <w:sz w:val="20"/>
                <w:szCs w:val="20"/>
                <w:color w:val="auto"/>
              </w:rPr>
            </w:pPr>
            <w:r>
              <w:rPr>
                <w:rFonts w:ascii="Arial" w:cs="Arial" w:eastAsia="Arial" w:hAnsi="Arial"/>
                <w:sz w:val="18"/>
                <w:szCs w:val="18"/>
                <w:color w:val="auto"/>
              </w:rPr>
              <w:t>RPBT Ground Leases - Nottingham</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229-2291</w:t>
            </w:r>
          </w:p>
        </w:tc>
        <w:tc>
          <w:tcPr>
            <w:tcW w:w="7960" w:type="dxa"/>
            <w:vAlign w:val="bottom"/>
            <w:gridSpan w:val="2"/>
          </w:tcPr>
          <w:p>
            <w:pPr>
              <w:spacing w:after="0"/>
              <w:rPr>
                <w:sz w:val="20"/>
                <w:szCs w:val="20"/>
                <w:color w:val="auto"/>
              </w:rPr>
            </w:pPr>
            <w:r>
              <w:rPr>
                <w:rFonts w:ascii="Arial" w:cs="Arial" w:eastAsia="Arial" w:hAnsi="Arial"/>
                <w:sz w:val="18"/>
                <w:szCs w:val="18"/>
                <w:color w:val="auto"/>
              </w:rPr>
              <w:t>The Avenue - Parking</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230-2300</w:t>
            </w:r>
          </w:p>
        </w:tc>
        <w:tc>
          <w:tcPr>
            <w:tcW w:w="7960" w:type="dxa"/>
            <w:vAlign w:val="bottom"/>
            <w:gridSpan w:val="2"/>
          </w:tcPr>
          <w:p>
            <w:pPr>
              <w:spacing w:after="0"/>
              <w:rPr>
                <w:sz w:val="20"/>
                <w:szCs w:val="20"/>
                <w:color w:val="auto"/>
              </w:rPr>
            </w:pPr>
            <w:r>
              <w:rPr>
                <w:rFonts w:ascii="Arial" w:cs="Arial" w:eastAsia="Arial" w:hAnsi="Arial"/>
                <w:sz w:val="18"/>
                <w:szCs w:val="18"/>
                <w:color w:val="auto"/>
              </w:rPr>
              <w:t>Panera Bread - Nottingham</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400-1020</w:t>
            </w:r>
          </w:p>
        </w:tc>
        <w:tc>
          <w:tcPr>
            <w:tcW w:w="7960" w:type="dxa"/>
            <w:vAlign w:val="bottom"/>
            <w:gridSpan w:val="2"/>
          </w:tcPr>
          <w:p>
            <w:pPr>
              <w:spacing w:after="0"/>
              <w:rPr>
                <w:sz w:val="20"/>
                <w:szCs w:val="20"/>
                <w:color w:val="auto"/>
              </w:rPr>
            </w:pPr>
            <w:r>
              <w:rPr>
                <w:rFonts w:ascii="Arial" w:cs="Arial" w:eastAsia="Arial" w:hAnsi="Arial"/>
                <w:sz w:val="18"/>
                <w:szCs w:val="18"/>
                <w:color w:val="auto"/>
              </w:rPr>
              <w:t>Beth Ave Shops W W 1-Arl East (retail &amp; res)</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400-1021</w:t>
            </w:r>
          </w:p>
        </w:tc>
        <w:tc>
          <w:tcPr>
            <w:tcW w:w="7960" w:type="dxa"/>
            <w:vAlign w:val="bottom"/>
            <w:gridSpan w:val="2"/>
          </w:tcPr>
          <w:p>
            <w:pPr>
              <w:spacing w:after="0"/>
              <w:rPr>
                <w:sz w:val="20"/>
                <w:szCs w:val="20"/>
                <w:color w:val="auto"/>
              </w:rPr>
            </w:pPr>
            <w:r>
              <w:rPr>
                <w:rFonts w:ascii="Arial" w:cs="Arial" w:eastAsia="Arial" w:hAnsi="Arial"/>
                <w:sz w:val="18"/>
                <w:szCs w:val="18"/>
                <w:color w:val="auto"/>
              </w:rPr>
              <w:t>Bethesda Ave Shops W W 2</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400-1022</w:t>
            </w:r>
          </w:p>
        </w:tc>
        <w:tc>
          <w:tcPr>
            <w:tcW w:w="7960" w:type="dxa"/>
            <w:vAlign w:val="bottom"/>
            <w:gridSpan w:val="2"/>
          </w:tcPr>
          <w:p>
            <w:pPr>
              <w:spacing w:after="0"/>
              <w:rPr>
                <w:sz w:val="20"/>
                <w:szCs w:val="20"/>
                <w:color w:val="auto"/>
              </w:rPr>
            </w:pPr>
            <w:r>
              <w:rPr>
                <w:rFonts w:ascii="Arial" w:cs="Arial" w:eastAsia="Arial" w:hAnsi="Arial"/>
                <w:sz w:val="18"/>
                <w:szCs w:val="18"/>
                <w:color w:val="auto"/>
              </w:rPr>
              <w:t>Bethesda Ave Offices W W 2</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400-1023</w:t>
            </w:r>
          </w:p>
        </w:tc>
        <w:tc>
          <w:tcPr>
            <w:tcW w:w="7960" w:type="dxa"/>
            <w:vAlign w:val="bottom"/>
            <w:gridSpan w:val="2"/>
          </w:tcPr>
          <w:p>
            <w:pPr>
              <w:spacing w:after="0"/>
              <w:rPr>
                <w:sz w:val="20"/>
                <w:szCs w:val="20"/>
                <w:color w:val="auto"/>
              </w:rPr>
            </w:pPr>
            <w:r>
              <w:rPr>
                <w:rFonts w:ascii="Arial" w:cs="Arial" w:eastAsia="Arial" w:hAnsi="Arial"/>
                <w:sz w:val="18"/>
                <w:szCs w:val="18"/>
                <w:color w:val="auto"/>
              </w:rPr>
              <w:t>Bethesda Ave Shops W W 3</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r>
        <w:trPr>
          <w:trHeight w:val="222"/>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400-1024</w:t>
            </w:r>
          </w:p>
        </w:tc>
        <w:tc>
          <w:tcPr>
            <w:tcW w:w="7960" w:type="dxa"/>
            <w:vAlign w:val="bottom"/>
            <w:gridSpan w:val="2"/>
          </w:tcPr>
          <w:p>
            <w:pPr>
              <w:spacing w:after="0"/>
              <w:rPr>
                <w:sz w:val="20"/>
                <w:szCs w:val="20"/>
                <w:color w:val="auto"/>
              </w:rPr>
            </w:pPr>
            <w:r>
              <w:rPr>
                <w:rFonts w:ascii="Arial" w:cs="Arial" w:eastAsia="Arial" w:hAnsi="Arial"/>
                <w:sz w:val="18"/>
                <w:szCs w:val="18"/>
                <w:color w:val="auto"/>
              </w:rPr>
              <w:t>Bethesda Ave Shops W W 4</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9"/>
              </w:rPr>
              <w:t>MD</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4</w:t>
      </w:r>
    </w:p>
    <w:p>
      <w:pPr>
        <w:sectPr>
          <w:pgSz w:w="11900" w:h="16838" w:orient="portrait"/>
          <w:cols w:equalWidth="0" w:num="1">
            <w:col w:w="11420"/>
          </w:cols>
          <w:pgMar w:left="240" w:top="274" w:right="239" w:bottom="1440" w:gutter="0" w:footer="0" w:header="0"/>
        </w:sectPr>
      </w:pPr>
    </w:p>
    <w:bookmarkStart w:id="515" w:name="page516"/>
    <w:bookmarkEnd w:id="5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4,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20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State</w:t>
            </w:r>
          </w:p>
        </w:tc>
      </w:tr>
      <w:tr>
        <w:trPr>
          <w:trHeight w:val="3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400-1025</w:t>
            </w:r>
          </w:p>
        </w:tc>
        <w:tc>
          <w:tcPr>
            <w:tcW w:w="7880" w:type="dxa"/>
            <w:vAlign w:val="bottom"/>
          </w:tcPr>
          <w:p>
            <w:pPr>
              <w:spacing w:after="0"/>
              <w:rPr>
                <w:sz w:val="20"/>
                <w:szCs w:val="20"/>
                <w:color w:val="auto"/>
              </w:rPr>
            </w:pPr>
            <w:r>
              <w:rPr>
                <w:rFonts w:ascii="Arial" w:cs="Arial" w:eastAsia="Arial" w:hAnsi="Arial"/>
                <w:sz w:val="18"/>
                <w:szCs w:val="18"/>
                <w:color w:val="auto"/>
              </w:rPr>
              <w:t>Bethesda Ave Offices W W 4</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400-1026</w:t>
            </w:r>
          </w:p>
        </w:tc>
        <w:tc>
          <w:tcPr>
            <w:tcW w:w="7880" w:type="dxa"/>
            <w:vAlign w:val="bottom"/>
          </w:tcPr>
          <w:p>
            <w:pPr>
              <w:spacing w:after="0"/>
              <w:rPr>
                <w:sz w:val="20"/>
                <w:szCs w:val="20"/>
                <w:color w:val="auto"/>
              </w:rPr>
            </w:pPr>
            <w:r>
              <w:rPr>
                <w:rFonts w:ascii="Arial" w:cs="Arial" w:eastAsia="Arial" w:hAnsi="Arial"/>
                <w:sz w:val="18"/>
                <w:szCs w:val="18"/>
                <w:color w:val="auto"/>
              </w:rPr>
              <w:t>Bethesda Ave Shops W W 5</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400-1027</w:t>
            </w:r>
          </w:p>
        </w:tc>
        <w:tc>
          <w:tcPr>
            <w:tcW w:w="7880" w:type="dxa"/>
            <w:vAlign w:val="bottom"/>
          </w:tcPr>
          <w:p>
            <w:pPr>
              <w:spacing w:after="0"/>
              <w:rPr>
                <w:sz w:val="20"/>
                <w:szCs w:val="20"/>
                <w:color w:val="auto"/>
              </w:rPr>
            </w:pPr>
            <w:r>
              <w:rPr>
                <w:rFonts w:ascii="Arial" w:cs="Arial" w:eastAsia="Arial" w:hAnsi="Arial"/>
                <w:sz w:val="18"/>
                <w:szCs w:val="18"/>
                <w:color w:val="auto"/>
              </w:rPr>
              <w:t>Bethesda Ave Offices W W 5</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400-1028</w:t>
            </w:r>
          </w:p>
        </w:tc>
        <w:tc>
          <w:tcPr>
            <w:tcW w:w="7880" w:type="dxa"/>
            <w:vAlign w:val="bottom"/>
          </w:tcPr>
          <w:p>
            <w:pPr>
              <w:spacing w:after="0"/>
              <w:rPr>
                <w:sz w:val="20"/>
                <w:szCs w:val="20"/>
                <w:color w:val="auto"/>
              </w:rPr>
            </w:pPr>
            <w:r>
              <w:rPr>
                <w:rFonts w:ascii="Arial" w:cs="Arial" w:eastAsia="Arial" w:hAnsi="Arial"/>
                <w:sz w:val="18"/>
                <w:szCs w:val="18"/>
                <w:color w:val="auto"/>
              </w:rPr>
              <w:t>Bethesda Ave Shops II</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400-1029</w:t>
            </w:r>
          </w:p>
        </w:tc>
        <w:tc>
          <w:tcPr>
            <w:tcW w:w="7880" w:type="dxa"/>
            <w:vAlign w:val="bottom"/>
          </w:tcPr>
          <w:p>
            <w:pPr>
              <w:spacing w:after="0"/>
              <w:rPr>
                <w:sz w:val="20"/>
                <w:szCs w:val="20"/>
                <w:color w:val="auto"/>
              </w:rPr>
            </w:pPr>
            <w:r>
              <w:rPr>
                <w:rFonts w:ascii="Arial" w:cs="Arial" w:eastAsia="Arial" w:hAnsi="Arial"/>
                <w:sz w:val="18"/>
                <w:szCs w:val="18"/>
                <w:color w:val="auto"/>
              </w:rPr>
              <w:t>Bethesda Ave Shops III</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400-1030</w:t>
            </w:r>
          </w:p>
        </w:tc>
        <w:tc>
          <w:tcPr>
            <w:tcW w:w="7880" w:type="dxa"/>
            <w:vAlign w:val="bottom"/>
          </w:tcPr>
          <w:p>
            <w:pPr>
              <w:spacing w:after="0"/>
              <w:rPr>
                <w:sz w:val="20"/>
                <w:szCs w:val="20"/>
                <w:color w:val="auto"/>
              </w:rPr>
            </w:pPr>
            <w:r>
              <w:rPr>
                <w:rFonts w:ascii="Arial" w:cs="Arial" w:eastAsia="Arial" w:hAnsi="Arial"/>
                <w:sz w:val="18"/>
                <w:szCs w:val="18"/>
                <w:color w:val="auto"/>
              </w:rPr>
              <w:t>Bethesda Ave Shops Ravengard</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400-1031</w:t>
            </w:r>
          </w:p>
        </w:tc>
        <w:tc>
          <w:tcPr>
            <w:tcW w:w="7880" w:type="dxa"/>
            <w:vAlign w:val="bottom"/>
          </w:tcPr>
          <w:p>
            <w:pPr>
              <w:spacing w:after="0"/>
              <w:rPr>
                <w:sz w:val="20"/>
                <w:szCs w:val="20"/>
                <w:color w:val="auto"/>
              </w:rPr>
            </w:pPr>
            <w:r>
              <w:rPr>
                <w:rFonts w:ascii="Arial" w:cs="Arial" w:eastAsia="Arial" w:hAnsi="Arial"/>
                <w:sz w:val="18"/>
                <w:szCs w:val="18"/>
                <w:color w:val="auto"/>
              </w:rPr>
              <w:t>Bethesda Ave Shops Parking Lot</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400-1032</w:t>
            </w:r>
          </w:p>
        </w:tc>
        <w:tc>
          <w:tcPr>
            <w:tcW w:w="7880" w:type="dxa"/>
            <w:vAlign w:val="bottom"/>
          </w:tcPr>
          <w:p>
            <w:pPr>
              <w:spacing w:after="0"/>
              <w:rPr>
                <w:sz w:val="20"/>
                <w:szCs w:val="20"/>
                <w:color w:val="auto"/>
              </w:rPr>
            </w:pPr>
            <w:r>
              <w:rPr>
                <w:rFonts w:ascii="Arial" w:cs="Arial" w:eastAsia="Arial" w:hAnsi="Arial"/>
                <w:sz w:val="18"/>
                <w:szCs w:val="18"/>
                <w:color w:val="auto"/>
              </w:rPr>
              <w:t>4900 Hampden Lane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400-3031</w:t>
            </w:r>
          </w:p>
        </w:tc>
        <w:tc>
          <w:tcPr>
            <w:tcW w:w="7880" w:type="dxa"/>
            <w:vAlign w:val="bottom"/>
          </w:tcPr>
          <w:p>
            <w:pPr>
              <w:spacing w:after="0"/>
              <w:rPr>
                <w:sz w:val="20"/>
                <w:szCs w:val="20"/>
                <w:color w:val="auto"/>
              </w:rPr>
            </w:pPr>
            <w:r>
              <w:rPr>
                <w:rFonts w:ascii="Arial" w:cs="Arial" w:eastAsia="Arial" w:hAnsi="Arial"/>
                <w:sz w:val="18"/>
                <w:szCs w:val="18"/>
                <w:color w:val="auto"/>
              </w:rPr>
              <w:t>Elm St - Retail (Bethesda)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400-3032</w:t>
            </w:r>
          </w:p>
        </w:tc>
        <w:tc>
          <w:tcPr>
            <w:tcW w:w="7880" w:type="dxa"/>
            <w:vAlign w:val="bottom"/>
          </w:tcPr>
          <w:p>
            <w:pPr>
              <w:spacing w:after="0"/>
              <w:rPr>
                <w:sz w:val="20"/>
                <w:szCs w:val="20"/>
                <w:color w:val="auto"/>
              </w:rPr>
            </w:pPr>
            <w:r>
              <w:rPr>
                <w:rFonts w:ascii="Arial" w:cs="Arial" w:eastAsia="Arial" w:hAnsi="Arial"/>
                <w:sz w:val="18"/>
                <w:szCs w:val="18"/>
                <w:color w:val="auto"/>
              </w:rPr>
              <w:t>Kilbane/Jaffe Parcels</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400-3033</w:t>
            </w:r>
          </w:p>
        </w:tc>
        <w:tc>
          <w:tcPr>
            <w:tcW w:w="7880" w:type="dxa"/>
            <w:vAlign w:val="bottom"/>
          </w:tcPr>
          <w:p>
            <w:pPr>
              <w:spacing w:after="0"/>
              <w:rPr>
                <w:sz w:val="20"/>
                <w:szCs w:val="20"/>
                <w:color w:val="auto"/>
              </w:rPr>
            </w:pPr>
            <w:r>
              <w:rPr>
                <w:rFonts w:ascii="Arial" w:cs="Arial" w:eastAsia="Arial" w:hAnsi="Arial"/>
                <w:sz w:val="18"/>
                <w:szCs w:val="18"/>
                <w:color w:val="auto"/>
              </w:rPr>
              <w:t>Elm Street - Office (Bethesda)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400-3034</w:t>
            </w:r>
          </w:p>
        </w:tc>
        <w:tc>
          <w:tcPr>
            <w:tcW w:w="7880" w:type="dxa"/>
            <w:vAlign w:val="bottom"/>
          </w:tcPr>
          <w:p>
            <w:pPr>
              <w:spacing w:after="0"/>
              <w:rPr>
                <w:sz w:val="20"/>
                <w:szCs w:val="20"/>
                <w:color w:val="auto"/>
              </w:rPr>
            </w:pPr>
            <w:r>
              <w:rPr>
                <w:rFonts w:ascii="Arial" w:cs="Arial" w:eastAsia="Arial" w:hAnsi="Arial"/>
                <w:sz w:val="18"/>
                <w:szCs w:val="18"/>
                <w:color w:val="auto"/>
              </w:rPr>
              <w:t>Woodmont East - 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400-3035</w:t>
            </w:r>
          </w:p>
        </w:tc>
        <w:tc>
          <w:tcPr>
            <w:tcW w:w="7880" w:type="dxa"/>
            <w:vAlign w:val="bottom"/>
          </w:tcPr>
          <w:p>
            <w:pPr>
              <w:spacing w:after="0"/>
              <w:rPr>
                <w:sz w:val="20"/>
                <w:szCs w:val="20"/>
                <w:color w:val="auto"/>
              </w:rPr>
            </w:pPr>
            <w:r>
              <w:rPr>
                <w:rFonts w:ascii="Arial" w:cs="Arial" w:eastAsia="Arial" w:hAnsi="Arial"/>
                <w:sz w:val="18"/>
                <w:szCs w:val="18"/>
                <w:color w:val="auto"/>
              </w:rPr>
              <w:t>Woodmont East - Offices</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400-3101</w:t>
            </w:r>
          </w:p>
        </w:tc>
        <w:tc>
          <w:tcPr>
            <w:tcW w:w="7880" w:type="dxa"/>
            <w:vAlign w:val="bottom"/>
          </w:tcPr>
          <w:p>
            <w:pPr>
              <w:spacing w:after="0"/>
              <w:rPr>
                <w:sz w:val="20"/>
                <w:szCs w:val="20"/>
                <w:color w:val="auto"/>
              </w:rPr>
            </w:pPr>
            <w:r>
              <w:rPr>
                <w:rFonts w:ascii="Arial" w:cs="Arial" w:eastAsia="Arial" w:hAnsi="Arial"/>
                <w:sz w:val="18"/>
                <w:szCs w:val="18"/>
                <w:color w:val="auto"/>
              </w:rPr>
              <w:t>205 Greenwich Ave (Saks)</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Greenwich</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CT</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400-3400</w:t>
            </w:r>
          </w:p>
        </w:tc>
        <w:tc>
          <w:tcPr>
            <w:tcW w:w="7880" w:type="dxa"/>
            <w:vAlign w:val="bottom"/>
          </w:tcPr>
          <w:p>
            <w:pPr>
              <w:spacing w:after="0"/>
              <w:rPr>
                <w:sz w:val="20"/>
                <w:szCs w:val="20"/>
                <w:color w:val="auto"/>
              </w:rPr>
            </w:pPr>
            <w:r>
              <w:rPr>
                <w:rFonts w:ascii="Arial" w:cs="Arial" w:eastAsia="Arial" w:hAnsi="Arial"/>
                <w:sz w:val="18"/>
                <w:szCs w:val="18"/>
                <w:color w:val="auto"/>
              </w:rPr>
              <w:t>Fresh Meadows (K Mart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Queens</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400-3401</w:t>
            </w:r>
          </w:p>
        </w:tc>
        <w:tc>
          <w:tcPr>
            <w:tcW w:w="7880" w:type="dxa"/>
            <w:vAlign w:val="bottom"/>
          </w:tcPr>
          <w:p>
            <w:pPr>
              <w:spacing w:after="0"/>
              <w:rPr>
                <w:sz w:val="20"/>
                <w:szCs w:val="20"/>
                <w:color w:val="auto"/>
              </w:rPr>
            </w:pPr>
            <w:r>
              <w:rPr>
                <w:rFonts w:ascii="Arial" w:cs="Arial" w:eastAsia="Arial" w:hAnsi="Arial"/>
                <w:sz w:val="18"/>
                <w:szCs w:val="18"/>
                <w:color w:val="auto"/>
              </w:rPr>
              <w:t>Fresh Meadows (Filene’s Ctr)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Queens</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400-3402</w:t>
            </w:r>
          </w:p>
        </w:tc>
        <w:tc>
          <w:tcPr>
            <w:tcW w:w="7880" w:type="dxa"/>
            <w:vAlign w:val="bottom"/>
          </w:tcPr>
          <w:p>
            <w:pPr>
              <w:spacing w:after="0"/>
              <w:rPr>
                <w:sz w:val="20"/>
                <w:szCs w:val="20"/>
                <w:color w:val="auto"/>
              </w:rPr>
            </w:pPr>
            <w:r>
              <w:rPr>
                <w:rFonts w:ascii="Arial" w:cs="Arial" w:eastAsia="Arial" w:hAnsi="Arial"/>
                <w:sz w:val="18"/>
                <w:szCs w:val="18"/>
                <w:color w:val="auto"/>
              </w:rPr>
              <w:t>Fresh Meadows (73rd Ave Strip)</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Queens</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400-3403</w:t>
            </w:r>
          </w:p>
        </w:tc>
        <w:tc>
          <w:tcPr>
            <w:tcW w:w="7880" w:type="dxa"/>
            <w:vAlign w:val="bottom"/>
          </w:tcPr>
          <w:p>
            <w:pPr>
              <w:spacing w:after="0"/>
              <w:rPr>
                <w:sz w:val="20"/>
                <w:szCs w:val="20"/>
                <w:color w:val="auto"/>
              </w:rPr>
            </w:pPr>
            <w:r>
              <w:rPr>
                <w:rFonts w:ascii="Arial" w:cs="Arial" w:eastAsia="Arial" w:hAnsi="Arial"/>
                <w:sz w:val="18"/>
                <w:szCs w:val="18"/>
                <w:color w:val="auto"/>
              </w:rPr>
              <w:t>Fresh Meadows (69th Ave Strip)</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Queens</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400-3500</w:t>
            </w:r>
          </w:p>
        </w:tc>
        <w:tc>
          <w:tcPr>
            <w:tcW w:w="7880" w:type="dxa"/>
            <w:vAlign w:val="bottom"/>
          </w:tcPr>
          <w:p>
            <w:pPr>
              <w:spacing w:after="0"/>
              <w:rPr>
                <w:sz w:val="20"/>
                <w:szCs w:val="20"/>
                <w:color w:val="auto"/>
              </w:rPr>
            </w:pPr>
            <w:r>
              <w:rPr>
                <w:rFonts w:ascii="Arial" w:cs="Arial" w:eastAsia="Arial" w:hAnsi="Arial"/>
                <w:sz w:val="18"/>
                <w:szCs w:val="18"/>
                <w:color w:val="auto"/>
              </w:rPr>
              <w:t>150 Post Street (SF)</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Francisco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400-3525</w:t>
            </w:r>
          </w:p>
        </w:tc>
        <w:tc>
          <w:tcPr>
            <w:tcW w:w="7880" w:type="dxa"/>
            <w:vAlign w:val="bottom"/>
          </w:tcPr>
          <w:p>
            <w:pPr>
              <w:spacing w:after="0"/>
              <w:rPr>
                <w:sz w:val="20"/>
                <w:szCs w:val="20"/>
                <w:color w:val="auto"/>
              </w:rPr>
            </w:pPr>
            <w:r>
              <w:rPr>
                <w:rFonts w:ascii="Arial" w:cs="Arial" w:eastAsia="Arial" w:hAnsi="Arial"/>
                <w:sz w:val="18"/>
                <w:szCs w:val="18"/>
                <w:color w:val="auto"/>
              </w:rPr>
              <w:t>1344 3rd Street (Santa Monica)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400-3600</w:t>
            </w:r>
          </w:p>
        </w:tc>
        <w:tc>
          <w:tcPr>
            <w:tcW w:w="7880" w:type="dxa"/>
            <w:vAlign w:val="bottom"/>
          </w:tcPr>
          <w:p>
            <w:pPr>
              <w:spacing w:after="0"/>
              <w:rPr>
                <w:sz w:val="20"/>
                <w:szCs w:val="20"/>
                <w:color w:val="auto"/>
              </w:rPr>
            </w:pPr>
            <w:r>
              <w:rPr>
                <w:rFonts w:ascii="Arial" w:cs="Arial" w:eastAsia="Arial" w:hAnsi="Arial"/>
                <w:sz w:val="18"/>
                <w:szCs w:val="18"/>
                <w:color w:val="auto"/>
              </w:rPr>
              <w:t>Sam’s Park &amp; Shop</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Washington, D.C.</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DC</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400-3601</w:t>
            </w:r>
          </w:p>
        </w:tc>
        <w:tc>
          <w:tcPr>
            <w:tcW w:w="7880" w:type="dxa"/>
            <w:vAlign w:val="bottom"/>
          </w:tcPr>
          <w:p>
            <w:pPr>
              <w:spacing w:after="0"/>
              <w:rPr>
                <w:sz w:val="20"/>
                <w:szCs w:val="20"/>
                <w:color w:val="auto"/>
              </w:rPr>
            </w:pPr>
            <w:r>
              <w:rPr>
                <w:rFonts w:ascii="Arial" w:cs="Arial" w:eastAsia="Arial" w:hAnsi="Arial"/>
                <w:sz w:val="18"/>
                <w:szCs w:val="18"/>
                <w:color w:val="auto"/>
              </w:rPr>
              <w:t>Village at Shirlington-Retail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Arlington</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400-3602</w:t>
            </w:r>
          </w:p>
        </w:tc>
        <w:tc>
          <w:tcPr>
            <w:tcW w:w="7880" w:type="dxa"/>
            <w:vAlign w:val="bottom"/>
          </w:tcPr>
          <w:p>
            <w:pPr>
              <w:spacing w:after="0"/>
              <w:rPr>
                <w:sz w:val="20"/>
                <w:szCs w:val="20"/>
                <w:color w:val="auto"/>
              </w:rPr>
            </w:pPr>
            <w:r>
              <w:rPr>
                <w:rFonts w:ascii="Arial" w:cs="Arial" w:eastAsia="Arial" w:hAnsi="Arial"/>
                <w:sz w:val="18"/>
                <w:szCs w:val="18"/>
                <w:color w:val="auto"/>
              </w:rPr>
              <w:t>Village at Shirlington-Office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Arlington</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400-3603</w:t>
            </w:r>
          </w:p>
        </w:tc>
        <w:tc>
          <w:tcPr>
            <w:tcW w:w="7880" w:type="dxa"/>
            <w:vAlign w:val="bottom"/>
          </w:tcPr>
          <w:p>
            <w:pPr>
              <w:spacing w:after="0"/>
              <w:rPr>
                <w:sz w:val="20"/>
                <w:szCs w:val="20"/>
                <w:color w:val="auto"/>
              </w:rPr>
            </w:pPr>
            <w:r>
              <w:rPr>
                <w:rFonts w:ascii="Arial" w:cs="Arial" w:eastAsia="Arial" w:hAnsi="Arial"/>
                <w:sz w:val="18"/>
                <w:szCs w:val="18"/>
                <w:color w:val="auto"/>
              </w:rPr>
              <w:t>Pentagon Row [1]</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Arlington</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400-3604</w:t>
            </w:r>
          </w:p>
        </w:tc>
        <w:tc>
          <w:tcPr>
            <w:tcW w:w="7880" w:type="dxa"/>
            <w:vAlign w:val="bottom"/>
          </w:tcPr>
          <w:p>
            <w:pPr>
              <w:spacing w:after="0"/>
              <w:rPr>
                <w:sz w:val="20"/>
                <w:szCs w:val="20"/>
                <w:color w:val="auto"/>
              </w:rPr>
            </w:pPr>
            <w:r>
              <w:rPr>
                <w:rFonts w:ascii="Arial" w:cs="Arial" w:eastAsia="Arial" w:hAnsi="Arial"/>
                <w:sz w:val="18"/>
                <w:szCs w:val="18"/>
                <w:color w:val="auto"/>
              </w:rPr>
              <w:t>Friendship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Washington, D.C.</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DC</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420-4300</w:t>
            </w:r>
          </w:p>
        </w:tc>
        <w:tc>
          <w:tcPr>
            <w:tcW w:w="7880" w:type="dxa"/>
            <w:vAlign w:val="bottom"/>
          </w:tcPr>
          <w:p>
            <w:pPr>
              <w:spacing w:after="0"/>
              <w:rPr>
                <w:sz w:val="20"/>
                <w:szCs w:val="20"/>
                <w:color w:val="auto"/>
              </w:rPr>
            </w:pPr>
            <w:r>
              <w:rPr>
                <w:rFonts w:ascii="Arial" w:cs="Arial" w:eastAsia="Arial" w:hAnsi="Arial"/>
                <w:sz w:val="18"/>
                <w:szCs w:val="18"/>
                <w:color w:val="auto"/>
              </w:rPr>
              <w:t>14 N.Fair Oaks Ave (Pasadena)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Pasadena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420-4500</w:t>
            </w:r>
          </w:p>
        </w:tc>
        <w:tc>
          <w:tcPr>
            <w:tcW w:w="7880" w:type="dxa"/>
            <w:vAlign w:val="bottom"/>
          </w:tcPr>
          <w:p>
            <w:pPr>
              <w:spacing w:after="0"/>
              <w:rPr>
                <w:sz w:val="20"/>
                <w:szCs w:val="20"/>
                <w:color w:val="auto"/>
              </w:rPr>
            </w:pPr>
            <w:r>
              <w:rPr>
                <w:rFonts w:ascii="Arial" w:cs="Arial" w:eastAsia="Arial" w:hAnsi="Arial"/>
                <w:sz w:val="18"/>
                <w:szCs w:val="18"/>
                <w:color w:val="auto"/>
              </w:rPr>
              <w:t>643-653 5th Ave. (S D)</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Diego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420-4502</w:t>
            </w:r>
          </w:p>
        </w:tc>
        <w:tc>
          <w:tcPr>
            <w:tcW w:w="7880" w:type="dxa"/>
            <w:vAlign w:val="bottom"/>
          </w:tcPr>
          <w:p>
            <w:pPr>
              <w:spacing w:after="0"/>
              <w:rPr>
                <w:sz w:val="20"/>
                <w:szCs w:val="20"/>
                <w:color w:val="auto"/>
              </w:rPr>
            </w:pPr>
            <w:r>
              <w:rPr>
                <w:rFonts w:ascii="Arial" w:cs="Arial" w:eastAsia="Arial" w:hAnsi="Arial"/>
                <w:sz w:val="18"/>
                <w:szCs w:val="18"/>
                <w:color w:val="auto"/>
              </w:rPr>
              <w:t>665 5th Ave. (S D)</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Diego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420-4503</w:t>
            </w:r>
          </w:p>
        </w:tc>
        <w:tc>
          <w:tcPr>
            <w:tcW w:w="7880" w:type="dxa"/>
            <w:vAlign w:val="bottom"/>
          </w:tcPr>
          <w:p>
            <w:pPr>
              <w:spacing w:after="0"/>
              <w:rPr>
                <w:sz w:val="20"/>
                <w:szCs w:val="20"/>
                <w:color w:val="auto"/>
              </w:rPr>
            </w:pPr>
            <w:r>
              <w:rPr>
                <w:rFonts w:ascii="Arial" w:cs="Arial" w:eastAsia="Arial" w:hAnsi="Arial"/>
                <w:sz w:val="18"/>
                <w:szCs w:val="18"/>
                <w:color w:val="auto"/>
              </w:rPr>
              <w:t>825-831 5th Ave. (S D)</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Diego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420-4700</w:t>
            </w:r>
          </w:p>
        </w:tc>
        <w:tc>
          <w:tcPr>
            <w:tcW w:w="7880" w:type="dxa"/>
            <w:vAlign w:val="bottom"/>
          </w:tcPr>
          <w:p>
            <w:pPr>
              <w:spacing w:after="0"/>
              <w:rPr>
                <w:sz w:val="20"/>
                <w:szCs w:val="20"/>
                <w:color w:val="auto"/>
              </w:rPr>
            </w:pPr>
            <w:r>
              <w:rPr>
                <w:rFonts w:ascii="Arial" w:cs="Arial" w:eastAsia="Arial" w:hAnsi="Arial"/>
                <w:sz w:val="18"/>
                <w:szCs w:val="18"/>
                <w:color w:val="auto"/>
              </w:rPr>
              <w:t>301 Arizona/1251-1253 3rd St.</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420-4702</w:t>
            </w:r>
          </w:p>
        </w:tc>
        <w:tc>
          <w:tcPr>
            <w:tcW w:w="7880" w:type="dxa"/>
            <w:vAlign w:val="bottom"/>
          </w:tcPr>
          <w:p>
            <w:pPr>
              <w:spacing w:after="0"/>
              <w:rPr>
                <w:sz w:val="20"/>
                <w:szCs w:val="20"/>
                <w:color w:val="auto"/>
              </w:rPr>
            </w:pPr>
            <w:r>
              <w:rPr>
                <w:rFonts w:ascii="Arial" w:cs="Arial" w:eastAsia="Arial" w:hAnsi="Arial"/>
                <w:sz w:val="18"/>
                <w:szCs w:val="18"/>
                <w:color w:val="auto"/>
              </w:rPr>
              <w:t>1225 3rd St. (Santa Monica)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420-4704</w:t>
            </w:r>
          </w:p>
        </w:tc>
        <w:tc>
          <w:tcPr>
            <w:tcW w:w="7880" w:type="dxa"/>
            <w:vAlign w:val="bottom"/>
          </w:tcPr>
          <w:p>
            <w:pPr>
              <w:spacing w:after="0"/>
              <w:rPr>
                <w:sz w:val="20"/>
                <w:szCs w:val="20"/>
                <w:color w:val="auto"/>
              </w:rPr>
            </w:pPr>
            <w:r>
              <w:rPr>
                <w:rFonts w:ascii="Arial" w:cs="Arial" w:eastAsia="Arial" w:hAnsi="Arial"/>
                <w:sz w:val="18"/>
                <w:szCs w:val="18"/>
                <w:color w:val="auto"/>
              </w:rPr>
              <w:t>1337 3rd St. (Santa Monica)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420-4705</w:t>
            </w:r>
          </w:p>
        </w:tc>
        <w:tc>
          <w:tcPr>
            <w:tcW w:w="7880" w:type="dxa"/>
            <w:vAlign w:val="bottom"/>
          </w:tcPr>
          <w:p>
            <w:pPr>
              <w:spacing w:after="0"/>
              <w:rPr>
                <w:sz w:val="20"/>
                <w:szCs w:val="20"/>
                <w:color w:val="auto"/>
              </w:rPr>
            </w:pPr>
            <w:r>
              <w:rPr>
                <w:rFonts w:ascii="Arial" w:cs="Arial" w:eastAsia="Arial" w:hAnsi="Arial"/>
                <w:sz w:val="18"/>
                <w:szCs w:val="18"/>
                <w:color w:val="auto"/>
              </w:rPr>
              <w:t>1343-1349 3rd St(Santa Monica)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421-4701</w:t>
            </w:r>
          </w:p>
        </w:tc>
        <w:tc>
          <w:tcPr>
            <w:tcW w:w="7880" w:type="dxa"/>
            <w:vAlign w:val="bottom"/>
          </w:tcPr>
          <w:p>
            <w:pPr>
              <w:spacing w:after="0"/>
              <w:rPr>
                <w:sz w:val="20"/>
                <w:szCs w:val="20"/>
                <w:color w:val="auto"/>
              </w:rPr>
            </w:pPr>
            <w:r>
              <w:rPr>
                <w:rFonts w:ascii="Arial" w:cs="Arial" w:eastAsia="Arial" w:hAnsi="Arial"/>
                <w:sz w:val="18"/>
                <w:szCs w:val="18"/>
                <w:color w:val="auto"/>
              </w:rPr>
              <w:t>1202 3rd St. (Santa Monica)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422-4706</w:t>
            </w:r>
          </w:p>
        </w:tc>
        <w:tc>
          <w:tcPr>
            <w:tcW w:w="7880" w:type="dxa"/>
            <w:vAlign w:val="bottom"/>
          </w:tcPr>
          <w:p>
            <w:pPr>
              <w:spacing w:after="0"/>
              <w:rPr>
                <w:sz w:val="20"/>
                <w:szCs w:val="20"/>
                <w:color w:val="auto"/>
              </w:rPr>
            </w:pPr>
            <w:r>
              <w:rPr>
                <w:rFonts w:ascii="Arial" w:cs="Arial" w:eastAsia="Arial" w:hAnsi="Arial"/>
                <w:sz w:val="18"/>
                <w:szCs w:val="18"/>
                <w:color w:val="auto"/>
              </w:rPr>
              <w:t>1222 3rd St. (Santa Monica)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423-4200</w:t>
            </w:r>
          </w:p>
        </w:tc>
        <w:tc>
          <w:tcPr>
            <w:tcW w:w="7880" w:type="dxa"/>
            <w:vAlign w:val="bottom"/>
          </w:tcPr>
          <w:p>
            <w:pPr>
              <w:spacing w:after="0"/>
              <w:rPr>
                <w:sz w:val="20"/>
                <w:szCs w:val="20"/>
                <w:color w:val="auto"/>
              </w:rPr>
            </w:pPr>
            <w:r>
              <w:rPr>
                <w:rFonts w:ascii="Arial" w:cs="Arial" w:eastAsia="Arial" w:hAnsi="Arial"/>
                <w:sz w:val="18"/>
                <w:szCs w:val="18"/>
                <w:color w:val="auto"/>
              </w:rPr>
              <w:t>1221-1227 Hermosa Ave(Hermosa)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Hermosa Beach</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423-4504</w:t>
            </w:r>
          </w:p>
        </w:tc>
        <w:tc>
          <w:tcPr>
            <w:tcW w:w="7880" w:type="dxa"/>
            <w:vAlign w:val="bottom"/>
          </w:tcPr>
          <w:p>
            <w:pPr>
              <w:spacing w:after="0"/>
              <w:rPr>
                <w:sz w:val="20"/>
                <w:szCs w:val="20"/>
                <w:color w:val="auto"/>
              </w:rPr>
            </w:pPr>
            <w:r>
              <w:rPr>
                <w:rFonts w:ascii="Arial" w:cs="Arial" w:eastAsia="Arial" w:hAnsi="Arial"/>
                <w:sz w:val="18"/>
                <w:szCs w:val="18"/>
                <w:color w:val="auto"/>
              </w:rPr>
              <w:t>953-955 5th Ave (S D)</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Diego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423-4707</w:t>
            </w:r>
          </w:p>
        </w:tc>
        <w:tc>
          <w:tcPr>
            <w:tcW w:w="7880" w:type="dxa"/>
            <w:vAlign w:val="bottom"/>
          </w:tcPr>
          <w:p>
            <w:pPr>
              <w:spacing w:after="0"/>
              <w:rPr>
                <w:sz w:val="20"/>
                <w:szCs w:val="20"/>
                <w:color w:val="auto"/>
              </w:rPr>
            </w:pPr>
            <w:r>
              <w:rPr>
                <w:rFonts w:ascii="Arial" w:cs="Arial" w:eastAsia="Arial" w:hAnsi="Arial"/>
                <w:sz w:val="18"/>
                <w:szCs w:val="18"/>
                <w:color w:val="auto"/>
              </w:rPr>
              <w:t>1232-1240 3rd St(Santa Monica)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424-4301</w:t>
            </w:r>
          </w:p>
        </w:tc>
        <w:tc>
          <w:tcPr>
            <w:tcW w:w="7880" w:type="dxa"/>
            <w:vAlign w:val="bottom"/>
          </w:tcPr>
          <w:p>
            <w:pPr>
              <w:spacing w:after="0"/>
              <w:rPr>
                <w:sz w:val="20"/>
                <w:szCs w:val="20"/>
                <w:color w:val="auto"/>
              </w:rPr>
            </w:pPr>
            <w:r>
              <w:rPr>
                <w:rFonts w:ascii="Arial" w:cs="Arial" w:eastAsia="Arial" w:hAnsi="Arial"/>
                <w:sz w:val="18"/>
                <w:szCs w:val="18"/>
                <w:color w:val="auto"/>
              </w:rPr>
              <w:t>140-168 W Colorado(Tanner Mkt)</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Pasadena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428-4708</w:t>
            </w:r>
          </w:p>
        </w:tc>
        <w:tc>
          <w:tcPr>
            <w:tcW w:w="7880" w:type="dxa"/>
            <w:vAlign w:val="bottom"/>
          </w:tcPr>
          <w:p>
            <w:pPr>
              <w:spacing w:after="0"/>
              <w:rPr>
                <w:sz w:val="20"/>
                <w:szCs w:val="20"/>
                <w:color w:val="auto"/>
              </w:rPr>
            </w:pPr>
            <w:r>
              <w:rPr>
                <w:rFonts w:ascii="Arial" w:cs="Arial" w:eastAsia="Arial" w:hAnsi="Arial"/>
                <w:sz w:val="18"/>
                <w:szCs w:val="18"/>
                <w:color w:val="auto"/>
              </w:rPr>
              <w:t>214 Wilshire Blvd (SM)</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440-5002</w:t>
            </w:r>
          </w:p>
        </w:tc>
        <w:tc>
          <w:tcPr>
            <w:tcW w:w="7880" w:type="dxa"/>
            <w:vAlign w:val="bottom"/>
          </w:tcPr>
          <w:p>
            <w:pPr>
              <w:spacing w:after="0"/>
              <w:rPr>
                <w:sz w:val="20"/>
                <w:szCs w:val="20"/>
                <w:color w:val="auto"/>
              </w:rPr>
            </w:pPr>
            <w:r>
              <w:rPr>
                <w:rFonts w:ascii="Arial" w:cs="Arial" w:eastAsia="Arial" w:hAnsi="Arial"/>
                <w:sz w:val="18"/>
                <w:szCs w:val="18"/>
                <w:color w:val="auto"/>
              </w:rPr>
              <w:t>108-22 Queens Blvd (Midway Th)</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Forest Hills</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450-5500</w:t>
            </w:r>
          </w:p>
        </w:tc>
        <w:tc>
          <w:tcPr>
            <w:tcW w:w="7880" w:type="dxa"/>
            <w:vAlign w:val="bottom"/>
          </w:tcPr>
          <w:p>
            <w:pPr>
              <w:spacing w:after="0"/>
              <w:rPr>
                <w:sz w:val="20"/>
                <w:szCs w:val="20"/>
                <w:color w:val="auto"/>
              </w:rPr>
            </w:pPr>
            <w:r>
              <w:rPr>
                <w:rFonts w:ascii="Arial" w:cs="Arial" w:eastAsia="Arial" w:hAnsi="Arial"/>
                <w:sz w:val="18"/>
                <w:szCs w:val="18"/>
                <w:color w:val="auto"/>
              </w:rPr>
              <w:t>Old Town Center (Los Gatos)</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Los Gatos</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451-5601</w:t>
            </w:r>
          </w:p>
        </w:tc>
        <w:tc>
          <w:tcPr>
            <w:tcW w:w="7880" w:type="dxa"/>
            <w:vAlign w:val="bottom"/>
          </w:tcPr>
          <w:p>
            <w:pPr>
              <w:spacing w:after="0"/>
              <w:rPr>
                <w:sz w:val="20"/>
                <w:szCs w:val="20"/>
                <w:color w:val="auto"/>
              </w:rPr>
            </w:pPr>
            <w:r>
              <w:rPr>
                <w:rFonts w:ascii="Arial" w:cs="Arial" w:eastAsia="Arial" w:hAnsi="Arial"/>
                <w:sz w:val="18"/>
                <w:szCs w:val="18"/>
                <w:color w:val="auto"/>
              </w:rPr>
              <w:t>301-303 E Houston St (Vogue)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451-5602</w:t>
            </w:r>
          </w:p>
        </w:tc>
        <w:tc>
          <w:tcPr>
            <w:tcW w:w="7880" w:type="dxa"/>
            <w:vAlign w:val="bottom"/>
          </w:tcPr>
          <w:p>
            <w:pPr>
              <w:spacing w:after="0"/>
              <w:rPr>
                <w:sz w:val="20"/>
                <w:szCs w:val="20"/>
                <w:color w:val="auto"/>
              </w:rPr>
            </w:pPr>
            <w:r>
              <w:rPr>
                <w:rFonts w:ascii="Arial" w:cs="Arial" w:eastAsia="Arial" w:hAnsi="Arial"/>
                <w:sz w:val="18"/>
                <w:szCs w:val="18"/>
                <w:color w:val="auto"/>
              </w:rPr>
              <w:t>225-233 E Houston St (Schaum)</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451-5603</w:t>
            </w:r>
          </w:p>
        </w:tc>
        <w:tc>
          <w:tcPr>
            <w:tcW w:w="7880" w:type="dxa"/>
            <w:vAlign w:val="bottom"/>
          </w:tcPr>
          <w:p>
            <w:pPr>
              <w:spacing w:after="0"/>
              <w:rPr>
                <w:sz w:val="20"/>
                <w:szCs w:val="20"/>
                <w:color w:val="auto"/>
              </w:rPr>
            </w:pPr>
            <w:r>
              <w:rPr>
                <w:rFonts w:ascii="Arial" w:cs="Arial" w:eastAsia="Arial" w:hAnsi="Arial"/>
                <w:sz w:val="18"/>
                <w:szCs w:val="18"/>
                <w:color w:val="auto"/>
              </w:rPr>
              <w:t>St Mary’s &amp; E Houston(W Hotel)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451-5606</w:t>
            </w:r>
          </w:p>
        </w:tc>
        <w:tc>
          <w:tcPr>
            <w:tcW w:w="7880" w:type="dxa"/>
            <w:vAlign w:val="bottom"/>
          </w:tcPr>
          <w:p>
            <w:pPr>
              <w:spacing w:after="0"/>
              <w:rPr>
                <w:sz w:val="20"/>
                <w:szCs w:val="20"/>
                <w:color w:val="auto"/>
              </w:rPr>
            </w:pPr>
            <w:r>
              <w:rPr>
                <w:rFonts w:ascii="Arial" w:cs="Arial" w:eastAsia="Arial" w:hAnsi="Arial"/>
                <w:sz w:val="18"/>
                <w:szCs w:val="18"/>
                <w:color w:val="auto"/>
              </w:rPr>
              <w:t>111 Jefferson St (Pkg Lot)</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451-5607</w:t>
            </w:r>
          </w:p>
        </w:tc>
        <w:tc>
          <w:tcPr>
            <w:tcW w:w="7880" w:type="dxa"/>
            <w:vAlign w:val="bottom"/>
          </w:tcPr>
          <w:p>
            <w:pPr>
              <w:spacing w:after="0"/>
              <w:rPr>
                <w:sz w:val="20"/>
                <w:szCs w:val="20"/>
                <w:color w:val="auto"/>
              </w:rPr>
            </w:pPr>
            <w:r>
              <w:rPr>
                <w:rFonts w:ascii="Arial" w:cs="Arial" w:eastAsia="Arial" w:hAnsi="Arial"/>
                <w:sz w:val="18"/>
                <w:szCs w:val="18"/>
                <w:color w:val="auto"/>
              </w:rPr>
              <w:t>300-302 E Houston St(Walgreen)</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451-5608</w:t>
            </w:r>
          </w:p>
        </w:tc>
        <w:tc>
          <w:tcPr>
            <w:tcW w:w="7880" w:type="dxa"/>
            <w:vAlign w:val="bottom"/>
          </w:tcPr>
          <w:p>
            <w:pPr>
              <w:spacing w:after="0"/>
              <w:rPr>
                <w:sz w:val="20"/>
                <w:szCs w:val="20"/>
                <w:color w:val="auto"/>
              </w:rPr>
            </w:pPr>
            <w:r>
              <w:rPr>
                <w:rFonts w:ascii="Arial" w:cs="Arial" w:eastAsia="Arial" w:hAnsi="Arial"/>
                <w:sz w:val="18"/>
                <w:szCs w:val="18"/>
                <w:color w:val="auto"/>
              </w:rPr>
              <w:t>221-223 E Houston St(Court Bl)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451-5609</w:t>
            </w:r>
          </w:p>
        </w:tc>
        <w:tc>
          <w:tcPr>
            <w:tcW w:w="7880" w:type="dxa"/>
            <w:vAlign w:val="bottom"/>
          </w:tcPr>
          <w:p>
            <w:pPr>
              <w:spacing w:after="0"/>
              <w:rPr>
                <w:sz w:val="20"/>
                <w:szCs w:val="20"/>
                <w:color w:val="auto"/>
              </w:rPr>
            </w:pPr>
            <w:r>
              <w:rPr>
                <w:rFonts w:ascii="Arial" w:cs="Arial" w:eastAsia="Arial" w:hAnsi="Arial"/>
                <w:sz w:val="18"/>
                <w:szCs w:val="18"/>
                <w:color w:val="auto"/>
              </w:rPr>
              <w:t>219 E Houston St (Carl)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451-5610</w:t>
            </w:r>
          </w:p>
        </w:tc>
        <w:tc>
          <w:tcPr>
            <w:tcW w:w="7880" w:type="dxa"/>
            <w:vAlign w:val="bottom"/>
          </w:tcPr>
          <w:p>
            <w:pPr>
              <w:spacing w:after="0"/>
              <w:rPr>
                <w:sz w:val="20"/>
                <w:szCs w:val="20"/>
                <w:color w:val="auto"/>
              </w:rPr>
            </w:pPr>
            <w:r>
              <w:rPr>
                <w:rFonts w:ascii="Arial" w:cs="Arial" w:eastAsia="Arial" w:hAnsi="Arial"/>
                <w:sz w:val="18"/>
                <w:szCs w:val="18"/>
                <w:color w:val="auto"/>
              </w:rPr>
              <w:t>311-315 E Houston St (Kress)</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22"/>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451-5611</w:t>
            </w:r>
          </w:p>
        </w:tc>
        <w:tc>
          <w:tcPr>
            <w:tcW w:w="7880" w:type="dxa"/>
            <w:vAlign w:val="bottom"/>
          </w:tcPr>
          <w:p>
            <w:pPr>
              <w:spacing w:after="0"/>
              <w:rPr>
                <w:sz w:val="20"/>
                <w:szCs w:val="20"/>
                <w:color w:val="auto"/>
              </w:rPr>
            </w:pPr>
            <w:r>
              <w:rPr>
                <w:rFonts w:ascii="Arial" w:cs="Arial" w:eastAsia="Arial" w:hAnsi="Arial"/>
                <w:sz w:val="18"/>
                <w:szCs w:val="18"/>
                <w:color w:val="auto"/>
              </w:rPr>
              <w:t>306-308 E Houston St (Stuart)</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TX</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1420"/>
          </w:cols>
          <w:pgMar w:left="240" w:top="273" w:right="239" w:bottom="1440" w:gutter="0" w:footer="0" w:header="0"/>
        </w:sectPr>
      </w:pPr>
    </w:p>
    <w:bookmarkStart w:id="516" w:name="page517"/>
    <w:bookmarkEnd w:id="5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4,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5"/>
                <w:szCs w:val="15"/>
                <w:color w:val="auto"/>
              </w:rPr>
            </w:pPr>
          </w:p>
        </w:tc>
        <w:tc>
          <w:tcPr>
            <w:tcW w:w="7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5"/>
                <w:szCs w:val="15"/>
                <w:color w:val="auto"/>
              </w:rPr>
            </w:pPr>
          </w:p>
        </w:tc>
        <w:tc>
          <w:tcPr>
            <w:tcW w:w="20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5"/>
                <w:szCs w:val="15"/>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State</w:t>
            </w:r>
          </w:p>
        </w:tc>
      </w:tr>
      <w:tr>
        <w:trPr>
          <w:trHeight w:val="195"/>
        </w:trPr>
        <w:tc>
          <w:tcPr>
            <w:tcW w:w="94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w w:val="94"/>
              </w:rPr>
              <w:t>500-1010</w:t>
            </w:r>
          </w:p>
        </w:tc>
        <w:tc>
          <w:tcPr>
            <w:tcW w:w="7880" w:type="dxa"/>
            <w:vAlign w:val="bottom"/>
            <w:gridSpan w:val="3"/>
          </w:tcPr>
          <w:p>
            <w:pPr>
              <w:spacing w:after="0" w:line="195" w:lineRule="exact"/>
              <w:rPr>
                <w:sz w:val="20"/>
                <w:szCs w:val="20"/>
                <w:color w:val="auto"/>
              </w:rPr>
            </w:pPr>
            <w:r>
              <w:rPr>
                <w:rFonts w:ascii="Arial" w:cs="Arial" w:eastAsia="Arial" w:hAnsi="Arial"/>
                <w:sz w:val="18"/>
                <w:szCs w:val="18"/>
                <w:color w:val="auto"/>
              </w:rPr>
              <w:t>Bala Cynwyd Shopping Center</w:t>
            </w:r>
          </w:p>
        </w:tc>
        <w:tc>
          <w:tcPr>
            <w:tcW w:w="100" w:type="dxa"/>
            <w:vAlign w:val="bottom"/>
          </w:tcPr>
          <w:p>
            <w:pPr>
              <w:spacing w:after="0"/>
              <w:rPr>
                <w:sz w:val="16"/>
                <w:szCs w:val="16"/>
                <w:color w:val="auto"/>
              </w:rPr>
            </w:pPr>
          </w:p>
        </w:tc>
        <w:tc>
          <w:tcPr>
            <w:tcW w:w="2060" w:type="dxa"/>
            <w:vAlign w:val="bottom"/>
          </w:tcPr>
          <w:p>
            <w:pPr>
              <w:spacing w:after="0" w:line="195" w:lineRule="exact"/>
              <w:rPr>
                <w:sz w:val="20"/>
                <w:szCs w:val="20"/>
                <w:color w:val="auto"/>
              </w:rPr>
            </w:pPr>
            <w:r>
              <w:rPr>
                <w:rFonts w:ascii="Arial" w:cs="Arial" w:eastAsia="Arial" w:hAnsi="Arial"/>
                <w:sz w:val="18"/>
                <w:szCs w:val="18"/>
                <w:color w:val="auto"/>
              </w:rPr>
              <w:t>Bala Cynwyd</w:t>
            </w:r>
          </w:p>
        </w:tc>
        <w:tc>
          <w:tcPr>
            <w:tcW w:w="100" w:type="dxa"/>
            <w:vAlign w:val="bottom"/>
          </w:tcPr>
          <w:p>
            <w:pPr>
              <w:spacing w:after="0"/>
              <w:rPr>
                <w:sz w:val="16"/>
                <w:szCs w:val="16"/>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auto"/>
              </w:rPr>
              <w:t>PA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500-1050</w:t>
            </w:r>
          </w:p>
        </w:tc>
        <w:tc>
          <w:tcPr>
            <w:tcW w:w="7880" w:type="dxa"/>
            <w:vAlign w:val="bottom"/>
            <w:gridSpan w:val="3"/>
          </w:tcPr>
          <w:p>
            <w:pPr>
              <w:spacing w:after="0"/>
              <w:rPr>
                <w:sz w:val="20"/>
                <w:szCs w:val="20"/>
                <w:color w:val="auto"/>
              </w:rPr>
            </w:pPr>
            <w:r>
              <w:rPr>
                <w:rFonts w:ascii="Arial" w:cs="Arial" w:eastAsia="Arial" w:hAnsi="Arial"/>
                <w:sz w:val="18"/>
                <w:szCs w:val="18"/>
                <w:color w:val="auto"/>
              </w:rPr>
              <w:t>Bristol Plaza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Bristol</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CT</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500-1090</w:t>
            </w:r>
          </w:p>
        </w:tc>
        <w:tc>
          <w:tcPr>
            <w:tcW w:w="7880" w:type="dxa"/>
            <w:vAlign w:val="bottom"/>
            <w:gridSpan w:val="3"/>
          </w:tcPr>
          <w:p>
            <w:pPr>
              <w:spacing w:after="0"/>
              <w:rPr>
                <w:sz w:val="20"/>
                <w:szCs w:val="20"/>
                <w:color w:val="auto"/>
              </w:rPr>
            </w:pPr>
            <w:r>
              <w:rPr>
                <w:rFonts w:ascii="Arial" w:cs="Arial" w:eastAsia="Arial" w:hAnsi="Arial"/>
                <w:sz w:val="18"/>
                <w:szCs w:val="18"/>
                <w:color w:val="auto"/>
              </w:rPr>
              <w:t>Crossroads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Highland Park</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500-1097</w:t>
            </w:r>
          </w:p>
        </w:tc>
        <w:tc>
          <w:tcPr>
            <w:tcW w:w="7880" w:type="dxa"/>
            <w:vAlign w:val="bottom"/>
            <w:gridSpan w:val="3"/>
          </w:tcPr>
          <w:p>
            <w:pPr>
              <w:spacing w:after="0"/>
              <w:rPr>
                <w:sz w:val="20"/>
                <w:szCs w:val="20"/>
                <w:color w:val="auto"/>
              </w:rPr>
            </w:pPr>
            <w:r>
              <w:rPr>
                <w:rFonts w:ascii="Arial" w:cs="Arial" w:eastAsia="Arial" w:hAnsi="Arial"/>
                <w:sz w:val="18"/>
                <w:szCs w:val="18"/>
                <w:color w:val="auto"/>
              </w:rPr>
              <w:t>Crow Canyon Crest</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San Ramon</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500-1125</w:t>
            </w:r>
          </w:p>
        </w:tc>
        <w:tc>
          <w:tcPr>
            <w:tcW w:w="7880" w:type="dxa"/>
            <w:vAlign w:val="bottom"/>
            <w:gridSpan w:val="3"/>
          </w:tcPr>
          <w:p>
            <w:pPr>
              <w:spacing w:after="0"/>
              <w:rPr>
                <w:sz w:val="20"/>
                <w:szCs w:val="20"/>
                <w:color w:val="auto"/>
              </w:rPr>
            </w:pPr>
            <w:r>
              <w:rPr>
                <w:rFonts w:ascii="Arial" w:cs="Arial" w:eastAsia="Arial" w:hAnsi="Arial"/>
                <w:sz w:val="18"/>
                <w:szCs w:val="18"/>
                <w:color w:val="auto"/>
              </w:rPr>
              <w:t>Dedham Plaza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Dedham</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500-1160</w:t>
            </w:r>
          </w:p>
        </w:tc>
        <w:tc>
          <w:tcPr>
            <w:tcW w:w="7880" w:type="dxa"/>
            <w:vAlign w:val="bottom"/>
            <w:gridSpan w:val="3"/>
          </w:tcPr>
          <w:p>
            <w:pPr>
              <w:spacing w:after="0"/>
              <w:rPr>
                <w:sz w:val="20"/>
                <w:szCs w:val="20"/>
                <w:color w:val="auto"/>
              </w:rPr>
            </w:pPr>
            <w:r>
              <w:rPr>
                <w:rFonts w:ascii="Arial" w:cs="Arial" w:eastAsia="Arial" w:hAnsi="Arial"/>
                <w:sz w:val="18"/>
                <w:szCs w:val="18"/>
                <w:color w:val="auto"/>
              </w:rPr>
              <w:t>Eastgate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Chapel Hill</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NC</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500-1180</w:t>
            </w:r>
          </w:p>
        </w:tc>
        <w:tc>
          <w:tcPr>
            <w:tcW w:w="7880" w:type="dxa"/>
            <w:vAlign w:val="bottom"/>
            <w:gridSpan w:val="3"/>
          </w:tcPr>
          <w:p>
            <w:pPr>
              <w:spacing w:after="0"/>
              <w:rPr>
                <w:sz w:val="20"/>
                <w:szCs w:val="20"/>
                <w:color w:val="auto"/>
              </w:rPr>
            </w:pPr>
            <w:r>
              <w:rPr>
                <w:rFonts w:ascii="Arial" w:cs="Arial" w:eastAsia="Arial" w:hAnsi="Arial"/>
                <w:sz w:val="18"/>
                <w:szCs w:val="18"/>
                <w:color w:val="auto"/>
              </w:rPr>
              <w:t>Ellisburg Circle Shopping Ctr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Cherry Hill</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500-1200</w:t>
            </w:r>
          </w:p>
        </w:tc>
        <w:tc>
          <w:tcPr>
            <w:tcW w:w="7880" w:type="dxa"/>
            <w:vAlign w:val="bottom"/>
            <w:gridSpan w:val="3"/>
          </w:tcPr>
          <w:p>
            <w:pPr>
              <w:spacing w:after="0"/>
              <w:rPr>
                <w:sz w:val="20"/>
                <w:szCs w:val="20"/>
                <w:color w:val="auto"/>
              </w:rPr>
            </w:pPr>
            <w:r>
              <w:rPr>
                <w:rFonts w:ascii="Arial" w:cs="Arial" w:eastAsia="Arial" w:hAnsi="Arial"/>
                <w:sz w:val="18"/>
                <w:szCs w:val="18"/>
                <w:color w:val="auto"/>
              </w:rPr>
              <w:t>Falls Plaza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Falls Church</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500-1201</w:t>
            </w:r>
          </w:p>
        </w:tc>
        <w:tc>
          <w:tcPr>
            <w:tcW w:w="7880" w:type="dxa"/>
            <w:vAlign w:val="bottom"/>
            <w:gridSpan w:val="3"/>
          </w:tcPr>
          <w:p>
            <w:pPr>
              <w:spacing w:after="0"/>
              <w:rPr>
                <w:sz w:val="20"/>
                <w:szCs w:val="20"/>
                <w:color w:val="auto"/>
              </w:rPr>
            </w:pPr>
            <w:r>
              <w:rPr>
                <w:rFonts w:ascii="Arial" w:cs="Arial" w:eastAsia="Arial" w:hAnsi="Arial"/>
                <w:sz w:val="18"/>
                <w:szCs w:val="18"/>
                <w:color w:val="auto"/>
              </w:rPr>
              <w:t>Feasterville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Feasterville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500-1202</w:t>
            </w:r>
          </w:p>
        </w:tc>
        <w:tc>
          <w:tcPr>
            <w:tcW w:w="7880" w:type="dxa"/>
            <w:vAlign w:val="bottom"/>
            <w:gridSpan w:val="3"/>
          </w:tcPr>
          <w:p>
            <w:pPr>
              <w:spacing w:after="0"/>
              <w:rPr>
                <w:sz w:val="20"/>
                <w:szCs w:val="20"/>
                <w:color w:val="auto"/>
              </w:rPr>
            </w:pPr>
            <w:r>
              <w:rPr>
                <w:rFonts w:ascii="Arial" w:cs="Arial" w:eastAsia="Arial" w:hAnsi="Arial"/>
                <w:sz w:val="18"/>
                <w:szCs w:val="18"/>
                <w:color w:val="auto"/>
              </w:rPr>
              <w:t>Flourtown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Flourtown</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500-1217</w:t>
            </w:r>
          </w:p>
        </w:tc>
        <w:tc>
          <w:tcPr>
            <w:tcW w:w="7880" w:type="dxa"/>
            <w:vAlign w:val="bottom"/>
            <w:gridSpan w:val="3"/>
          </w:tcPr>
          <w:p>
            <w:pPr>
              <w:spacing w:after="0"/>
              <w:rPr>
                <w:sz w:val="20"/>
                <w:szCs w:val="20"/>
                <w:color w:val="auto"/>
              </w:rPr>
            </w:pPr>
            <w:r>
              <w:rPr>
                <w:rFonts w:ascii="Arial" w:cs="Arial" w:eastAsia="Arial" w:hAnsi="Arial"/>
                <w:sz w:val="18"/>
                <w:szCs w:val="18"/>
                <w:color w:val="auto"/>
              </w:rPr>
              <w:t>Finley Square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Downers Grove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500-1220</w:t>
            </w:r>
          </w:p>
        </w:tc>
        <w:tc>
          <w:tcPr>
            <w:tcW w:w="7880" w:type="dxa"/>
            <w:vAlign w:val="bottom"/>
            <w:gridSpan w:val="3"/>
          </w:tcPr>
          <w:p>
            <w:pPr>
              <w:spacing w:after="0"/>
              <w:rPr>
                <w:sz w:val="20"/>
                <w:szCs w:val="20"/>
                <w:color w:val="auto"/>
              </w:rPr>
            </w:pPr>
            <w:r>
              <w:rPr>
                <w:rFonts w:ascii="Arial" w:cs="Arial" w:eastAsia="Arial" w:hAnsi="Arial"/>
                <w:sz w:val="18"/>
                <w:szCs w:val="18"/>
                <w:color w:val="auto"/>
              </w:rPr>
              <w:t>Gratiot Plaza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Rosevile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Ml</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500-1235</w:t>
            </w:r>
          </w:p>
        </w:tc>
        <w:tc>
          <w:tcPr>
            <w:tcW w:w="7880" w:type="dxa"/>
            <w:vAlign w:val="bottom"/>
            <w:gridSpan w:val="3"/>
          </w:tcPr>
          <w:p>
            <w:pPr>
              <w:spacing w:after="0"/>
              <w:rPr>
                <w:sz w:val="20"/>
                <w:szCs w:val="20"/>
                <w:color w:val="auto"/>
              </w:rPr>
            </w:pPr>
            <w:r>
              <w:rPr>
                <w:rFonts w:ascii="Arial" w:cs="Arial" w:eastAsia="Arial" w:hAnsi="Arial"/>
                <w:sz w:val="18"/>
                <w:szCs w:val="18"/>
                <w:color w:val="auto"/>
              </w:rPr>
              <w:t>Gaithersburg Square S C</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500-1236</w:t>
            </w:r>
          </w:p>
        </w:tc>
        <w:tc>
          <w:tcPr>
            <w:tcW w:w="7880" w:type="dxa"/>
            <w:vAlign w:val="bottom"/>
            <w:gridSpan w:val="3"/>
          </w:tcPr>
          <w:p>
            <w:pPr>
              <w:spacing w:after="0"/>
              <w:rPr>
                <w:sz w:val="20"/>
                <w:szCs w:val="20"/>
                <w:color w:val="auto"/>
              </w:rPr>
            </w:pPr>
            <w:r>
              <w:rPr>
                <w:rFonts w:ascii="Arial" w:cs="Arial" w:eastAsia="Arial" w:hAnsi="Arial"/>
                <w:sz w:val="18"/>
                <w:szCs w:val="18"/>
                <w:color w:val="auto"/>
              </w:rPr>
              <w:t>Gaithersburg Square Office Bld</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500-1245</w:t>
            </w:r>
          </w:p>
        </w:tc>
        <w:tc>
          <w:tcPr>
            <w:tcW w:w="7880" w:type="dxa"/>
            <w:vAlign w:val="bottom"/>
            <w:gridSpan w:val="3"/>
          </w:tcPr>
          <w:p>
            <w:pPr>
              <w:spacing w:after="0"/>
              <w:rPr>
                <w:sz w:val="20"/>
                <w:szCs w:val="20"/>
                <w:color w:val="auto"/>
              </w:rPr>
            </w:pPr>
            <w:r>
              <w:rPr>
                <w:rFonts w:ascii="Arial" w:cs="Arial" w:eastAsia="Arial" w:hAnsi="Arial"/>
                <w:sz w:val="18"/>
                <w:szCs w:val="18"/>
                <w:color w:val="auto"/>
              </w:rPr>
              <w:t>Garden Market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Western Springs</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500-1315</w:t>
            </w:r>
          </w:p>
        </w:tc>
        <w:tc>
          <w:tcPr>
            <w:tcW w:w="7880" w:type="dxa"/>
            <w:vAlign w:val="bottom"/>
            <w:gridSpan w:val="3"/>
          </w:tcPr>
          <w:p>
            <w:pPr>
              <w:spacing w:after="0"/>
              <w:rPr>
                <w:sz w:val="20"/>
                <w:szCs w:val="20"/>
                <w:color w:val="auto"/>
              </w:rPr>
            </w:pPr>
            <w:r>
              <w:rPr>
                <w:rFonts w:ascii="Arial" w:cs="Arial" w:eastAsia="Arial" w:hAnsi="Arial"/>
                <w:sz w:val="18"/>
                <w:szCs w:val="18"/>
                <w:color w:val="auto"/>
              </w:rPr>
              <w:t>Idylwood Plaza [1]</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Falls Church</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500-1326</w:t>
            </w:r>
          </w:p>
        </w:tc>
        <w:tc>
          <w:tcPr>
            <w:tcW w:w="7880" w:type="dxa"/>
            <w:vAlign w:val="bottom"/>
            <w:gridSpan w:val="3"/>
          </w:tcPr>
          <w:p>
            <w:pPr>
              <w:spacing w:after="0"/>
              <w:rPr>
                <w:sz w:val="20"/>
                <w:szCs w:val="20"/>
                <w:color w:val="auto"/>
              </w:rPr>
            </w:pPr>
            <w:r>
              <w:rPr>
                <w:rFonts w:ascii="Arial" w:cs="Arial" w:eastAsia="Arial" w:hAnsi="Arial"/>
                <w:sz w:val="18"/>
                <w:szCs w:val="18"/>
                <w:color w:val="auto"/>
              </w:rPr>
              <w:t>Huntington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Huntington</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500-1440</w:t>
            </w:r>
          </w:p>
        </w:tc>
        <w:tc>
          <w:tcPr>
            <w:tcW w:w="7880" w:type="dxa"/>
            <w:vAlign w:val="bottom"/>
            <w:gridSpan w:val="3"/>
          </w:tcPr>
          <w:p>
            <w:pPr>
              <w:spacing w:after="0"/>
              <w:rPr>
                <w:sz w:val="20"/>
                <w:szCs w:val="20"/>
                <w:color w:val="auto"/>
              </w:rPr>
            </w:pPr>
            <w:r>
              <w:rPr>
                <w:rFonts w:ascii="Arial" w:cs="Arial" w:eastAsia="Arial" w:hAnsi="Arial"/>
                <w:sz w:val="18"/>
                <w:szCs w:val="18"/>
                <w:color w:val="auto"/>
              </w:rPr>
              <w:t>Lancaster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Lancaster</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500-1441</w:t>
            </w:r>
          </w:p>
        </w:tc>
        <w:tc>
          <w:tcPr>
            <w:tcW w:w="7880" w:type="dxa"/>
            <w:vAlign w:val="bottom"/>
            <w:gridSpan w:val="3"/>
          </w:tcPr>
          <w:p>
            <w:pPr>
              <w:spacing w:after="0"/>
              <w:rPr>
                <w:sz w:val="20"/>
                <w:szCs w:val="20"/>
                <w:color w:val="auto"/>
              </w:rPr>
            </w:pPr>
            <w:r>
              <w:rPr>
                <w:rFonts w:ascii="Arial" w:cs="Arial" w:eastAsia="Arial" w:hAnsi="Arial"/>
                <w:sz w:val="18"/>
                <w:szCs w:val="18"/>
                <w:color w:val="auto"/>
              </w:rPr>
              <w:t>Langhorne Square S C</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Levitttown</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500-1443</w:t>
            </w:r>
          </w:p>
        </w:tc>
        <w:tc>
          <w:tcPr>
            <w:tcW w:w="7880" w:type="dxa"/>
            <w:vAlign w:val="bottom"/>
            <w:gridSpan w:val="3"/>
          </w:tcPr>
          <w:p>
            <w:pPr>
              <w:spacing w:after="0"/>
              <w:rPr>
                <w:sz w:val="20"/>
                <w:szCs w:val="20"/>
                <w:color w:val="auto"/>
              </w:rPr>
            </w:pPr>
            <w:r>
              <w:rPr>
                <w:rFonts w:ascii="Arial" w:cs="Arial" w:eastAsia="Arial" w:hAnsi="Arial"/>
                <w:sz w:val="18"/>
                <w:szCs w:val="18"/>
                <w:color w:val="auto"/>
              </w:rPr>
              <w:t>Laurel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Laurel</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500-1475</w:t>
            </w:r>
          </w:p>
        </w:tc>
        <w:tc>
          <w:tcPr>
            <w:tcW w:w="7880" w:type="dxa"/>
            <w:vAlign w:val="bottom"/>
            <w:gridSpan w:val="3"/>
          </w:tcPr>
          <w:p>
            <w:pPr>
              <w:spacing w:after="0"/>
              <w:rPr>
                <w:sz w:val="20"/>
                <w:szCs w:val="20"/>
                <w:color w:val="auto"/>
              </w:rPr>
            </w:pPr>
            <w:r>
              <w:rPr>
                <w:rFonts w:ascii="Arial" w:cs="Arial" w:eastAsia="Arial" w:hAnsi="Arial"/>
                <w:sz w:val="18"/>
                <w:szCs w:val="18"/>
                <w:color w:val="auto"/>
              </w:rPr>
              <w:t>Mercer Mall</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Lawrenceville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500-1476</w:t>
            </w:r>
          </w:p>
        </w:tc>
        <w:tc>
          <w:tcPr>
            <w:tcW w:w="7880" w:type="dxa"/>
            <w:vAlign w:val="bottom"/>
            <w:gridSpan w:val="3"/>
          </w:tcPr>
          <w:p>
            <w:pPr>
              <w:spacing w:after="0"/>
              <w:rPr>
                <w:sz w:val="20"/>
                <w:szCs w:val="20"/>
                <w:color w:val="auto"/>
              </w:rPr>
            </w:pPr>
            <w:r>
              <w:rPr>
                <w:rFonts w:ascii="Arial" w:cs="Arial" w:eastAsia="Arial" w:hAnsi="Arial"/>
                <w:sz w:val="18"/>
                <w:szCs w:val="18"/>
                <w:color w:val="auto"/>
              </w:rPr>
              <w:t>Mercer Mall-Loupinski/Moore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Lawrenceville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150-1477</w:t>
            </w:r>
          </w:p>
        </w:tc>
        <w:tc>
          <w:tcPr>
            <w:tcW w:w="7880" w:type="dxa"/>
            <w:vAlign w:val="bottom"/>
            <w:gridSpan w:val="3"/>
          </w:tcPr>
          <w:p>
            <w:pPr>
              <w:spacing w:after="0"/>
              <w:rPr>
                <w:sz w:val="20"/>
                <w:szCs w:val="20"/>
                <w:color w:val="auto"/>
              </w:rPr>
            </w:pPr>
            <w:r>
              <w:rPr>
                <w:rFonts w:ascii="Arial" w:cs="Arial" w:eastAsia="Arial" w:hAnsi="Arial"/>
                <w:sz w:val="18"/>
                <w:szCs w:val="18"/>
                <w:color w:val="auto"/>
              </w:rPr>
              <w:t>Mercer Mall - H&amp;H BBQ</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Lawrenceville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151-1478</w:t>
            </w:r>
          </w:p>
        </w:tc>
        <w:tc>
          <w:tcPr>
            <w:tcW w:w="7880" w:type="dxa"/>
            <w:vAlign w:val="bottom"/>
            <w:gridSpan w:val="3"/>
          </w:tcPr>
          <w:p>
            <w:pPr>
              <w:spacing w:after="0"/>
              <w:rPr>
                <w:sz w:val="20"/>
                <w:szCs w:val="20"/>
                <w:color w:val="auto"/>
              </w:rPr>
            </w:pPr>
            <w:r>
              <w:rPr>
                <w:rFonts w:ascii="Arial" w:cs="Arial" w:eastAsia="Arial" w:hAnsi="Arial"/>
                <w:sz w:val="18"/>
                <w:szCs w:val="18"/>
                <w:color w:val="auto"/>
              </w:rPr>
              <w:t>FR Mercer Mall, LLC (H&amp;H BBQ)</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Lawrenceville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500-1480</w:t>
            </w:r>
          </w:p>
        </w:tc>
        <w:tc>
          <w:tcPr>
            <w:tcW w:w="7880" w:type="dxa"/>
            <w:vAlign w:val="bottom"/>
            <w:gridSpan w:val="3"/>
          </w:tcPr>
          <w:p>
            <w:pPr>
              <w:spacing w:after="0"/>
              <w:rPr>
                <w:sz w:val="20"/>
                <w:szCs w:val="20"/>
                <w:color w:val="auto"/>
              </w:rPr>
            </w:pPr>
            <w:r>
              <w:rPr>
                <w:rFonts w:ascii="Arial" w:cs="Arial" w:eastAsia="Arial" w:hAnsi="Arial"/>
                <w:sz w:val="18"/>
                <w:szCs w:val="18"/>
                <w:color w:val="auto"/>
              </w:rPr>
              <w:t>Mid-Pike Plaza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500-1500</w:t>
            </w:r>
          </w:p>
        </w:tc>
        <w:tc>
          <w:tcPr>
            <w:tcW w:w="7880" w:type="dxa"/>
            <w:vAlign w:val="bottom"/>
            <w:gridSpan w:val="3"/>
          </w:tcPr>
          <w:p>
            <w:pPr>
              <w:spacing w:after="0"/>
              <w:rPr>
                <w:sz w:val="20"/>
                <w:szCs w:val="20"/>
                <w:color w:val="auto"/>
              </w:rPr>
            </w:pPr>
            <w:r>
              <w:rPr>
                <w:rFonts w:ascii="Arial" w:cs="Arial" w:eastAsia="Arial" w:hAnsi="Arial"/>
                <w:sz w:val="18"/>
                <w:szCs w:val="18"/>
                <w:color w:val="auto"/>
              </w:rPr>
              <w:t>Town Center of New Britain</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New Britain</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500-1520</w:t>
            </w:r>
          </w:p>
        </w:tc>
        <w:tc>
          <w:tcPr>
            <w:tcW w:w="7880" w:type="dxa"/>
            <w:vAlign w:val="bottom"/>
            <w:gridSpan w:val="3"/>
          </w:tcPr>
          <w:p>
            <w:pPr>
              <w:spacing w:after="0"/>
              <w:rPr>
                <w:sz w:val="20"/>
                <w:szCs w:val="20"/>
                <w:color w:val="auto"/>
              </w:rPr>
            </w:pPr>
            <w:r>
              <w:rPr>
                <w:rFonts w:ascii="Arial" w:cs="Arial" w:eastAsia="Arial" w:hAnsi="Arial"/>
                <w:sz w:val="18"/>
                <w:szCs w:val="18"/>
                <w:color w:val="auto"/>
              </w:rPr>
              <w:t>Northeast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Philadelphia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500-1525</w:t>
            </w:r>
          </w:p>
        </w:tc>
        <w:tc>
          <w:tcPr>
            <w:tcW w:w="7880" w:type="dxa"/>
            <w:vAlign w:val="bottom"/>
            <w:gridSpan w:val="3"/>
          </w:tcPr>
          <w:p>
            <w:pPr>
              <w:spacing w:after="0"/>
              <w:rPr>
                <w:sz w:val="20"/>
                <w:szCs w:val="20"/>
                <w:color w:val="auto"/>
              </w:rPr>
            </w:pPr>
            <w:r>
              <w:rPr>
                <w:rFonts w:ascii="Arial" w:cs="Arial" w:eastAsia="Arial" w:hAnsi="Arial"/>
                <w:sz w:val="18"/>
                <w:szCs w:val="18"/>
                <w:color w:val="auto"/>
              </w:rPr>
              <w:t>North Lake Commons</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Lake Zurich</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500-1560</w:t>
            </w:r>
          </w:p>
        </w:tc>
        <w:tc>
          <w:tcPr>
            <w:tcW w:w="7880" w:type="dxa"/>
            <w:vAlign w:val="bottom"/>
            <w:gridSpan w:val="3"/>
          </w:tcPr>
          <w:p>
            <w:pPr>
              <w:spacing w:after="0"/>
              <w:rPr>
                <w:sz w:val="20"/>
                <w:szCs w:val="20"/>
                <w:color w:val="auto"/>
              </w:rPr>
            </w:pPr>
            <w:r>
              <w:rPr>
                <w:rFonts w:ascii="Arial" w:cs="Arial" w:eastAsia="Arial" w:hAnsi="Arial"/>
                <w:sz w:val="18"/>
                <w:szCs w:val="18"/>
                <w:color w:val="auto"/>
              </w:rPr>
              <w:t>Old Keene Mill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Springfield</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500-1580</w:t>
            </w:r>
          </w:p>
        </w:tc>
        <w:tc>
          <w:tcPr>
            <w:tcW w:w="7880" w:type="dxa"/>
            <w:vAlign w:val="bottom"/>
            <w:gridSpan w:val="3"/>
          </w:tcPr>
          <w:p>
            <w:pPr>
              <w:spacing w:after="0"/>
              <w:rPr>
                <w:sz w:val="20"/>
                <w:szCs w:val="20"/>
                <w:color w:val="auto"/>
              </w:rPr>
            </w:pPr>
            <w:r>
              <w:rPr>
                <w:rFonts w:ascii="Arial" w:cs="Arial" w:eastAsia="Arial" w:hAnsi="Arial"/>
                <w:sz w:val="18"/>
                <w:szCs w:val="18"/>
                <w:color w:val="auto"/>
              </w:rPr>
              <w:t>Pan Am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500-1610</w:t>
            </w:r>
          </w:p>
        </w:tc>
        <w:tc>
          <w:tcPr>
            <w:tcW w:w="7880" w:type="dxa"/>
            <w:vAlign w:val="bottom"/>
            <w:gridSpan w:val="3"/>
          </w:tcPr>
          <w:p>
            <w:pPr>
              <w:spacing w:after="0"/>
              <w:rPr>
                <w:sz w:val="20"/>
                <w:szCs w:val="20"/>
                <w:color w:val="auto"/>
              </w:rPr>
            </w:pPr>
            <w:r>
              <w:rPr>
                <w:rFonts w:ascii="Arial" w:cs="Arial" w:eastAsia="Arial" w:hAnsi="Arial"/>
                <w:sz w:val="18"/>
                <w:szCs w:val="18"/>
                <w:color w:val="auto"/>
              </w:rPr>
              <w:t>Queen Anne Plaza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Norwell</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500-1625</w:t>
            </w:r>
          </w:p>
        </w:tc>
        <w:tc>
          <w:tcPr>
            <w:tcW w:w="7880" w:type="dxa"/>
            <w:vAlign w:val="bottom"/>
            <w:gridSpan w:val="3"/>
          </w:tcPr>
          <w:p>
            <w:pPr>
              <w:spacing w:after="0"/>
              <w:rPr>
                <w:sz w:val="20"/>
                <w:szCs w:val="20"/>
                <w:color w:val="auto"/>
              </w:rPr>
            </w:pPr>
            <w:r>
              <w:rPr>
                <w:rFonts w:ascii="Arial" w:cs="Arial" w:eastAsia="Arial" w:hAnsi="Arial"/>
                <w:sz w:val="18"/>
                <w:szCs w:val="18"/>
                <w:color w:val="auto"/>
              </w:rPr>
              <w:t>Quince Orchard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500-1626</w:t>
            </w:r>
          </w:p>
        </w:tc>
        <w:tc>
          <w:tcPr>
            <w:tcW w:w="7880" w:type="dxa"/>
            <w:vAlign w:val="bottom"/>
            <w:gridSpan w:val="3"/>
          </w:tcPr>
          <w:p>
            <w:pPr>
              <w:spacing w:after="0"/>
              <w:rPr>
                <w:sz w:val="20"/>
                <w:szCs w:val="20"/>
                <w:color w:val="auto"/>
              </w:rPr>
            </w:pPr>
            <w:r>
              <w:rPr>
                <w:rFonts w:ascii="Arial" w:cs="Arial" w:eastAsia="Arial" w:hAnsi="Arial"/>
                <w:sz w:val="18"/>
                <w:szCs w:val="18"/>
                <w:color w:val="auto"/>
              </w:rPr>
              <w:t>Quince Orchard Office Building</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500-1627</w:t>
            </w:r>
          </w:p>
        </w:tc>
        <w:tc>
          <w:tcPr>
            <w:tcW w:w="7880" w:type="dxa"/>
            <w:vAlign w:val="bottom"/>
            <w:gridSpan w:val="3"/>
          </w:tcPr>
          <w:p>
            <w:pPr>
              <w:spacing w:after="0"/>
              <w:rPr>
                <w:sz w:val="20"/>
                <w:szCs w:val="20"/>
                <w:color w:val="auto"/>
              </w:rPr>
            </w:pPr>
            <w:r>
              <w:rPr>
                <w:rFonts w:ascii="Arial" w:cs="Arial" w:eastAsia="Arial" w:hAnsi="Arial"/>
                <w:sz w:val="18"/>
                <w:szCs w:val="18"/>
                <w:color w:val="auto"/>
              </w:rPr>
              <w:t>7770 Richmond Highway</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Alexandria</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500-1700</w:t>
            </w:r>
          </w:p>
        </w:tc>
        <w:tc>
          <w:tcPr>
            <w:tcW w:w="7880" w:type="dxa"/>
            <w:vAlign w:val="bottom"/>
            <w:gridSpan w:val="3"/>
          </w:tcPr>
          <w:p>
            <w:pPr>
              <w:spacing w:after="0"/>
              <w:rPr>
                <w:sz w:val="20"/>
                <w:szCs w:val="20"/>
                <w:color w:val="auto"/>
              </w:rPr>
            </w:pPr>
            <w:r>
              <w:rPr>
                <w:rFonts w:ascii="Arial" w:cs="Arial" w:eastAsia="Arial" w:hAnsi="Arial"/>
                <w:sz w:val="18"/>
                <w:szCs w:val="18"/>
                <w:color w:val="auto"/>
              </w:rPr>
              <w:t>Saugus Plaza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Saugus</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500-1750</w:t>
            </w:r>
          </w:p>
        </w:tc>
        <w:tc>
          <w:tcPr>
            <w:tcW w:w="7880" w:type="dxa"/>
            <w:vAlign w:val="bottom"/>
            <w:gridSpan w:val="3"/>
          </w:tcPr>
          <w:p>
            <w:pPr>
              <w:spacing w:after="0"/>
              <w:rPr>
                <w:sz w:val="20"/>
                <w:szCs w:val="20"/>
                <w:color w:val="auto"/>
              </w:rPr>
            </w:pPr>
            <w:r>
              <w:rPr>
                <w:rFonts w:ascii="Arial" w:cs="Arial" w:eastAsia="Arial" w:hAnsi="Arial"/>
                <w:sz w:val="18"/>
                <w:szCs w:val="18"/>
                <w:color w:val="auto"/>
              </w:rPr>
              <w:t>Tower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Springfield</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500-1761</w:t>
            </w:r>
          </w:p>
        </w:tc>
        <w:tc>
          <w:tcPr>
            <w:tcW w:w="7880" w:type="dxa"/>
            <w:vAlign w:val="bottom"/>
            <w:gridSpan w:val="3"/>
          </w:tcPr>
          <w:p>
            <w:pPr>
              <w:spacing w:after="0"/>
              <w:rPr>
                <w:sz w:val="20"/>
                <w:szCs w:val="20"/>
                <w:color w:val="auto"/>
              </w:rPr>
            </w:pPr>
            <w:r>
              <w:rPr>
                <w:rFonts w:ascii="Arial" w:cs="Arial" w:eastAsia="Arial" w:hAnsi="Arial"/>
                <w:sz w:val="18"/>
                <w:szCs w:val="18"/>
                <w:color w:val="auto"/>
              </w:rPr>
              <w:t>Troy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Parsippany-Troy</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500-1880</w:t>
            </w:r>
          </w:p>
        </w:tc>
        <w:tc>
          <w:tcPr>
            <w:tcW w:w="7880" w:type="dxa"/>
            <w:vAlign w:val="bottom"/>
            <w:gridSpan w:val="3"/>
          </w:tcPr>
          <w:p>
            <w:pPr>
              <w:spacing w:after="0"/>
              <w:rPr>
                <w:sz w:val="20"/>
                <w:szCs w:val="20"/>
                <w:color w:val="auto"/>
              </w:rPr>
            </w:pPr>
            <w:r>
              <w:rPr>
                <w:rFonts w:ascii="Arial" w:cs="Arial" w:eastAsia="Arial" w:hAnsi="Arial"/>
                <w:sz w:val="18"/>
                <w:szCs w:val="18"/>
                <w:color w:val="auto"/>
              </w:rPr>
              <w:t>Falls Plaza - East</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Falls Church</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500-1883</w:t>
            </w:r>
          </w:p>
        </w:tc>
        <w:tc>
          <w:tcPr>
            <w:tcW w:w="7880" w:type="dxa"/>
            <w:vAlign w:val="bottom"/>
            <w:gridSpan w:val="3"/>
          </w:tcPr>
          <w:p>
            <w:pPr>
              <w:spacing w:after="0"/>
              <w:rPr>
                <w:sz w:val="20"/>
                <w:szCs w:val="20"/>
                <w:color w:val="auto"/>
              </w:rPr>
            </w:pPr>
            <w:r>
              <w:rPr>
                <w:rFonts w:ascii="Arial" w:cs="Arial" w:eastAsia="Arial" w:hAnsi="Arial"/>
                <w:sz w:val="18"/>
                <w:szCs w:val="18"/>
                <w:color w:val="auto"/>
              </w:rPr>
              <w:t>The Shops at Willow Lawn</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Richmond</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500-1889</w:t>
            </w:r>
          </w:p>
        </w:tc>
        <w:tc>
          <w:tcPr>
            <w:tcW w:w="7880" w:type="dxa"/>
            <w:vAlign w:val="bottom"/>
            <w:gridSpan w:val="3"/>
          </w:tcPr>
          <w:p>
            <w:pPr>
              <w:spacing w:after="0"/>
              <w:rPr>
                <w:sz w:val="20"/>
                <w:szCs w:val="20"/>
                <w:color w:val="auto"/>
              </w:rPr>
            </w:pPr>
            <w:r>
              <w:rPr>
                <w:rFonts w:ascii="Arial" w:cs="Arial" w:eastAsia="Arial" w:hAnsi="Arial"/>
                <w:sz w:val="18"/>
                <w:szCs w:val="18"/>
                <w:color w:val="auto"/>
              </w:rPr>
              <w:t>Willow Grove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Willow Grove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400-1910</w:t>
            </w:r>
          </w:p>
        </w:tc>
        <w:tc>
          <w:tcPr>
            <w:tcW w:w="7880" w:type="dxa"/>
            <w:vAlign w:val="bottom"/>
            <w:gridSpan w:val="3"/>
          </w:tcPr>
          <w:p>
            <w:pPr>
              <w:spacing w:after="0"/>
              <w:rPr>
                <w:sz w:val="20"/>
                <w:szCs w:val="20"/>
                <w:color w:val="auto"/>
              </w:rPr>
            </w:pPr>
            <w:r>
              <w:rPr>
                <w:rFonts w:ascii="Arial" w:cs="Arial" w:eastAsia="Arial" w:hAnsi="Arial"/>
                <w:sz w:val="18"/>
                <w:szCs w:val="18"/>
                <w:color w:val="auto"/>
              </w:rPr>
              <w:t>Rockville Town Square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22"/>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500-1911</w:t>
            </w:r>
          </w:p>
        </w:tc>
        <w:tc>
          <w:tcPr>
            <w:tcW w:w="7880" w:type="dxa"/>
            <w:vAlign w:val="bottom"/>
            <w:gridSpan w:val="3"/>
          </w:tcPr>
          <w:p>
            <w:pPr>
              <w:spacing w:after="0"/>
              <w:rPr>
                <w:sz w:val="20"/>
                <w:szCs w:val="20"/>
                <w:color w:val="auto"/>
              </w:rPr>
            </w:pPr>
            <w:r>
              <w:rPr>
                <w:rFonts w:ascii="Arial" w:cs="Arial" w:eastAsia="Arial" w:hAnsi="Arial"/>
                <w:sz w:val="18"/>
                <w:szCs w:val="18"/>
                <w:color w:val="auto"/>
              </w:rPr>
              <w:t>Rockville Town Square 2</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86"/>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Controlled Properties</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8"/>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110-1605</w:t>
            </w: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Pike 7</w:t>
            </w:r>
          </w:p>
        </w:tc>
        <w:tc>
          <w:tcPr>
            <w:tcW w:w="6260" w:type="dxa"/>
            <w:vAlign w:val="bottom"/>
            <w:gridSpan w:val="2"/>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Vienna</w:t>
            </w: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490-1085</w:t>
            </w:r>
          </w:p>
        </w:tc>
        <w:tc>
          <w:tcPr>
            <w:tcW w:w="7880" w:type="dxa"/>
            <w:vAlign w:val="bottom"/>
            <w:gridSpan w:val="3"/>
          </w:tcPr>
          <w:p>
            <w:pPr>
              <w:spacing w:after="0"/>
              <w:rPr>
                <w:sz w:val="20"/>
                <w:szCs w:val="20"/>
                <w:color w:val="auto"/>
              </w:rPr>
            </w:pPr>
            <w:r>
              <w:rPr>
                <w:rFonts w:ascii="Arial" w:cs="Arial" w:eastAsia="Arial" w:hAnsi="Arial"/>
                <w:sz w:val="18"/>
                <w:szCs w:val="18"/>
                <w:color w:val="auto"/>
              </w:rPr>
              <w:t>Courthouse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490-1400</w:t>
            </w:r>
          </w:p>
        </w:tc>
        <w:tc>
          <w:tcPr>
            <w:tcW w:w="7880" w:type="dxa"/>
            <w:vAlign w:val="bottom"/>
            <w:gridSpan w:val="3"/>
          </w:tcPr>
          <w:p>
            <w:pPr>
              <w:spacing w:after="0"/>
              <w:rPr>
                <w:sz w:val="20"/>
                <w:szCs w:val="20"/>
                <w:color w:val="auto"/>
              </w:rPr>
            </w:pPr>
            <w:r>
              <w:rPr>
                <w:rFonts w:ascii="Arial" w:cs="Arial" w:eastAsia="Arial" w:hAnsi="Arial"/>
                <w:sz w:val="18"/>
                <w:szCs w:val="18"/>
                <w:color w:val="auto"/>
              </w:rPr>
              <w:t>Kings Court</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Los Gatos</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22"/>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490-1720</w:t>
            </w:r>
          </w:p>
        </w:tc>
        <w:tc>
          <w:tcPr>
            <w:tcW w:w="7880" w:type="dxa"/>
            <w:vAlign w:val="bottom"/>
            <w:gridSpan w:val="3"/>
          </w:tcPr>
          <w:p>
            <w:pPr>
              <w:spacing w:after="0"/>
              <w:rPr>
                <w:sz w:val="20"/>
                <w:szCs w:val="20"/>
                <w:color w:val="auto"/>
              </w:rPr>
            </w:pPr>
            <w:r>
              <w:rPr>
                <w:rFonts w:ascii="Arial" w:cs="Arial" w:eastAsia="Arial" w:hAnsi="Arial"/>
                <w:sz w:val="18"/>
                <w:szCs w:val="18"/>
                <w:color w:val="auto"/>
              </w:rPr>
              <w:t>South Valley Shopping Center</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Alexandria</w:t>
            </w: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86"/>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Non-Controlled Properties</w:t>
            </w:r>
          </w:p>
        </w:tc>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5"/>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030-1080</w:t>
            </w:r>
          </w:p>
        </w:tc>
        <w:tc>
          <w:tcPr>
            <w:tcW w:w="7880" w:type="dxa"/>
            <w:vAlign w:val="bottom"/>
            <w:gridSpan w:val="3"/>
          </w:tcPr>
          <w:p>
            <w:pPr>
              <w:spacing w:after="0"/>
              <w:rPr>
                <w:sz w:val="20"/>
                <w:szCs w:val="20"/>
                <w:color w:val="auto"/>
              </w:rPr>
            </w:pPr>
            <w:r>
              <w:rPr>
                <w:rFonts w:ascii="Arial" w:cs="Arial" w:eastAsia="Arial" w:hAnsi="Arial"/>
                <w:sz w:val="18"/>
                <w:szCs w:val="18"/>
                <w:color w:val="auto"/>
              </w:rPr>
              <w:t>Congressional Plaza</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420"/>
          </w:cols>
          <w:pgMar w:left="240" w:top="274" w:right="239" w:bottom="1440" w:gutter="0" w:footer="0" w:header="0"/>
        </w:sectPr>
      </w:pPr>
    </w:p>
    <w:bookmarkStart w:id="517" w:name="page518"/>
    <w:bookmarkEnd w:id="5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4,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20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3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State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4"/>
                <w:szCs w:val="14"/>
                <w:color w:val="auto"/>
              </w:rPr>
            </w:pPr>
          </w:p>
        </w:tc>
        <w:tc>
          <w:tcPr>
            <w:tcW w:w="7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030-1081</w:t>
            </w:r>
          </w:p>
        </w:tc>
        <w:tc>
          <w:tcPr>
            <w:tcW w:w="7880" w:type="dxa"/>
            <w:vAlign w:val="bottom"/>
          </w:tcPr>
          <w:p>
            <w:pPr>
              <w:spacing w:after="0"/>
              <w:rPr>
                <w:sz w:val="20"/>
                <w:szCs w:val="20"/>
                <w:color w:val="auto"/>
              </w:rPr>
            </w:pPr>
            <w:r>
              <w:rPr>
                <w:rFonts w:ascii="Arial" w:cs="Arial" w:eastAsia="Arial" w:hAnsi="Arial"/>
                <w:sz w:val="18"/>
                <w:szCs w:val="18"/>
                <w:color w:val="auto"/>
              </w:rPr>
              <w:t>Congressional Plaza Apartments</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090-1190</w:t>
            </w:r>
          </w:p>
        </w:tc>
        <w:tc>
          <w:tcPr>
            <w:tcW w:w="7880" w:type="dxa"/>
            <w:vAlign w:val="bottom"/>
          </w:tcPr>
          <w:p>
            <w:pPr>
              <w:spacing w:after="0"/>
              <w:rPr>
                <w:sz w:val="20"/>
                <w:szCs w:val="20"/>
                <w:color w:val="auto"/>
              </w:rPr>
            </w:pPr>
            <w:r>
              <w:rPr>
                <w:rFonts w:ascii="Arial" w:cs="Arial" w:eastAsia="Arial" w:hAnsi="Arial"/>
                <w:sz w:val="18"/>
                <w:szCs w:val="18"/>
                <w:color w:val="auto"/>
              </w:rPr>
              <w:t>Escondido Promenade</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Escondido</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425-4225</w:t>
            </w:r>
          </w:p>
        </w:tc>
        <w:tc>
          <w:tcPr>
            <w:tcW w:w="7880" w:type="dxa"/>
            <w:vAlign w:val="bottom"/>
          </w:tcPr>
          <w:p>
            <w:pPr>
              <w:spacing w:after="0"/>
              <w:rPr>
                <w:sz w:val="20"/>
                <w:szCs w:val="20"/>
                <w:color w:val="auto"/>
              </w:rPr>
            </w:pPr>
            <w:r>
              <w:rPr>
                <w:rFonts w:ascii="Arial" w:cs="Arial" w:eastAsia="Arial" w:hAnsi="Arial"/>
                <w:sz w:val="18"/>
                <w:szCs w:val="18"/>
                <w:color w:val="auto"/>
              </w:rPr>
              <w:t>Galaxy Bldg (Hollywood)</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Hollywood</w:t>
            </w: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22"/>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425-4226</w:t>
            </w:r>
          </w:p>
        </w:tc>
        <w:tc>
          <w:tcPr>
            <w:tcW w:w="7880" w:type="dxa"/>
            <w:vAlign w:val="bottom"/>
          </w:tcPr>
          <w:p>
            <w:pPr>
              <w:spacing w:after="0"/>
              <w:rPr>
                <w:sz w:val="20"/>
                <w:szCs w:val="20"/>
                <w:color w:val="auto"/>
              </w:rPr>
            </w:pPr>
            <w:r>
              <w:rPr>
                <w:rFonts w:ascii="Arial" w:cs="Arial" w:eastAsia="Arial" w:hAnsi="Arial"/>
                <w:sz w:val="18"/>
                <w:szCs w:val="18"/>
                <w:color w:val="auto"/>
              </w:rPr>
              <w:t>7001 Hollywood Blvd (Peterson)</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Hollywood</w:t>
            </w: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Property anticipated to be encumbered by a Permitted Lien by June 1,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Permitted Liens in Existence as of Date of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properties are currently subject to liens:</w:t>
      </w:r>
    </w:p>
    <w:p>
      <w:pPr>
        <w:spacing w:after="0" w:line="189"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Encumbered Properties</w:t>
            </w:r>
          </w:p>
        </w:tc>
        <w:tc>
          <w:tcPr>
            <w:tcW w:w="35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120-1450</w:t>
            </w: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Leesburg Plaza [1]</w:t>
            </w:r>
          </w:p>
        </w:tc>
        <w:tc>
          <w:tcPr>
            <w:tcW w:w="3900" w:type="dxa"/>
            <w:vAlign w:val="bottom"/>
          </w:tcPr>
          <w:p>
            <w:pPr>
              <w:spacing w:after="0"/>
              <w:rPr>
                <w:sz w:val="19"/>
                <w:szCs w:val="19"/>
                <w:color w:val="auto"/>
              </w:rPr>
            </w:pPr>
          </w:p>
        </w:tc>
        <w:tc>
          <w:tcPr>
            <w:tcW w:w="3560" w:type="dxa"/>
            <w:vAlign w:val="bottom"/>
          </w:tcPr>
          <w:p>
            <w:pPr>
              <w:ind w:left="1960"/>
              <w:spacing w:after="0"/>
              <w:rPr>
                <w:sz w:val="20"/>
                <w:szCs w:val="20"/>
                <w:color w:val="auto"/>
              </w:rPr>
            </w:pPr>
            <w:r>
              <w:rPr>
                <w:rFonts w:ascii="Arial" w:cs="Arial" w:eastAsia="Arial" w:hAnsi="Arial"/>
                <w:sz w:val="18"/>
                <w:szCs w:val="18"/>
                <w:color w:val="auto"/>
              </w:rPr>
              <w:t>Leesburg</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130-1215</w:t>
            </w:r>
          </w:p>
        </w:tc>
        <w:tc>
          <w:tcPr>
            <w:tcW w:w="5680" w:type="dxa"/>
            <w:vAlign w:val="bottom"/>
            <w:gridSpan w:val="2"/>
          </w:tcPr>
          <w:p>
            <w:pPr>
              <w:spacing w:after="0"/>
              <w:rPr>
                <w:sz w:val="20"/>
                <w:szCs w:val="20"/>
                <w:color w:val="auto"/>
              </w:rPr>
            </w:pPr>
            <w:r>
              <w:rPr>
                <w:rFonts w:ascii="Arial" w:cs="Arial" w:eastAsia="Arial" w:hAnsi="Arial"/>
                <w:sz w:val="18"/>
                <w:szCs w:val="18"/>
                <w:color w:val="auto"/>
              </w:rPr>
              <w:t>Federal Plaza</w:t>
            </w:r>
          </w:p>
        </w:tc>
        <w:tc>
          <w:tcPr>
            <w:tcW w:w="3560" w:type="dxa"/>
            <w:vAlign w:val="bottom"/>
          </w:tcPr>
          <w:p>
            <w:pPr>
              <w:ind w:left="1960"/>
              <w:spacing w:after="0"/>
              <w:rPr>
                <w:sz w:val="20"/>
                <w:szCs w:val="20"/>
                <w:color w:val="auto"/>
              </w:rPr>
            </w:pPr>
            <w:r>
              <w:rPr>
                <w:rFonts w:ascii="Arial" w:cs="Arial" w:eastAsia="Arial" w:hAnsi="Arial"/>
                <w:sz w:val="18"/>
                <w:szCs w:val="18"/>
                <w:color w:val="auto"/>
              </w:rPr>
              <w:t>Rockville</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196-1960</w:t>
            </w:r>
          </w:p>
        </w:tc>
        <w:tc>
          <w:tcPr>
            <w:tcW w:w="5680" w:type="dxa"/>
            <w:vAlign w:val="bottom"/>
            <w:gridSpan w:val="2"/>
          </w:tcPr>
          <w:p>
            <w:pPr>
              <w:spacing w:after="0"/>
              <w:rPr>
                <w:sz w:val="20"/>
                <w:szCs w:val="20"/>
                <w:color w:val="auto"/>
              </w:rPr>
            </w:pPr>
            <w:r>
              <w:rPr>
                <w:rFonts w:ascii="Arial" w:cs="Arial" w:eastAsia="Arial" w:hAnsi="Arial"/>
                <w:sz w:val="18"/>
                <w:szCs w:val="18"/>
                <w:color w:val="auto"/>
              </w:rPr>
              <w:t>Courtyard Shops</w:t>
            </w:r>
          </w:p>
        </w:tc>
        <w:tc>
          <w:tcPr>
            <w:tcW w:w="3560" w:type="dxa"/>
            <w:vAlign w:val="bottom"/>
          </w:tcPr>
          <w:p>
            <w:pPr>
              <w:ind w:left="1960"/>
              <w:spacing w:after="0"/>
              <w:rPr>
                <w:sz w:val="20"/>
                <w:szCs w:val="20"/>
                <w:color w:val="auto"/>
              </w:rPr>
            </w:pPr>
            <w:r>
              <w:rPr>
                <w:rFonts w:ascii="Arial" w:cs="Arial" w:eastAsia="Arial" w:hAnsi="Arial"/>
                <w:sz w:val="18"/>
                <w:szCs w:val="18"/>
                <w:color w:val="auto"/>
              </w:rPr>
              <w:t>Wellington</w:t>
            </w:r>
          </w:p>
        </w:tc>
        <w:tc>
          <w:tcPr>
            <w:tcW w:w="840" w:type="dxa"/>
            <w:vAlign w:val="bottom"/>
          </w:tcPr>
          <w:p>
            <w:pPr>
              <w:ind w:left="560"/>
              <w:spacing w:after="0"/>
              <w:rPr>
                <w:sz w:val="20"/>
                <w:szCs w:val="20"/>
                <w:color w:val="auto"/>
              </w:rPr>
            </w:pPr>
            <w:r>
              <w:rPr>
                <w:rFonts w:ascii="Arial" w:cs="Arial" w:eastAsia="Arial" w:hAnsi="Arial"/>
                <w:sz w:val="18"/>
                <w:szCs w:val="18"/>
                <w:color w:val="auto"/>
              </w:rPr>
              <w:t>FL</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227-2270</w:t>
            </w:r>
          </w:p>
        </w:tc>
        <w:tc>
          <w:tcPr>
            <w:tcW w:w="568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3560" w:type="dxa"/>
            <w:vAlign w:val="bottom"/>
          </w:tcPr>
          <w:p>
            <w:pPr>
              <w:ind w:left="1960"/>
              <w:spacing w:after="0"/>
              <w:rPr>
                <w:sz w:val="20"/>
                <w:szCs w:val="20"/>
                <w:color w:val="auto"/>
              </w:rPr>
            </w:pPr>
            <w:r>
              <w:rPr>
                <w:rFonts w:ascii="Arial" w:cs="Arial" w:eastAsia="Arial" w:hAnsi="Arial"/>
                <w:sz w:val="18"/>
                <w:szCs w:val="18"/>
                <w:color w:val="auto"/>
              </w:rPr>
              <w:t>White Marsh</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233-2202</w:t>
            </w:r>
          </w:p>
        </w:tc>
        <w:tc>
          <w:tcPr>
            <w:tcW w:w="5680" w:type="dxa"/>
            <w:vAlign w:val="bottom"/>
            <w:gridSpan w:val="2"/>
          </w:tcPr>
          <w:p>
            <w:pPr>
              <w:spacing w:after="0"/>
              <w:rPr>
                <w:sz w:val="20"/>
                <w:szCs w:val="20"/>
                <w:color w:val="auto"/>
              </w:rPr>
            </w:pPr>
            <w:r>
              <w:rPr>
                <w:rFonts w:ascii="Arial" w:cs="Arial" w:eastAsia="Arial" w:hAnsi="Arial"/>
                <w:sz w:val="18"/>
                <w:szCs w:val="18"/>
                <w:color w:val="auto"/>
              </w:rPr>
              <w:t>The AVENUE at White Marsh</w:t>
            </w:r>
          </w:p>
        </w:tc>
        <w:tc>
          <w:tcPr>
            <w:tcW w:w="3560" w:type="dxa"/>
            <w:vAlign w:val="bottom"/>
          </w:tcPr>
          <w:p>
            <w:pPr>
              <w:ind w:left="1960"/>
              <w:spacing w:after="0"/>
              <w:rPr>
                <w:sz w:val="20"/>
                <w:szCs w:val="20"/>
                <w:color w:val="auto"/>
              </w:rPr>
            </w:pPr>
            <w:r>
              <w:rPr>
                <w:rFonts w:ascii="Arial" w:cs="Arial" w:eastAsia="Arial" w:hAnsi="Arial"/>
                <w:sz w:val="18"/>
                <w:szCs w:val="18"/>
                <w:color w:val="auto"/>
              </w:rPr>
              <w:t>White Marsh</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490-1490</w:t>
            </w:r>
          </w:p>
        </w:tc>
        <w:tc>
          <w:tcPr>
            <w:tcW w:w="5680" w:type="dxa"/>
            <w:vAlign w:val="bottom"/>
            <w:gridSpan w:val="2"/>
          </w:tcPr>
          <w:p>
            <w:pPr>
              <w:spacing w:after="0"/>
              <w:rPr>
                <w:sz w:val="20"/>
                <w:szCs w:val="20"/>
                <w:color w:val="auto"/>
              </w:rPr>
            </w:pPr>
            <w:r>
              <w:rPr>
                <w:rFonts w:ascii="Arial" w:cs="Arial" w:eastAsia="Arial" w:hAnsi="Arial"/>
                <w:sz w:val="18"/>
                <w:szCs w:val="18"/>
                <w:color w:val="auto"/>
              </w:rPr>
              <w:t>Mount Vernon Shopping Center</w:t>
            </w:r>
          </w:p>
        </w:tc>
        <w:tc>
          <w:tcPr>
            <w:tcW w:w="3560" w:type="dxa"/>
            <w:vAlign w:val="bottom"/>
          </w:tcPr>
          <w:p>
            <w:pPr>
              <w:ind w:left="1960"/>
              <w:spacing w:after="0"/>
              <w:rPr>
                <w:sz w:val="20"/>
                <w:szCs w:val="20"/>
                <w:color w:val="auto"/>
              </w:rPr>
            </w:pPr>
            <w:r>
              <w:rPr>
                <w:rFonts w:ascii="Arial" w:cs="Arial" w:eastAsia="Arial" w:hAnsi="Arial"/>
                <w:sz w:val="18"/>
                <w:szCs w:val="18"/>
                <w:color w:val="auto"/>
              </w:rPr>
              <w:t>Alexandria</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500-1047</w:t>
            </w:r>
          </w:p>
        </w:tc>
        <w:tc>
          <w:tcPr>
            <w:tcW w:w="5680" w:type="dxa"/>
            <w:vAlign w:val="bottom"/>
            <w:gridSpan w:val="2"/>
          </w:tcPr>
          <w:p>
            <w:pPr>
              <w:spacing w:after="0"/>
              <w:rPr>
                <w:sz w:val="20"/>
                <w:szCs w:val="20"/>
                <w:color w:val="auto"/>
              </w:rPr>
            </w:pPr>
            <w:r>
              <w:rPr>
                <w:rFonts w:ascii="Arial" w:cs="Arial" w:eastAsia="Arial" w:hAnsi="Arial"/>
                <w:sz w:val="18"/>
                <w:szCs w:val="18"/>
                <w:color w:val="auto"/>
              </w:rPr>
              <w:t>Brick Plaza</w:t>
            </w:r>
          </w:p>
        </w:tc>
        <w:tc>
          <w:tcPr>
            <w:tcW w:w="3560" w:type="dxa"/>
            <w:vAlign w:val="bottom"/>
          </w:tcPr>
          <w:p>
            <w:pPr>
              <w:ind w:left="1960"/>
              <w:spacing w:after="0"/>
              <w:rPr>
                <w:sz w:val="20"/>
                <w:szCs w:val="20"/>
                <w:color w:val="auto"/>
              </w:rPr>
            </w:pPr>
            <w:r>
              <w:rPr>
                <w:rFonts w:ascii="Arial" w:cs="Arial" w:eastAsia="Arial" w:hAnsi="Arial"/>
                <w:sz w:val="18"/>
                <w:szCs w:val="18"/>
                <w:color w:val="auto"/>
              </w:rPr>
              <w:t>Brick</w:t>
            </w:r>
          </w:p>
        </w:tc>
        <w:tc>
          <w:tcPr>
            <w:tcW w:w="840" w:type="dxa"/>
            <w:vAlign w:val="bottom"/>
          </w:tcPr>
          <w:p>
            <w:pPr>
              <w:ind w:left="560"/>
              <w:spacing w:after="0"/>
              <w:rPr>
                <w:sz w:val="20"/>
                <w:szCs w:val="20"/>
                <w:color w:val="auto"/>
              </w:rPr>
            </w:pPr>
            <w:r>
              <w:rPr>
                <w:rFonts w:ascii="Arial" w:cs="Arial" w:eastAsia="Arial" w:hAnsi="Arial"/>
                <w:sz w:val="18"/>
                <w:szCs w:val="18"/>
                <w:color w:val="auto"/>
              </w:rPr>
              <w:t>NJ</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500-1313</w:t>
            </w:r>
          </w:p>
        </w:tc>
        <w:tc>
          <w:tcPr>
            <w:tcW w:w="5680" w:type="dxa"/>
            <w:vAlign w:val="bottom"/>
            <w:gridSpan w:val="2"/>
          </w:tcPr>
          <w:p>
            <w:pPr>
              <w:spacing w:after="0"/>
              <w:rPr>
                <w:sz w:val="20"/>
                <w:szCs w:val="20"/>
                <w:color w:val="auto"/>
              </w:rPr>
            </w:pPr>
            <w:r>
              <w:rPr>
                <w:rFonts w:ascii="Arial" w:cs="Arial" w:eastAsia="Arial" w:hAnsi="Arial"/>
                <w:sz w:val="18"/>
                <w:szCs w:val="18"/>
                <w:color w:val="auto"/>
              </w:rPr>
              <w:t>Hauppauge Shopping Center</w:t>
            </w:r>
          </w:p>
        </w:tc>
        <w:tc>
          <w:tcPr>
            <w:tcW w:w="3560" w:type="dxa"/>
            <w:vAlign w:val="bottom"/>
          </w:tcPr>
          <w:p>
            <w:pPr>
              <w:ind w:left="1960"/>
              <w:spacing w:after="0"/>
              <w:rPr>
                <w:sz w:val="20"/>
                <w:szCs w:val="20"/>
                <w:color w:val="auto"/>
              </w:rPr>
            </w:pPr>
            <w:r>
              <w:rPr>
                <w:rFonts w:ascii="Arial" w:cs="Arial" w:eastAsia="Arial" w:hAnsi="Arial"/>
                <w:sz w:val="18"/>
                <w:szCs w:val="18"/>
                <w:color w:val="auto"/>
              </w:rPr>
              <w:t>Hauppauge</w:t>
            </w:r>
          </w:p>
        </w:tc>
        <w:tc>
          <w:tcPr>
            <w:tcW w:w="840" w:type="dxa"/>
            <w:vAlign w:val="bottom"/>
          </w:tcPr>
          <w:p>
            <w:pPr>
              <w:ind w:left="560"/>
              <w:spacing w:after="0"/>
              <w:rPr>
                <w:sz w:val="20"/>
                <w:szCs w:val="20"/>
                <w:color w:val="auto"/>
              </w:rPr>
            </w:pPr>
            <w:r>
              <w:rPr>
                <w:rFonts w:ascii="Arial" w:cs="Arial" w:eastAsia="Arial" w:hAnsi="Arial"/>
                <w:sz w:val="18"/>
                <w:szCs w:val="18"/>
                <w:color w:val="auto"/>
              </w:rPr>
              <w:t>NY</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500-1442</w:t>
            </w:r>
          </w:p>
        </w:tc>
        <w:tc>
          <w:tcPr>
            <w:tcW w:w="5680" w:type="dxa"/>
            <w:vAlign w:val="bottom"/>
            <w:gridSpan w:val="2"/>
          </w:tcPr>
          <w:p>
            <w:pPr>
              <w:spacing w:after="0"/>
              <w:rPr>
                <w:sz w:val="20"/>
                <w:szCs w:val="20"/>
                <w:color w:val="auto"/>
              </w:rPr>
            </w:pPr>
            <w:r>
              <w:rPr>
                <w:rFonts w:ascii="Arial" w:cs="Arial" w:eastAsia="Arial" w:hAnsi="Arial"/>
                <w:sz w:val="18"/>
                <w:szCs w:val="18"/>
                <w:color w:val="auto"/>
              </w:rPr>
              <w:t>Lawrence Park Shopping Center</w:t>
            </w:r>
          </w:p>
        </w:tc>
        <w:tc>
          <w:tcPr>
            <w:tcW w:w="3560" w:type="dxa"/>
            <w:vAlign w:val="bottom"/>
          </w:tcPr>
          <w:p>
            <w:pPr>
              <w:ind w:left="1960"/>
              <w:spacing w:after="0"/>
              <w:rPr>
                <w:sz w:val="20"/>
                <w:szCs w:val="20"/>
                <w:color w:val="auto"/>
              </w:rPr>
            </w:pPr>
            <w:r>
              <w:rPr>
                <w:rFonts w:ascii="Arial" w:cs="Arial" w:eastAsia="Arial" w:hAnsi="Arial"/>
                <w:sz w:val="18"/>
                <w:szCs w:val="18"/>
                <w:color w:val="auto"/>
              </w:rPr>
              <w:t>Broomall</w:t>
            </w:r>
          </w:p>
        </w:tc>
        <w:tc>
          <w:tcPr>
            <w:tcW w:w="840" w:type="dxa"/>
            <w:vAlign w:val="bottom"/>
          </w:tcPr>
          <w:p>
            <w:pPr>
              <w:ind w:left="560"/>
              <w:spacing w:after="0"/>
              <w:rPr>
                <w:sz w:val="20"/>
                <w:szCs w:val="20"/>
                <w:color w:val="auto"/>
              </w:rPr>
            </w:pPr>
            <w:r>
              <w:rPr>
                <w:rFonts w:ascii="Arial" w:cs="Arial" w:eastAsia="Arial" w:hAnsi="Arial"/>
                <w:sz w:val="18"/>
                <w:szCs w:val="18"/>
                <w:color w:val="auto"/>
              </w:rPr>
              <w:t>PA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500-1470</w:t>
            </w:r>
          </w:p>
        </w:tc>
        <w:tc>
          <w:tcPr>
            <w:tcW w:w="5680" w:type="dxa"/>
            <w:vAlign w:val="bottom"/>
            <w:gridSpan w:val="2"/>
          </w:tcPr>
          <w:p>
            <w:pPr>
              <w:spacing w:after="0"/>
              <w:rPr>
                <w:sz w:val="20"/>
                <w:szCs w:val="20"/>
                <w:color w:val="auto"/>
              </w:rPr>
            </w:pPr>
            <w:r>
              <w:rPr>
                <w:rFonts w:ascii="Arial" w:cs="Arial" w:eastAsia="Arial" w:hAnsi="Arial"/>
                <w:sz w:val="18"/>
                <w:szCs w:val="18"/>
                <w:color w:val="auto"/>
              </w:rPr>
              <w:t>Melville Mall</w:t>
            </w:r>
          </w:p>
        </w:tc>
        <w:tc>
          <w:tcPr>
            <w:tcW w:w="3560" w:type="dxa"/>
            <w:vAlign w:val="bottom"/>
          </w:tcPr>
          <w:p>
            <w:pPr>
              <w:ind w:left="1960"/>
              <w:spacing w:after="0"/>
              <w:rPr>
                <w:sz w:val="20"/>
                <w:szCs w:val="20"/>
                <w:color w:val="auto"/>
              </w:rPr>
            </w:pPr>
            <w:r>
              <w:rPr>
                <w:rFonts w:ascii="Arial" w:cs="Arial" w:eastAsia="Arial" w:hAnsi="Arial"/>
                <w:sz w:val="18"/>
                <w:szCs w:val="18"/>
                <w:color w:val="auto"/>
              </w:rPr>
              <w:t>Huntington</w:t>
            </w:r>
          </w:p>
        </w:tc>
        <w:tc>
          <w:tcPr>
            <w:tcW w:w="840" w:type="dxa"/>
            <w:vAlign w:val="bottom"/>
          </w:tcPr>
          <w:p>
            <w:pPr>
              <w:ind w:left="560"/>
              <w:spacing w:after="0"/>
              <w:rPr>
                <w:sz w:val="20"/>
                <w:szCs w:val="20"/>
                <w:color w:val="auto"/>
              </w:rPr>
            </w:pPr>
            <w:r>
              <w:rPr>
                <w:rFonts w:ascii="Arial" w:cs="Arial" w:eastAsia="Arial" w:hAnsi="Arial"/>
                <w:sz w:val="18"/>
                <w:szCs w:val="18"/>
                <w:color w:val="auto"/>
              </w:rPr>
              <w:t>NY</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500-1763</w:t>
            </w:r>
          </w:p>
        </w:tc>
        <w:tc>
          <w:tcPr>
            <w:tcW w:w="5680" w:type="dxa"/>
            <w:vAlign w:val="bottom"/>
            <w:gridSpan w:val="2"/>
          </w:tcPr>
          <w:p>
            <w:pPr>
              <w:spacing w:after="0"/>
              <w:rPr>
                <w:sz w:val="20"/>
                <w:szCs w:val="20"/>
                <w:color w:val="auto"/>
              </w:rPr>
            </w:pPr>
            <w:r>
              <w:rPr>
                <w:rFonts w:ascii="Arial" w:cs="Arial" w:eastAsia="Arial" w:hAnsi="Arial"/>
                <w:sz w:val="18"/>
                <w:szCs w:val="18"/>
                <w:color w:val="auto"/>
              </w:rPr>
              <w:t>Tysons Station S C</w:t>
            </w:r>
          </w:p>
        </w:tc>
        <w:tc>
          <w:tcPr>
            <w:tcW w:w="3560" w:type="dxa"/>
            <w:vAlign w:val="bottom"/>
          </w:tcPr>
          <w:p>
            <w:pPr>
              <w:ind w:left="1960"/>
              <w:spacing w:after="0"/>
              <w:rPr>
                <w:sz w:val="20"/>
                <w:szCs w:val="20"/>
                <w:color w:val="auto"/>
              </w:rPr>
            </w:pPr>
            <w:r>
              <w:rPr>
                <w:rFonts w:ascii="Arial" w:cs="Arial" w:eastAsia="Arial" w:hAnsi="Arial"/>
                <w:sz w:val="18"/>
                <w:szCs w:val="18"/>
                <w:color w:val="auto"/>
              </w:rPr>
              <w:t>Falls Church</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500-1881</w:t>
            </w:r>
          </w:p>
        </w:tc>
        <w:tc>
          <w:tcPr>
            <w:tcW w:w="5680" w:type="dxa"/>
            <w:vAlign w:val="bottom"/>
            <w:gridSpan w:val="2"/>
          </w:tcPr>
          <w:p>
            <w:pPr>
              <w:spacing w:after="0"/>
              <w:rPr>
                <w:sz w:val="20"/>
                <w:szCs w:val="20"/>
                <w:color w:val="auto"/>
              </w:rPr>
            </w:pPr>
            <w:r>
              <w:rPr>
                <w:rFonts w:ascii="Arial" w:cs="Arial" w:eastAsia="Arial" w:hAnsi="Arial"/>
                <w:sz w:val="18"/>
                <w:szCs w:val="18"/>
                <w:color w:val="auto"/>
              </w:rPr>
              <w:t>Wildwood Shopping Center</w:t>
            </w:r>
          </w:p>
        </w:tc>
        <w:tc>
          <w:tcPr>
            <w:tcW w:w="3560" w:type="dxa"/>
            <w:vAlign w:val="bottom"/>
          </w:tcPr>
          <w:p>
            <w:pPr>
              <w:ind w:left="1960"/>
              <w:spacing w:after="0"/>
              <w:rPr>
                <w:sz w:val="20"/>
                <w:szCs w:val="20"/>
                <w:color w:val="auto"/>
              </w:rPr>
            </w:pPr>
            <w:r>
              <w:rPr>
                <w:rFonts w:ascii="Arial" w:cs="Arial" w:eastAsia="Arial" w:hAnsi="Arial"/>
                <w:sz w:val="18"/>
                <w:szCs w:val="18"/>
                <w:color w:val="auto"/>
              </w:rPr>
              <w:t>Bethesda</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500-1900</w:t>
            </w:r>
          </w:p>
        </w:tc>
        <w:tc>
          <w:tcPr>
            <w:tcW w:w="5680" w:type="dxa"/>
            <w:vAlign w:val="bottom"/>
            <w:gridSpan w:val="2"/>
          </w:tcPr>
          <w:p>
            <w:pPr>
              <w:spacing w:after="0"/>
              <w:rPr>
                <w:sz w:val="20"/>
                <w:szCs w:val="20"/>
                <w:color w:val="auto"/>
              </w:rPr>
            </w:pPr>
            <w:r>
              <w:rPr>
                <w:rFonts w:ascii="Arial" w:cs="Arial" w:eastAsia="Arial" w:hAnsi="Arial"/>
                <w:sz w:val="18"/>
                <w:szCs w:val="18"/>
                <w:color w:val="auto"/>
              </w:rPr>
              <w:t>Wynnewood Shopping Center</w:t>
            </w:r>
          </w:p>
        </w:tc>
        <w:tc>
          <w:tcPr>
            <w:tcW w:w="3560" w:type="dxa"/>
            <w:vAlign w:val="bottom"/>
          </w:tcPr>
          <w:p>
            <w:pPr>
              <w:ind w:left="1960"/>
              <w:spacing w:after="0"/>
              <w:rPr>
                <w:sz w:val="20"/>
                <w:szCs w:val="20"/>
                <w:color w:val="auto"/>
              </w:rPr>
            </w:pPr>
            <w:r>
              <w:rPr>
                <w:rFonts w:ascii="Arial" w:cs="Arial" w:eastAsia="Arial" w:hAnsi="Arial"/>
                <w:sz w:val="18"/>
                <w:szCs w:val="18"/>
                <w:color w:val="auto"/>
              </w:rPr>
              <w:t>Wynnewood</w:t>
            </w:r>
          </w:p>
        </w:tc>
        <w:tc>
          <w:tcPr>
            <w:tcW w:w="840" w:type="dxa"/>
            <w:vAlign w:val="bottom"/>
          </w:tcPr>
          <w:p>
            <w:pPr>
              <w:ind w:left="560"/>
              <w:spacing w:after="0"/>
              <w:rPr>
                <w:sz w:val="20"/>
                <w:szCs w:val="20"/>
                <w:color w:val="auto"/>
              </w:rPr>
            </w:pPr>
            <w:r>
              <w:rPr>
                <w:rFonts w:ascii="Arial" w:cs="Arial" w:eastAsia="Arial" w:hAnsi="Arial"/>
                <w:sz w:val="18"/>
                <w:szCs w:val="18"/>
                <w:color w:val="auto"/>
              </w:rPr>
              <w:t>PA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500-2070</w:t>
            </w:r>
          </w:p>
        </w:tc>
        <w:tc>
          <w:tcPr>
            <w:tcW w:w="5680" w:type="dxa"/>
            <w:vAlign w:val="bottom"/>
            <w:gridSpan w:val="2"/>
          </w:tcPr>
          <w:p>
            <w:pPr>
              <w:spacing w:after="0"/>
              <w:rPr>
                <w:sz w:val="20"/>
                <w:szCs w:val="20"/>
                <w:color w:val="auto"/>
              </w:rPr>
            </w:pPr>
            <w:r>
              <w:rPr>
                <w:rFonts w:ascii="Arial" w:cs="Arial" w:eastAsia="Arial" w:hAnsi="Arial"/>
                <w:sz w:val="18"/>
                <w:szCs w:val="18"/>
                <w:color w:val="auto"/>
              </w:rPr>
              <w:t>Barracks Road</w:t>
            </w:r>
          </w:p>
        </w:tc>
        <w:tc>
          <w:tcPr>
            <w:tcW w:w="3560" w:type="dxa"/>
            <w:vAlign w:val="bottom"/>
          </w:tcPr>
          <w:p>
            <w:pPr>
              <w:ind w:left="1960"/>
              <w:spacing w:after="0"/>
              <w:rPr>
                <w:sz w:val="20"/>
                <w:szCs w:val="20"/>
                <w:color w:val="auto"/>
              </w:rPr>
            </w:pPr>
            <w:r>
              <w:rPr>
                <w:rFonts w:ascii="Arial" w:cs="Arial" w:eastAsia="Arial" w:hAnsi="Arial"/>
                <w:sz w:val="18"/>
                <w:szCs w:val="18"/>
                <w:color w:val="auto"/>
              </w:rPr>
              <w:t>Charlottesville</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191-1096</w:t>
            </w:r>
          </w:p>
        </w:tc>
        <w:tc>
          <w:tcPr>
            <w:tcW w:w="5680" w:type="dxa"/>
            <w:vAlign w:val="bottom"/>
            <w:gridSpan w:val="2"/>
          </w:tcPr>
          <w:p>
            <w:pPr>
              <w:spacing w:after="0"/>
              <w:rPr>
                <w:sz w:val="20"/>
                <w:szCs w:val="20"/>
                <w:color w:val="auto"/>
              </w:rPr>
            </w:pPr>
            <w:r>
              <w:rPr>
                <w:rFonts w:ascii="Arial" w:cs="Arial" w:eastAsia="Arial" w:hAnsi="Arial"/>
                <w:sz w:val="18"/>
                <w:szCs w:val="18"/>
                <w:color w:val="auto"/>
              </w:rPr>
              <w:t>Crow Canyon</w:t>
            </w:r>
          </w:p>
        </w:tc>
        <w:tc>
          <w:tcPr>
            <w:tcW w:w="3560" w:type="dxa"/>
            <w:vAlign w:val="bottom"/>
          </w:tcPr>
          <w:p>
            <w:pPr>
              <w:ind w:left="1960"/>
              <w:spacing w:after="0"/>
              <w:rPr>
                <w:sz w:val="20"/>
                <w:szCs w:val="20"/>
                <w:color w:val="auto"/>
              </w:rPr>
            </w:pPr>
            <w:r>
              <w:rPr>
                <w:rFonts w:ascii="Arial" w:cs="Arial" w:eastAsia="Arial" w:hAnsi="Arial"/>
                <w:sz w:val="18"/>
                <w:szCs w:val="18"/>
                <w:color w:val="auto"/>
              </w:rPr>
              <w:t>San Ramon</w:t>
            </w:r>
          </w:p>
        </w:tc>
        <w:tc>
          <w:tcPr>
            <w:tcW w:w="840" w:type="dxa"/>
            <w:vAlign w:val="bottom"/>
          </w:tcPr>
          <w:p>
            <w:pPr>
              <w:ind w:left="560"/>
              <w:spacing w:after="0"/>
              <w:rPr>
                <w:sz w:val="20"/>
                <w:szCs w:val="20"/>
                <w:color w:val="auto"/>
              </w:rPr>
            </w:pPr>
            <w:r>
              <w:rPr>
                <w:rFonts w:ascii="Arial" w:cs="Arial" w:eastAsia="Arial" w:hAnsi="Arial"/>
                <w:sz w:val="18"/>
                <w:szCs w:val="18"/>
                <w:color w:val="auto"/>
              </w:rPr>
              <w:t>CA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211-2110</w:t>
            </w:r>
          </w:p>
        </w:tc>
        <w:tc>
          <w:tcPr>
            <w:tcW w:w="5680" w:type="dxa"/>
            <w:vAlign w:val="bottom"/>
            <w:gridSpan w:val="2"/>
          </w:tcPr>
          <w:p>
            <w:pPr>
              <w:spacing w:after="0"/>
              <w:rPr>
                <w:sz w:val="20"/>
                <w:szCs w:val="20"/>
                <w:color w:val="auto"/>
              </w:rPr>
            </w:pPr>
            <w:r>
              <w:rPr>
                <w:rFonts w:ascii="Arial" w:cs="Arial" w:eastAsia="Arial" w:hAnsi="Arial"/>
                <w:sz w:val="18"/>
                <w:szCs w:val="18"/>
                <w:color w:val="auto"/>
              </w:rPr>
              <w:t>Chelsea Commons LLC (Condominium Unit 1 only)</w:t>
            </w:r>
          </w:p>
        </w:tc>
        <w:tc>
          <w:tcPr>
            <w:tcW w:w="3560" w:type="dxa"/>
            <w:vAlign w:val="bottom"/>
          </w:tcPr>
          <w:p>
            <w:pPr>
              <w:ind w:left="1960"/>
              <w:spacing w:after="0"/>
              <w:rPr>
                <w:sz w:val="20"/>
                <w:szCs w:val="20"/>
                <w:color w:val="auto"/>
              </w:rPr>
            </w:pPr>
            <w:r>
              <w:rPr>
                <w:rFonts w:ascii="Arial" w:cs="Arial" w:eastAsia="Arial" w:hAnsi="Arial"/>
                <w:sz w:val="18"/>
                <w:szCs w:val="18"/>
                <w:color w:val="auto"/>
              </w:rPr>
              <w:t>Chelsea</w:t>
            </w:r>
          </w:p>
        </w:tc>
        <w:tc>
          <w:tcPr>
            <w:tcW w:w="840" w:type="dxa"/>
            <w:vAlign w:val="bottom"/>
          </w:tcPr>
          <w:p>
            <w:pPr>
              <w:ind w:left="560"/>
              <w:spacing w:after="0"/>
              <w:rPr>
                <w:sz w:val="20"/>
                <w:szCs w:val="20"/>
                <w:color w:val="auto"/>
              </w:rPr>
            </w:pPr>
            <w:r>
              <w:rPr>
                <w:rFonts w:ascii="Arial" w:cs="Arial" w:eastAsia="Arial" w:hAnsi="Arial"/>
                <w:sz w:val="18"/>
                <w:szCs w:val="18"/>
                <w:color w:val="auto"/>
                <w:w w:val="96"/>
              </w:rPr>
              <w:t>MA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192-1722</w:t>
            </w:r>
          </w:p>
        </w:tc>
        <w:tc>
          <w:tcPr>
            <w:tcW w:w="5680" w:type="dxa"/>
            <w:vAlign w:val="bottom"/>
            <w:gridSpan w:val="2"/>
          </w:tcPr>
          <w:p>
            <w:pPr>
              <w:spacing w:after="0"/>
              <w:rPr>
                <w:sz w:val="20"/>
                <w:szCs w:val="20"/>
                <w:color w:val="auto"/>
              </w:rPr>
            </w:pPr>
            <w:r>
              <w:rPr>
                <w:rFonts w:ascii="Arial" w:cs="Arial" w:eastAsia="Arial" w:hAnsi="Arial"/>
                <w:sz w:val="18"/>
                <w:szCs w:val="18"/>
                <w:color w:val="auto"/>
              </w:rPr>
              <w:t>Shoppers’ World</w:t>
            </w:r>
          </w:p>
        </w:tc>
        <w:tc>
          <w:tcPr>
            <w:tcW w:w="3560" w:type="dxa"/>
            <w:vAlign w:val="bottom"/>
          </w:tcPr>
          <w:p>
            <w:pPr>
              <w:ind w:left="1960"/>
              <w:spacing w:after="0"/>
              <w:rPr>
                <w:sz w:val="20"/>
                <w:szCs w:val="20"/>
                <w:color w:val="auto"/>
              </w:rPr>
            </w:pPr>
            <w:r>
              <w:rPr>
                <w:rFonts w:ascii="Arial" w:cs="Arial" w:eastAsia="Arial" w:hAnsi="Arial"/>
                <w:sz w:val="18"/>
                <w:szCs w:val="18"/>
                <w:color w:val="auto"/>
              </w:rPr>
              <w:t>Charlottesville</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22"/>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500-2060</w:t>
            </w:r>
          </w:p>
        </w:tc>
        <w:tc>
          <w:tcPr>
            <w:tcW w:w="5680" w:type="dxa"/>
            <w:vAlign w:val="bottom"/>
            <w:gridSpan w:val="2"/>
          </w:tcPr>
          <w:p>
            <w:pPr>
              <w:spacing w:after="0"/>
              <w:rPr>
                <w:sz w:val="20"/>
                <w:szCs w:val="20"/>
                <w:color w:val="auto"/>
              </w:rPr>
            </w:pPr>
            <w:r>
              <w:rPr>
                <w:rFonts w:ascii="Arial" w:cs="Arial" w:eastAsia="Arial" w:hAnsi="Arial"/>
                <w:sz w:val="18"/>
                <w:szCs w:val="18"/>
                <w:color w:val="auto"/>
              </w:rPr>
              <w:t>Rollingwood Apartments</w:t>
            </w:r>
          </w:p>
        </w:tc>
        <w:tc>
          <w:tcPr>
            <w:tcW w:w="3560" w:type="dxa"/>
            <w:vAlign w:val="bottom"/>
          </w:tcPr>
          <w:p>
            <w:pPr>
              <w:ind w:left="1960"/>
              <w:spacing w:after="0"/>
              <w:rPr>
                <w:sz w:val="20"/>
                <w:szCs w:val="20"/>
                <w:color w:val="auto"/>
              </w:rPr>
            </w:pPr>
            <w:r>
              <w:rPr>
                <w:rFonts w:ascii="Arial" w:cs="Arial" w:eastAsia="Arial" w:hAnsi="Arial"/>
                <w:sz w:val="18"/>
                <w:szCs w:val="18"/>
                <w:color w:val="auto"/>
              </w:rPr>
              <w:t>Silver Spring</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bl>
    <w:p>
      <w:pPr>
        <w:spacing w:after="0" w:line="79"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Unconsolidated JV Properties</w:t>
            </w:r>
          </w:p>
        </w:tc>
        <w:tc>
          <w:tcPr>
            <w:tcW w:w="4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8"/>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801-8010</w:t>
            </w: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Plaza del Mercado</w:t>
            </w:r>
          </w:p>
        </w:tc>
        <w:tc>
          <w:tcPr>
            <w:tcW w:w="2700" w:type="dxa"/>
            <w:vAlign w:val="bottom"/>
          </w:tcPr>
          <w:p>
            <w:pPr>
              <w:spacing w:after="0"/>
              <w:rPr>
                <w:sz w:val="19"/>
                <w:szCs w:val="19"/>
                <w:color w:val="auto"/>
              </w:rPr>
            </w:pPr>
          </w:p>
        </w:tc>
        <w:tc>
          <w:tcPr>
            <w:tcW w:w="4300" w:type="dxa"/>
            <w:vAlign w:val="bottom"/>
          </w:tcPr>
          <w:p>
            <w:pPr>
              <w:ind w:left="2700"/>
              <w:spacing w:after="0"/>
              <w:rPr>
                <w:sz w:val="20"/>
                <w:szCs w:val="20"/>
                <w:color w:val="auto"/>
              </w:rPr>
            </w:pPr>
            <w:r>
              <w:rPr>
                <w:rFonts w:ascii="Arial" w:cs="Arial" w:eastAsia="Arial" w:hAnsi="Arial"/>
                <w:sz w:val="18"/>
                <w:szCs w:val="18"/>
                <w:color w:val="auto"/>
              </w:rPr>
              <w:t>Silver Spring</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802-8020</w:t>
            </w:r>
          </w:p>
        </w:tc>
        <w:tc>
          <w:tcPr>
            <w:tcW w:w="4940" w:type="dxa"/>
            <w:vAlign w:val="bottom"/>
            <w:gridSpan w:val="2"/>
          </w:tcPr>
          <w:p>
            <w:pPr>
              <w:spacing w:after="0"/>
              <w:rPr>
                <w:sz w:val="20"/>
                <w:szCs w:val="20"/>
                <w:color w:val="auto"/>
              </w:rPr>
            </w:pPr>
            <w:r>
              <w:rPr>
                <w:rFonts w:ascii="Arial" w:cs="Arial" w:eastAsia="Arial" w:hAnsi="Arial"/>
                <w:sz w:val="18"/>
                <w:szCs w:val="18"/>
                <w:color w:val="auto"/>
              </w:rPr>
              <w:t>Campus Plaza</w:t>
            </w:r>
          </w:p>
        </w:tc>
        <w:tc>
          <w:tcPr>
            <w:tcW w:w="4300" w:type="dxa"/>
            <w:vAlign w:val="bottom"/>
          </w:tcPr>
          <w:p>
            <w:pPr>
              <w:ind w:left="2700"/>
              <w:spacing w:after="0"/>
              <w:rPr>
                <w:sz w:val="20"/>
                <w:szCs w:val="20"/>
                <w:color w:val="auto"/>
              </w:rPr>
            </w:pPr>
            <w:r>
              <w:rPr>
                <w:rFonts w:ascii="Arial" w:cs="Arial" w:eastAsia="Arial" w:hAnsi="Arial"/>
                <w:sz w:val="18"/>
                <w:szCs w:val="18"/>
                <w:color w:val="auto"/>
              </w:rPr>
              <w:t>Bridgewater</w:t>
            </w:r>
          </w:p>
        </w:tc>
        <w:tc>
          <w:tcPr>
            <w:tcW w:w="840" w:type="dxa"/>
            <w:vAlign w:val="bottom"/>
          </w:tcPr>
          <w:p>
            <w:pPr>
              <w:ind w:left="560"/>
              <w:spacing w:after="0"/>
              <w:rPr>
                <w:sz w:val="20"/>
                <w:szCs w:val="20"/>
                <w:color w:val="auto"/>
              </w:rPr>
            </w:pPr>
            <w:r>
              <w:rPr>
                <w:rFonts w:ascii="Arial" w:cs="Arial" w:eastAsia="Arial" w:hAnsi="Arial"/>
                <w:sz w:val="18"/>
                <w:szCs w:val="18"/>
                <w:color w:val="auto"/>
                <w:w w:val="96"/>
              </w:rPr>
              <w:t>MA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803-8030</w:t>
            </w:r>
          </w:p>
        </w:tc>
        <w:tc>
          <w:tcPr>
            <w:tcW w:w="4940" w:type="dxa"/>
            <w:vAlign w:val="bottom"/>
            <w:gridSpan w:val="2"/>
          </w:tcPr>
          <w:p>
            <w:pPr>
              <w:spacing w:after="0"/>
              <w:rPr>
                <w:sz w:val="20"/>
                <w:szCs w:val="20"/>
                <w:color w:val="auto"/>
              </w:rPr>
            </w:pPr>
            <w:r>
              <w:rPr>
                <w:rFonts w:ascii="Arial" w:cs="Arial" w:eastAsia="Arial" w:hAnsi="Arial"/>
                <w:sz w:val="18"/>
                <w:szCs w:val="18"/>
                <w:color w:val="auto"/>
              </w:rPr>
              <w:t>Pleasant Shops</w:t>
            </w:r>
          </w:p>
        </w:tc>
        <w:tc>
          <w:tcPr>
            <w:tcW w:w="4300" w:type="dxa"/>
            <w:vAlign w:val="bottom"/>
          </w:tcPr>
          <w:p>
            <w:pPr>
              <w:ind w:left="2700"/>
              <w:spacing w:after="0"/>
              <w:rPr>
                <w:sz w:val="20"/>
                <w:szCs w:val="20"/>
                <w:color w:val="auto"/>
              </w:rPr>
            </w:pPr>
            <w:r>
              <w:rPr>
                <w:rFonts w:ascii="Arial" w:cs="Arial" w:eastAsia="Arial" w:hAnsi="Arial"/>
                <w:sz w:val="18"/>
                <w:szCs w:val="18"/>
                <w:color w:val="auto"/>
              </w:rPr>
              <w:t>Weymouth</w:t>
            </w:r>
          </w:p>
        </w:tc>
        <w:tc>
          <w:tcPr>
            <w:tcW w:w="840" w:type="dxa"/>
            <w:vAlign w:val="bottom"/>
          </w:tcPr>
          <w:p>
            <w:pPr>
              <w:ind w:left="560"/>
              <w:spacing w:after="0"/>
              <w:rPr>
                <w:sz w:val="20"/>
                <w:szCs w:val="20"/>
                <w:color w:val="auto"/>
              </w:rPr>
            </w:pPr>
            <w:r>
              <w:rPr>
                <w:rFonts w:ascii="Arial" w:cs="Arial" w:eastAsia="Arial" w:hAnsi="Arial"/>
                <w:sz w:val="18"/>
                <w:szCs w:val="18"/>
                <w:color w:val="auto"/>
                <w:w w:val="96"/>
              </w:rPr>
              <w:t>MA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804-8040</w:t>
            </w:r>
          </w:p>
        </w:tc>
        <w:tc>
          <w:tcPr>
            <w:tcW w:w="4940" w:type="dxa"/>
            <w:vAlign w:val="bottom"/>
            <w:gridSpan w:val="2"/>
          </w:tcPr>
          <w:p>
            <w:pPr>
              <w:spacing w:after="0"/>
              <w:rPr>
                <w:sz w:val="20"/>
                <w:szCs w:val="20"/>
                <w:color w:val="auto"/>
              </w:rPr>
            </w:pPr>
            <w:r>
              <w:rPr>
                <w:rFonts w:ascii="Arial" w:cs="Arial" w:eastAsia="Arial" w:hAnsi="Arial"/>
                <w:sz w:val="18"/>
                <w:szCs w:val="18"/>
                <w:color w:val="auto"/>
              </w:rPr>
              <w:t>Atlantic Plaza</w:t>
            </w:r>
          </w:p>
        </w:tc>
        <w:tc>
          <w:tcPr>
            <w:tcW w:w="4300" w:type="dxa"/>
            <w:vAlign w:val="bottom"/>
          </w:tcPr>
          <w:p>
            <w:pPr>
              <w:ind w:left="2700"/>
              <w:spacing w:after="0"/>
              <w:rPr>
                <w:sz w:val="20"/>
                <w:szCs w:val="20"/>
                <w:color w:val="auto"/>
              </w:rPr>
            </w:pPr>
            <w:r>
              <w:rPr>
                <w:rFonts w:ascii="Arial" w:cs="Arial" w:eastAsia="Arial" w:hAnsi="Arial"/>
                <w:sz w:val="18"/>
                <w:szCs w:val="18"/>
                <w:color w:val="auto"/>
              </w:rPr>
              <w:t>North Reading</w:t>
            </w:r>
          </w:p>
        </w:tc>
        <w:tc>
          <w:tcPr>
            <w:tcW w:w="840" w:type="dxa"/>
            <w:vAlign w:val="bottom"/>
          </w:tcPr>
          <w:p>
            <w:pPr>
              <w:ind w:left="560"/>
              <w:spacing w:after="0"/>
              <w:rPr>
                <w:sz w:val="20"/>
                <w:szCs w:val="20"/>
                <w:color w:val="auto"/>
              </w:rPr>
            </w:pPr>
            <w:r>
              <w:rPr>
                <w:rFonts w:ascii="Arial" w:cs="Arial" w:eastAsia="Arial" w:hAnsi="Arial"/>
                <w:sz w:val="18"/>
                <w:szCs w:val="18"/>
                <w:color w:val="auto"/>
                <w:w w:val="96"/>
              </w:rPr>
              <w:t>MA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805-8050</w:t>
            </w:r>
          </w:p>
        </w:tc>
        <w:tc>
          <w:tcPr>
            <w:tcW w:w="4940" w:type="dxa"/>
            <w:vAlign w:val="bottom"/>
            <w:gridSpan w:val="2"/>
          </w:tcPr>
          <w:p>
            <w:pPr>
              <w:spacing w:after="0"/>
              <w:rPr>
                <w:sz w:val="20"/>
                <w:szCs w:val="20"/>
                <w:color w:val="auto"/>
              </w:rPr>
            </w:pPr>
            <w:r>
              <w:rPr>
                <w:rFonts w:ascii="Arial" w:cs="Arial" w:eastAsia="Arial" w:hAnsi="Arial"/>
                <w:sz w:val="18"/>
                <w:szCs w:val="18"/>
                <w:color w:val="auto"/>
              </w:rPr>
              <w:t>Greenlawn Plaza</w:t>
            </w:r>
          </w:p>
        </w:tc>
        <w:tc>
          <w:tcPr>
            <w:tcW w:w="4300" w:type="dxa"/>
            <w:vAlign w:val="bottom"/>
          </w:tcPr>
          <w:p>
            <w:pPr>
              <w:ind w:left="2700"/>
              <w:spacing w:after="0"/>
              <w:rPr>
                <w:sz w:val="20"/>
                <w:szCs w:val="20"/>
                <w:color w:val="auto"/>
              </w:rPr>
            </w:pPr>
            <w:r>
              <w:rPr>
                <w:rFonts w:ascii="Arial" w:cs="Arial" w:eastAsia="Arial" w:hAnsi="Arial"/>
                <w:sz w:val="18"/>
                <w:szCs w:val="18"/>
                <w:color w:val="auto"/>
              </w:rPr>
              <w:t>Huntington</w:t>
            </w:r>
          </w:p>
        </w:tc>
        <w:tc>
          <w:tcPr>
            <w:tcW w:w="840" w:type="dxa"/>
            <w:vAlign w:val="bottom"/>
          </w:tcPr>
          <w:p>
            <w:pPr>
              <w:ind w:left="560"/>
              <w:spacing w:after="0"/>
              <w:rPr>
                <w:sz w:val="20"/>
                <w:szCs w:val="20"/>
                <w:color w:val="auto"/>
              </w:rPr>
            </w:pPr>
            <w:r>
              <w:rPr>
                <w:rFonts w:ascii="Arial" w:cs="Arial" w:eastAsia="Arial" w:hAnsi="Arial"/>
                <w:sz w:val="18"/>
                <w:szCs w:val="18"/>
                <w:color w:val="auto"/>
              </w:rPr>
              <w:t>NY</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806-8060</w:t>
            </w:r>
          </w:p>
        </w:tc>
        <w:tc>
          <w:tcPr>
            <w:tcW w:w="4940" w:type="dxa"/>
            <w:vAlign w:val="bottom"/>
            <w:gridSpan w:val="2"/>
          </w:tcPr>
          <w:p>
            <w:pPr>
              <w:spacing w:after="0"/>
              <w:rPr>
                <w:sz w:val="20"/>
                <w:szCs w:val="20"/>
                <w:color w:val="auto"/>
              </w:rPr>
            </w:pPr>
            <w:r>
              <w:rPr>
                <w:rFonts w:ascii="Arial" w:cs="Arial" w:eastAsia="Arial" w:hAnsi="Arial"/>
                <w:sz w:val="18"/>
                <w:szCs w:val="18"/>
                <w:color w:val="auto"/>
              </w:rPr>
              <w:t>Barcroft Plaza</w:t>
            </w:r>
          </w:p>
        </w:tc>
        <w:tc>
          <w:tcPr>
            <w:tcW w:w="4300" w:type="dxa"/>
            <w:vAlign w:val="bottom"/>
          </w:tcPr>
          <w:p>
            <w:pPr>
              <w:ind w:left="2700"/>
              <w:spacing w:after="0"/>
              <w:rPr>
                <w:sz w:val="20"/>
                <w:szCs w:val="20"/>
                <w:color w:val="auto"/>
              </w:rPr>
            </w:pPr>
            <w:r>
              <w:rPr>
                <w:rFonts w:ascii="Arial" w:cs="Arial" w:eastAsia="Arial" w:hAnsi="Arial"/>
                <w:sz w:val="18"/>
                <w:szCs w:val="18"/>
                <w:color w:val="auto"/>
              </w:rPr>
              <w:t>Falls Church</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16"/>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806-8061</w:t>
            </w:r>
          </w:p>
        </w:tc>
        <w:tc>
          <w:tcPr>
            <w:tcW w:w="4940" w:type="dxa"/>
            <w:vAlign w:val="bottom"/>
            <w:gridSpan w:val="2"/>
          </w:tcPr>
          <w:p>
            <w:pPr>
              <w:spacing w:after="0"/>
              <w:rPr>
                <w:sz w:val="20"/>
                <w:szCs w:val="20"/>
                <w:color w:val="auto"/>
              </w:rPr>
            </w:pPr>
            <w:r>
              <w:rPr>
                <w:rFonts w:ascii="Arial" w:cs="Arial" w:eastAsia="Arial" w:hAnsi="Arial"/>
                <w:sz w:val="18"/>
                <w:szCs w:val="18"/>
                <w:color w:val="auto"/>
              </w:rPr>
              <w:t>Lake Barcroft</w:t>
            </w:r>
          </w:p>
        </w:tc>
        <w:tc>
          <w:tcPr>
            <w:tcW w:w="4300" w:type="dxa"/>
            <w:vAlign w:val="bottom"/>
          </w:tcPr>
          <w:p>
            <w:pPr>
              <w:ind w:left="2700"/>
              <w:spacing w:after="0"/>
              <w:rPr>
                <w:sz w:val="20"/>
                <w:szCs w:val="20"/>
                <w:color w:val="auto"/>
              </w:rPr>
            </w:pPr>
            <w:r>
              <w:rPr>
                <w:rFonts w:ascii="Arial" w:cs="Arial" w:eastAsia="Arial" w:hAnsi="Arial"/>
                <w:sz w:val="18"/>
                <w:szCs w:val="18"/>
                <w:color w:val="auto"/>
              </w:rPr>
              <w:t>Falls Church</w:t>
            </w:r>
          </w:p>
        </w:tc>
        <w:tc>
          <w:tcPr>
            <w:tcW w:w="840" w:type="dxa"/>
            <w:vAlign w:val="bottom"/>
          </w:tcPr>
          <w:p>
            <w:pPr>
              <w:ind w:left="560"/>
              <w:spacing w:after="0"/>
              <w:rPr>
                <w:sz w:val="20"/>
                <w:szCs w:val="20"/>
                <w:color w:val="auto"/>
              </w:rPr>
            </w:pPr>
            <w:r>
              <w:rPr>
                <w:rFonts w:ascii="Arial" w:cs="Arial" w:eastAsia="Arial" w:hAnsi="Arial"/>
                <w:sz w:val="18"/>
                <w:szCs w:val="18"/>
                <w:color w:val="auto"/>
              </w:rPr>
              <w:t>VA</w:t>
            </w:r>
          </w:p>
        </w:tc>
      </w:tr>
      <w:tr>
        <w:trPr>
          <w:trHeight w:val="222"/>
        </w:trPr>
        <w:tc>
          <w:tcPr>
            <w:tcW w:w="1060" w:type="dxa"/>
            <w:vAlign w:val="bottom"/>
          </w:tcPr>
          <w:p>
            <w:pPr>
              <w:jc w:val="right"/>
              <w:ind w:right="292"/>
              <w:spacing w:after="0"/>
              <w:rPr>
                <w:sz w:val="20"/>
                <w:szCs w:val="20"/>
                <w:color w:val="auto"/>
              </w:rPr>
            </w:pPr>
            <w:r>
              <w:rPr>
                <w:rFonts w:ascii="Arial" w:cs="Arial" w:eastAsia="Arial" w:hAnsi="Arial"/>
                <w:sz w:val="18"/>
                <w:szCs w:val="18"/>
                <w:color w:val="auto"/>
                <w:w w:val="86"/>
              </w:rPr>
              <w:t>807-8070</w:t>
            </w:r>
          </w:p>
        </w:tc>
        <w:tc>
          <w:tcPr>
            <w:tcW w:w="4940" w:type="dxa"/>
            <w:vAlign w:val="bottom"/>
            <w:gridSpan w:val="2"/>
          </w:tcPr>
          <w:p>
            <w:pPr>
              <w:spacing w:after="0"/>
              <w:rPr>
                <w:sz w:val="20"/>
                <w:szCs w:val="20"/>
                <w:color w:val="auto"/>
              </w:rPr>
            </w:pPr>
            <w:r>
              <w:rPr>
                <w:rFonts w:ascii="Arial" w:cs="Arial" w:eastAsia="Arial" w:hAnsi="Arial"/>
                <w:sz w:val="18"/>
                <w:szCs w:val="18"/>
                <w:color w:val="auto"/>
              </w:rPr>
              <w:t>Free State</w:t>
            </w:r>
          </w:p>
        </w:tc>
        <w:tc>
          <w:tcPr>
            <w:tcW w:w="4300" w:type="dxa"/>
            <w:vAlign w:val="bottom"/>
          </w:tcPr>
          <w:p>
            <w:pPr>
              <w:ind w:left="2700"/>
              <w:spacing w:after="0"/>
              <w:rPr>
                <w:sz w:val="20"/>
                <w:szCs w:val="20"/>
                <w:color w:val="auto"/>
              </w:rPr>
            </w:pPr>
            <w:r>
              <w:rPr>
                <w:rFonts w:ascii="Arial" w:cs="Arial" w:eastAsia="Arial" w:hAnsi="Arial"/>
                <w:sz w:val="18"/>
                <w:szCs w:val="18"/>
                <w:color w:val="auto"/>
              </w:rPr>
              <w:t>Bowie</w:t>
            </w:r>
          </w:p>
        </w:tc>
        <w:tc>
          <w:tcPr>
            <w:tcW w:w="840" w:type="dxa"/>
            <w:vAlign w:val="bottom"/>
          </w:tcPr>
          <w:p>
            <w:pPr>
              <w:ind w:left="560"/>
              <w:spacing w:after="0"/>
              <w:rPr>
                <w:sz w:val="20"/>
                <w:szCs w:val="20"/>
                <w:color w:val="auto"/>
              </w:rPr>
            </w:pPr>
            <w:r>
              <w:rPr>
                <w:rFonts w:ascii="Arial" w:cs="Arial" w:eastAsia="Arial" w:hAnsi="Arial"/>
                <w:sz w:val="18"/>
                <w:szCs w:val="18"/>
                <w:color w:val="auto"/>
                <w:w w:val="92"/>
              </w:rPr>
              <w:t>MD</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1420"/>
          </w:cols>
          <w:pgMar w:left="240" w:top="274" w:right="239" w:bottom="1440" w:gutter="0" w:footer="0" w:header="0"/>
        </w:sectPr>
      </w:pPr>
    </w:p>
    <w:bookmarkStart w:id="518" w:name="page519"/>
    <w:bookmarkEnd w:id="5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Stated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340" w:type="dxa"/>
            <w:vAlign w:val="bottom"/>
          </w:tcPr>
          <w:p>
            <w:pPr>
              <w:spacing w:after="0"/>
              <w:rPr>
                <w:sz w:val="12"/>
                <w:szCs w:val="12"/>
                <w:color w:val="auto"/>
              </w:rPr>
            </w:pPr>
          </w:p>
        </w:tc>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CounterParty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Maturity date</w:t>
            </w:r>
          </w:p>
        </w:tc>
        <w:tc>
          <w:tcPr>
            <w:tcW w:w="148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2008</w:t>
            </w:r>
          </w:p>
        </w:tc>
        <w:tc>
          <w:tcPr>
            <w:tcW w:w="34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7"/>
              </w:rPr>
              <w:t>(in thousands)</w:t>
            </w:r>
          </w:p>
        </w:tc>
        <w:tc>
          <w:tcPr>
            <w:tcW w:w="340" w:type="dxa"/>
            <w:vAlign w:val="bottom"/>
          </w:tcPr>
          <w:p>
            <w:pPr>
              <w:spacing w:after="0"/>
              <w:rPr>
                <w:sz w:val="14"/>
                <w:szCs w:val="14"/>
                <w:color w:val="auto"/>
              </w:rPr>
            </w:pPr>
          </w:p>
        </w:tc>
        <w:tc>
          <w:tcPr>
            <w:tcW w:w="3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Mortgage loans (a)</w:t>
            </w: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Mercer Mall</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04/01/09</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8.375%</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Federal Plaza</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06/01/11</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6.750%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33,128</w:t>
            </w:r>
          </w:p>
        </w:tc>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Bear Stearns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Tysons Station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09/01/11</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SunLife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Courtyard Shops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07/01/12</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6.870%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7,731</w:t>
            </w:r>
          </w:p>
        </w:tc>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01/01/13</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5.370%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ING USA Annuity and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Bethesda Row</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02/01/13</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5.050%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4,437</w:t>
            </w:r>
          </w:p>
        </w:tc>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Genworth Life and Annuity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White Marsh Plaza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04/01/13</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6.040%</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Nationwide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Crow Canyon</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08/11/13</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5.400%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21,214</w:t>
            </w:r>
          </w:p>
        </w:tc>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Credit Suisse First Boston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Melville Mall</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09/01/14</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5.250%</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TransAmerica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THE AVENUE at White Marsh</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01/01/15</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5.460%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60,016</w:t>
            </w:r>
          </w:p>
        </w:tc>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w w:val="93"/>
              </w:rPr>
              <w:t>Teachers Insurance and Annuity Assoc.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Barracks Road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41,368</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Hauppauge</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7.950%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15,595</w:t>
            </w:r>
          </w:p>
        </w:tc>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29,322</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Wildwood</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7.950%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25,773</w:t>
            </w:r>
          </w:p>
        </w:tc>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29,882</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Brick Plaza</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7.415%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30,633</w:t>
            </w:r>
          </w:p>
        </w:tc>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01/31/21</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Genworth Life Ins. Co. of 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Mount Vernon</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04/15/28</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5.660%</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(e)</w:t>
            </w:r>
          </w:p>
        </w:tc>
        <w:tc>
          <w:tcPr>
            <w:tcW w:w="1000" w:type="dxa"/>
            <w:vAlign w:val="bottom"/>
          </w:tcPr>
          <w:p>
            <w:pPr>
              <w:jc w:val="right"/>
              <w:spacing w:after="0"/>
              <w:rPr>
                <w:sz w:val="20"/>
                <w:szCs w:val="20"/>
                <w:color w:val="auto"/>
              </w:rPr>
            </w:pPr>
            <w:r>
              <w:rPr>
                <w:rFonts w:ascii="Arial" w:cs="Arial" w:eastAsia="Arial" w:hAnsi="Arial"/>
                <w:sz w:val="18"/>
                <w:szCs w:val="18"/>
                <w:color w:val="auto"/>
              </w:rPr>
              <w:t>11,640</w:t>
            </w:r>
          </w:p>
        </w:tc>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Thrivent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01/15/31</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5.360%</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CapLease Debt Funding LP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389,719</w:t>
            </w:r>
          </w:p>
        </w:tc>
        <w:tc>
          <w:tcPr>
            <w:tcW w:w="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04/01/12</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Perring Plaza renovation</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01/31/13</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1,195</w:t>
            </w:r>
          </w:p>
        </w:tc>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Term note</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11/06/09</w:t>
            </w:r>
          </w:p>
        </w:tc>
        <w:tc>
          <w:tcPr>
            <w:tcW w:w="3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LIBOR + 0.575%</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(f)</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Revolving credit facility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07/27/10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LIBOR + 0.425%</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123,500</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Escondido (Municipal bonds)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10/01/16</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1.878%</w:t>
            </w:r>
          </w:p>
        </w:tc>
        <w:tc>
          <w:tcPr>
            <w:tcW w:w="620" w:type="dxa"/>
            <w:vAlign w:val="bottom"/>
          </w:tcPr>
          <w:p>
            <w:pPr>
              <w:ind w:left="20"/>
              <w:spacing w:after="0"/>
              <w:rPr>
                <w:sz w:val="20"/>
                <w:szCs w:val="20"/>
                <w:color w:val="auto"/>
              </w:rPr>
            </w:pPr>
            <w:r>
              <w:rPr>
                <w:rFonts w:ascii="Arial" w:cs="Arial" w:eastAsia="Arial" w:hAnsi="Arial"/>
                <w:sz w:val="18"/>
                <w:szCs w:val="18"/>
                <w:color w:val="auto"/>
              </w:rPr>
              <w:t>(h)</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336,391</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920" w:type="dxa"/>
            <w:vAlign w:val="bottom"/>
            <w:gridSpan w:val="6"/>
          </w:tcPr>
          <w:p>
            <w:pPr>
              <w:spacing w:after="0"/>
              <w:rPr>
                <w:sz w:val="20"/>
                <w:szCs w:val="20"/>
                <w:color w:val="auto"/>
              </w:rPr>
            </w:pPr>
            <w:r>
              <w:rPr>
                <w:rFonts w:ascii="Arial" w:cs="Arial" w:eastAsia="Arial" w:hAnsi="Arial"/>
                <w:sz w:val="18"/>
                <w:szCs w:val="18"/>
                <w:color w:val="auto"/>
              </w:rPr>
              <w:t>Senior notes and debentures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8.75% notes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12/01/09</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8.750%</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(i)</w:t>
            </w:r>
          </w:p>
        </w:tc>
        <w:tc>
          <w:tcPr>
            <w:tcW w:w="1000" w:type="dxa"/>
            <w:vAlign w:val="bottom"/>
          </w:tcPr>
          <w:p>
            <w:pPr>
              <w:jc w:val="right"/>
              <w:spacing w:after="0"/>
              <w:rPr>
                <w:sz w:val="20"/>
                <w:szCs w:val="20"/>
                <w:color w:val="auto"/>
              </w:rPr>
            </w:pPr>
            <w:r>
              <w:rPr>
                <w:rFonts w:ascii="Arial" w:cs="Arial" w:eastAsia="Arial" w:hAnsi="Arial"/>
                <w:sz w:val="18"/>
                <w:szCs w:val="18"/>
                <w:color w:val="auto"/>
              </w:rPr>
              <w:t>175,000</w:t>
            </w:r>
          </w:p>
        </w:tc>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4.50%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02/15/11</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6.00% notes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07/15/12</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6.000%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175,000</w:t>
            </w:r>
          </w:p>
        </w:tc>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5.40%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12/01/13</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5.65% notes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06/01/16</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5.650%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6.20%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01/15/17</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7.48% debentures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08/15/26</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7.480%</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(j)</w:t>
            </w:r>
          </w:p>
        </w:tc>
        <w:tc>
          <w:tcPr>
            <w:tcW w:w="1000" w:type="dxa"/>
            <w:vAlign w:val="bottom"/>
          </w:tcPr>
          <w:p>
            <w:pPr>
              <w:jc w:val="right"/>
              <w:spacing w:after="0"/>
              <w:rPr>
                <w:sz w:val="20"/>
                <w:szCs w:val="20"/>
                <w:color w:val="auto"/>
              </w:rPr>
            </w:pPr>
            <w:r>
              <w:rPr>
                <w:rFonts w:ascii="Arial" w:cs="Arial" w:eastAsia="Arial" w:hAnsi="Arial"/>
                <w:sz w:val="18"/>
                <w:szCs w:val="18"/>
                <w:color w:val="auto"/>
              </w:rPr>
              <w:t>29,200</w:t>
            </w:r>
          </w:p>
        </w:tc>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08/01/27</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6.820%</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954,200</w:t>
            </w:r>
          </w:p>
        </w:tc>
        <w:tc>
          <w:tcPr>
            <w:tcW w:w="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Letter of Credit</w:t>
            </w: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i w:val="1"/>
                <w:iCs w:val="1"/>
                <w:color w:val="auto"/>
              </w:rPr>
              <w:t>Beneficiary</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City of San Antonio, Texas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5"/>
          </w:tcPr>
          <w:p>
            <w:pPr>
              <w:ind w:left="420"/>
              <w:spacing w:after="0"/>
              <w:rPr>
                <w:sz w:val="20"/>
                <w:szCs w:val="20"/>
                <w:color w:val="auto"/>
              </w:rPr>
            </w:pPr>
            <w:r>
              <w:rPr>
                <w:rFonts w:ascii="Arial" w:cs="Arial" w:eastAsia="Arial" w:hAnsi="Arial"/>
                <w:sz w:val="18"/>
                <w:szCs w:val="18"/>
                <w:color w:val="auto"/>
              </w:rPr>
              <w:t>City of Escondido Promenade Project</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w:t>
            </w:r>
          </w:p>
        </w:tc>
        <w:tc>
          <w:tcPr>
            <w:tcW w:w="34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Bank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3" w:right="239" w:bottom="1440" w:gutter="0" w:footer="0" w:header="0"/>
        </w:sectPr>
      </w:pPr>
    </w:p>
    <w:bookmarkStart w:id="519" w:name="page520"/>
    <w:bookmarkEnd w:id="5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Stated</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31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CounterParty</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89"/>
              </w:rPr>
              <w:t>Maturity date</w:t>
            </w:r>
          </w:p>
        </w:tc>
        <w:tc>
          <w:tcPr>
            <w:tcW w:w="1500" w:type="dxa"/>
            <w:vAlign w:val="bottom"/>
            <w:gridSpan w:val="2"/>
          </w:tcPr>
          <w:p>
            <w:pPr>
              <w:jc w:val="center"/>
              <w:ind w:left="396"/>
              <w:spacing w:after="0"/>
              <w:rPr>
                <w:sz w:val="20"/>
                <w:szCs w:val="20"/>
                <w:color w:val="auto"/>
              </w:rPr>
            </w:pPr>
            <w:r>
              <w:rPr>
                <w:rFonts w:ascii="Arial" w:cs="Arial" w:eastAsia="Arial" w:hAnsi="Arial"/>
                <w:sz w:val="14"/>
                <w:szCs w:val="14"/>
                <w:b w:val="1"/>
                <w:bCs w:val="1"/>
                <w:color w:val="auto"/>
                <w:w w:val="83"/>
              </w:rPr>
              <w:t>2008</w:t>
            </w:r>
          </w:p>
        </w:tc>
        <w:tc>
          <w:tcPr>
            <w:tcW w:w="6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December 31,2008</w:t>
            </w:r>
          </w:p>
        </w:tc>
        <w:tc>
          <w:tcPr>
            <w:tcW w:w="3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00" w:type="dxa"/>
            <w:vAlign w:val="bottom"/>
          </w:tcPr>
          <w:p>
            <w:pPr>
              <w:spacing w:after="0"/>
              <w:rPr>
                <w:sz w:val="12"/>
                <w:szCs w:val="12"/>
                <w:color w:val="auto"/>
              </w:rPr>
            </w:pPr>
          </w:p>
        </w:tc>
        <w:tc>
          <w:tcPr>
            <w:tcW w:w="2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Capital lease obligations</w:t>
            </w:r>
          </w:p>
        </w:tc>
        <w:tc>
          <w:tcPr>
            <w:tcW w:w="24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440"/>
              <w:spacing w:after="0"/>
              <w:rPr>
                <w:sz w:val="20"/>
                <w:szCs w:val="20"/>
                <w:color w:val="auto"/>
              </w:rPr>
            </w:pPr>
            <w:r>
              <w:rPr>
                <w:rFonts w:ascii="Arial" w:cs="Arial" w:eastAsia="Arial" w:hAnsi="Arial"/>
                <w:sz w:val="18"/>
                <w:szCs w:val="18"/>
                <w:color w:val="auto"/>
              </w:rPr>
              <w:t>Bethesda</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12/31/2058</w:t>
            </w:r>
          </w:p>
        </w:tc>
        <w:tc>
          <w:tcPr>
            <w:tcW w:w="2180" w:type="dxa"/>
            <w:vAlign w:val="bottom"/>
            <w:gridSpan w:val="3"/>
          </w:tcPr>
          <w:p>
            <w:pPr>
              <w:jc w:val="right"/>
              <w:ind w:right="540"/>
              <w:spacing w:after="0"/>
              <w:rPr>
                <w:sz w:val="20"/>
                <w:szCs w:val="20"/>
                <w:color w:val="auto"/>
              </w:rPr>
            </w:pPr>
            <w:r>
              <w:rPr>
                <w:rFonts w:ascii="Arial" w:cs="Arial" w:eastAsia="Arial" w:hAnsi="Arial"/>
                <w:sz w:val="18"/>
                <w:szCs w:val="18"/>
                <w:color w:val="auto"/>
              </w:rPr>
              <w:t>8.748%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1,031</w:t>
            </w:r>
          </w:p>
        </w:tc>
        <w:tc>
          <w:tcPr>
            <w:tcW w:w="3180" w:type="dxa"/>
            <w:vAlign w:val="bottom"/>
            <w:gridSpan w:val="2"/>
          </w:tcPr>
          <w:p>
            <w:pPr>
              <w:ind w:left="500"/>
              <w:spacing w:after="0"/>
              <w:rPr>
                <w:sz w:val="20"/>
                <w:szCs w:val="20"/>
                <w:color w:val="auto"/>
              </w:rPr>
            </w:pPr>
            <w:r>
              <w:rPr>
                <w:rFonts w:ascii="Arial" w:cs="Arial" w:eastAsia="Arial" w:hAnsi="Arial"/>
                <w:sz w:val="18"/>
                <w:szCs w:val="18"/>
                <w:color w:val="auto"/>
              </w:rPr>
              <w:t>Bethesda Avenue Row, LLC</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Lancaster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4/1/2077</w:t>
            </w:r>
          </w:p>
        </w:tc>
        <w:tc>
          <w:tcPr>
            <w:tcW w:w="2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3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Manheim Associates</w:t>
            </w:r>
          </w:p>
        </w:tc>
        <w:tc>
          <w:tcPr>
            <w:tcW w:w="0" w:type="dxa"/>
            <w:vAlign w:val="bottom"/>
          </w:tcPr>
          <w:p>
            <w:pPr>
              <w:spacing w:after="0"/>
              <w:rPr>
                <w:sz w:val="1"/>
                <w:szCs w:val="1"/>
                <w:color w:val="auto"/>
              </w:rPr>
            </w:pPr>
          </w:p>
        </w:tc>
      </w:tr>
      <w:tr>
        <w:trPr>
          <w:trHeight w:val="216"/>
        </w:trPr>
        <w:tc>
          <w:tcPr>
            <w:tcW w:w="4200" w:type="dxa"/>
            <w:vAlign w:val="bottom"/>
            <w:gridSpan w:val="2"/>
          </w:tcPr>
          <w:p>
            <w:pPr>
              <w:ind w:left="440"/>
              <w:spacing w:after="0"/>
              <w:rPr>
                <w:sz w:val="20"/>
                <w:szCs w:val="20"/>
                <w:color w:val="auto"/>
              </w:rPr>
            </w:pPr>
            <w:r>
              <w:rPr>
                <w:rFonts w:ascii="Arial" w:cs="Arial" w:eastAsia="Arial" w:hAnsi="Arial"/>
                <w:sz w:val="18"/>
                <w:szCs w:val="18"/>
                <w:color w:val="auto"/>
              </w:rPr>
              <w:t>Mercer Mall</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9/30/2028</w:t>
            </w:r>
          </w:p>
        </w:tc>
        <w:tc>
          <w:tcPr>
            <w:tcW w:w="2180" w:type="dxa"/>
            <w:vAlign w:val="bottom"/>
            <w:gridSpan w:val="3"/>
          </w:tcPr>
          <w:p>
            <w:pPr>
              <w:jc w:val="right"/>
              <w:ind w:right="54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51,294</w:t>
            </w:r>
          </w:p>
        </w:tc>
        <w:tc>
          <w:tcPr>
            <w:tcW w:w="3180" w:type="dxa"/>
            <w:vAlign w:val="bottom"/>
            <w:gridSpan w:val="2"/>
          </w:tcPr>
          <w:p>
            <w:pPr>
              <w:ind w:left="500"/>
              <w:spacing w:after="0"/>
              <w:rPr>
                <w:sz w:val="20"/>
                <w:szCs w:val="20"/>
                <w:color w:val="auto"/>
              </w:rPr>
            </w:pPr>
            <w:r>
              <w:rPr>
                <w:rFonts w:ascii="Arial" w:cs="Arial" w:eastAsia="Arial" w:hAnsi="Arial"/>
                <w:sz w:val="18"/>
                <w:szCs w:val="18"/>
                <w:color w:val="auto"/>
              </w:rPr>
              <w:t>Mercer Mall Property Group, LP</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Village at Shirlington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8/1/2106</w:t>
            </w:r>
          </w:p>
        </w:tc>
        <w:tc>
          <w:tcPr>
            <w:tcW w:w="2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3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United Dominion Realty, L.P.</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63,492</w:t>
            </w:r>
          </w:p>
        </w:tc>
        <w:tc>
          <w:tcPr>
            <w:tcW w:w="5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right="140" w:hanging="452"/>
        <w:spacing w:after="0" w:line="254" w:lineRule="auto"/>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Mortgage loans do not include our 30% share ($24.4 million) of the $81.4 million debt of the partnership with a discretionary fund created and advised by ING Clarion Partners.</w:t>
      </w:r>
    </w:p>
    <w:p>
      <w:pPr>
        <w:ind w:left="460" w:hanging="452"/>
        <w:spacing w:after="0"/>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On January 5, 2009, we repaid the $4.4 million mortgage with funds borrowed on our $300 million revolving credit facility.</w:t>
      </w:r>
    </w:p>
    <w:p>
      <w:pPr>
        <w:spacing w:after="0" w:line="9" w:lineRule="exact"/>
        <w:rPr>
          <w:rFonts w:ascii="Arial" w:cs="Arial" w:eastAsia="Arial" w:hAnsi="Arial"/>
          <w:sz w:val="18"/>
          <w:szCs w:val="18"/>
          <w:color w:val="auto"/>
        </w:rPr>
      </w:pPr>
    </w:p>
    <w:p>
      <w:pPr>
        <w:ind w:left="460" w:right="320" w:hanging="452"/>
        <w:spacing w:after="0" w:line="281" w:lineRule="auto"/>
        <w:tabs>
          <w:tab w:leader="none" w:pos="46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interest-only loan of $4.35 million at a stated rate of 6.18% and the remaining balance at a stated rate of 5.96%.</w:t>
      </w:r>
    </w:p>
    <w:p>
      <w:pPr>
        <w:spacing w:after="0" w:line="1" w:lineRule="exact"/>
        <w:rPr>
          <w:rFonts w:ascii="Arial" w:cs="Arial" w:eastAsia="Arial" w:hAnsi="Arial"/>
          <w:sz w:val="16"/>
          <w:szCs w:val="16"/>
          <w:color w:val="auto"/>
        </w:rPr>
      </w:pPr>
    </w:p>
    <w:p>
      <w:pPr>
        <w:jc w:val="both"/>
        <w:ind w:left="460" w:right="100" w:hanging="452"/>
        <w:spacing w:after="0" w:line="250" w:lineRule="auto"/>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60" w:hanging="452"/>
        <w:spacing w:after="0" w:line="250" w:lineRule="auto"/>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July 2008, we exercised our option and extended the maturity date to November 6, 2009. On February 21, 2008, we entered into two interest rate swap agreements to fix the variable portion of this debt through November 6, 2008. The first swap fixed the variable rate at 2.725% on a notional amount of $100 million and the second swap fixed the variable rate at 2.852% on a notional amount of $100 million for a combined fixed rate of 2.789% through November 6, 2008. The weighted average effective rate, before amortization of debt fees, was 3.21% and 3.56% for the three months and year ended December 31, 2008, respectively.</w:t>
      </w:r>
    </w:p>
    <w:p>
      <w:pPr>
        <w:spacing w:after="0" w:line="2"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weighted average effective interest rate, before amortization of debt fees, was 3.07% and 3.04% for the three months and year ended December 31, 2008, respectively. This credit facility matures on July 27, 2010, subject to a one-year extension at our option.</w:t>
      </w:r>
    </w:p>
    <w:p>
      <w:pPr>
        <w:ind w:left="460" w:hanging="452"/>
        <w:spacing w:after="0"/>
        <w:tabs>
          <w:tab w:leader="none" w:pos="46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3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On January 12, 2009 and February 5, 2009, we purchased and retired $5.0 million and $0.9 million, respectively, of the outstanding $175.0 million balance using funds borrowed on our $300 million revolving credit facility.</w:t>
      </w:r>
    </w:p>
    <w:p>
      <w:pPr>
        <w:ind w:left="460" w:right="80" w:hanging="452"/>
        <w:spacing w:after="0" w:line="250" w:lineRule="auto"/>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On August 15, 2008, one of the holders redeemed $20.8 million of the outstanding $50.0 million balance. The notice period for additional redemptions has expired.</w:t>
      </w:r>
    </w:p>
    <w:p>
      <w:pPr>
        <w:ind w:left="460" w:hanging="452"/>
        <w:spacing w:after="0"/>
        <w:tabs>
          <w:tab w:leader="none" w:pos="46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weighted average effective interest rate includes the amortization of any deferred financing fees, discounts and premiums, if applicable.</w:t>
      </w:r>
    </w:p>
    <w:p>
      <w:pPr>
        <w:spacing w:after="0" w:line="32"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weighted average effective interest rate excludes $0.1 million in quarterly financing fees on our revolving credit facility which had a $123.5 million balance on December 31, 2008.</w:t>
      </w:r>
    </w:p>
    <w:p>
      <w:pPr>
        <w:ind w:left="460" w:right="120" w:hanging="452"/>
        <w:spacing w:after="0" w:line="254" w:lineRule="auto"/>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or premium and expense and the portion of rent expense representing an interest factor. EBITDA includes $5.1 million and $12.6 million in gain on sale for the three months and year ended December 31, 2008, and $95.8 million and $94.8 million in gain on sale for the three months and year ended December 31, 2007, respectively. Adjusted EBITDA is reconciled to net income in the Glossary of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90" w:lineRule="exact"/>
        <w:rPr>
          <w:sz w:val="20"/>
          <w:szCs w:val="20"/>
          <w:color w:val="auto"/>
        </w:rPr>
      </w:pPr>
    </w:p>
    <w:p>
      <w:pPr>
        <w:ind w:right="40" w:firstLine="8"/>
        <w:spacing w:after="0" w:line="256" w:lineRule="auto"/>
        <w:tabs>
          <w:tab w:leader="none" w:pos="17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San Antonio TIF - If the tax revenues within the TIF zone are not sufficient to pay debt service on obligations issued by the City of San Antonio that were used to fund public improvements around properties we own in the TIF distict, we would be required to provide funding for the shortfall. Funding obligation applied from 10/1/02 through 9/30/14. We do not anticipate the funding obligation to exceed $600,000 in any one year or $3 million in aggregate and don’t anticipate any further funding obligations at this time.</w:t>
      </w:r>
    </w:p>
    <w:p>
      <w:pPr>
        <w:spacing w:after="0" w:line="143" w:lineRule="exact"/>
        <w:rPr>
          <w:rFonts w:ascii="Arial" w:cs="Arial" w:eastAsia="Arial" w:hAnsi="Arial"/>
          <w:sz w:val="18"/>
          <w:szCs w:val="18"/>
          <w:color w:val="auto"/>
        </w:rPr>
      </w:pPr>
    </w:p>
    <w:p>
      <w:pPr>
        <w:ind w:right="320" w:firstLine="8"/>
        <w:spacing w:after="0" w:line="259" w:lineRule="auto"/>
        <w:tabs>
          <w:tab w:leader="none" w:pos="17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Redevelopment Bonds - in connection with current redevelopment projects, local governmental authorities typically require deposting a bond to secure performance on work on public infrastructure. If we fail to perform the work or perform faulty work, we may be obligated to pay on these bonds. The amount outstanding under these bonds as of February 27, 2009 is $6,212,531.</w:t>
      </w:r>
    </w:p>
    <w:p>
      <w:pPr>
        <w:sectPr>
          <w:pgSz w:w="11900" w:h="16838" w:orient="portrait"/>
          <w:cols w:equalWidth="0" w:num="1">
            <w:col w:w="11420"/>
          </w:cols>
          <w:pgMar w:left="240" w:top="274" w:right="239" w:bottom="1440" w:gutter="0" w:footer="0" w:header="0"/>
        </w:sectPr>
      </w:pPr>
    </w:p>
    <w:bookmarkStart w:id="520" w:name="page521"/>
    <w:bookmarkEnd w:id="5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recently issued a tentative ruling awarding damages to the plaintiff of $14.4 million plus interest. We are currently in the process of filing briefs with the court that will, among other things, identify issues with the calculation of the tentative damages award and provide a calculation of interest that due on the tentative damages award. The plaintiff has provided an initial estimate of interest of between $6.5 million and $8 million. We have not fully reviewed the plaintiff’s estimate nor has it been submitted to the court. We expect to record for this matter in first quarter 2009 a reduction to our earnings in amount equal to the tentative damage award plus an estimate of interest. We have not yet concluded the work necessary to determine the final amount that we will record. In any event, management does not believe it will have a material impact on our financial position. We continue to believe that the “Final Proposal” which included express language that it was subject to formal documentation was not a binding contract and that we should have no liability whatsoever. Accordingly, we intend to appeal the judgment once the final judgment on damages is entered.</w:t>
      </w:r>
    </w:p>
    <w:p>
      <w:pPr>
        <w:sectPr>
          <w:pgSz w:w="11900" w:h="16838" w:orient="portrait"/>
          <w:cols w:equalWidth="0" w:num="1">
            <w:col w:w="11420"/>
          </w:cols>
          <w:pgMar w:left="240" w:top="273" w:right="239" w:bottom="1440" w:gutter="0" w:footer="0" w:header="0"/>
        </w:sectPr>
      </w:pPr>
    </w:p>
    <w:bookmarkStart w:id="521" w:name="page522"/>
    <w:bookmarkEnd w:id="5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4,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3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auto"/>
              </w:rPr>
              <w:t>City</w:t>
            </w:r>
          </w:p>
        </w:tc>
        <w:tc>
          <w:tcPr>
            <w:tcW w:w="400" w:type="dxa"/>
            <w:vAlign w:val="bottom"/>
            <w:gridSpan w:val="2"/>
          </w:tcPr>
          <w:p>
            <w:pPr>
              <w:ind w:left="120"/>
              <w:spacing w:after="0"/>
              <w:rPr>
                <w:sz w:val="20"/>
                <w:szCs w:val="20"/>
                <w:color w:val="auto"/>
              </w:rPr>
            </w:pPr>
            <w:r>
              <w:rPr>
                <w:rFonts w:ascii="Arial" w:cs="Arial" w:eastAsia="Arial" w:hAnsi="Arial"/>
                <w:sz w:val="14"/>
                <w:szCs w:val="14"/>
                <w:b w:val="1"/>
                <w:bCs w:val="1"/>
                <w:color w:val="auto"/>
              </w:rPr>
              <w:t>ST</w:t>
            </w:r>
          </w:p>
        </w:tc>
        <w:tc>
          <w:tcPr>
            <w:tcW w:w="1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Multifamily</w:t>
            </w:r>
          </w:p>
        </w:tc>
        <w:tc>
          <w:tcPr>
            <w:tcW w:w="1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Eligible Property Exceptions</w:t>
            </w:r>
          </w:p>
        </w:tc>
      </w:tr>
      <w:tr>
        <w:trPr>
          <w:trHeight w:val="27"/>
        </w:trPr>
        <w:tc>
          <w:tcPr>
            <w:tcW w:w="920" w:type="dxa"/>
            <w:vAlign w:val="bottom"/>
            <w:gridSpan w:val="2"/>
            <w:shd w:val="clear" w:color="auto" w:fill="000000"/>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r>
      <w:tr>
        <w:trPr>
          <w:trHeight w:val="3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010-1002</w:t>
            </w:r>
          </w:p>
        </w:tc>
        <w:tc>
          <w:tcPr>
            <w:tcW w:w="4340" w:type="dxa"/>
            <w:vAlign w:val="bottom"/>
          </w:tcPr>
          <w:p>
            <w:pPr>
              <w:spacing w:after="0"/>
              <w:rPr>
                <w:sz w:val="20"/>
                <w:szCs w:val="20"/>
                <w:color w:val="auto"/>
              </w:rPr>
            </w:pPr>
            <w:r>
              <w:rPr>
                <w:rFonts w:ascii="Arial" w:cs="Arial" w:eastAsia="Arial" w:hAnsi="Arial"/>
                <w:sz w:val="18"/>
                <w:szCs w:val="18"/>
                <w:color w:val="auto"/>
              </w:rPr>
              <w:t>Andorra Shopping Center</w:t>
            </w: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Philadelphia</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PA</w:t>
            </w: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030-1080</w:t>
            </w:r>
          </w:p>
        </w:tc>
        <w:tc>
          <w:tcPr>
            <w:tcW w:w="4340" w:type="dxa"/>
            <w:vAlign w:val="bottom"/>
          </w:tcPr>
          <w:p>
            <w:pPr>
              <w:spacing w:after="0"/>
              <w:rPr>
                <w:sz w:val="20"/>
                <w:szCs w:val="20"/>
                <w:color w:val="auto"/>
              </w:rPr>
            </w:pPr>
            <w:r>
              <w:rPr>
                <w:rFonts w:ascii="Arial" w:cs="Arial" w:eastAsia="Arial" w:hAnsi="Arial"/>
                <w:sz w:val="18"/>
                <w:szCs w:val="18"/>
                <w:color w:val="auto"/>
              </w:rPr>
              <w:t>Congressional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92"/>
              </w:rPr>
              <w:t>MD</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030-1081</w:t>
            </w:r>
          </w:p>
        </w:tc>
        <w:tc>
          <w:tcPr>
            <w:tcW w:w="4340" w:type="dxa"/>
            <w:vAlign w:val="bottom"/>
          </w:tcPr>
          <w:p>
            <w:pPr>
              <w:spacing w:after="0"/>
              <w:rPr>
                <w:sz w:val="20"/>
                <w:szCs w:val="20"/>
                <w:color w:val="auto"/>
              </w:rPr>
            </w:pPr>
            <w:r>
              <w:rPr>
                <w:rFonts w:ascii="Arial" w:cs="Arial" w:eastAsia="Arial" w:hAnsi="Arial"/>
                <w:sz w:val="18"/>
                <w:szCs w:val="18"/>
                <w:color w:val="auto"/>
              </w:rPr>
              <w:t>Congressional Plaza Apartments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92"/>
              </w:rPr>
              <w:t>MD</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Multifamily</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040-1240</w:t>
            </w:r>
          </w:p>
        </w:tc>
        <w:tc>
          <w:tcPr>
            <w:tcW w:w="4340" w:type="dxa"/>
            <w:vAlign w:val="bottom"/>
          </w:tcPr>
          <w:p>
            <w:pPr>
              <w:spacing w:after="0"/>
              <w:rPr>
                <w:sz w:val="20"/>
                <w:szCs w:val="20"/>
                <w:color w:val="auto"/>
              </w:rPr>
            </w:pPr>
            <w:r>
              <w:rPr>
                <w:rFonts w:ascii="Arial" w:cs="Arial" w:eastAsia="Arial" w:hAnsi="Arial"/>
                <w:sz w:val="18"/>
                <w:szCs w:val="18"/>
                <w:color w:val="auto"/>
              </w:rPr>
              <w:t>Governor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Glen Burnie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92"/>
              </w:rPr>
              <w:t>MD</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500-1444</w:t>
            </w:r>
          </w:p>
        </w:tc>
        <w:tc>
          <w:tcPr>
            <w:tcW w:w="4340" w:type="dxa"/>
            <w:vAlign w:val="bottom"/>
          </w:tcPr>
          <w:p>
            <w:pPr>
              <w:spacing w:after="0"/>
              <w:rPr>
                <w:sz w:val="20"/>
                <w:szCs w:val="20"/>
                <w:color w:val="auto"/>
              </w:rPr>
            </w:pPr>
            <w:r>
              <w:rPr>
                <w:rFonts w:ascii="Arial" w:cs="Arial" w:eastAsia="Arial" w:hAnsi="Arial"/>
                <w:sz w:val="18"/>
                <w:szCs w:val="18"/>
                <w:color w:val="auto"/>
              </w:rPr>
              <w:t>Loehmann’s Link Office Bld [1]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500-1445</w:t>
            </w:r>
          </w:p>
        </w:tc>
        <w:tc>
          <w:tcPr>
            <w:tcW w:w="4340" w:type="dxa"/>
            <w:vAlign w:val="bottom"/>
          </w:tcPr>
          <w:p>
            <w:pPr>
              <w:spacing w:after="0"/>
              <w:rPr>
                <w:sz w:val="20"/>
                <w:szCs w:val="20"/>
                <w:color w:val="auto"/>
              </w:rPr>
            </w:pPr>
            <w:r>
              <w:rPr>
                <w:rFonts w:ascii="Arial" w:cs="Arial" w:eastAsia="Arial" w:hAnsi="Arial"/>
                <w:sz w:val="18"/>
                <w:szCs w:val="18"/>
                <w:color w:val="auto"/>
              </w:rPr>
              <w:t>Loehmann’s Link Shopping Ctr [1]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500-1446</w:t>
            </w:r>
          </w:p>
        </w:tc>
        <w:tc>
          <w:tcPr>
            <w:tcW w:w="4340" w:type="dxa"/>
            <w:vAlign w:val="bottom"/>
          </w:tcPr>
          <w:p>
            <w:pPr>
              <w:spacing w:after="0"/>
              <w:rPr>
                <w:sz w:val="20"/>
                <w:szCs w:val="20"/>
                <w:color w:val="auto"/>
              </w:rPr>
            </w:pPr>
            <w:r>
              <w:rPr>
                <w:rFonts w:ascii="Arial" w:cs="Arial" w:eastAsia="Arial" w:hAnsi="Arial"/>
                <w:sz w:val="18"/>
                <w:szCs w:val="18"/>
                <w:color w:val="auto"/>
              </w:rPr>
              <w:t>Loehmann’s Redstone Office Bld [1]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500-1447</w:t>
            </w:r>
          </w:p>
        </w:tc>
        <w:tc>
          <w:tcPr>
            <w:tcW w:w="4340" w:type="dxa"/>
            <w:vAlign w:val="bottom"/>
          </w:tcPr>
          <w:p>
            <w:pPr>
              <w:spacing w:after="0"/>
              <w:rPr>
                <w:sz w:val="20"/>
                <w:szCs w:val="20"/>
                <w:color w:val="auto"/>
              </w:rPr>
            </w:pPr>
            <w:r>
              <w:rPr>
                <w:rFonts w:ascii="Arial" w:cs="Arial" w:eastAsia="Arial" w:hAnsi="Arial"/>
                <w:sz w:val="18"/>
                <w:szCs w:val="18"/>
                <w:color w:val="auto"/>
              </w:rPr>
              <w:t>Loehmann’s Redstone Shop Ctr [1]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080-1600</w:t>
            </w:r>
          </w:p>
        </w:tc>
        <w:tc>
          <w:tcPr>
            <w:tcW w:w="4340" w:type="dxa"/>
            <w:vAlign w:val="bottom"/>
          </w:tcPr>
          <w:p>
            <w:pPr>
              <w:spacing w:after="0"/>
              <w:rPr>
                <w:sz w:val="20"/>
                <w:szCs w:val="20"/>
                <w:color w:val="auto"/>
              </w:rPr>
            </w:pPr>
            <w:r>
              <w:rPr>
                <w:rFonts w:ascii="Arial" w:cs="Arial" w:eastAsia="Arial" w:hAnsi="Arial"/>
                <w:sz w:val="18"/>
                <w:szCs w:val="18"/>
                <w:color w:val="auto"/>
              </w:rPr>
              <w:t>Perring Plaza</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Baltimore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92"/>
              </w:rPr>
              <w:t>MD</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090-1190</w:t>
            </w:r>
          </w:p>
        </w:tc>
        <w:tc>
          <w:tcPr>
            <w:tcW w:w="4340" w:type="dxa"/>
            <w:vAlign w:val="bottom"/>
          </w:tcPr>
          <w:p>
            <w:pPr>
              <w:spacing w:after="0"/>
              <w:rPr>
                <w:sz w:val="20"/>
                <w:szCs w:val="20"/>
                <w:color w:val="auto"/>
              </w:rPr>
            </w:pPr>
            <w:r>
              <w:rPr>
                <w:rFonts w:ascii="Arial" w:cs="Arial" w:eastAsia="Arial" w:hAnsi="Arial"/>
                <w:sz w:val="18"/>
                <w:szCs w:val="18"/>
                <w:color w:val="auto"/>
              </w:rPr>
              <w:t>Escondido Promenade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Escondido</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100-1630</w:t>
            </w:r>
          </w:p>
        </w:tc>
        <w:tc>
          <w:tcPr>
            <w:tcW w:w="4340" w:type="dxa"/>
            <w:vAlign w:val="bottom"/>
          </w:tcPr>
          <w:p>
            <w:pPr>
              <w:spacing w:after="0"/>
              <w:rPr>
                <w:sz w:val="20"/>
                <w:szCs w:val="20"/>
                <w:color w:val="auto"/>
              </w:rPr>
            </w:pPr>
            <w:r>
              <w:rPr>
                <w:rFonts w:ascii="Arial" w:cs="Arial" w:eastAsia="Arial" w:hAnsi="Arial"/>
                <w:sz w:val="18"/>
                <w:szCs w:val="18"/>
                <w:color w:val="auto"/>
              </w:rPr>
              <w:t>Santana Row Bld 1-Retail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100-1632</w:t>
            </w:r>
          </w:p>
        </w:tc>
        <w:tc>
          <w:tcPr>
            <w:tcW w:w="4340" w:type="dxa"/>
            <w:vAlign w:val="bottom"/>
          </w:tcPr>
          <w:p>
            <w:pPr>
              <w:spacing w:after="0"/>
              <w:rPr>
                <w:sz w:val="20"/>
                <w:szCs w:val="20"/>
                <w:color w:val="auto"/>
              </w:rPr>
            </w:pPr>
            <w:r>
              <w:rPr>
                <w:rFonts w:ascii="Arial" w:cs="Arial" w:eastAsia="Arial" w:hAnsi="Arial"/>
                <w:sz w:val="18"/>
                <w:szCs w:val="18"/>
                <w:color w:val="auto"/>
              </w:rPr>
              <w:t>Santana Row Bld IB-Retail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100-1634</w:t>
            </w:r>
          </w:p>
        </w:tc>
        <w:tc>
          <w:tcPr>
            <w:tcW w:w="4340" w:type="dxa"/>
            <w:vAlign w:val="bottom"/>
          </w:tcPr>
          <w:p>
            <w:pPr>
              <w:spacing w:after="0"/>
              <w:rPr>
                <w:sz w:val="20"/>
                <w:szCs w:val="20"/>
                <w:color w:val="auto"/>
              </w:rPr>
            </w:pPr>
            <w:r>
              <w:rPr>
                <w:rFonts w:ascii="Arial" w:cs="Arial" w:eastAsia="Arial" w:hAnsi="Arial"/>
                <w:sz w:val="18"/>
                <w:szCs w:val="18"/>
                <w:color w:val="auto"/>
              </w:rPr>
              <w:t>Santana Row Bld 1C-Retail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100-1638</w:t>
            </w:r>
          </w:p>
        </w:tc>
        <w:tc>
          <w:tcPr>
            <w:tcW w:w="4340" w:type="dxa"/>
            <w:vAlign w:val="bottom"/>
          </w:tcPr>
          <w:p>
            <w:pPr>
              <w:spacing w:after="0"/>
              <w:rPr>
                <w:sz w:val="20"/>
                <w:szCs w:val="20"/>
                <w:color w:val="auto"/>
              </w:rPr>
            </w:pPr>
            <w:r>
              <w:rPr>
                <w:rFonts w:ascii="Arial" w:cs="Arial" w:eastAsia="Arial" w:hAnsi="Arial"/>
                <w:sz w:val="18"/>
                <w:szCs w:val="18"/>
                <w:color w:val="auto"/>
              </w:rPr>
              <w:t>Santana Row Bld 3-Retail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100-1642</w:t>
            </w:r>
          </w:p>
        </w:tc>
        <w:tc>
          <w:tcPr>
            <w:tcW w:w="4340" w:type="dxa"/>
            <w:vAlign w:val="bottom"/>
          </w:tcPr>
          <w:p>
            <w:pPr>
              <w:spacing w:after="0"/>
              <w:rPr>
                <w:sz w:val="20"/>
                <w:szCs w:val="20"/>
                <w:color w:val="auto"/>
              </w:rPr>
            </w:pPr>
            <w:r>
              <w:rPr>
                <w:rFonts w:ascii="Arial" w:cs="Arial" w:eastAsia="Arial" w:hAnsi="Arial"/>
                <w:sz w:val="18"/>
                <w:szCs w:val="18"/>
                <w:color w:val="auto"/>
              </w:rPr>
              <w:t>Santana Row Bld 4-Retail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100-1644</w:t>
            </w:r>
          </w:p>
        </w:tc>
        <w:tc>
          <w:tcPr>
            <w:tcW w:w="4340" w:type="dxa"/>
            <w:vAlign w:val="bottom"/>
          </w:tcPr>
          <w:p>
            <w:pPr>
              <w:spacing w:after="0"/>
              <w:rPr>
                <w:sz w:val="20"/>
                <w:szCs w:val="20"/>
                <w:color w:val="auto"/>
              </w:rPr>
            </w:pPr>
            <w:r>
              <w:rPr>
                <w:rFonts w:ascii="Arial" w:cs="Arial" w:eastAsia="Arial" w:hAnsi="Arial"/>
                <w:sz w:val="18"/>
                <w:szCs w:val="18"/>
                <w:color w:val="auto"/>
              </w:rPr>
              <w:t>Santana Row Bld 5-Retail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100-1645</w:t>
            </w:r>
          </w:p>
        </w:tc>
        <w:tc>
          <w:tcPr>
            <w:tcW w:w="4340" w:type="dxa"/>
            <w:vAlign w:val="bottom"/>
          </w:tcPr>
          <w:p>
            <w:pPr>
              <w:spacing w:after="0"/>
              <w:rPr>
                <w:sz w:val="20"/>
                <w:szCs w:val="20"/>
                <w:color w:val="auto"/>
              </w:rPr>
            </w:pPr>
            <w:r>
              <w:rPr>
                <w:rFonts w:ascii="Arial" w:cs="Arial" w:eastAsia="Arial" w:hAnsi="Arial"/>
                <w:sz w:val="18"/>
                <w:szCs w:val="18"/>
                <w:color w:val="auto"/>
              </w:rPr>
              <w:t>Santana Row Bld 5-Hotel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100-1646</w:t>
            </w:r>
          </w:p>
        </w:tc>
        <w:tc>
          <w:tcPr>
            <w:tcW w:w="4340" w:type="dxa"/>
            <w:vAlign w:val="bottom"/>
          </w:tcPr>
          <w:p>
            <w:pPr>
              <w:spacing w:after="0"/>
              <w:rPr>
                <w:sz w:val="20"/>
                <w:szCs w:val="20"/>
                <w:color w:val="auto"/>
              </w:rPr>
            </w:pPr>
            <w:r>
              <w:rPr>
                <w:rFonts w:ascii="Arial" w:cs="Arial" w:eastAsia="Arial" w:hAnsi="Arial"/>
                <w:sz w:val="18"/>
                <w:szCs w:val="18"/>
                <w:color w:val="auto"/>
              </w:rPr>
              <w:t>Santana Row Bld 6A-Retail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100-1650</w:t>
            </w:r>
          </w:p>
        </w:tc>
        <w:tc>
          <w:tcPr>
            <w:tcW w:w="4340" w:type="dxa"/>
            <w:vAlign w:val="bottom"/>
          </w:tcPr>
          <w:p>
            <w:pPr>
              <w:spacing w:after="0"/>
              <w:rPr>
                <w:sz w:val="20"/>
                <w:szCs w:val="20"/>
                <w:color w:val="auto"/>
              </w:rPr>
            </w:pPr>
            <w:r>
              <w:rPr>
                <w:rFonts w:ascii="Arial" w:cs="Arial" w:eastAsia="Arial" w:hAnsi="Arial"/>
                <w:sz w:val="18"/>
                <w:szCs w:val="18"/>
                <w:color w:val="auto"/>
              </w:rPr>
              <w:t>Santana Row Bld 7-Retail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100-1652</w:t>
            </w:r>
          </w:p>
        </w:tc>
        <w:tc>
          <w:tcPr>
            <w:tcW w:w="4340" w:type="dxa"/>
            <w:vAlign w:val="bottom"/>
          </w:tcPr>
          <w:p>
            <w:pPr>
              <w:spacing w:after="0"/>
              <w:rPr>
                <w:sz w:val="20"/>
                <w:szCs w:val="20"/>
                <w:color w:val="auto"/>
              </w:rPr>
            </w:pPr>
            <w:r>
              <w:rPr>
                <w:rFonts w:ascii="Arial" w:cs="Arial" w:eastAsia="Arial" w:hAnsi="Arial"/>
                <w:sz w:val="18"/>
                <w:szCs w:val="18"/>
                <w:color w:val="auto"/>
              </w:rPr>
              <w:t>Santana Row Bld 8A-Retail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100-1662</w:t>
            </w:r>
          </w:p>
        </w:tc>
        <w:tc>
          <w:tcPr>
            <w:tcW w:w="4340" w:type="dxa"/>
            <w:vAlign w:val="bottom"/>
          </w:tcPr>
          <w:p>
            <w:pPr>
              <w:spacing w:after="0"/>
              <w:rPr>
                <w:sz w:val="20"/>
                <w:szCs w:val="20"/>
                <w:color w:val="auto"/>
              </w:rPr>
            </w:pPr>
            <w:r>
              <w:rPr>
                <w:rFonts w:ascii="Arial" w:cs="Arial" w:eastAsia="Arial" w:hAnsi="Arial"/>
                <w:sz w:val="18"/>
                <w:szCs w:val="18"/>
                <w:color w:val="auto"/>
              </w:rPr>
              <w:t>Santana Row Bld 11A-Retail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100-1668</w:t>
            </w:r>
          </w:p>
        </w:tc>
        <w:tc>
          <w:tcPr>
            <w:tcW w:w="4340" w:type="dxa"/>
            <w:vAlign w:val="bottom"/>
          </w:tcPr>
          <w:p>
            <w:pPr>
              <w:spacing w:after="0"/>
              <w:rPr>
                <w:sz w:val="20"/>
                <w:szCs w:val="20"/>
                <w:color w:val="auto"/>
              </w:rPr>
            </w:pPr>
            <w:r>
              <w:rPr>
                <w:rFonts w:ascii="Arial" w:cs="Arial" w:eastAsia="Arial" w:hAnsi="Arial"/>
                <w:sz w:val="18"/>
                <w:szCs w:val="18"/>
                <w:color w:val="auto"/>
              </w:rPr>
              <w:t>Santana Row Bld 13/15 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100-1674</w:t>
            </w:r>
          </w:p>
        </w:tc>
        <w:tc>
          <w:tcPr>
            <w:tcW w:w="4340" w:type="dxa"/>
            <w:vAlign w:val="bottom"/>
          </w:tcPr>
          <w:p>
            <w:pPr>
              <w:spacing w:after="0"/>
              <w:rPr>
                <w:sz w:val="20"/>
                <w:szCs w:val="20"/>
                <w:color w:val="auto"/>
              </w:rPr>
            </w:pPr>
            <w:r>
              <w:rPr>
                <w:rFonts w:ascii="Arial" w:cs="Arial" w:eastAsia="Arial" w:hAnsi="Arial"/>
                <w:sz w:val="18"/>
                <w:szCs w:val="18"/>
                <w:color w:val="auto"/>
              </w:rPr>
              <w:t>Santana Row Bld K-Retail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100-1651</w:t>
            </w:r>
          </w:p>
        </w:tc>
        <w:tc>
          <w:tcPr>
            <w:tcW w:w="4340" w:type="dxa"/>
            <w:vAlign w:val="bottom"/>
          </w:tcPr>
          <w:p>
            <w:pPr>
              <w:spacing w:after="0"/>
              <w:rPr>
                <w:sz w:val="20"/>
                <w:szCs w:val="20"/>
                <w:color w:val="auto"/>
              </w:rPr>
            </w:pPr>
            <w:r>
              <w:rPr>
                <w:rFonts w:ascii="Arial" w:cs="Arial" w:eastAsia="Arial" w:hAnsi="Arial"/>
                <w:sz w:val="18"/>
                <w:szCs w:val="18"/>
                <w:color w:val="auto"/>
              </w:rPr>
              <w:t>Santana Row Bld 7-Residential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Multifamily</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100-1653</w:t>
            </w:r>
          </w:p>
        </w:tc>
        <w:tc>
          <w:tcPr>
            <w:tcW w:w="4340" w:type="dxa"/>
            <w:vAlign w:val="bottom"/>
          </w:tcPr>
          <w:p>
            <w:pPr>
              <w:spacing w:after="0"/>
              <w:rPr>
                <w:sz w:val="20"/>
                <w:szCs w:val="20"/>
                <w:color w:val="auto"/>
              </w:rPr>
            </w:pPr>
            <w:r>
              <w:rPr>
                <w:rFonts w:ascii="Arial" w:cs="Arial" w:eastAsia="Arial" w:hAnsi="Arial"/>
                <w:sz w:val="18"/>
                <w:szCs w:val="18"/>
                <w:color w:val="auto"/>
              </w:rPr>
              <w:t>Santana Row Bld 8A-Residential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Multifamily</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100-1663</w:t>
            </w:r>
          </w:p>
        </w:tc>
        <w:tc>
          <w:tcPr>
            <w:tcW w:w="4340" w:type="dxa"/>
            <w:vAlign w:val="bottom"/>
          </w:tcPr>
          <w:p>
            <w:pPr>
              <w:spacing w:after="0"/>
              <w:rPr>
                <w:sz w:val="20"/>
                <w:szCs w:val="20"/>
                <w:color w:val="auto"/>
              </w:rPr>
            </w:pPr>
            <w:r>
              <w:rPr>
                <w:rFonts w:ascii="Arial" w:cs="Arial" w:eastAsia="Arial" w:hAnsi="Arial"/>
                <w:sz w:val="18"/>
                <w:szCs w:val="18"/>
                <w:color w:val="auto"/>
              </w:rPr>
              <w:t>Santana Row Bld 11A-Res/Office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100-1669</w:t>
            </w:r>
          </w:p>
        </w:tc>
        <w:tc>
          <w:tcPr>
            <w:tcW w:w="4340" w:type="dxa"/>
            <w:vAlign w:val="bottom"/>
          </w:tcPr>
          <w:p>
            <w:pPr>
              <w:spacing w:after="0"/>
              <w:rPr>
                <w:sz w:val="20"/>
                <w:szCs w:val="20"/>
                <w:color w:val="auto"/>
              </w:rPr>
            </w:pPr>
            <w:r>
              <w:rPr>
                <w:rFonts w:ascii="Arial" w:cs="Arial" w:eastAsia="Arial" w:hAnsi="Arial"/>
                <w:sz w:val="18"/>
                <w:szCs w:val="18"/>
                <w:color w:val="auto"/>
              </w:rPr>
              <w:t>Santana Row Bld 13/15 Res/Off</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100-1692</w:t>
            </w:r>
          </w:p>
        </w:tc>
        <w:tc>
          <w:tcPr>
            <w:tcW w:w="4340" w:type="dxa"/>
            <w:vAlign w:val="bottom"/>
          </w:tcPr>
          <w:p>
            <w:pPr>
              <w:spacing w:after="0"/>
              <w:rPr>
                <w:sz w:val="20"/>
                <w:szCs w:val="20"/>
                <w:color w:val="auto"/>
              </w:rPr>
            </w:pPr>
            <w:r>
              <w:rPr>
                <w:rFonts w:ascii="Arial" w:cs="Arial" w:eastAsia="Arial" w:hAnsi="Arial"/>
                <w:sz w:val="18"/>
                <w:szCs w:val="18"/>
                <w:color w:val="auto"/>
              </w:rPr>
              <w:t>Santana Row - 300 Santana Row</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110-1605</w:t>
            </w:r>
          </w:p>
        </w:tc>
        <w:tc>
          <w:tcPr>
            <w:tcW w:w="4340" w:type="dxa"/>
            <w:vAlign w:val="bottom"/>
          </w:tcPr>
          <w:p>
            <w:pPr>
              <w:spacing w:after="0"/>
              <w:rPr>
                <w:sz w:val="20"/>
                <w:szCs w:val="20"/>
                <w:color w:val="auto"/>
              </w:rPr>
            </w:pPr>
            <w:r>
              <w:rPr>
                <w:rFonts w:ascii="Arial" w:cs="Arial" w:eastAsia="Arial" w:hAnsi="Arial"/>
                <w:sz w:val="18"/>
                <w:szCs w:val="18"/>
                <w:color w:val="auto"/>
              </w:rPr>
              <w:t>Pike 7</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4"/>
              </w:rPr>
              <w:t>Tysons Corner</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VA</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160-1800</w:t>
            </w:r>
          </w:p>
        </w:tc>
        <w:tc>
          <w:tcPr>
            <w:tcW w:w="4340" w:type="dxa"/>
            <w:vAlign w:val="bottom"/>
          </w:tcPr>
          <w:p>
            <w:pPr>
              <w:spacing w:after="0"/>
              <w:rPr>
                <w:sz w:val="20"/>
                <w:szCs w:val="20"/>
                <w:color w:val="auto"/>
              </w:rPr>
            </w:pPr>
            <w:r>
              <w:rPr>
                <w:rFonts w:ascii="Arial" w:cs="Arial" w:eastAsia="Arial" w:hAnsi="Arial"/>
                <w:sz w:val="18"/>
                <w:szCs w:val="18"/>
                <w:color w:val="auto"/>
              </w:rPr>
              <w:t>Westgate Mall</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CA</w:t>
            </w:r>
          </w:p>
        </w:tc>
        <w:tc>
          <w:tcPr>
            <w:tcW w:w="1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274" w:right="239" w:bottom="1440" w:gutter="0" w:footer="0" w:header="0"/>
        </w:sectPr>
      </w:pPr>
    </w:p>
    <w:bookmarkStart w:id="522" w:name="page523"/>
    <w:bookmarkEnd w:id="522"/>
    <w:p>
      <w:pPr>
        <w:spacing w:after="0"/>
        <w:rPr>
          <w:sz w:val="20"/>
          <w:szCs w:val="20"/>
          <w:color w:val="auto"/>
        </w:rPr>
      </w:pPr>
      <w:r>
        <w:rPr>
          <w:rFonts w:ascii="Arial" w:cs="Arial" w:eastAsia="Arial" w:hAnsi="Arial"/>
          <w:sz w:val="18"/>
          <w:szCs w:val="18"/>
          <w:b w:val="1"/>
          <w:bCs w:val="1"/>
          <w:color w:val="auto"/>
        </w:rPr>
        <w:t>SCHEDULE 6.1(x)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4, 2009</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w:t>
      </w:r>
    </w:p>
    <w:p>
      <w:pPr>
        <w:spacing w:after="0" w:line="1"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30195"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830195" cy="17145"/>
                    </a:xfrm>
                    <a:prstGeom prst="rect">
                      <a:avLst/>
                    </a:prstGeom>
                    <a:noFill/>
                  </pic:spPr>
                </pic:pic>
              </a:graphicData>
            </a:graphic>
          </wp:anchor>
        </w:drawing>
      </w:r>
    </w:p>
    <w:p>
      <w:pPr>
        <w:spacing w:after="0" w:line="94"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170-1730</w:t>
      </w:r>
      <w:r>
        <w:rPr>
          <w:sz w:val="20"/>
          <w:szCs w:val="20"/>
          <w:color w:val="auto"/>
        </w:rPr>
        <w:tab/>
      </w:r>
      <w:r>
        <w:rPr>
          <w:rFonts w:ascii="Arial" w:cs="Arial" w:eastAsia="Arial" w:hAnsi="Arial"/>
          <w:sz w:val="16"/>
          <w:szCs w:val="16"/>
          <w:color w:val="auto"/>
        </w:rPr>
        <w:t>Assembly Sq Dev(Foley, Sturtevant, Amerigas</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Land)</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170-1732</w:t>
      </w:r>
      <w:r>
        <w:rPr>
          <w:sz w:val="20"/>
          <w:szCs w:val="20"/>
          <w:color w:val="auto"/>
        </w:rPr>
        <w:tab/>
      </w:r>
      <w:r>
        <w:rPr>
          <w:rFonts w:ascii="Arial" w:cs="Arial" w:eastAsia="Arial" w:hAnsi="Arial"/>
          <w:sz w:val="15"/>
          <w:szCs w:val="15"/>
          <w:color w:val="auto"/>
        </w:rPr>
        <w:t>147 Foley Street</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180-1008</w:t>
      </w:r>
      <w:r>
        <w:rPr>
          <w:sz w:val="20"/>
          <w:szCs w:val="20"/>
          <w:color w:val="auto"/>
        </w:rPr>
        <w:tab/>
      </w:r>
      <w:r>
        <w:rPr>
          <w:rFonts w:ascii="Arial" w:cs="Arial" w:eastAsia="Arial" w:hAnsi="Arial"/>
          <w:sz w:val="15"/>
          <w:szCs w:val="15"/>
          <w:color w:val="auto"/>
        </w:rPr>
        <w:t>Assembly Square</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194-1940</w:t>
      </w:r>
      <w:r>
        <w:rPr>
          <w:sz w:val="20"/>
          <w:szCs w:val="20"/>
          <w:color w:val="auto"/>
        </w:rPr>
        <w:tab/>
      </w:r>
      <w:r>
        <w:rPr>
          <w:rFonts w:ascii="Arial" w:cs="Arial" w:eastAsia="Arial" w:hAnsi="Arial"/>
          <w:sz w:val="16"/>
          <w:szCs w:val="16"/>
          <w:color w:val="auto"/>
        </w:rPr>
        <w:t>Del Mar Village</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195-1950</w:t>
      </w:r>
      <w:r>
        <w:rPr>
          <w:sz w:val="20"/>
          <w:szCs w:val="20"/>
          <w:color w:val="auto"/>
        </w:rPr>
        <w:tab/>
      </w:r>
      <w:r>
        <w:rPr>
          <w:rFonts w:ascii="Arial" w:cs="Arial" w:eastAsia="Arial" w:hAnsi="Arial"/>
          <w:sz w:val="15"/>
          <w:szCs w:val="15"/>
          <w:color w:val="auto"/>
        </w:rPr>
        <w:t>7015 Beracasa Way (Office)</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195-1953</w:t>
      </w:r>
      <w:r>
        <w:rPr>
          <w:sz w:val="20"/>
          <w:szCs w:val="20"/>
          <w:color w:val="auto"/>
        </w:rPr>
        <w:tab/>
      </w:r>
      <w:r>
        <w:rPr>
          <w:rFonts w:ascii="Arial" w:cs="Arial" w:eastAsia="Arial" w:hAnsi="Arial"/>
          <w:sz w:val="15"/>
          <w:szCs w:val="15"/>
          <w:color w:val="auto"/>
        </w:rPr>
        <w:t>7045 Beracasa Way (Blockbuster)</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209-2090</w:t>
      </w:r>
      <w:r>
        <w:rPr>
          <w:sz w:val="20"/>
          <w:szCs w:val="20"/>
          <w:color w:val="auto"/>
        </w:rPr>
        <w:tab/>
      </w:r>
      <w:r>
        <w:rPr>
          <w:rFonts w:ascii="Arial" w:cs="Arial" w:eastAsia="Arial" w:hAnsi="Arial"/>
          <w:sz w:val="16"/>
          <w:szCs w:val="16"/>
          <w:color w:val="auto"/>
        </w:rPr>
        <w:t>Chelsea Commons III</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210-2100</w:t>
      </w:r>
      <w:r>
        <w:rPr>
          <w:sz w:val="20"/>
          <w:szCs w:val="20"/>
          <w:color w:val="auto"/>
        </w:rPr>
        <w:tab/>
      </w:r>
      <w:r>
        <w:rPr>
          <w:rFonts w:ascii="Arial" w:cs="Arial" w:eastAsia="Arial" w:hAnsi="Arial"/>
          <w:sz w:val="15"/>
          <w:szCs w:val="15"/>
          <w:color w:val="auto"/>
        </w:rPr>
        <w:t>Linden Square</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211-2111</w:t>
      </w:r>
      <w:r>
        <w:rPr>
          <w:sz w:val="20"/>
          <w:szCs w:val="20"/>
          <w:color w:val="auto"/>
        </w:rPr>
        <w:tab/>
      </w:r>
      <w:r>
        <w:rPr>
          <w:rFonts w:ascii="Arial" w:cs="Arial" w:eastAsia="Arial" w:hAnsi="Arial"/>
          <w:sz w:val="15"/>
          <w:szCs w:val="15"/>
          <w:color w:val="auto"/>
        </w:rPr>
        <w:t>1020 Revere Beach Parkway</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213-2130</w:t>
      </w:r>
      <w:r>
        <w:rPr>
          <w:sz w:val="20"/>
          <w:szCs w:val="20"/>
          <w:color w:val="auto"/>
        </w:rPr>
        <w:tab/>
      </w:r>
      <w:r>
        <w:rPr>
          <w:rFonts w:ascii="Arial" w:cs="Arial" w:eastAsia="Arial" w:hAnsi="Arial"/>
          <w:sz w:val="16"/>
          <w:szCs w:val="16"/>
          <w:color w:val="auto"/>
        </w:rPr>
        <w:t>North Dartmouth LLC</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220-2200</w:t>
      </w:r>
      <w:r>
        <w:rPr>
          <w:sz w:val="20"/>
          <w:szCs w:val="20"/>
          <w:color w:val="auto"/>
        </w:rPr>
        <w:tab/>
      </w:r>
      <w:r>
        <w:rPr>
          <w:rFonts w:ascii="Arial" w:cs="Arial" w:eastAsia="Arial" w:hAnsi="Arial"/>
          <w:sz w:val="15"/>
          <w:szCs w:val="15"/>
          <w:color w:val="auto"/>
        </w:rPr>
        <w:t>White Marsh Ground Leases</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222-2220</w:t>
      </w:r>
      <w:r>
        <w:rPr>
          <w:sz w:val="20"/>
          <w:szCs w:val="20"/>
          <w:color w:val="auto"/>
        </w:rPr>
        <w:tab/>
      </w:r>
      <w:r>
        <w:rPr>
          <w:rFonts w:ascii="Arial" w:cs="Arial" w:eastAsia="Arial" w:hAnsi="Arial"/>
          <w:sz w:val="16"/>
          <w:szCs w:val="16"/>
          <w:color w:val="auto"/>
        </w:rPr>
        <w:t>Byron Station</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223-2230</w:t>
      </w:r>
      <w:r>
        <w:rPr>
          <w:sz w:val="20"/>
          <w:szCs w:val="20"/>
          <w:color w:val="auto"/>
        </w:rPr>
        <w:tab/>
      </w:r>
      <w:r>
        <w:rPr>
          <w:rFonts w:ascii="Arial" w:cs="Arial" w:eastAsia="Arial" w:hAnsi="Arial"/>
          <w:sz w:val="16"/>
          <w:szCs w:val="16"/>
          <w:color w:val="auto"/>
        </w:rPr>
        <w:t>Fairfield Inn (Hotel Ground Lease)</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224-2240</w:t>
      </w:r>
      <w:r>
        <w:rPr>
          <w:sz w:val="20"/>
          <w:szCs w:val="20"/>
          <w:color w:val="auto"/>
        </w:rPr>
        <w:tab/>
      </w:r>
      <w:r>
        <w:rPr>
          <w:rFonts w:ascii="Arial" w:cs="Arial" w:eastAsia="Arial" w:hAnsi="Arial"/>
          <w:sz w:val="15"/>
          <w:szCs w:val="15"/>
          <w:color w:val="auto"/>
        </w:rPr>
        <w:t>Shoppes at Nottingham Sq II</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228-2280</w:t>
      </w:r>
      <w:r>
        <w:rPr>
          <w:sz w:val="20"/>
          <w:szCs w:val="20"/>
          <w:color w:val="auto"/>
        </w:rPr>
        <w:tab/>
      </w:r>
      <w:r>
        <w:rPr>
          <w:rFonts w:ascii="Arial" w:cs="Arial" w:eastAsia="Arial" w:hAnsi="Arial"/>
          <w:sz w:val="15"/>
          <w:szCs w:val="15"/>
          <w:color w:val="auto"/>
        </w:rPr>
        <w:t>Shopes at Nottingham Sq I</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229-2290</w:t>
      </w:r>
      <w:r>
        <w:rPr>
          <w:sz w:val="20"/>
          <w:szCs w:val="20"/>
          <w:color w:val="auto"/>
        </w:rPr>
        <w:tab/>
      </w:r>
      <w:r>
        <w:rPr>
          <w:rFonts w:ascii="Arial" w:cs="Arial" w:eastAsia="Arial" w:hAnsi="Arial"/>
          <w:sz w:val="15"/>
          <w:szCs w:val="15"/>
          <w:color w:val="auto"/>
        </w:rPr>
        <w:t>RPBT Ground Leases - Nottingham</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229-2291</w:t>
      </w:r>
      <w:r>
        <w:rPr>
          <w:sz w:val="20"/>
          <w:szCs w:val="20"/>
          <w:color w:val="auto"/>
        </w:rPr>
        <w:tab/>
      </w:r>
      <w:r>
        <w:rPr>
          <w:rFonts w:ascii="Arial" w:cs="Arial" w:eastAsia="Arial" w:hAnsi="Arial"/>
          <w:sz w:val="15"/>
          <w:szCs w:val="15"/>
          <w:color w:val="auto"/>
        </w:rPr>
        <w:t>The Avenue - Parking</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230-2300</w:t>
      </w:r>
      <w:r>
        <w:rPr>
          <w:sz w:val="20"/>
          <w:szCs w:val="20"/>
          <w:color w:val="auto"/>
        </w:rPr>
        <w:tab/>
      </w:r>
      <w:r>
        <w:rPr>
          <w:rFonts w:ascii="Arial" w:cs="Arial" w:eastAsia="Arial" w:hAnsi="Arial"/>
          <w:sz w:val="15"/>
          <w:szCs w:val="15"/>
          <w:color w:val="auto"/>
        </w:rPr>
        <w:t>Panera Bread - Nottingham</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400-1020</w:t>
      </w:r>
      <w:r>
        <w:rPr>
          <w:sz w:val="20"/>
          <w:szCs w:val="20"/>
          <w:color w:val="auto"/>
        </w:rPr>
        <w:tab/>
      </w:r>
      <w:r>
        <w:rPr>
          <w:rFonts w:ascii="Arial" w:cs="Arial" w:eastAsia="Arial" w:hAnsi="Arial"/>
          <w:sz w:val="16"/>
          <w:szCs w:val="16"/>
          <w:color w:val="auto"/>
        </w:rPr>
        <w:t>Bethesda Ave Shops W W 1-Arl East (retail &amp;</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res)</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400-1021</w:t>
      </w:r>
      <w:r>
        <w:rPr>
          <w:sz w:val="20"/>
          <w:szCs w:val="20"/>
          <w:color w:val="auto"/>
        </w:rPr>
        <w:tab/>
      </w:r>
      <w:r>
        <w:rPr>
          <w:rFonts w:ascii="Arial" w:cs="Arial" w:eastAsia="Arial" w:hAnsi="Arial"/>
          <w:sz w:val="15"/>
          <w:szCs w:val="15"/>
          <w:color w:val="auto"/>
        </w:rPr>
        <w:t>Bethesda Ave Shops W W 2</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400-1022</w:t>
      </w:r>
      <w:r>
        <w:rPr>
          <w:sz w:val="20"/>
          <w:szCs w:val="20"/>
          <w:color w:val="auto"/>
        </w:rPr>
        <w:tab/>
      </w:r>
      <w:r>
        <w:rPr>
          <w:rFonts w:ascii="Arial" w:cs="Arial" w:eastAsia="Arial" w:hAnsi="Arial"/>
          <w:sz w:val="16"/>
          <w:szCs w:val="16"/>
          <w:color w:val="auto"/>
        </w:rPr>
        <w:t>Bethesda Ave Offices W W 2</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400-1023</w:t>
      </w:r>
      <w:r>
        <w:rPr>
          <w:sz w:val="20"/>
          <w:szCs w:val="20"/>
          <w:color w:val="auto"/>
        </w:rPr>
        <w:tab/>
      </w:r>
      <w:r>
        <w:rPr>
          <w:rFonts w:ascii="Arial" w:cs="Arial" w:eastAsia="Arial" w:hAnsi="Arial"/>
          <w:sz w:val="15"/>
          <w:szCs w:val="15"/>
          <w:color w:val="auto"/>
        </w:rPr>
        <w:t>Bethesda Ave Shops W W 3</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400-1024</w:t>
      </w:r>
      <w:r>
        <w:rPr>
          <w:sz w:val="20"/>
          <w:szCs w:val="20"/>
          <w:color w:val="auto"/>
        </w:rPr>
        <w:tab/>
      </w:r>
      <w:r>
        <w:rPr>
          <w:rFonts w:ascii="Arial" w:cs="Arial" w:eastAsia="Arial" w:hAnsi="Arial"/>
          <w:sz w:val="15"/>
          <w:szCs w:val="15"/>
          <w:color w:val="auto"/>
        </w:rPr>
        <w:t>Bethesda Ave Shops W W 4</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400-1025</w:t>
      </w:r>
      <w:r>
        <w:rPr>
          <w:sz w:val="20"/>
          <w:szCs w:val="20"/>
          <w:color w:val="auto"/>
        </w:rPr>
        <w:tab/>
      </w:r>
      <w:r>
        <w:rPr>
          <w:rFonts w:ascii="Arial" w:cs="Arial" w:eastAsia="Arial" w:hAnsi="Arial"/>
          <w:sz w:val="16"/>
          <w:szCs w:val="16"/>
          <w:color w:val="auto"/>
        </w:rPr>
        <w:t>Bethesda Ave Offices W W 4</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400-1026</w:t>
      </w:r>
      <w:r>
        <w:rPr>
          <w:sz w:val="20"/>
          <w:szCs w:val="20"/>
          <w:color w:val="auto"/>
        </w:rPr>
        <w:tab/>
      </w:r>
      <w:r>
        <w:rPr>
          <w:rFonts w:ascii="Arial" w:cs="Arial" w:eastAsia="Arial" w:hAnsi="Arial"/>
          <w:sz w:val="15"/>
          <w:szCs w:val="15"/>
          <w:color w:val="auto"/>
        </w:rPr>
        <w:t>Bethesda Ave Shops W W 5</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400-1027</w:t>
      </w:r>
      <w:r>
        <w:rPr>
          <w:sz w:val="20"/>
          <w:szCs w:val="20"/>
          <w:color w:val="auto"/>
        </w:rPr>
        <w:tab/>
      </w:r>
      <w:r>
        <w:rPr>
          <w:rFonts w:ascii="Arial" w:cs="Arial" w:eastAsia="Arial" w:hAnsi="Arial"/>
          <w:sz w:val="16"/>
          <w:szCs w:val="16"/>
          <w:color w:val="auto"/>
        </w:rPr>
        <w:t>Bethesda Ave Offices W W 5</w:t>
      </w:r>
    </w:p>
    <w:p>
      <w:pPr>
        <w:spacing w:after="0" w:line="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400-1028</w:t>
      </w:r>
      <w:r>
        <w:rPr>
          <w:sz w:val="20"/>
          <w:szCs w:val="20"/>
          <w:color w:val="auto"/>
        </w:rPr>
        <w:tab/>
      </w:r>
      <w:r>
        <w:rPr>
          <w:rFonts w:ascii="Arial" w:cs="Arial" w:eastAsia="Arial" w:hAnsi="Arial"/>
          <w:sz w:val="15"/>
          <w:szCs w:val="15"/>
          <w:color w:val="auto"/>
        </w:rPr>
        <w:t>Bethesda Ave Shops 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5"/>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5"/>
                <w:szCs w:val="15"/>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5"/>
                <w:szCs w:val="15"/>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Multifamily</w:t>
            </w:r>
          </w:p>
        </w:tc>
        <w:tc>
          <w:tcPr>
            <w:tcW w:w="100" w:type="dxa"/>
            <w:vAlign w:val="bottom"/>
          </w:tcPr>
          <w:p>
            <w:pPr>
              <w:spacing w:after="0"/>
              <w:rPr>
                <w:sz w:val="15"/>
                <w:szCs w:val="15"/>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Eligible Property Exceptions</w:t>
            </w:r>
          </w:p>
        </w:tc>
      </w:tr>
      <w:tr>
        <w:trPr>
          <w:trHeight w:val="316"/>
        </w:trPr>
        <w:tc>
          <w:tcPr>
            <w:tcW w:w="1360" w:type="dxa"/>
            <w:vAlign w:val="bottom"/>
          </w:tcPr>
          <w:p>
            <w:pPr>
              <w:spacing w:after="0"/>
              <w:rPr>
                <w:sz w:val="20"/>
                <w:szCs w:val="20"/>
                <w:color w:val="auto"/>
              </w:rPr>
            </w:pPr>
            <w:r>
              <w:rPr>
                <w:rFonts w:ascii="Arial" w:cs="Arial" w:eastAsia="Arial" w:hAnsi="Arial"/>
                <w:sz w:val="18"/>
                <w:szCs w:val="18"/>
                <w:color w:val="auto"/>
              </w:rPr>
              <w:t>Somerville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426"/>
        </w:trPr>
        <w:tc>
          <w:tcPr>
            <w:tcW w:w="1360" w:type="dxa"/>
            <w:vAlign w:val="bottom"/>
          </w:tcPr>
          <w:p>
            <w:pPr>
              <w:spacing w:after="0"/>
              <w:rPr>
                <w:sz w:val="20"/>
                <w:szCs w:val="20"/>
                <w:color w:val="auto"/>
              </w:rPr>
            </w:pPr>
            <w:r>
              <w:rPr>
                <w:rFonts w:ascii="Arial" w:cs="Arial" w:eastAsia="Arial" w:hAnsi="Arial"/>
                <w:sz w:val="18"/>
                <w:szCs w:val="18"/>
                <w:color w:val="auto"/>
              </w:rPr>
              <w:t>Somerville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Somerville</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Boca Raton</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FL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Boca Raton</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FL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Boca Raton</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FL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Chelsea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Wellesley</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Chelsea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North Dartmouth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Retail/Multifamily</w:t>
            </w: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426"/>
        </w:trPr>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Leasehold for a small</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portion of the property</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terminates 12/31/25 with</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obligation of FRIT, as</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tenant, to purchase the</w:t>
            </w:r>
          </w:p>
        </w:tc>
      </w:tr>
      <w:tr>
        <w:trPr>
          <w:trHeight w:val="222"/>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property on that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-5537835</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4240" w:space="340"/>
            <w:col w:w="6840"/>
          </w:cols>
          <w:pgMar w:left="240" w:top="273" w:right="239" w:bottom="1440" w:gutter="0" w:footer="0" w:header="0"/>
        </w:sectPr>
      </w:pPr>
    </w:p>
    <w:bookmarkStart w:id="523" w:name="page524"/>
    <w:bookmarkEnd w:id="5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4,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4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Multifamily</w:t>
            </w:r>
          </w:p>
        </w:tc>
        <w:tc>
          <w:tcPr>
            <w:tcW w:w="1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Eligible Property Exceptions</w:t>
            </w:r>
          </w:p>
        </w:tc>
      </w:tr>
      <w:tr>
        <w:trPr>
          <w:trHeight w:val="27"/>
        </w:trPr>
        <w:tc>
          <w:tcPr>
            <w:tcW w:w="920" w:type="dxa"/>
            <w:vAlign w:val="bottom"/>
            <w:gridSpan w:val="2"/>
            <w:shd w:val="clear" w:color="auto" w:fill="000000"/>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r>
      <w:tr>
        <w:trPr>
          <w:trHeight w:val="3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400-1029</w:t>
            </w:r>
          </w:p>
        </w:tc>
        <w:tc>
          <w:tcPr>
            <w:tcW w:w="4440" w:type="dxa"/>
            <w:vAlign w:val="bottom"/>
          </w:tcPr>
          <w:p>
            <w:pPr>
              <w:spacing w:after="0"/>
              <w:rPr>
                <w:sz w:val="20"/>
                <w:szCs w:val="20"/>
                <w:color w:val="auto"/>
              </w:rPr>
            </w:pPr>
            <w:r>
              <w:rPr>
                <w:rFonts w:ascii="Arial" w:cs="Arial" w:eastAsia="Arial" w:hAnsi="Arial"/>
                <w:sz w:val="18"/>
                <w:szCs w:val="18"/>
                <w:color w:val="auto"/>
              </w:rPr>
              <w:t>Bethesda Ave Shops III</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400-1030</w:t>
            </w:r>
          </w:p>
        </w:tc>
        <w:tc>
          <w:tcPr>
            <w:tcW w:w="4440" w:type="dxa"/>
            <w:vAlign w:val="bottom"/>
          </w:tcPr>
          <w:p>
            <w:pPr>
              <w:spacing w:after="0"/>
              <w:rPr>
                <w:sz w:val="20"/>
                <w:szCs w:val="20"/>
                <w:color w:val="auto"/>
              </w:rPr>
            </w:pPr>
            <w:r>
              <w:rPr>
                <w:rFonts w:ascii="Arial" w:cs="Arial" w:eastAsia="Arial" w:hAnsi="Arial"/>
                <w:sz w:val="18"/>
                <w:szCs w:val="18"/>
                <w:color w:val="auto"/>
              </w:rPr>
              <w:t>Bethesda Ave Shops Ravengard</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400-1031</w:t>
            </w:r>
          </w:p>
        </w:tc>
        <w:tc>
          <w:tcPr>
            <w:tcW w:w="4440" w:type="dxa"/>
            <w:vAlign w:val="bottom"/>
          </w:tcPr>
          <w:p>
            <w:pPr>
              <w:spacing w:after="0"/>
              <w:rPr>
                <w:sz w:val="20"/>
                <w:szCs w:val="20"/>
                <w:color w:val="auto"/>
              </w:rPr>
            </w:pPr>
            <w:r>
              <w:rPr>
                <w:rFonts w:ascii="Arial" w:cs="Arial" w:eastAsia="Arial" w:hAnsi="Arial"/>
                <w:sz w:val="18"/>
                <w:szCs w:val="18"/>
                <w:color w:val="auto"/>
              </w:rPr>
              <w:t>Bethesda Ave Shops Parking Lot</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400-1032</w:t>
            </w:r>
          </w:p>
        </w:tc>
        <w:tc>
          <w:tcPr>
            <w:tcW w:w="4440" w:type="dxa"/>
            <w:vAlign w:val="bottom"/>
          </w:tcPr>
          <w:p>
            <w:pPr>
              <w:spacing w:after="0"/>
              <w:rPr>
                <w:sz w:val="20"/>
                <w:szCs w:val="20"/>
                <w:color w:val="auto"/>
              </w:rPr>
            </w:pPr>
            <w:r>
              <w:rPr>
                <w:rFonts w:ascii="Arial" w:cs="Arial" w:eastAsia="Arial" w:hAnsi="Arial"/>
                <w:sz w:val="18"/>
                <w:szCs w:val="18"/>
                <w:color w:val="auto"/>
              </w:rPr>
              <w:t>4900 Hampden Lane</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400-3031</w:t>
            </w:r>
          </w:p>
        </w:tc>
        <w:tc>
          <w:tcPr>
            <w:tcW w:w="4440" w:type="dxa"/>
            <w:vAlign w:val="bottom"/>
          </w:tcPr>
          <w:p>
            <w:pPr>
              <w:spacing w:after="0"/>
              <w:rPr>
                <w:sz w:val="20"/>
                <w:szCs w:val="20"/>
                <w:color w:val="auto"/>
              </w:rPr>
            </w:pPr>
            <w:r>
              <w:rPr>
                <w:rFonts w:ascii="Arial" w:cs="Arial" w:eastAsia="Arial" w:hAnsi="Arial"/>
                <w:sz w:val="18"/>
                <w:szCs w:val="18"/>
                <w:color w:val="auto"/>
              </w:rPr>
              <w:t>Elm Street-Retail (Bethesda)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400-3032</w:t>
            </w:r>
          </w:p>
        </w:tc>
        <w:tc>
          <w:tcPr>
            <w:tcW w:w="4440" w:type="dxa"/>
            <w:vAlign w:val="bottom"/>
          </w:tcPr>
          <w:p>
            <w:pPr>
              <w:spacing w:after="0"/>
              <w:rPr>
                <w:sz w:val="20"/>
                <w:szCs w:val="20"/>
                <w:color w:val="auto"/>
              </w:rPr>
            </w:pPr>
            <w:r>
              <w:rPr>
                <w:rFonts w:ascii="Arial" w:cs="Arial" w:eastAsia="Arial" w:hAnsi="Arial"/>
                <w:sz w:val="18"/>
                <w:szCs w:val="18"/>
                <w:color w:val="auto"/>
              </w:rPr>
              <w:t>Kilbane/Jaffe Parcels</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400-3033</w:t>
            </w:r>
          </w:p>
        </w:tc>
        <w:tc>
          <w:tcPr>
            <w:tcW w:w="4440" w:type="dxa"/>
            <w:vAlign w:val="bottom"/>
          </w:tcPr>
          <w:p>
            <w:pPr>
              <w:spacing w:after="0"/>
              <w:rPr>
                <w:sz w:val="20"/>
                <w:szCs w:val="20"/>
                <w:color w:val="auto"/>
              </w:rPr>
            </w:pPr>
            <w:r>
              <w:rPr>
                <w:rFonts w:ascii="Arial" w:cs="Arial" w:eastAsia="Arial" w:hAnsi="Arial"/>
                <w:sz w:val="18"/>
                <w:szCs w:val="18"/>
                <w:color w:val="auto"/>
              </w:rPr>
              <w:t>Elm Street - Office (Bethesda)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400-3034</w:t>
            </w:r>
          </w:p>
        </w:tc>
        <w:tc>
          <w:tcPr>
            <w:tcW w:w="4440" w:type="dxa"/>
            <w:vAlign w:val="bottom"/>
          </w:tcPr>
          <w:p>
            <w:pPr>
              <w:spacing w:after="0"/>
              <w:rPr>
                <w:sz w:val="20"/>
                <w:szCs w:val="20"/>
                <w:color w:val="auto"/>
              </w:rPr>
            </w:pPr>
            <w:r>
              <w:rPr>
                <w:rFonts w:ascii="Arial" w:cs="Arial" w:eastAsia="Arial" w:hAnsi="Arial"/>
                <w:sz w:val="18"/>
                <w:szCs w:val="18"/>
                <w:color w:val="auto"/>
              </w:rPr>
              <w:t>Woodmont East-Retail</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400-3035</w:t>
            </w:r>
          </w:p>
        </w:tc>
        <w:tc>
          <w:tcPr>
            <w:tcW w:w="4440" w:type="dxa"/>
            <w:vAlign w:val="bottom"/>
          </w:tcPr>
          <w:p>
            <w:pPr>
              <w:spacing w:after="0"/>
              <w:rPr>
                <w:sz w:val="20"/>
                <w:szCs w:val="20"/>
                <w:color w:val="auto"/>
              </w:rPr>
            </w:pPr>
            <w:r>
              <w:rPr>
                <w:rFonts w:ascii="Arial" w:cs="Arial" w:eastAsia="Arial" w:hAnsi="Arial"/>
                <w:sz w:val="18"/>
                <w:szCs w:val="18"/>
                <w:color w:val="auto"/>
              </w:rPr>
              <w:t>Woodmont East - Offices</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400-3101</w:t>
            </w:r>
          </w:p>
        </w:tc>
        <w:tc>
          <w:tcPr>
            <w:tcW w:w="4440" w:type="dxa"/>
            <w:vAlign w:val="bottom"/>
          </w:tcPr>
          <w:p>
            <w:pPr>
              <w:spacing w:after="0"/>
              <w:rPr>
                <w:sz w:val="20"/>
                <w:szCs w:val="20"/>
                <w:color w:val="auto"/>
              </w:rPr>
            </w:pPr>
            <w:r>
              <w:rPr>
                <w:rFonts w:ascii="Arial" w:cs="Arial" w:eastAsia="Arial" w:hAnsi="Arial"/>
                <w:sz w:val="18"/>
                <w:szCs w:val="18"/>
                <w:color w:val="auto"/>
              </w:rPr>
              <w:t>205 Greenwich Ave (Saks)</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Greenwich</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CT</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400-3400</w:t>
            </w:r>
          </w:p>
        </w:tc>
        <w:tc>
          <w:tcPr>
            <w:tcW w:w="4440" w:type="dxa"/>
            <w:vAlign w:val="bottom"/>
          </w:tcPr>
          <w:p>
            <w:pPr>
              <w:spacing w:after="0"/>
              <w:rPr>
                <w:sz w:val="20"/>
                <w:szCs w:val="20"/>
                <w:color w:val="auto"/>
              </w:rPr>
            </w:pPr>
            <w:r>
              <w:rPr>
                <w:rFonts w:ascii="Arial" w:cs="Arial" w:eastAsia="Arial" w:hAnsi="Arial"/>
                <w:sz w:val="18"/>
                <w:szCs w:val="18"/>
                <w:color w:val="auto"/>
              </w:rPr>
              <w:t>Fresh Meadows (Kmart Center)</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400-3401</w:t>
            </w:r>
          </w:p>
        </w:tc>
        <w:tc>
          <w:tcPr>
            <w:tcW w:w="4440" w:type="dxa"/>
            <w:vAlign w:val="bottom"/>
          </w:tcPr>
          <w:p>
            <w:pPr>
              <w:spacing w:after="0"/>
              <w:rPr>
                <w:sz w:val="20"/>
                <w:szCs w:val="20"/>
                <w:color w:val="auto"/>
              </w:rPr>
            </w:pPr>
            <w:r>
              <w:rPr>
                <w:rFonts w:ascii="Arial" w:cs="Arial" w:eastAsia="Arial" w:hAnsi="Arial"/>
                <w:sz w:val="18"/>
                <w:szCs w:val="18"/>
                <w:color w:val="auto"/>
              </w:rPr>
              <w:t>Fresh Meadows (Filene’s Ctr)</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400-3402</w:t>
            </w:r>
          </w:p>
        </w:tc>
        <w:tc>
          <w:tcPr>
            <w:tcW w:w="4440" w:type="dxa"/>
            <w:vAlign w:val="bottom"/>
          </w:tcPr>
          <w:p>
            <w:pPr>
              <w:spacing w:after="0"/>
              <w:rPr>
                <w:sz w:val="20"/>
                <w:szCs w:val="20"/>
                <w:color w:val="auto"/>
              </w:rPr>
            </w:pPr>
            <w:r>
              <w:rPr>
                <w:rFonts w:ascii="Arial" w:cs="Arial" w:eastAsia="Arial" w:hAnsi="Arial"/>
                <w:sz w:val="18"/>
                <w:szCs w:val="18"/>
                <w:color w:val="auto"/>
              </w:rPr>
              <w:t>Fresh Meadows (73rd Ave Strip)</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400-3403</w:t>
            </w:r>
          </w:p>
        </w:tc>
        <w:tc>
          <w:tcPr>
            <w:tcW w:w="4440" w:type="dxa"/>
            <w:vAlign w:val="bottom"/>
          </w:tcPr>
          <w:p>
            <w:pPr>
              <w:spacing w:after="0"/>
              <w:rPr>
                <w:sz w:val="20"/>
                <w:szCs w:val="20"/>
                <w:color w:val="auto"/>
              </w:rPr>
            </w:pPr>
            <w:r>
              <w:rPr>
                <w:rFonts w:ascii="Arial" w:cs="Arial" w:eastAsia="Arial" w:hAnsi="Arial"/>
                <w:sz w:val="18"/>
                <w:szCs w:val="18"/>
                <w:color w:val="auto"/>
              </w:rPr>
              <w:t>Fresh Meadows (69th Ave Strip)</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400-3500</w:t>
            </w:r>
          </w:p>
        </w:tc>
        <w:tc>
          <w:tcPr>
            <w:tcW w:w="4440" w:type="dxa"/>
            <w:vAlign w:val="bottom"/>
          </w:tcPr>
          <w:p>
            <w:pPr>
              <w:spacing w:after="0"/>
              <w:rPr>
                <w:sz w:val="20"/>
                <w:szCs w:val="20"/>
                <w:color w:val="auto"/>
              </w:rPr>
            </w:pPr>
            <w:r>
              <w:rPr>
                <w:rFonts w:ascii="Arial" w:cs="Arial" w:eastAsia="Arial" w:hAnsi="Arial"/>
                <w:sz w:val="18"/>
                <w:szCs w:val="18"/>
                <w:color w:val="auto"/>
              </w:rPr>
              <w:t>150 Post Street (SF)</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w w:val="97"/>
              </w:rPr>
              <w:t>San Francisco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400-3525</w:t>
            </w:r>
          </w:p>
        </w:tc>
        <w:tc>
          <w:tcPr>
            <w:tcW w:w="4440" w:type="dxa"/>
            <w:vAlign w:val="bottom"/>
          </w:tcPr>
          <w:p>
            <w:pPr>
              <w:spacing w:after="0"/>
              <w:rPr>
                <w:sz w:val="20"/>
                <w:szCs w:val="20"/>
                <w:color w:val="auto"/>
              </w:rPr>
            </w:pPr>
            <w:r>
              <w:rPr>
                <w:rFonts w:ascii="Arial" w:cs="Arial" w:eastAsia="Arial" w:hAnsi="Arial"/>
                <w:sz w:val="18"/>
                <w:szCs w:val="18"/>
                <w:color w:val="auto"/>
              </w:rPr>
              <w:t>1344 3rd Street (Santa Monica)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400-3600</w:t>
            </w:r>
          </w:p>
        </w:tc>
        <w:tc>
          <w:tcPr>
            <w:tcW w:w="4440" w:type="dxa"/>
            <w:vAlign w:val="bottom"/>
          </w:tcPr>
          <w:p>
            <w:pPr>
              <w:spacing w:after="0"/>
              <w:rPr>
                <w:sz w:val="20"/>
                <w:szCs w:val="20"/>
                <w:color w:val="auto"/>
              </w:rPr>
            </w:pPr>
            <w:r>
              <w:rPr>
                <w:rFonts w:ascii="Arial" w:cs="Arial" w:eastAsia="Arial" w:hAnsi="Arial"/>
                <w:sz w:val="18"/>
                <w:szCs w:val="18"/>
                <w:color w:val="auto"/>
              </w:rPr>
              <w:t>Sam’s Park &amp; Shop</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Washington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9"/>
              </w:rPr>
              <w:t>DC</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400-3601</w:t>
            </w:r>
          </w:p>
        </w:tc>
        <w:tc>
          <w:tcPr>
            <w:tcW w:w="4440" w:type="dxa"/>
            <w:vAlign w:val="bottom"/>
          </w:tcPr>
          <w:p>
            <w:pPr>
              <w:spacing w:after="0"/>
              <w:rPr>
                <w:sz w:val="20"/>
                <w:szCs w:val="20"/>
                <w:color w:val="auto"/>
              </w:rPr>
            </w:pPr>
            <w:r>
              <w:rPr>
                <w:rFonts w:ascii="Arial" w:cs="Arial" w:eastAsia="Arial" w:hAnsi="Arial"/>
                <w:sz w:val="18"/>
                <w:szCs w:val="18"/>
                <w:color w:val="auto"/>
              </w:rPr>
              <w:t>Village at Shirlington-Retail</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Arlington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400-3602</w:t>
            </w:r>
          </w:p>
        </w:tc>
        <w:tc>
          <w:tcPr>
            <w:tcW w:w="4440" w:type="dxa"/>
            <w:vAlign w:val="bottom"/>
          </w:tcPr>
          <w:p>
            <w:pPr>
              <w:spacing w:after="0"/>
              <w:rPr>
                <w:sz w:val="20"/>
                <w:szCs w:val="20"/>
                <w:color w:val="auto"/>
              </w:rPr>
            </w:pPr>
            <w:r>
              <w:rPr>
                <w:rFonts w:ascii="Arial" w:cs="Arial" w:eastAsia="Arial" w:hAnsi="Arial"/>
                <w:sz w:val="18"/>
                <w:szCs w:val="18"/>
                <w:color w:val="auto"/>
              </w:rPr>
              <w:t>Village at Shirlington-Office</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Arlington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400-3603</w:t>
            </w:r>
          </w:p>
        </w:tc>
        <w:tc>
          <w:tcPr>
            <w:tcW w:w="4440" w:type="dxa"/>
            <w:vAlign w:val="bottom"/>
          </w:tcPr>
          <w:p>
            <w:pPr>
              <w:spacing w:after="0"/>
              <w:rPr>
                <w:sz w:val="20"/>
                <w:szCs w:val="20"/>
                <w:color w:val="auto"/>
              </w:rPr>
            </w:pPr>
            <w:r>
              <w:rPr>
                <w:rFonts w:ascii="Arial" w:cs="Arial" w:eastAsia="Arial" w:hAnsi="Arial"/>
                <w:sz w:val="18"/>
                <w:szCs w:val="18"/>
                <w:color w:val="auto"/>
              </w:rPr>
              <w:t>Pentagon Row [1]</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Arlington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400-3604</w:t>
            </w:r>
          </w:p>
        </w:tc>
        <w:tc>
          <w:tcPr>
            <w:tcW w:w="4440" w:type="dxa"/>
            <w:vAlign w:val="bottom"/>
          </w:tcPr>
          <w:p>
            <w:pPr>
              <w:spacing w:after="0"/>
              <w:rPr>
                <w:sz w:val="20"/>
                <w:szCs w:val="20"/>
                <w:color w:val="auto"/>
              </w:rPr>
            </w:pPr>
            <w:r>
              <w:rPr>
                <w:rFonts w:ascii="Arial" w:cs="Arial" w:eastAsia="Arial" w:hAnsi="Arial"/>
                <w:sz w:val="18"/>
                <w:szCs w:val="18"/>
                <w:color w:val="auto"/>
              </w:rPr>
              <w:t>Friendship Center</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Washington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9"/>
              </w:rPr>
              <w:t>DC</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420-4300</w:t>
            </w:r>
          </w:p>
        </w:tc>
        <w:tc>
          <w:tcPr>
            <w:tcW w:w="4440" w:type="dxa"/>
            <w:vAlign w:val="bottom"/>
          </w:tcPr>
          <w:p>
            <w:pPr>
              <w:spacing w:after="0"/>
              <w:rPr>
                <w:sz w:val="20"/>
                <w:szCs w:val="20"/>
                <w:color w:val="auto"/>
              </w:rPr>
            </w:pPr>
            <w:r>
              <w:rPr>
                <w:rFonts w:ascii="Arial" w:cs="Arial" w:eastAsia="Arial" w:hAnsi="Arial"/>
                <w:sz w:val="18"/>
                <w:szCs w:val="18"/>
                <w:color w:val="auto"/>
              </w:rPr>
              <w:t>14 N Fair Oaks (Pasadena)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Pasadena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420-4500</w:t>
            </w:r>
          </w:p>
        </w:tc>
        <w:tc>
          <w:tcPr>
            <w:tcW w:w="4440" w:type="dxa"/>
            <w:vAlign w:val="bottom"/>
          </w:tcPr>
          <w:p>
            <w:pPr>
              <w:spacing w:after="0"/>
              <w:rPr>
                <w:sz w:val="20"/>
                <w:szCs w:val="20"/>
                <w:color w:val="auto"/>
              </w:rPr>
            </w:pPr>
            <w:r>
              <w:rPr>
                <w:rFonts w:ascii="Arial" w:cs="Arial" w:eastAsia="Arial" w:hAnsi="Arial"/>
                <w:sz w:val="18"/>
                <w:szCs w:val="18"/>
                <w:color w:val="auto"/>
              </w:rPr>
              <w:t>643-653 5th Ave (S D)</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San Diego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420-4502</w:t>
            </w:r>
          </w:p>
        </w:tc>
        <w:tc>
          <w:tcPr>
            <w:tcW w:w="4440" w:type="dxa"/>
            <w:vAlign w:val="bottom"/>
          </w:tcPr>
          <w:p>
            <w:pPr>
              <w:spacing w:after="0"/>
              <w:rPr>
                <w:sz w:val="20"/>
                <w:szCs w:val="20"/>
                <w:color w:val="auto"/>
              </w:rPr>
            </w:pPr>
            <w:r>
              <w:rPr>
                <w:rFonts w:ascii="Arial" w:cs="Arial" w:eastAsia="Arial" w:hAnsi="Arial"/>
                <w:sz w:val="18"/>
                <w:szCs w:val="18"/>
                <w:color w:val="auto"/>
              </w:rPr>
              <w:t>665 5th Ave (S D)</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San Diego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420-4503</w:t>
            </w:r>
          </w:p>
        </w:tc>
        <w:tc>
          <w:tcPr>
            <w:tcW w:w="4440" w:type="dxa"/>
            <w:vAlign w:val="bottom"/>
          </w:tcPr>
          <w:p>
            <w:pPr>
              <w:spacing w:after="0"/>
              <w:rPr>
                <w:sz w:val="20"/>
                <w:szCs w:val="20"/>
                <w:color w:val="auto"/>
              </w:rPr>
            </w:pPr>
            <w:r>
              <w:rPr>
                <w:rFonts w:ascii="Arial" w:cs="Arial" w:eastAsia="Arial" w:hAnsi="Arial"/>
                <w:sz w:val="18"/>
                <w:szCs w:val="18"/>
                <w:color w:val="auto"/>
              </w:rPr>
              <w:t>825-831 5th Ave (S D)</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San Diego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420-4700</w:t>
            </w:r>
          </w:p>
        </w:tc>
        <w:tc>
          <w:tcPr>
            <w:tcW w:w="4440" w:type="dxa"/>
            <w:vAlign w:val="bottom"/>
          </w:tcPr>
          <w:p>
            <w:pPr>
              <w:spacing w:after="0"/>
              <w:rPr>
                <w:sz w:val="20"/>
                <w:szCs w:val="20"/>
                <w:color w:val="auto"/>
              </w:rPr>
            </w:pPr>
            <w:r>
              <w:rPr>
                <w:rFonts w:ascii="Arial" w:cs="Arial" w:eastAsia="Arial" w:hAnsi="Arial"/>
                <w:sz w:val="18"/>
                <w:szCs w:val="18"/>
                <w:color w:val="auto"/>
              </w:rPr>
              <w:t>301 Arizona/1251-1253 3rd Street</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420-4702</w:t>
            </w:r>
          </w:p>
        </w:tc>
        <w:tc>
          <w:tcPr>
            <w:tcW w:w="4440" w:type="dxa"/>
            <w:vAlign w:val="bottom"/>
          </w:tcPr>
          <w:p>
            <w:pPr>
              <w:spacing w:after="0"/>
              <w:rPr>
                <w:sz w:val="20"/>
                <w:szCs w:val="20"/>
                <w:color w:val="auto"/>
              </w:rPr>
            </w:pPr>
            <w:r>
              <w:rPr>
                <w:rFonts w:ascii="Arial" w:cs="Arial" w:eastAsia="Arial" w:hAnsi="Arial"/>
                <w:sz w:val="18"/>
                <w:szCs w:val="18"/>
                <w:color w:val="auto"/>
              </w:rPr>
              <w:t>1225 3rd Street (Santa Monica)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420-4704</w:t>
            </w:r>
          </w:p>
        </w:tc>
        <w:tc>
          <w:tcPr>
            <w:tcW w:w="4440" w:type="dxa"/>
            <w:vAlign w:val="bottom"/>
          </w:tcPr>
          <w:p>
            <w:pPr>
              <w:spacing w:after="0"/>
              <w:rPr>
                <w:sz w:val="20"/>
                <w:szCs w:val="20"/>
                <w:color w:val="auto"/>
              </w:rPr>
            </w:pPr>
            <w:r>
              <w:rPr>
                <w:rFonts w:ascii="Arial" w:cs="Arial" w:eastAsia="Arial" w:hAnsi="Arial"/>
                <w:sz w:val="18"/>
                <w:szCs w:val="18"/>
                <w:color w:val="auto"/>
              </w:rPr>
              <w:t>1337 3rd Street (Santa Monica)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420-4705</w:t>
            </w:r>
          </w:p>
        </w:tc>
        <w:tc>
          <w:tcPr>
            <w:tcW w:w="4440" w:type="dxa"/>
            <w:vAlign w:val="bottom"/>
          </w:tcPr>
          <w:p>
            <w:pPr>
              <w:spacing w:after="0"/>
              <w:rPr>
                <w:sz w:val="20"/>
                <w:szCs w:val="20"/>
                <w:color w:val="auto"/>
              </w:rPr>
            </w:pPr>
            <w:r>
              <w:rPr>
                <w:rFonts w:ascii="Arial" w:cs="Arial" w:eastAsia="Arial" w:hAnsi="Arial"/>
                <w:sz w:val="18"/>
                <w:szCs w:val="18"/>
                <w:color w:val="auto"/>
              </w:rPr>
              <w:t>1343-1349 3rd Street (Santa Monica)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421-4701</w:t>
            </w:r>
          </w:p>
        </w:tc>
        <w:tc>
          <w:tcPr>
            <w:tcW w:w="4440" w:type="dxa"/>
            <w:vAlign w:val="bottom"/>
          </w:tcPr>
          <w:p>
            <w:pPr>
              <w:spacing w:after="0"/>
              <w:rPr>
                <w:sz w:val="20"/>
                <w:szCs w:val="20"/>
                <w:color w:val="auto"/>
              </w:rPr>
            </w:pPr>
            <w:r>
              <w:rPr>
                <w:rFonts w:ascii="Arial" w:cs="Arial" w:eastAsia="Arial" w:hAnsi="Arial"/>
                <w:sz w:val="18"/>
                <w:szCs w:val="18"/>
                <w:color w:val="auto"/>
              </w:rPr>
              <w:t>1202 3rd Street (Santa Monica)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273" w:right="239" w:bottom="1440" w:gutter="0" w:footer="0" w:header="0"/>
        </w:sectPr>
      </w:pPr>
    </w:p>
    <w:bookmarkStart w:id="524" w:name="page525"/>
    <w:bookmarkEnd w:id="5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4,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8"/>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Multifamily</w:t>
            </w:r>
          </w:p>
        </w:tc>
        <w:tc>
          <w:tcPr>
            <w:tcW w:w="100" w:type="dxa"/>
            <w:vAlign w:val="bottom"/>
          </w:tcPr>
          <w:p>
            <w:pPr>
              <w:spacing w:after="0"/>
              <w:rPr>
                <w:sz w:val="14"/>
                <w:szCs w:val="14"/>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Eligible Property Exceptions</w:t>
            </w:r>
          </w:p>
        </w:tc>
      </w:tr>
      <w:tr>
        <w:trPr>
          <w:trHeight w:val="3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422-4706</w:t>
            </w:r>
          </w:p>
        </w:tc>
        <w:tc>
          <w:tcPr>
            <w:tcW w:w="4340" w:type="dxa"/>
            <w:vAlign w:val="bottom"/>
          </w:tcPr>
          <w:p>
            <w:pPr>
              <w:spacing w:after="0"/>
              <w:rPr>
                <w:sz w:val="20"/>
                <w:szCs w:val="20"/>
                <w:color w:val="auto"/>
              </w:rPr>
            </w:pPr>
            <w:r>
              <w:rPr>
                <w:rFonts w:ascii="Arial" w:cs="Arial" w:eastAsia="Arial" w:hAnsi="Arial"/>
                <w:sz w:val="18"/>
                <w:szCs w:val="18"/>
                <w:color w:val="auto"/>
              </w:rPr>
              <w:t>1222 3rd Street (Santa Monica)</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423-4200</w:t>
            </w:r>
          </w:p>
        </w:tc>
        <w:tc>
          <w:tcPr>
            <w:tcW w:w="4340" w:type="dxa"/>
            <w:vAlign w:val="bottom"/>
          </w:tcPr>
          <w:p>
            <w:pPr>
              <w:spacing w:after="0"/>
              <w:rPr>
                <w:sz w:val="20"/>
                <w:szCs w:val="20"/>
                <w:color w:val="auto"/>
              </w:rPr>
            </w:pPr>
            <w:r>
              <w:rPr>
                <w:rFonts w:ascii="Arial" w:cs="Arial" w:eastAsia="Arial" w:hAnsi="Arial"/>
                <w:sz w:val="18"/>
                <w:szCs w:val="18"/>
                <w:color w:val="auto"/>
              </w:rPr>
              <w:t>1221-1227 Hermosa Ave (Hermosa)</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96"/>
              </w:rPr>
              <w:t>Hermosa Beach</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423-4504</w:t>
            </w:r>
          </w:p>
        </w:tc>
        <w:tc>
          <w:tcPr>
            <w:tcW w:w="4340" w:type="dxa"/>
            <w:vAlign w:val="bottom"/>
          </w:tcPr>
          <w:p>
            <w:pPr>
              <w:spacing w:after="0"/>
              <w:rPr>
                <w:sz w:val="20"/>
                <w:szCs w:val="20"/>
                <w:color w:val="auto"/>
              </w:rPr>
            </w:pPr>
            <w:r>
              <w:rPr>
                <w:rFonts w:ascii="Arial" w:cs="Arial" w:eastAsia="Arial" w:hAnsi="Arial"/>
                <w:sz w:val="18"/>
                <w:szCs w:val="18"/>
                <w:color w:val="auto"/>
              </w:rPr>
              <w:t>953-955 5th Ave (S D)</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Diego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423-4707</w:t>
            </w:r>
          </w:p>
        </w:tc>
        <w:tc>
          <w:tcPr>
            <w:tcW w:w="4340" w:type="dxa"/>
            <w:vAlign w:val="bottom"/>
          </w:tcPr>
          <w:p>
            <w:pPr>
              <w:spacing w:after="0"/>
              <w:rPr>
                <w:sz w:val="20"/>
                <w:szCs w:val="20"/>
                <w:color w:val="auto"/>
              </w:rPr>
            </w:pPr>
            <w:r>
              <w:rPr>
                <w:rFonts w:ascii="Arial" w:cs="Arial" w:eastAsia="Arial" w:hAnsi="Arial"/>
                <w:sz w:val="18"/>
                <w:szCs w:val="18"/>
                <w:color w:val="auto"/>
              </w:rPr>
              <w:t>1232-1240 3rd Street (Santa Monica)</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424-4301</w:t>
            </w:r>
          </w:p>
        </w:tc>
        <w:tc>
          <w:tcPr>
            <w:tcW w:w="4340" w:type="dxa"/>
            <w:vAlign w:val="bottom"/>
          </w:tcPr>
          <w:p>
            <w:pPr>
              <w:spacing w:after="0"/>
              <w:rPr>
                <w:sz w:val="20"/>
                <w:szCs w:val="20"/>
                <w:color w:val="auto"/>
              </w:rPr>
            </w:pPr>
            <w:r>
              <w:rPr>
                <w:rFonts w:ascii="Arial" w:cs="Arial" w:eastAsia="Arial" w:hAnsi="Arial"/>
                <w:sz w:val="18"/>
                <w:szCs w:val="18"/>
                <w:color w:val="auto"/>
              </w:rPr>
              <w:t>140-168 W Colorado (Tanner Mkt)</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Pasadena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Ground lease expires</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10/31/2016 (including</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4"/>
              </w:rPr>
              <w:t>option) and parking ground</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87"/>
              </w:rPr>
              <w:t>lease expires 12/15/2014 (no</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option).</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425-4225</w:t>
            </w:r>
          </w:p>
        </w:tc>
        <w:tc>
          <w:tcPr>
            <w:tcW w:w="4340" w:type="dxa"/>
            <w:vAlign w:val="bottom"/>
          </w:tcPr>
          <w:p>
            <w:pPr>
              <w:spacing w:after="0"/>
              <w:rPr>
                <w:sz w:val="20"/>
                <w:szCs w:val="20"/>
                <w:color w:val="auto"/>
              </w:rPr>
            </w:pPr>
            <w:r>
              <w:rPr>
                <w:rFonts w:ascii="Arial" w:cs="Arial" w:eastAsia="Arial" w:hAnsi="Arial"/>
                <w:sz w:val="18"/>
                <w:szCs w:val="18"/>
                <w:color w:val="auto"/>
              </w:rPr>
              <w:t>Galaxy Bldg - Hollywood</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Hollywood</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425-4226</w:t>
            </w:r>
          </w:p>
        </w:tc>
        <w:tc>
          <w:tcPr>
            <w:tcW w:w="4340" w:type="dxa"/>
            <w:vAlign w:val="bottom"/>
          </w:tcPr>
          <w:p>
            <w:pPr>
              <w:spacing w:after="0"/>
              <w:rPr>
                <w:sz w:val="20"/>
                <w:szCs w:val="20"/>
                <w:color w:val="auto"/>
              </w:rPr>
            </w:pPr>
            <w:r>
              <w:rPr>
                <w:rFonts w:ascii="Arial" w:cs="Arial" w:eastAsia="Arial" w:hAnsi="Arial"/>
                <w:sz w:val="18"/>
                <w:szCs w:val="18"/>
                <w:color w:val="auto"/>
              </w:rPr>
              <w:t>7001 Hollywood Blvd (Peterson)</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Hollywood</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428-4708</w:t>
            </w:r>
          </w:p>
        </w:tc>
        <w:tc>
          <w:tcPr>
            <w:tcW w:w="4340" w:type="dxa"/>
            <w:vAlign w:val="bottom"/>
          </w:tcPr>
          <w:p>
            <w:pPr>
              <w:spacing w:after="0"/>
              <w:rPr>
                <w:sz w:val="20"/>
                <w:szCs w:val="20"/>
                <w:color w:val="auto"/>
              </w:rPr>
            </w:pPr>
            <w:r>
              <w:rPr>
                <w:rFonts w:ascii="Arial" w:cs="Arial" w:eastAsia="Arial" w:hAnsi="Arial"/>
                <w:sz w:val="18"/>
                <w:szCs w:val="18"/>
                <w:color w:val="auto"/>
              </w:rPr>
              <w:t>214 Wilshire(SM)</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Santa Monica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440-5002</w:t>
            </w:r>
          </w:p>
        </w:tc>
        <w:tc>
          <w:tcPr>
            <w:tcW w:w="4340" w:type="dxa"/>
            <w:vAlign w:val="bottom"/>
          </w:tcPr>
          <w:p>
            <w:pPr>
              <w:spacing w:after="0"/>
              <w:rPr>
                <w:sz w:val="20"/>
                <w:szCs w:val="20"/>
                <w:color w:val="auto"/>
              </w:rPr>
            </w:pPr>
            <w:r>
              <w:rPr>
                <w:rFonts w:ascii="Arial" w:cs="Arial" w:eastAsia="Arial" w:hAnsi="Arial"/>
                <w:sz w:val="18"/>
                <w:szCs w:val="18"/>
                <w:color w:val="auto"/>
              </w:rPr>
              <w:t>108-22 Queens Blvd (Midway Th)</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Forest Hills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450-5500</w:t>
            </w:r>
          </w:p>
        </w:tc>
        <w:tc>
          <w:tcPr>
            <w:tcW w:w="4340" w:type="dxa"/>
            <w:vAlign w:val="bottom"/>
          </w:tcPr>
          <w:p>
            <w:pPr>
              <w:spacing w:after="0"/>
              <w:rPr>
                <w:sz w:val="20"/>
                <w:szCs w:val="20"/>
                <w:color w:val="auto"/>
              </w:rPr>
            </w:pPr>
            <w:r>
              <w:rPr>
                <w:rFonts w:ascii="Arial" w:cs="Arial" w:eastAsia="Arial" w:hAnsi="Arial"/>
                <w:sz w:val="18"/>
                <w:szCs w:val="18"/>
                <w:color w:val="auto"/>
              </w:rPr>
              <w:t>Old Town Center (Los Gatos)</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Los Gatos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451-5601</w:t>
            </w:r>
          </w:p>
        </w:tc>
        <w:tc>
          <w:tcPr>
            <w:tcW w:w="4340" w:type="dxa"/>
            <w:vAlign w:val="bottom"/>
          </w:tcPr>
          <w:p>
            <w:pPr>
              <w:spacing w:after="0"/>
              <w:rPr>
                <w:sz w:val="20"/>
                <w:szCs w:val="20"/>
                <w:color w:val="auto"/>
              </w:rPr>
            </w:pPr>
            <w:r>
              <w:rPr>
                <w:rFonts w:ascii="Arial" w:cs="Arial" w:eastAsia="Arial" w:hAnsi="Arial"/>
                <w:sz w:val="18"/>
                <w:szCs w:val="18"/>
                <w:color w:val="auto"/>
              </w:rPr>
              <w:t>301-303 E Houston St (Vogue)</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451-5602</w:t>
            </w:r>
          </w:p>
        </w:tc>
        <w:tc>
          <w:tcPr>
            <w:tcW w:w="4340" w:type="dxa"/>
            <w:vAlign w:val="bottom"/>
          </w:tcPr>
          <w:p>
            <w:pPr>
              <w:spacing w:after="0"/>
              <w:rPr>
                <w:sz w:val="20"/>
                <w:szCs w:val="20"/>
                <w:color w:val="auto"/>
              </w:rPr>
            </w:pPr>
            <w:r>
              <w:rPr>
                <w:rFonts w:ascii="Arial" w:cs="Arial" w:eastAsia="Arial" w:hAnsi="Arial"/>
                <w:sz w:val="18"/>
                <w:szCs w:val="18"/>
                <w:color w:val="auto"/>
              </w:rPr>
              <w:t>225-233 E Houston St (Schaum)</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451-5603</w:t>
            </w:r>
          </w:p>
        </w:tc>
        <w:tc>
          <w:tcPr>
            <w:tcW w:w="4340" w:type="dxa"/>
            <w:vAlign w:val="bottom"/>
          </w:tcPr>
          <w:p>
            <w:pPr>
              <w:spacing w:after="0"/>
              <w:rPr>
                <w:sz w:val="20"/>
                <w:szCs w:val="20"/>
                <w:color w:val="auto"/>
              </w:rPr>
            </w:pPr>
            <w:r>
              <w:rPr>
                <w:rFonts w:ascii="Arial" w:cs="Arial" w:eastAsia="Arial" w:hAnsi="Arial"/>
                <w:sz w:val="18"/>
                <w:szCs w:val="18"/>
                <w:color w:val="auto"/>
              </w:rPr>
              <w:t>St. Mary’s &amp; E. Houston (W Hotel)</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451-5606</w:t>
            </w:r>
          </w:p>
        </w:tc>
        <w:tc>
          <w:tcPr>
            <w:tcW w:w="4340" w:type="dxa"/>
            <w:vAlign w:val="bottom"/>
          </w:tcPr>
          <w:p>
            <w:pPr>
              <w:spacing w:after="0"/>
              <w:rPr>
                <w:sz w:val="20"/>
                <w:szCs w:val="20"/>
                <w:color w:val="auto"/>
              </w:rPr>
            </w:pPr>
            <w:r>
              <w:rPr>
                <w:rFonts w:ascii="Arial" w:cs="Arial" w:eastAsia="Arial" w:hAnsi="Arial"/>
                <w:sz w:val="18"/>
                <w:szCs w:val="18"/>
                <w:color w:val="auto"/>
              </w:rPr>
              <w:t>111 Jefferson St (Pkg Lot)</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451-5607</w:t>
            </w:r>
          </w:p>
        </w:tc>
        <w:tc>
          <w:tcPr>
            <w:tcW w:w="4340" w:type="dxa"/>
            <w:vAlign w:val="bottom"/>
          </w:tcPr>
          <w:p>
            <w:pPr>
              <w:spacing w:after="0"/>
              <w:rPr>
                <w:sz w:val="20"/>
                <w:szCs w:val="20"/>
                <w:color w:val="auto"/>
              </w:rPr>
            </w:pPr>
            <w:r>
              <w:rPr>
                <w:rFonts w:ascii="Arial" w:cs="Arial" w:eastAsia="Arial" w:hAnsi="Arial"/>
                <w:sz w:val="18"/>
                <w:szCs w:val="18"/>
                <w:color w:val="auto"/>
              </w:rPr>
              <w:t>300-302 E Houston St (Walgreen)</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451-5608</w:t>
            </w:r>
          </w:p>
        </w:tc>
        <w:tc>
          <w:tcPr>
            <w:tcW w:w="4340" w:type="dxa"/>
            <w:vAlign w:val="bottom"/>
          </w:tcPr>
          <w:p>
            <w:pPr>
              <w:spacing w:after="0"/>
              <w:rPr>
                <w:sz w:val="20"/>
                <w:szCs w:val="20"/>
                <w:color w:val="auto"/>
              </w:rPr>
            </w:pPr>
            <w:r>
              <w:rPr>
                <w:rFonts w:ascii="Arial" w:cs="Arial" w:eastAsia="Arial" w:hAnsi="Arial"/>
                <w:sz w:val="18"/>
                <w:szCs w:val="18"/>
                <w:color w:val="auto"/>
              </w:rPr>
              <w:t>221-223 E Houston St (Court Bl)</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451-5609</w:t>
            </w:r>
          </w:p>
        </w:tc>
        <w:tc>
          <w:tcPr>
            <w:tcW w:w="4340" w:type="dxa"/>
            <w:vAlign w:val="bottom"/>
          </w:tcPr>
          <w:p>
            <w:pPr>
              <w:spacing w:after="0"/>
              <w:rPr>
                <w:sz w:val="20"/>
                <w:szCs w:val="20"/>
                <w:color w:val="auto"/>
              </w:rPr>
            </w:pPr>
            <w:r>
              <w:rPr>
                <w:rFonts w:ascii="Arial" w:cs="Arial" w:eastAsia="Arial" w:hAnsi="Arial"/>
                <w:sz w:val="18"/>
                <w:szCs w:val="18"/>
                <w:color w:val="auto"/>
              </w:rPr>
              <w:t>219 E Houston St (Carl)</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451-5610</w:t>
            </w:r>
          </w:p>
        </w:tc>
        <w:tc>
          <w:tcPr>
            <w:tcW w:w="4340" w:type="dxa"/>
            <w:vAlign w:val="bottom"/>
          </w:tcPr>
          <w:p>
            <w:pPr>
              <w:spacing w:after="0"/>
              <w:rPr>
                <w:sz w:val="20"/>
                <w:szCs w:val="20"/>
                <w:color w:val="auto"/>
              </w:rPr>
            </w:pPr>
            <w:r>
              <w:rPr>
                <w:rFonts w:ascii="Arial" w:cs="Arial" w:eastAsia="Arial" w:hAnsi="Arial"/>
                <w:sz w:val="18"/>
                <w:szCs w:val="18"/>
                <w:color w:val="auto"/>
              </w:rPr>
              <w:t>311-315 E Houston St (Kress)</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451-5611</w:t>
            </w:r>
          </w:p>
        </w:tc>
        <w:tc>
          <w:tcPr>
            <w:tcW w:w="4340" w:type="dxa"/>
            <w:vAlign w:val="bottom"/>
          </w:tcPr>
          <w:p>
            <w:pPr>
              <w:spacing w:after="0"/>
              <w:rPr>
                <w:sz w:val="20"/>
                <w:szCs w:val="20"/>
                <w:color w:val="auto"/>
              </w:rPr>
            </w:pPr>
            <w:r>
              <w:rPr>
                <w:rFonts w:ascii="Arial" w:cs="Arial" w:eastAsia="Arial" w:hAnsi="Arial"/>
                <w:sz w:val="18"/>
                <w:szCs w:val="18"/>
                <w:color w:val="auto"/>
              </w:rPr>
              <w:t>306-308 E Houston St (Stuart)</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Antonio</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TX</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490-1085</w:t>
            </w:r>
          </w:p>
        </w:tc>
        <w:tc>
          <w:tcPr>
            <w:tcW w:w="4340" w:type="dxa"/>
            <w:vAlign w:val="bottom"/>
          </w:tcPr>
          <w:p>
            <w:pPr>
              <w:spacing w:after="0"/>
              <w:rPr>
                <w:sz w:val="20"/>
                <w:szCs w:val="20"/>
                <w:color w:val="auto"/>
              </w:rPr>
            </w:pPr>
            <w:r>
              <w:rPr>
                <w:rFonts w:ascii="Arial" w:cs="Arial" w:eastAsia="Arial" w:hAnsi="Arial"/>
                <w:sz w:val="18"/>
                <w:szCs w:val="18"/>
                <w:color w:val="auto"/>
              </w:rPr>
              <w:t>Courthouse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490-1400</w:t>
            </w:r>
          </w:p>
        </w:tc>
        <w:tc>
          <w:tcPr>
            <w:tcW w:w="4340" w:type="dxa"/>
            <w:vAlign w:val="bottom"/>
          </w:tcPr>
          <w:p>
            <w:pPr>
              <w:spacing w:after="0"/>
              <w:rPr>
                <w:sz w:val="20"/>
                <w:szCs w:val="20"/>
                <w:color w:val="auto"/>
              </w:rPr>
            </w:pPr>
            <w:r>
              <w:rPr>
                <w:rFonts w:ascii="Arial" w:cs="Arial" w:eastAsia="Arial" w:hAnsi="Arial"/>
                <w:sz w:val="18"/>
                <w:szCs w:val="18"/>
                <w:color w:val="auto"/>
              </w:rPr>
              <w:t>Kings Court</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Los Gatos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5"/>
              </w:rPr>
              <w:t>Owned pursuant to ground</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88"/>
              </w:rPr>
              <w:t>lease that expires 7/31/2024.</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490-1720</w:t>
            </w:r>
          </w:p>
        </w:tc>
        <w:tc>
          <w:tcPr>
            <w:tcW w:w="4340" w:type="dxa"/>
            <w:vAlign w:val="bottom"/>
          </w:tcPr>
          <w:p>
            <w:pPr>
              <w:spacing w:after="0"/>
              <w:rPr>
                <w:sz w:val="20"/>
                <w:szCs w:val="20"/>
                <w:color w:val="auto"/>
              </w:rPr>
            </w:pPr>
            <w:r>
              <w:rPr>
                <w:rFonts w:ascii="Arial" w:cs="Arial" w:eastAsia="Arial" w:hAnsi="Arial"/>
                <w:sz w:val="18"/>
                <w:szCs w:val="18"/>
                <w:color w:val="auto"/>
              </w:rPr>
              <w:t>South Valley</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Alexandria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500-1010</w:t>
            </w:r>
          </w:p>
        </w:tc>
        <w:tc>
          <w:tcPr>
            <w:tcW w:w="4340" w:type="dxa"/>
            <w:vAlign w:val="bottom"/>
          </w:tcPr>
          <w:p>
            <w:pPr>
              <w:spacing w:after="0"/>
              <w:rPr>
                <w:sz w:val="20"/>
                <w:szCs w:val="20"/>
                <w:color w:val="auto"/>
              </w:rPr>
            </w:pPr>
            <w:r>
              <w:rPr>
                <w:rFonts w:ascii="Arial" w:cs="Arial" w:eastAsia="Arial" w:hAnsi="Arial"/>
                <w:sz w:val="18"/>
                <w:szCs w:val="18"/>
                <w:color w:val="auto"/>
              </w:rPr>
              <w:t>Bala Cynwyd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Bala Cynwyd</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500-1050</w:t>
            </w:r>
          </w:p>
        </w:tc>
        <w:tc>
          <w:tcPr>
            <w:tcW w:w="4340" w:type="dxa"/>
            <w:vAlign w:val="bottom"/>
          </w:tcPr>
          <w:p>
            <w:pPr>
              <w:spacing w:after="0"/>
              <w:rPr>
                <w:sz w:val="20"/>
                <w:szCs w:val="20"/>
                <w:color w:val="auto"/>
              </w:rPr>
            </w:pPr>
            <w:r>
              <w:rPr>
                <w:rFonts w:ascii="Arial" w:cs="Arial" w:eastAsia="Arial" w:hAnsi="Arial"/>
                <w:sz w:val="18"/>
                <w:szCs w:val="18"/>
                <w:color w:val="auto"/>
              </w:rPr>
              <w:t>Bristol Plaza</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Bristol</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CT</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500-1090</w:t>
            </w:r>
          </w:p>
        </w:tc>
        <w:tc>
          <w:tcPr>
            <w:tcW w:w="4340" w:type="dxa"/>
            <w:vAlign w:val="bottom"/>
          </w:tcPr>
          <w:p>
            <w:pPr>
              <w:spacing w:after="0"/>
              <w:rPr>
                <w:sz w:val="20"/>
                <w:szCs w:val="20"/>
                <w:color w:val="auto"/>
              </w:rPr>
            </w:pPr>
            <w:r>
              <w:rPr>
                <w:rFonts w:ascii="Arial" w:cs="Arial" w:eastAsia="Arial" w:hAnsi="Arial"/>
                <w:sz w:val="18"/>
                <w:szCs w:val="18"/>
                <w:color w:val="auto"/>
              </w:rPr>
              <w:t>Crossroads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Highland Park</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500-1097</w:t>
            </w:r>
          </w:p>
        </w:tc>
        <w:tc>
          <w:tcPr>
            <w:tcW w:w="4340" w:type="dxa"/>
            <w:vAlign w:val="bottom"/>
          </w:tcPr>
          <w:p>
            <w:pPr>
              <w:spacing w:after="0"/>
              <w:rPr>
                <w:sz w:val="20"/>
                <w:szCs w:val="20"/>
                <w:color w:val="auto"/>
              </w:rPr>
            </w:pPr>
            <w:r>
              <w:rPr>
                <w:rFonts w:ascii="Arial" w:cs="Arial" w:eastAsia="Arial" w:hAnsi="Arial"/>
                <w:sz w:val="18"/>
                <w:szCs w:val="18"/>
                <w:color w:val="auto"/>
              </w:rPr>
              <w:t>Crow Canyon Crest</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San Ramon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500-1125</w:t>
            </w:r>
          </w:p>
        </w:tc>
        <w:tc>
          <w:tcPr>
            <w:tcW w:w="4340" w:type="dxa"/>
            <w:vAlign w:val="bottom"/>
          </w:tcPr>
          <w:p>
            <w:pPr>
              <w:spacing w:after="0"/>
              <w:rPr>
                <w:sz w:val="20"/>
                <w:szCs w:val="20"/>
                <w:color w:val="auto"/>
              </w:rPr>
            </w:pPr>
            <w:r>
              <w:rPr>
                <w:rFonts w:ascii="Arial" w:cs="Arial" w:eastAsia="Arial" w:hAnsi="Arial"/>
                <w:sz w:val="18"/>
                <w:szCs w:val="18"/>
                <w:color w:val="auto"/>
              </w:rPr>
              <w:t>Dedham Plaza</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Dedham</w:t>
            </w:r>
          </w:p>
        </w:tc>
        <w:tc>
          <w:tcPr>
            <w:tcW w:w="1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274" w:right="239" w:bottom="1440" w:gutter="0" w:footer="0" w:header="0"/>
        </w:sectPr>
      </w:pPr>
    </w:p>
    <w:bookmarkStart w:id="525" w:name="page526"/>
    <w:bookmarkEnd w:id="5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4,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8"/>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Multifamily</w:t>
            </w:r>
          </w:p>
        </w:tc>
        <w:tc>
          <w:tcPr>
            <w:tcW w:w="100" w:type="dxa"/>
            <w:vAlign w:val="bottom"/>
          </w:tcPr>
          <w:p>
            <w:pPr>
              <w:spacing w:after="0"/>
              <w:rPr>
                <w:sz w:val="14"/>
                <w:szCs w:val="14"/>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Eligible Property Exceptions</w:t>
            </w:r>
          </w:p>
        </w:tc>
      </w:tr>
      <w:tr>
        <w:trPr>
          <w:trHeight w:val="3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500-1160</w:t>
            </w:r>
          </w:p>
        </w:tc>
        <w:tc>
          <w:tcPr>
            <w:tcW w:w="4340" w:type="dxa"/>
            <w:vAlign w:val="bottom"/>
          </w:tcPr>
          <w:p>
            <w:pPr>
              <w:spacing w:after="0"/>
              <w:rPr>
                <w:sz w:val="20"/>
                <w:szCs w:val="20"/>
                <w:color w:val="auto"/>
              </w:rPr>
            </w:pPr>
            <w:r>
              <w:rPr>
                <w:rFonts w:ascii="Arial" w:cs="Arial" w:eastAsia="Arial" w:hAnsi="Arial"/>
                <w:sz w:val="18"/>
                <w:szCs w:val="18"/>
                <w:color w:val="auto"/>
              </w:rPr>
              <w:t>Eastgate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Chapel Hill</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9"/>
              </w:rPr>
              <w:t>NC</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500-1180</w:t>
            </w:r>
          </w:p>
        </w:tc>
        <w:tc>
          <w:tcPr>
            <w:tcW w:w="4340" w:type="dxa"/>
            <w:vAlign w:val="bottom"/>
          </w:tcPr>
          <w:p>
            <w:pPr>
              <w:spacing w:after="0"/>
              <w:rPr>
                <w:sz w:val="20"/>
                <w:szCs w:val="20"/>
                <w:color w:val="auto"/>
              </w:rPr>
            </w:pPr>
            <w:r>
              <w:rPr>
                <w:rFonts w:ascii="Arial" w:cs="Arial" w:eastAsia="Arial" w:hAnsi="Arial"/>
                <w:sz w:val="18"/>
                <w:szCs w:val="18"/>
                <w:color w:val="auto"/>
              </w:rPr>
              <w:t>Ellisburg Circle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Cherry Hill</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500-1200</w:t>
            </w:r>
          </w:p>
        </w:tc>
        <w:tc>
          <w:tcPr>
            <w:tcW w:w="4340" w:type="dxa"/>
            <w:vAlign w:val="bottom"/>
          </w:tcPr>
          <w:p>
            <w:pPr>
              <w:spacing w:after="0"/>
              <w:rPr>
                <w:sz w:val="20"/>
                <w:szCs w:val="20"/>
                <w:color w:val="auto"/>
              </w:rPr>
            </w:pPr>
            <w:r>
              <w:rPr>
                <w:rFonts w:ascii="Arial" w:cs="Arial" w:eastAsia="Arial" w:hAnsi="Arial"/>
                <w:sz w:val="18"/>
                <w:szCs w:val="18"/>
                <w:color w:val="auto"/>
              </w:rPr>
              <w:t>Falls Plaza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Falls Church</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500-1201</w:t>
            </w:r>
          </w:p>
        </w:tc>
        <w:tc>
          <w:tcPr>
            <w:tcW w:w="4340" w:type="dxa"/>
            <w:vAlign w:val="bottom"/>
          </w:tcPr>
          <w:p>
            <w:pPr>
              <w:spacing w:after="0"/>
              <w:rPr>
                <w:sz w:val="20"/>
                <w:szCs w:val="20"/>
                <w:color w:val="auto"/>
              </w:rPr>
            </w:pPr>
            <w:r>
              <w:rPr>
                <w:rFonts w:ascii="Arial" w:cs="Arial" w:eastAsia="Arial" w:hAnsi="Arial"/>
                <w:sz w:val="18"/>
                <w:szCs w:val="18"/>
                <w:color w:val="auto"/>
              </w:rPr>
              <w:t>Feasterville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Feasterville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500-1202</w:t>
            </w:r>
          </w:p>
        </w:tc>
        <w:tc>
          <w:tcPr>
            <w:tcW w:w="4340" w:type="dxa"/>
            <w:vAlign w:val="bottom"/>
          </w:tcPr>
          <w:p>
            <w:pPr>
              <w:spacing w:after="0"/>
              <w:rPr>
                <w:sz w:val="20"/>
                <w:szCs w:val="20"/>
                <w:color w:val="auto"/>
              </w:rPr>
            </w:pPr>
            <w:r>
              <w:rPr>
                <w:rFonts w:ascii="Arial" w:cs="Arial" w:eastAsia="Arial" w:hAnsi="Arial"/>
                <w:sz w:val="18"/>
                <w:szCs w:val="18"/>
                <w:color w:val="auto"/>
              </w:rPr>
              <w:t>Flourtown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Flourtown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500-1217</w:t>
            </w:r>
          </w:p>
        </w:tc>
        <w:tc>
          <w:tcPr>
            <w:tcW w:w="4340" w:type="dxa"/>
            <w:vAlign w:val="bottom"/>
          </w:tcPr>
          <w:p>
            <w:pPr>
              <w:spacing w:after="0"/>
              <w:rPr>
                <w:sz w:val="20"/>
                <w:szCs w:val="20"/>
                <w:color w:val="auto"/>
              </w:rPr>
            </w:pPr>
            <w:r>
              <w:rPr>
                <w:rFonts w:ascii="Arial" w:cs="Arial" w:eastAsia="Arial" w:hAnsi="Arial"/>
                <w:sz w:val="18"/>
                <w:szCs w:val="18"/>
                <w:color w:val="auto"/>
              </w:rPr>
              <w:t>Finley Square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99"/>
              </w:rPr>
              <w:t>Downers Grove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500-1220</w:t>
            </w:r>
          </w:p>
        </w:tc>
        <w:tc>
          <w:tcPr>
            <w:tcW w:w="4340" w:type="dxa"/>
            <w:vAlign w:val="bottom"/>
          </w:tcPr>
          <w:p>
            <w:pPr>
              <w:spacing w:after="0"/>
              <w:rPr>
                <w:sz w:val="20"/>
                <w:szCs w:val="20"/>
                <w:color w:val="auto"/>
              </w:rPr>
            </w:pPr>
            <w:r>
              <w:rPr>
                <w:rFonts w:ascii="Arial" w:cs="Arial" w:eastAsia="Arial" w:hAnsi="Arial"/>
                <w:sz w:val="18"/>
                <w:szCs w:val="18"/>
                <w:color w:val="auto"/>
              </w:rPr>
              <w:t>Gratiot Plaza</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Roseville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Ml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500-1235</w:t>
            </w:r>
          </w:p>
        </w:tc>
        <w:tc>
          <w:tcPr>
            <w:tcW w:w="4340" w:type="dxa"/>
            <w:vAlign w:val="bottom"/>
          </w:tcPr>
          <w:p>
            <w:pPr>
              <w:spacing w:after="0"/>
              <w:rPr>
                <w:sz w:val="20"/>
                <w:szCs w:val="20"/>
                <w:color w:val="auto"/>
              </w:rPr>
            </w:pPr>
            <w:r>
              <w:rPr>
                <w:rFonts w:ascii="Arial" w:cs="Arial" w:eastAsia="Arial" w:hAnsi="Arial"/>
                <w:sz w:val="18"/>
                <w:szCs w:val="18"/>
                <w:color w:val="auto"/>
              </w:rPr>
              <w:t>Gaithersburg Square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500-1236</w:t>
            </w:r>
          </w:p>
        </w:tc>
        <w:tc>
          <w:tcPr>
            <w:tcW w:w="4340" w:type="dxa"/>
            <w:vAlign w:val="bottom"/>
          </w:tcPr>
          <w:p>
            <w:pPr>
              <w:spacing w:after="0"/>
              <w:rPr>
                <w:sz w:val="20"/>
                <w:szCs w:val="20"/>
                <w:color w:val="auto"/>
              </w:rPr>
            </w:pPr>
            <w:r>
              <w:rPr>
                <w:rFonts w:ascii="Arial" w:cs="Arial" w:eastAsia="Arial" w:hAnsi="Arial"/>
                <w:sz w:val="18"/>
                <w:szCs w:val="18"/>
                <w:color w:val="auto"/>
              </w:rPr>
              <w:t>Gaithersburg Square Office Bld</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500-1245</w:t>
            </w:r>
          </w:p>
        </w:tc>
        <w:tc>
          <w:tcPr>
            <w:tcW w:w="4340" w:type="dxa"/>
            <w:vAlign w:val="bottom"/>
          </w:tcPr>
          <w:p>
            <w:pPr>
              <w:spacing w:after="0"/>
              <w:rPr>
                <w:sz w:val="20"/>
                <w:szCs w:val="20"/>
                <w:color w:val="auto"/>
              </w:rPr>
            </w:pPr>
            <w:r>
              <w:rPr>
                <w:rFonts w:ascii="Arial" w:cs="Arial" w:eastAsia="Arial" w:hAnsi="Arial"/>
                <w:sz w:val="18"/>
                <w:szCs w:val="18"/>
                <w:color w:val="auto"/>
              </w:rPr>
              <w:t>Garden Market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93"/>
              </w:rPr>
              <w:t>Western Springs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500-1315</w:t>
            </w:r>
          </w:p>
        </w:tc>
        <w:tc>
          <w:tcPr>
            <w:tcW w:w="4340" w:type="dxa"/>
            <w:vAlign w:val="bottom"/>
          </w:tcPr>
          <w:p>
            <w:pPr>
              <w:spacing w:after="0"/>
              <w:rPr>
                <w:sz w:val="20"/>
                <w:szCs w:val="20"/>
                <w:color w:val="auto"/>
              </w:rPr>
            </w:pPr>
            <w:r>
              <w:rPr>
                <w:rFonts w:ascii="Arial" w:cs="Arial" w:eastAsia="Arial" w:hAnsi="Arial"/>
                <w:sz w:val="18"/>
                <w:szCs w:val="18"/>
                <w:color w:val="auto"/>
              </w:rPr>
              <w:t>Idylwood Plaza [1]</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Falls Church</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500-1326</w:t>
            </w:r>
          </w:p>
        </w:tc>
        <w:tc>
          <w:tcPr>
            <w:tcW w:w="4340" w:type="dxa"/>
            <w:vAlign w:val="bottom"/>
          </w:tcPr>
          <w:p>
            <w:pPr>
              <w:spacing w:after="0"/>
              <w:rPr>
                <w:sz w:val="20"/>
                <w:szCs w:val="20"/>
                <w:color w:val="auto"/>
              </w:rPr>
            </w:pPr>
            <w:r>
              <w:rPr>
                <w:rFonts w:ascii="Arial" w:cs="Arial" w:eastAsia="Arial" w:hAnsi="Arial"/>
                <w:sz w:val="18"/>
                <w:szCs w:val="18"/>
                <w:color w:val="auto"/>
              </w:rPr>
              <w:t>Huntington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Huntington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NY</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500-1440</w:t>
            </w:r>
          </w:p>
        </w:tc>
        <w:tc>
          <w:tcPr>
            <w:tcW w:w="4340" w:type="dxa"/>
            <w:vAlign w:val="bottom"/>
          </w:tcPr>
          <w:p>
            <w:pPr>
              <w:spacing w:after="0"/>
              <w:rPr>
                <w:sz w:val="20"/>
                <w:szCs w:val="20"/>
                <w:color w:val="auto"/>
              </w:rPr>
            </w:pPr>
            <w:r>
              <w:rPr>
                <w:rFonts w:ascii="Arial" w:cs="Arial" w:eastAsia="Arial" w:hAnsi="Arial"/>
                <w:sz w:val="18"/>
                <w:szCs w:val="18"/>
                <w:color w:val="auto"/>
              </w:rPr>
              <w:t>Lancaster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Lancaster</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Shopping center lease</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6"/>
              </w:rPr>
              <w:t>expires 3/27/17 but has 12</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3"/>
              </w:rPr>
              <w:t>remaining 5-year extension</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options.</w:t>
            </w:r>
          </w:p>
        </w:tc>
      </w:tr>
      <w:tr>
        <w:trPr>
          <w:trHeight w:val="223"/>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500-1441</w:t>
            </w:r>
          </w:p>
        </w:tc>
        <w:tc>
          <w:tcPr>
            <w:tcW w:w="4340" w:type="dxa"/>
            <w:vAlign w:val="bottom"/>
          </w:tcPr>
          <w:p>
            <w:pPr>
              <w:spacing w:after="0"/>
              <w:rPr>
                <w:sz w:val="20"/>
                <w:szCs w:val="20"/>
                <w:color w:val="auto"/>
              </w:rPr>
            </w:pPr>
            <w:r>
              <w:rPr>
                <w:rFonts w:ascii="Arial" w:cs="Arial" w:eastAsia="Arial" w:hAnsi="Arial"/>
                <w:sz w:val="18"/>
                <w:szCs w:val="18"/>
                <w:color w:val="auto"/>
              </w:rPr>
              <w:t>Langhorne Square S C</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Levittown</w:t>
            </w:r>
          </w:p>
        </w:tc>
        <w:tc>
          <w:tcPr>
            <w:tcW w:w="1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500-1443</w:t>
            </w:r>
          </w:p>
        </w:tc>
        <w:tc>
          <w:tcPr>
            <w:tcW w:w="4340" w:type="dxa"/>
            <w:vAlign w:val="bottom"/>
          </w:tcPr>
          <w:p>
            <w:pPr>
              <w:spacing w:after="0"/>
              <w:rPr>
                <w:sz w:val="20"/>
                <w:szCs w:val="20"/>
                <w:color w:val="auto"/>
              </w:rPr>
            </w:pPr>
            <w:r>
              <w:rPr>
                <w:rFonts w:ascii="Arial" w:cs="Arial" w:eastAsia="Arial" w:hAnsi="Arial"/>
                <w:sz w:val="18"/>
                <w:szCs w:val="18"/>
                <w:color w:val="auto"/>
              </w:rPr>
              <w:t>Laurel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Laurel</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500-1475</w:t>
            </w:r>
          </w:p>
        </w:tc>
        <w:tc>
          <w:tcPr>
            <w:tcW w:w="4340" w:type="dxa"/>
            <w:vAlign w:val="bottom"/>
          </w:tcPr>
          <w:p>
            <w:pPr>
              <w:spacing w:after="0"/>
              <w:rPr>
                <w:sz w:val="20"/>
                <w:szCs w:val="20"/>
                <w:color w:val="auto"/>
              </w:rPr>
            </w:pPr>
            <w:r>
              <w:rPr>
                <w:rFonts w:ascii="Arial" w:cs="Arial" w:eastAsia="Arial" w:hAnsi="Arial"/>
                <w:sz w:val="18"/>
                <w:szCs w:val="18"/>
                <w:color w:val="auto"/>
              </w:rPr>
              <w:t>Mercer Mall</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Lawrenceville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5"/>
              </w:rPr>
              <w:t>Owned pursuant to ground</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0"/>
              </w:rPr>
              <w:t>lease that expires 9/30/2028</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1"/>
              </w:rPr>
              <w:t>with an option for the tenant</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88"/>
              </w:rPr>
              <w:t>to purchase the property at a</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fixed price.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500-1476</w:t>
            </w:r>
          </w:p>
        </w:tc>
        <w:tc>
          <w:tcPr>
            <w:tcW w:w="4340" w:type="dxa"/>
            <w:vAlign w:val="bottom"/>
          </w:tcPr>
          <w:p>
            <w:pPr>
              <w:spacing w:after="0"/>
              <w:rPr>
                <w:sz w:val="20"/>
                <w:szCs w:val="20"/>
                <w:color w:val="auto"/>
              </w:rPr>
            </w:pPr>
            <w:r>
              <w:rPr>
                <w:rFonts w:ascii="Arial" w:cs="Arial" w:eastAsia="Arial" w:hAnsi="Arial"/>
                <w:sz w:val="18"/>
                <w:szCs w:val="18"/>
                <w:color w:val="auto"/>
              </w:rPr>
              <w:t>Mercer Mall - Loupinski/Moore</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Lawrenceville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150-1477</w:t>
            </w:r>
          </w:p>
        </w:tc>
        <w:tc>
          <w:tcPr>
            <w:tcW w:w="4340" w:type="dxa"/>
            <w:vAlign w:val="bottom"/>
          </w:tcPr>
          <w:p>
            <w:pPr>
              <w:spacing w:after="0"/>
              <w:rPr>
                <w:sz w:val="20"/>
                <w:szCs w:val="20"/>
                <w:color w:val="auto"/>
              </w:rPr>
            </w:pPr>
            <w:r>
              <w:rPr>
                <w:rFonts w:ascii="Arial" w:cs="Arial" w:eastAsia="Arial" w:hAnsi="Arial"/>
                <w:sz w:val="18"/>
                <w:szCs w:val="18"/>
                <w:color w:val="auto"/>
              </w:rPr>
              <w:t>Mercer Mall - H&amp;H BBQ</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Lawrenceville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151-1478</w:t>
            </w:r>
          </w:p>
        </w:tc>
        <w:tc>
          <w:tcPr>
            <w:tcW w:w="4340" w:type="dxa"/>
            <w:vAlign w:val="bottom"/>
          </w:tcPr>
          <w:p>
            <w:pPr>
              <w:spacing w:after="0"/>
              <w:rPr>
                <w:sz w:val="20"/>
                <w:szCs w:val="20"/>
                <w:color w:val="auto"/>
              </w:rPr>
            </w:pPr>
            <w:r>
              <w:rPr>
                <w:rFonts w:ascii="Arial" w:cs="Arial" w:eastAsia="Arial" w:hAnsi="Arial"/>
                <w:sz w:val="18"/>
                <w:szCs w:val="18"/>
                <w:color w:val="auto"/>
              </w:rPr>
              <w:t>FR Mercer Mall, LLC (H&amp;H BBQ)</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Lawrenceville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500-1480</w:t>
            </w:r>
          </w:p>
        </w:tc>
        <w:tc>
          <w:tcPr>
            <w:tcW w:w="4340" w:type="dxa"/>
            <w:vAlign w:val="bottom"/>
          </w:tcPr>
          <w:p>
            <w:pPr>
              <w:spacing w:after="0"/>
              <w:rPr>
                <w:sz w:val="20"/>
                <w:szCs w:val="20"/>
                <w:color w:val="auto"/>
              </w:rPr>
            </w:pPr>
            <w:r>
              <w:rPr>
                <w:rFonts w:ascii="Arial" w:cs="Arial" w:eastAsia="Arial" w:hAnsi="Arial"/>
                <w:sz w:val="18"/>
                <w:szCs w:val="18"/>
                <w:color w:val="auto"/>
              </w:rPr>
              <w:t>Mid-Pike Plaza</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500-1500</w:t>
            </w:r>
          </w:p>
        </w:tc>
        <w:tc>
          <w:tcPr>
            <w:tcW w:w="4340" w:type="dxa"/>
            <w:vAlign w:val="bottom"/>
          </w:tcPr>
          <w:p>
            <w:pPr>
              <w:spacing w:after="0"/>
              <w:rPr>
                <w:sz w:val="20"/>
                <w:szCs w:val="20"/>
                <w:color w:val="auto"/>
              </w:rPr>
            </w:pPr>
            <w:r>
              <w:rPr>
                <w:rFonts w:ascii="Arial" w:cs="Arial" w:eastAsia="Arial" w:hAnsi="Arial"/>
                <w:sz w:val="18"/>
                <w:szCs w:val="18"/>
                <w:color w:val="auto"/>
              </w:rPr>
              <w:t>Town Center of New Britain</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New Britain</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500-1520</w:t>
            </w:r>
          </w:p>
        </w:tc>
        <w:tc>
          <w:tcPr>
            <w:tcW w:w="4340" w:type="dxa"/>
            <w:vAlign w:val="bottom"/>
          </w:tcPr>
          <w:p>
            <w:pPr>
              <w:spacing w:after="0"/>
              <w:rPr>
                <w:sz w:val="20"/>
                <w:szCs w:val="20"/>
                <w:color w:val="auto"/>
              </w:rPr>
            </w:pPr>
            <w:r>
              <w:rPr>
                <w:rFonts w:ascii="Arial" w:cs="Arial" w:eastAsia="Arial" w:hAnsi="Arial"/>
                <w:sz w:val="18"/>
                <w:szCs w:val="18"/>
                <w:color w:val="auto"/>
              </w:rPr>
              <w:t>Northeast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Philadelphia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500-1525</w:t>
            </w:r>
          </w:p>
        </w:tc>
        <w:tc>
          <w:tcPr>
            <w:tcW w:w="4340" w:type="dxa"/>
            <w:vAlign w:val="bottom"/>
          </w:tcPr>
          <w:p>
            <w:pPr>
              <w:spacing w:after="0"/>
              <w:rPr>
                <w:sz w:val="20"/>
                <w:szCs w:val="20"/>
                <w:color w:val="auto"/>
              </w:rPr>
            </w:pPr>
            <w:r>
              <w:rPr>
                <w:rFonts w:ascii="Arial" w:cs="Arial" w:eastAsia="Arial" w:hAnsi="Arial"/>
                <w:sz w:val="18"/>
                <w:szCs w:val="18"/>
                <w:color w:val="auto"/>
              </w:rPr>
              <w:t>North Lake Commons</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Lake Zurich</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IL</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500-1560</w:t>
            </w:r>
          </w:p>
        </w:tc>
        <w:tc>
          <w:tcPr>
            <w:tcW w:w="4340" w:type="dxa"/>
            <w:vAlign w:val="bottom"/>
          </w:tcPr>
          <w:p>
            <w:pPr>
              <w:spacing w:after="0"/>
              <w:rPr>
                <w:sz w:val="20"/>
                <w:szCs w:val="20"/>
                <w:color w:val="auto"/>
              </w:rPr>
            </w:pPr>
            <w:r>
              <w:rPr>
                <w:rFonts w:ascii="Arial" w:cs="Arial" w:eastAsia="Arial" w:hAnsi="Arial"/>
                <w:sz w:val="18"/>
                <w:szCs w:val="18"/>
                <w:color w:val="auto"/>
              </w:rPr>
              <w:t>Old Keene Mill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Springfield</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500-1580</w:t>
            </w:r>
          </w:p>
        </w:tc>
        <w:tc>
          <w:tcPr>
            <w:tcW w:w="4340" w:type="dxa"/>
            <w:vAlign w:val="bottom"/>
          </w:tcPr>
          <w:p>
            <w:pPr>
              <w:spacing w:after="0"/>
              <w:rPr>
                <w:sz w:val="20"/>
                <w:szCs w:val="20"/>
                <w:color w:val="auto"/>
              </w:rPr>
            </w:pPr>
            <w:r>
              <w:rPr>
                <w:rFonts w:ascii="Arial" w:cs="Arial" w:eastAsia="Arial" w:hAnsi="Arial"/>
                <w:sz w:val="18"/>
                <w:szCs w:val="18"/>
                <w:color w:val="auto"/>
              </w:rPr>
              <w:t>Pan Am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Fairfax</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500-1610</w:t>
            </w:r>
          </w:p>
        </w:tc>
        <w:tc>
          <w:tcPr>
            <w:tcW w:w="4340" w:type="dxa"/>
            <w:vAlign w:val="bottom"/>
          </w:tcPr>
          <w:p>
            <w:pPr>
              <w:spacing w:after="0"/>
              <w:rPr>
                <w:sz w:val="20"/>
                <w:szCs w:val="20"/>
                <w:color w:val="auto"/>
              </w:rPr>
            </w:pPr>
            <w:r>
              <w:rPr>
                <w:rFonts w:ascii="Arial" w:cs="Arial" w:eastAsia="Arial" w:hAnsi="Arial"/>
                <w:sz w:val="18"/>
                <w:szCs w:val="18"/>
                <w:color w:val="auto"/>
              </w:rPr>
              <w:t>Queen Anne Plaza</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Norwell</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500-1625</w:t>
            </w:r>
          </w:p>
        </w:tc>
        <w:tc>
          <w:tcPr>
            <w:tcW w:w="4340" w:type="dxa"/>
            <w:vAlign w:val="bottom"/>
          </w:tcPr>
          <w:p>
            <w:pPr>
              <w:spacing w:after="0"/>
              <w:rPr>
                <w:sz w:val="20"/>
                <w:szCs w:val="20"/>
                <w:color w:val="auto"/>
              </w:rPr>
            </w:pPr>
            <w:r>
              <w:rPr>
                <w:rFonts w:ascii="Arial" w:cs="Arial" w:eastAsia="Arial" w:hAnsi="Arial"/>
                <w:sz w:val="18"/>
                <w:szCs w:val="18"/>
                <w:color w:val="auto"/>
              </w:rPr>
              <w:t>Quince Orchard Shopping Center</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1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273" w:right="239" w:bottom="1440" w:gutter="0" w:footer="0" w:header="0"/>
        </w:sectPr>
      </w:pPr>
    </w:p>
    <w:bookmarkStart w:id="526" w:name="page527"/>
    <w:bookmarkEnd w:id="5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4,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8"/>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w:t>
            </w:r>
          </w:p>
        </w:tc>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Multifamily</w:t>
            </w:r>
          </w:p>
        </w:tc>
        <w:tc>
          <w:tcPr>
            <w:tcW w:w="100" w:type="dxa"/>
            <w:vAlign w:val="bottom"/>
          </w:tcPr>
          <w:p>
            <w:pPr>
              <w:spacing w:after="0"/>
              <w:rPr>
                <w:sz w:val="14"/>
                <w:szCs w:val="14"/>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Eligible Property Exceptions</w:t>
            </w:r>
          </w:p>
        </w:tc>
      </w:tr>
      <w:tr>
        <w:trPr>
          <w:trHeight w:val="3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500-1626</w:t>
            </w:r>
          </w:p>
        </w:tc>
        <w:tc>
          <w:tcPr>
            <w:tcW w:w="4220" w:type="dxa"/>
            <w:vAlign w:val="bottom"/>
          </w:tcPr>
          <w:p>
            <w:pPr>
              <w:spacing w:after="0"/>
              <w:rPr>
                <w:sz w:val="20"/>
                <w:szCs w:val="20"/>
                <w:color w:val="auto"/>
              </w:rPr>
            </w:pPr>
            <w:r>
              <w:rPr>
                <w:rFonts w:ascii="Arial" w:cs="Arial" w:eastAsia="Arial" w:hAnsi="Arial"/>
                <w:sz w:val="18"/>
                <w:szCs w:val="18"/>
                <w:color w:val="auto"/>
              </w:rPr>
              <w:t>Quince Orchard Office Building</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Gaithersburg</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500-1627</w:t>
            </w:r>
          </w:p>
        </w:tc>
        <w:tc>
          <w:tcPr>
            <w:tcW w:w="4220" w:type="dxa"/>
            <w:vAlign w:val="bottom"/>
          </w:tcPr>
          <w:p>
            <w:pPr>
              <w:spacing w:after="0"/>
              <w:rPr>
                <w:sz w:val="20"/>
                <w:szCs w:val="20"/>
                <w:color w:val="auto"/>
              </w:rPr>
            </w:pPr>
            <w:r>
              <w:rPr>
                <w:rFonts w:ascii="Arial" w:cs="Arial" w:eastAsia="Arial" w:hAnsi="Arial"/>
                <w:sz w:val="18"/>
                <w:szCs w:val="18"/>
                <w:color w:val="auto"/>
              </w:rPr>
              <w:t>7700 Richmond Highway</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Alexandria</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500-1700</w:t>
            </w:r>
          </w:p>
        </w:tc>
        <w:tc>
          <w:tcPr>
            <w:tcW w:w="4220" w:type="dxa"/>
            <w:vAlign w:val="bottom"/>
          </w:tcPr>
          <w:p>
            <w:pPr>
              <w:spacing w:after="0"/>
              <w:rPr>
                <w:sz w:val="20"/>
                <w:szCs w:val="20"/>
                <w:color w:val="auto"/>
              </w:rPr>
            </w:pPr>
            <w:r>
              <w:rPr>
                <w:rFonts w:ascii="Arial" w:cs="Arial" w:eastAsia="Arial" w:hAnsi="Arial"/>
                <w:sz w:val="18"/>
                <w:szCs w:val="18"/>
                <w:color w:val="auto"/>
              </w:rPr>
              <w:t>Saugus Plaza</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Saugus</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6"/>
              </w:rPr>
              <w:t>MA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500-1750</w:t>
            </w:r>
          </w:p>
        </w:tc>
        <w:tc>
          <w:tcPr>
            <w:tcW w:w="4220" w:type="dxa"/>
            <w:vAlign w:val="bottom"/>
          </w:tcPr>
          <w:p>
            <w:pPr>
              <w:spacing w:after="0"/>
              <w:rPr>
                <w:sz w:val="20"/>
                <w:szCs w:val="20"/>
                <w:color w:val="auto"/>
              </w:rPr>
            </w:pPr>
            <w:r>
              <w:rPr>
                <w:rFonts w:ascii="Arial" w:cs="Arial" w:eastAsia="Arial" w:hAnsi="Arial"/>
                <w:sz w:val="18"/>
                <w:szCs w:val="18"/>
                <w:color w:val="auto"/>
              </w:rPr>
              <w:t>Tower Shopping Center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Springfield</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500-1761</w:t>
            </w:r>
          </w:p>
        </w:tc>
        <w:tc>
          <w:tcPr>
            <w:tcW w:w="4220" w:type="dxa"/>
            <w:vAlign w:val="bottom"/>
          </w:tcPr>
          <w:p>
            <w:pPr>
              <w:spacing w:after="0"/>
              <w:rPr>
                <w:sz w:val="20"/>
                <w:szCs w:val="20"/>
                <w:color w:val="auto"/>
              </w:rPr>
            </w:pPr>
            <w:r>
              <w:rPr>
                <w:rFonts w:ascii="Arial" w:cs="Arial" w:eastAsia="Arial" w:hAnsi="Arial"/>
                <w:sz w:val="18"/>
                <w:szCs w:val="18"/>
                <w:color w:val="auto"/>
              </w:rPr>
              <w:t>Troy Shopping Center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Parsippany-Troy</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NJ</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500-1880</w:t>
            </w:r>
          </w:p>
        </w:tc>
        <w:tc>
          <w:tcPr>
            <w:tcW w:w="4220" w:type="dxa"/>
            <w:vAlign w:val="bottom"/>
          </w:tcPr>
          <w:p>
            <w:pPr>
              <w:spacing w:after="0"/>
              <w:rPr>
                <w:sz w:val="20"/>
                <w:szCs w:val="20"/>
                <w:color w:val="auto"/>
              </w:rPr>
            </w:pPr>
            <w:r>
              <w:rPr>
                <w:rFonts w:ascii="Arial" w:cs="Arial" w:eastAsia="Arial" w:hAnsi="Arial"/>
                <w:sz w:val="18"/>
                <w:szCs w:val="18"/>
                <w:color w:val="auto"/>
              </w:rPr>
              <w:t>Falls Plaza – East</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Falls Church</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500-1883</w:t>
            </w:r>
          </w:p>
        </w:tc>
        <w:tc>
          <w:tcPr>
            <w:tcW w:w="4220" w:type="dxa"/>
            <w:vAlign w:val="bottom"/>
          </w:tcPr>
          <w:p>
            <w:pPr>
              <w:spacing w:after="0"/>
              <w:rPr>
                <w:sz w:val="20"/>
                <w:szCs w:val="20"/>
                <w:color w:val="auto"/>
              </w:rPr>
            </w:pPr>
            <w:r>
              <w:rPr>
                <w:rFonts w:ascii="Arial" w:cs="Arial" w:eastAsia="Arial" w:hAnsi="Arial"/>
                <w:sz w:val="18"/>
                <w:szCs w:val="18"/>
                <w:color w:val="auto"/>
              </w:rPr>
              <w:t>The Shops at Willow Lawn</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Richmond</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VA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500-1889</w:t>
            </w:r>
          </w:p>
        </w:tc>
        <w:tc>
          <w:tcPr>
            <w:tcW w:w="4220" w:type="dxa"/>
            <w:vAlign w:val="bottom"/>
          </w:tcPr>
          <w:p>
            <w:pPr>
              <w:spacing w:after="0"/>
              <w:rPr>
                <w:sz w:val="20"/>
                <w:szCs w:val="20"/>
                <w:color w:val="auto"/>
              </w:rPr>
            </w:pPr>
            <w:r>
              <w:rPr>
                <w:rFonts w:ascii="Arial" w:cs="Arial" w:eastAsia="Arial" w:hAnsi="Arial"/>
                <w:sz w:val="18"/>
                <w:szCs w:val="18"/>
                <w:color w:val="auto"/>
              </w:rPr>
              <w:t>Willow Grove Shopping Center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Willow Grove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PA</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500-1910</w:t>
            </w:r>
          </w:p>
        </w:tc>
        <w:tc>
          <w:tcPr>
            <w:tcW w:w="4220" w:type="dxa"/>
            <w:vAlign w:val="bottom"/>
          </w:tcPr>
          <w:p>
            <w:pPr>
              <w:spacing w:after="0"/>
              <w:rPr>
                <w:sz w:val="20"/>
                <w:szCs w:val="20"/>
                <w:color w:val="auto"/>
              </w:rPr>
            </w:pPr>
            <w:r>
              <w:rPr>
                <w:rFonts w:ascii="Arial" w:cs="Arial" w:eastAsia="Arial" w:hAnsi="Arial"/>
                <w:sz w:val="18"/>
                <w:szCs w:val="18"/>
                <w:color w:val="auto"/>
              </w:rPr>
              <w:t>Rockville Town Square</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500-1911</w:t>
            </w:r>
          </w:p>
        </w:tc>
        <w:tc>
          <w:tcPr>
            <w:tcW w:w="4220" w:type="dxa"/>
            <w:vAlign w:val="bottom"/>
          </w:tcPr>
          <w:p>
            <w:pPr>
              <w:spacing w:after="0"/>
              <w:rPr>
                <w:sz w:val="20"/>
                <w:szCs w:val="20"/>
                <w:color w:val="auto"/>
              </w:rPr>
            </w:pPr>
            <w:r>
              <w:rPr>
                <w:rFonts w:ascii="Arial" w:cs="Arial" w:eastAsia="Arial" w:hAnsi="Arial"/>
                <w:sz w:val="18"/>
                <w:szCs w:val="18"/>
                <w:color w:val="auto"/>
              </w:rPr>
              <w:t>Rockville Town Square 2</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Rockville</w:t>
            </w:r>
          </w:p>
        </w:tc>
        <w:tc>
          <w:tcPr>
            <w:tcW w:w="1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92"/>
              </w:rPr>
              <w:t>MD</w:t>
            </w:r>
          </w:p>
        </w:tc>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None</w:t>
            </w:r>
          </w:p>
        </w:tc>
      </w:tr>
    </w:tbl>
    <w:p>
      <w:pPr>
        <w:spacing w:after="0" w:line="75" w:lineRule="exact"/>
        <w:rPr>
          <w:sz w:val="20"/>
          <w:szCs w:val="20"/>
          <w:color w:val="auto"/>
        </w:rPr>
      </w:pPr>
    </w:p>
    <w:p>
      <w:pPr>
        <w:ind w:left="460" w:hanging="452"/>
        <w:spacing w:after="0"/>
        <w:tabs>
          <w:tab w:leader="none" w:pos="4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Property anticipated to be encumbered by a Permitted Lien by June 1, 2009.</w:t>
      </w:r>
    </w:p>
    <w:p>
      <w:pPr>
        <w:sectPr>
          <w:pgSz w:w="11900" w:h="16838" w:orient="portrait"/>
          <w:cols w:equalWidth="0" w:num="1">
            <w:col w:w="11420"/>
          </w:cols>
          <w:pgMar w:left="240" w:top="274" w:right="239" w:bottom="1440" w:gutter="0" w:footer="0" w:header="0"/>
        </w:sectPr>
      </w:pPr>
    </w:p>
    <w:bookmarkStart w:id="527" w:name="page528"/>
    <w:bookmarkEnd w:id="52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FORM OF ASSIGNMENT AND ACCEPTANCE AGREEMENT</w:t>
      </w:r>
    </w:p>
    <w:p>
      <w:pPr>
        <w:sectPr>
          <w:pgSz w:w="11900" w:h="16838" w:orient="portrait"/>
          <w:cols w:equalWidth="0" w:num="1">
            <w:col w:w="11400"/>
          </w:cols>
          <w:pgMar w:left="240" w:top="279" w:right="259" w:bottom="1440" w:gutter="0" w:footer="0" w:header="0"/>
        </w:sectPr>
      </w:pPr>
    </w:p>
    <w:p>
      <w:pPr>
        <w:spacing w:after="0" w:line="194" w:lineRule="exact"/>
        <w:rPr>
          <w:sz w:val="20"/>
          <w:szCs w:val="20"/>
          <w:color w:val="auto"/>
        </w:rPr>
      </w:pPr>
    </w:p>
    <w:p>
      <w:pPr>
        <w:ind w:left="460"/>
        <w:spacing w:after="0"/>
        <w:tabs>
          <w:tab w:leader="none" w:pos="6120" w:val="left"/>
          <w:tab w:leader="none" w:pos="6600" w:val="left"/>
        </w:tabs>
        <w:rPr>
          <w:sz w:val="20"/>
          <w:szCs w:val="20"/>
          <w:color w:val="auto"/>
        </w:rPr>
      </w:pPr>
      <w:r>
        <w:rPr>
          <w:rFonts w:ascii="Arial" w:cs="Arial" w:eastAsia="Arial" w:hAnsi="Arial"/>
          <w:sz w:val="18"/>
          <w:szCs w:val="18"/>
          <w:color w:val="auto"/>
        </w:rPr>
        <w:t>THIS ASSIGNMENT AND ACCEPTANCE AGREEMENT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“Agreement”) by and among</w:t>
      </w:r>
    </w:p>
    <w:p>
      <w:pPr>
        <w:spacing w:after="0" w:line="15" w:lineRule="exact"/>
        <w:rPr>
          <w:sz w:val="20"/>
          <w:szCs w:val="20"/>
          <w:color w:val="auto"/>
        </w:rPr>
      </w:pPr>
    </w:p>
    <w:p>
      <w:pPr>
        <w:spacing w:after="0"/>
        <w:tabs>
          <w:tab w:leader="none" w:pos="2720" w:val="left"/>
        </w:tabs>
        <w:rPr>
          <w:sz w:val="20"/>
          <w:szCs w:val="20"/>
          <w:color w:val="auto"/>
        </w:rPr>
      </w:pPr>
      <w:r>
        <w:rPr>
          <w:rFonts w:ascii="Arial" w:cs="Arial" w:eastAsia="Arial" w:hAnsi="Arial"/>
          <w:sz w:val="16"/>
          <w:szCs w:val="16"/>
          <w:color w:val="auto"/>
        </w:rPr>
        <w:t>“Assignor”),</w:t>
      </w:r>
      <w:r>
        <w:rPr>
          <w:sz w:val="20"/>
          <w:szCs w:val="20"/>
          <w:color w:val="auto"/>
        </w:rPr>
        <w:tab/>
      </w:r>
      <w:r>
        <w:rPr>
          <w:rFonts w:ascii="Arial" w:cs="Arial" w:eastAsia="Arial" w:hAnsi="Arial"/>
          <w:sz w:val="16"/>
          <w:szCs w:val="16"/>
          <w:color w:val="auto"/>
        </w:rPr>
        <w:t>(the “Assignee”), and WACHOVIA BANK, NATIONAL ASSOCIATION, as Agent (the “Agent”).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w:t>
      </w:r>
    </w:p>
    <w:p>
      <w:pPr>
        <w:spacing w:after="0" w:line="421" w:lineRule="exact"/>
        <w:rPr>
          <w:sz w:val="20"/>
          <w:szCs w:val="20"/>
          <w:color w:val="auto"/>
        </w:rPr>
      </w:pPr>
    </w:p>
    <w:p>
      <w:pPr>
        <w:sectPr>
          <w:pgSz w:w="11900" w:h="16838" w:orient="portrait"/>
          <w:cols w:equalWidth="0" w:num="2">
            <w:col w:w="10100" w:space="720"/>
            <w:col w:w="580"/>
          </w:cols>
          <w:pgMar w:left="240" w:top="279" w:right="259" w:bottom="1440" w:gutter="0" w:footer="0" w:header="0"/>
          <w:type w:val="continuous"/>
        </w:sectPr>
      </w:pPr>
    </w:p>
    <w:p>
      <w:pPr>
        <w:ind w:firstLine="456"/>
        <w:spacing w:after="0" w:line="259" w:lineRule="auto"/>
        <w:rPr>
          <w:sz w:val="20"/>
          <w:szCs w:val="20"/>
          <w:color w:val="auto"/>
        </w:rPr>
      </w:pPr>
      <w:r>
        <w:rPr>
          <w:rFonts w:ascii="Arial" w:cs="Arial" w:eastAsia="Arial" w:hAnsi="Arial"/>
          <w:sz w:val="18"/>
          <w:szCs w:val="18"/>
          <w:color w:val="auto"/>
        </w:rPr>
        <w:t>WHEREAS, the Assignor is a Lender under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the Assignor desires to assign to the Assignee, among other things, all or a portion of the Assignor’s rights under the Credit Agreement, all on the terms and conditions set forth herein;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Agent consents to such assignment on the terms and conditions set forth herein;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hereby are acknowledged by the parties hereto, the parties hereto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Subject to the terms and conditions of this Agreement and in consideration of the payment to be made by the Assignee to the Assignor pursuant to</w:t>
      </w:r>
    </w:p>
    <w:p>
      <w:pPr>
        <w:spacing w:after="0" w:line="3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2 of this Agreement, effective as of , 200 (the “Assignment Date”), the Assignor hereby irrevocably sells, transfers and assigns to the Assignee, without recourse, a $ interest (such interest being the “Assigned Loan”) in and to the Assignor’s Loan and all of the other rights and obligations of the Assignor under the Credit Agreement, such Assignor’s Note and the other Loan Documents (representing % in respect of the aggregate amount of all</w:t>
      </w:r>
    </w:p>
    <w:p>
      <w:pPr>
        <w:spacing w:after="0" w:line="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Lenders’ outstanding Loans), all voting rights of the Assignor associated with the Assigned Loan, all rights to receive interest on the Assigned Loan and all Fees with respect to the Assigned Loan and all other rights and obligations of the Assignor under the Credit Agreement and the other Loan Documents with respect to the Assigned Loan, all as if the Assignee were an original Lender under and signatory to the Credit Agreement holding a Loan equal to the amount of the Assigned Loan. The Assignee, subject to the terms and conditions hereof, hereby assumes all obligations of the Assignor with respect to the Assigned Loan as if the Assignee were an original Lender under and signatory to the Credit Agreement having a Loan equal to the Assigned Loan, which obligations shall include, but shall not be limited to, the obligation of the Assignor to indemnify the Agent as provided therein (the foregoing obligation, together with all other obligations more particularly set forth in the Credit Agreement and the other Loan Documents, collectively, the “Assigned Obligations”). The Assignor shall have no further duties or obligations with respect to, and shall have no further interest in, the Assigned Obligations or the Assigned Loan from and after the Assignment Date.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9" w:right="259" w:bottom="1440" w:gutter="0" w:footer="0" w:header="0"/>
          <w:type w:val="continuous"/>
        </w:sectPr>
      </w:pPr>
    </w:p>
    <w:bookmarkStart w:id="528" w:name="page529"/>
    <w:bookmarkEnd w:id="528"/>
    <w:p>
      <w:pPr>
        <w:ind w:firstLine="464"/>
        <w:spacing w:after="0" w:line="284" w:lineRule="auto"/>
        <w:tabs>
          <w:tab w:leader="none" w:pos="705" w:val="left"/>
        </w:tabs>
        <w:numPr>
          <w:ilvl w:val="0"/>
          <w:numId w:val="3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assignment by the Assignor to the Assignee hereunder is without recourse to the Assignor. The Assignee makes and confirms to the Agent, the Assignor, and the other Lenders all of the representations, warranties and covenants of a Lender under Article XI. of the Credit Agreement. Not in limitation of the foregoing, the Assignee acknowledges and agrees that, except as set forth in Section 4 below, the Assignor is making no representations or warranties with respect to, and the Assignee hereby releases and discharges the Assignor for any responsibility or liability for: (i) the present or future solvency or financial condition of the Borrower, any Subsidiary or any other Loan Party, (ii) any representations, warranties, statements or information made or furnished by the Borrower, any Subsidiary or any other Loan Party in connection with the Credit Agreement or otherwise, (iii) the validity, efficacy, sufficiency, or enforceability of the Credit Agreement, any other Loan Document or any other document or instrument executed in connection therewith, or the collectibility of the Assigned Obligations, (iv) the perfection, priority or validity of any Lien with respect to any collateral at any time securing the Obligations or the Assigned Obligations under the Notes or the Credit Agreement and (v) the performance or failure to perform by the Borrower or any other Loan Party of any obligation under the Credit Agreement or any other Loan Document to which it is a party. Further, the Assignee acknowledges that it has, independently and without reliance upon the Agent, or on any affiliate or subsidiary thereof, the Assignor or any other Lender and based on the financial statements supplied by the Borrower and such other documents and information as it has deemed appropriate, made its own credit and legal analysis and decision to become a Lender under the Credit Agreement. The Assignee also acknowledges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or any other Loan Documents or pursuant to any other obligation. Except as expressly provided in the Credit Agreement, the Agent shall have no duty or responsibility whatsoever, either initially or on a continuing basis, to provide the Assignee with any credit or other information with respect to the Borrower or any other Loan Party or to notify the Assignee of any Default or Event of Default. The Assignee has not relied on the Agent as to any legal or factual matter in connection therewith or in connection with the transactions contemplated thereunder.</w:t>
      </w:r>
    </w:p>
    <w:p>
      <w:pPr>
        <w:spacing w:after="0" w:line="13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Payment by Assignee</w:t>
      </w:r>
      <w:r>
        <w:rPr>
          <w:rFonts w:ascii="Arial" w:cs="Arial" w:eastAsia="Arial" w:hAnsi="Arial"/>
          <w:sz w:val="18"/>
          <w:szCs w:val="18"/>
          <w:color w:val="auto"/>
        </w:rPr>
        <w:t>. In consideration of the assignment made pursuant to Section 1 of this Agreement, the Assignee agrees to pay to the Assignor on the Assignment Date, such amount as they may agree.</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Payments by Assignor</w:t>
      </w:r>
      <w:r>
        <w:rPr>
          <w:rFonts w:ascii="Arial" w:cs="Arial" w:eastAsia="Arial" w:hAnsi="Arial"/>
          <w:sz w:val="18"/>
          <w:szCs w:val="18"/>
          <w:color w:val="auto"/>
        </w:rPr>
        <w:t>. The Assignor agrees to pay to the Agent on the Assignment Date the administration fee, if any, payable under the applicable provisions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Warranties of Assignor</w:t>
      </w:r>
      <w:r>
        <w:rPr>
          <w:rFonts w:ascii="Arial" w:cs="Arial" w:eastAsia="Arial" w:hAnsi="Arial"/>
          <w:sz w:val="16"/>
          <w:szCs w:val="16"/>
          <w:color w:val="auto"/>
        </w:rPr>
        <w:t>. The Assignor hereby represents and warrants to the Assignee that (a) as of the Assignment Date</w:t>
      </w:r>
    </w:p>
    <w:p>
      <w:pPr>
        <w:spacing w:after="0" w:line="38" w:lineRule="exact"/>
        <w:rPr>
          <w:sz w:val="20"/>
          <w:szCs w:val="20"/>
          <w:color w:val="auto"/>
        </w:rPr>
      </w:pPr>
    </w:p>
    <w:p>
      <w:pPr>
        <w:ind w:right="700" w:firstLine="8"/>
        <w:spacing w:after="0" w:line="261" w:lineRule="auto"/>
        <w:tabs>
          <w:tab w:leader="none" w:pos="21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Assignor is a Lender under the Credit Agreement and that the Assignor is not in default of its obligations under the Credit Agreement; and (ii) the outstanding balance of Loan owing to the Assignor (without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529" w:name="page530"/>
    <w:bookmarkEnd w:id="529"/>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reduction by any assignments thereof which have not yet become effective) is $ which is free and clear of any adverse claim created by the Assignor.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(b) it is the legal and beneficial owner of the Assigned Loan</w:t>
      </w:r>
    </w:p>
    <w:p>
      <w:pPr>
        <w:spacing w:after="0" w:line="410" w:lineRule="exact"/>
        <w:rPr>
          <w:sz w:val="20"/>
          <w:szCs w:val="20"/>
          <w:color w:val="auto"/>
        </w:rPr>
      </w:pPr>
    </w:p>
    <w:p>
      <w:pPr>
        <w:sectPr>
          <w:pgSz w:w="11900" w:h="16838" w:orient="portrait"/>
          <w:cols w:equalWidth="0" w:num="2">
            <w:col w:w="5760" w:space="720"/>
            <w:col w:w="4900"/>
          </w:cols>
          <w:pgMar w:left="240" w:top="280" w:right="279" w:bottom="1440" w:gutter="0" w:footer="0" w:header="0"/>
        </w:sectPr>
      </w:pPr>
    </w:p>
    <w:p>
      <w:pPr>
        <w:ind w:right="140" w:firstLine="456"/>
        <w:spacing w:after="0" w:line="302"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Representations, Warranties and Agreements of Assignee</w:t>
      </w:r>
      <w:r>
        <w:rPr>
          <w:rFonts w:ascii="Arial" w:cs="Arial" w:eastAsia="Arial" w:hAnsi="Arial"/>
          <w:sz w:val="15"/>
          <w:szCs w:val="15"/>
          <w:color w:val="auto"/>
        </w:rPr>
        <w:t>. The Assignee (a) represents and warrants that it is (i) legally authorized to enter into this Agreement, (ii) an “accredited investor” (as such term is used in Regulation D of the Securities Act) and (iii) an Eligible Assignee; (b) confirms that it has received a copy of the Credit Agreement, together with copies of the most recent financial statements delivered in connection therewith or pursuant thereto and such other documents and information (including without limitation the Loan Documents) as it has deemed appropriate to make its own credit analysis and decision to enter into this Agreement; (c) appoints and authorizes the Agent to take such action as contractual representative on its behalf and to exercise such powers under the Loan Documents as are delegated to the Agent by the terms thereof together with such powers as are reasonably incidental thereto; and</w:t>
      </w:r>
    </w:p>
    <w:p>
      <w:pPr>
        <w:spacing w:after="0" w:line="1" w:lineRule="exact"/>
        <w:rPr>
          <w:sz w:val="20"/>
          <w:szCs w:val="20"/>
          <w:color w:val="auto"/>
        </w:rPr>
      </w:pPr>
    </w:p>
    <w:p>
      <w:pPr>
        <w:ind w:right="20" w:firstLine="8"/>
        <w:spacing w:after="0" w:line="255" w:lineRule="auto"/>
        <w:tabs>
          <w:tab w:leader="none" w:pos="249"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agrees that, if not already a Lender and to the extent of the Assigned Loan, it will become a party to and shall be bound by the Credit Agreement and the other Loan Documents to which the other Lenders are a party on the Assignment Date and will perform in accordance therewith all of the obligations which are required to be performed by it as a Lender.</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Recording and Acknowledgment by the Agent</w:t>
      </w:r>
      <w:r>
        <w:rPr>
          <w:rFonts w:ascii="Arial" w:cs="Arial" w:eastAsia="Arial" w:hAnsi="Arial"/>
          <w:sz w:val="18"/>
          <w:szCs w:val="18"/>
          <w:color w:val="auto"/>
        </w:rPr>
        <w:t>. Following the execution of this Agreement, the Assignor will deliver to the Agent (a) a duly executed copy of this Agreement for acknowledgment and recording by the Agent and (b) the Assignor’s Note. Upon such acknowledgment and recording, from and after the Assignment Date, the Agent shall make all payments in respect of the interest assigned hereby (including payments of principal, interest, Fees and other amounts) to the Assignee. The Assignor and Assignee shall make all appropriate adjustments in payments under the Credit Agreement for periods prior to the Assignment Date directly between themselves.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Addresses</w:t>
      </w:r>
      <w:r>
        <w:rPr>
          <w:rFonts w:ascii="Arial" w:cs="Arial" w:eastAsia="Arial" w:hAnsi="Arial"/>
          <w:sz w:val="18"/>
          <w:szCs w:val="18"/>
          <w:color w:val="auto"/>
        </w:rPr>
        <w:t>. The Assignee specifies as its address for notices and its Lending Office for all Loans, the offices set forth on Schedule 1 attached hereto.</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Instructions</w:t>
      </w:r>
      <w:r>
        <w:rPr>
          <w:rFonts w:ascii="Arial" w:cs="Arial" w:eastAsia="Arial" w:hAnsi="Arial"/>
          <w:sz w:val="18"/>
          <w:szCs w:val="18"/>
          <w:color w:val="auto"/>
        </w:rPr>
        <w:t>. All payments to be made to the Assignee under this Agreement by the Assignor, and all payments to be made to the Assignee under the Credit Agreement, shall be made as provided in the Credit Agreement in accordance with the following instructions set forth on Schedule 1 attached hereto or as the Assignee may otherwise notify the Agent.</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Effectiveness of Assignment</w:t>
      </w:r>
      <w:r>
        <w:rPr>
          <w:rFonts w:ascii="Arial" w:cs="Arial" w:eastAsia="Arial" w:hAnsi="Arial"/>
          <w:sz w:val="18"/>
          <w:szCs w:val="18"/>
          <w:color w:val="auto"/>
        </w:rPr>
        <w:t>. This Agreement, and the assignment and assumption contemplated herein, shall not be effective until (a) this Agreement is executed and delivered by each of the Assignor, the Assignee, the Agent, and if required under Section 12.5.(b) of the Credit Agreement, the Borrower, and (b) the payment to the Assignor of the amounts, if any, owing by the Assignee pursuant to Section 2 hereof and (c) the payment to the Agent of the amounts, if any, owing by the Assignor pursuant to Section 3 hereof. Upon recording and acknowledgment of this Agreement by the Agent, from and after the Assignment Date, (i) the Assignee shall be a party to the Credit Agreement and, to the extent provided in this Agreement, have the rights and obligations of a Lender thereunder to the extent of the Assigned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80" w:right="279" w:bottom="1440" w:gutter="0" w:footer="0" w:header="0"/>
          <w:type w:val="continuous"/>
        </w:sectPr>
      </w:pPr>
    </w:p>
    <w:bookmarkStart w:id="530" w:name="page531"/>
    <w:bookmarkEnd w:id="530"/>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Loan and (ii) the Assignor shall, to the extent provided in this Agreement, relinquish its rights (except as otherwise provided in Section 12.10. of the Credit Agreement) and be released from its obligations under the Credit Agreement with respect to the Assigned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Assignor does not assign its entire interest under the Loan Documents, it shall remain a Lender entitled to all of the benefits and subject to all of the obligations thereunder with respect to its Loan.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taken together, shall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have been inserted herein for convenience only and shall not be construed to be a part hereof.</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amended, changed, waived or modified except by a writing executed by the Assignee and the Assignor;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any amendment, waiver or consent which shall affect the rights or duties of the Agent under this Agreement shall not be effective unless signed by the Agent.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Assignor and the Assignee with respect to the subject matter hereof and supersedes all other prior arrangements and understandings relating to the subject matter hereof.</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and permitted assigns.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Definitions</w:t>
      </w:r>
      <w:r>
        <w:rPr>
          <w:rFonts w:ascii="Arial" w:cs="Arial" w:eastAsia="Arial" w:hAnsi="Arial"/>
          <w:sz w:val="16"/>
          <w:szCs w:val="16"/>
          <w:color w:val="auto"/>
        </w:rPr>
        <w:t>. Terms not otherwise defined herein are used herein with the respective meanings given them in the Credit Agreement.</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[Include this Section only if Borrower’s consent is required under Section 12.5.(b) </w:t>
      </w:r>
      <w:r>
        <w:rPr>
          <w:rFonts w:ascii="Arial" w:cs="Arial" w:eastAsia="Arial" w:hAnsi="Arial"/>
          <w:sz w:val="16"/>
          <w:szCs w:val="16"/>
          <w:color w:val="auto"/>
        </w:rPr>
        <w:t>Section 17.</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Agreements of the Borrower</w:t>
      </w:r>
      <w:r>
        <w:rPr>
          <w:rFonts w:ascii="Arial" w:cs="Arial" w:eastAsia="Arial" w:hAnsi="Arial"/>
          <w:sz w:val="16"/>
          <w:szCs w:val="16"/>
          <w:color w:val="auto"/>
        </w:rPr>
        <w:t>. The Borrower hereby agrees</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Assignee shall be a Lender under the Credit Agreement having a Loan equal to the Assigned Loan. The Borrower agrees that the Assignee shall have all of the rights and remedies of a Lender under the Credit Agreement and the other Loan Documents as if the Assignee were an original Lender under and signatory to the Credit Agreement, including, but not limited to, the right of a Lender to receive payments of principal and interest with respect to the Assigned Obligations, and to receive Fees payable to the Lenders as provided in the Credit Agreement. Further, the Assignee shall be entitled to the indemnification provisions from the Borrower in favor of the Lenders as provided in the Credit Agreement and the other Loan Documents. The Borrower further agrees, upon the execution and delivery of this Agreement, to execute in favor of the Assignee, and if applicable the Assignor, new Notes, as appropriate. Upon receipt by the Assignor of the amounts due the Assignor under Section 2, the Assignor agrees to surrender to the Borrower such Assignor’s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531" w:name="page532"/>
    <w:bookmarkEnd w:id="531"/>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Assignment and Acceptance Agreement as of the date and year first written above.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ASSIGNOR: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ASSIGNEE:</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[Signatures Continued on Following Page]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80"/>
          </w:cols>
          <w:pgMar w:left="240" w:top="280" w:right="479" w:bottom="1440" w:gutter="0" w:footer="0" w:header="0"/>
        </w:sectPr>
      </w:pPr>
    </w:p>
    <w:bookmarkStart w:id="532" w:name="page533"/>
    <w:bookmarkEnd w:id="53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 signature of the Borrower only if required under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12.5.(b) of the Credit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and consented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219"/>
          </w:cols>
          <w:pgMar w:left="240" w:top="279" w:right="1440" w:bottom="1440" w:gutter="0" w:footer="0" w:header="0"/>
        </w:sectPr>
      </w:pPr>
    </w:p>
    <w:bookmarkStart w:id="533" w:name="page534"/>
    <w:bookmarkEnd w:id="533"/>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u w:val="single" w:color="auto"/>
          <w:color w:val="auto"/>
        </w:rPr>
        <w:t>Information Concerning the Assignee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10795</wp:posOffset>
            </wp:positionV>
            <wp:extent cx="448500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165735</wp:posOffset>
            </wp:positionV>
            <wp:extent cx="448500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320040</wp:posOffset>
            </wp:positionV>
            <wp:extent cx="448500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10795</wp:posOffset>
            </wp:positionV>
            <wp:extent cx="448500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165735</wp:posOffset>
            </wp:positionV>
            <wp:extent cx="448500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320040</wp:posOffset>
            </wp:positionV>
            <wp:extent cx="448500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10795</wp:posOffset>
            </wp:positionV>
            <wp:extent cx="448500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165735</wp:posOffset>
            </wp:positionV>
            <wp:extent cx="448500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320040</wp:posOffset>
            </wp:positionV>
            <wp:extent cx="448500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474345</wp:posOffset>
            </wp:positionV>
            <wp:extent cx="448500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219"/>
          </w:cols>
          <w:pgMar w:left="240" w:top="279" w:right="1440" w:bottom="1440" w:gutter="0" w:footer="0" w:header="0"/>
        </w:sectPr>
      </w:pPr>
    </w:p>
    <w:bookmarkStart w:id="534" w:name="page535"/>
    <w:bookmarkEnd w:id="53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NOTICE OF BORROWING</w:t>
      </w:r>
    </w:p>
    <w:p>
      <w:pPr>
        <w:spacing w:after="0" w:line="171" w:lineRule="exact"/>
        <w:rPr>
          <w:sz w:val="20"/>
          <w:szCs w:val="20"/>
          <w:color w:val="auto"/>
        </w:rPr>
      </w:pPr>
    </w:p>
    <w:p>
      <w:pPr>
        <w:jc w:val="center"/>
        <w:ind w:left="5160"/>
        <w:spacing w:after="0"/>
        <w:tabs>
          <w:tab w:leader="none" w:pos="200" w:val="left"/>
        </w:tabs>
        <w:rPr>
          <w:sz w:val="20"/>
          <w:szCs w:val="20"/>
          <w:color w:val="auto"/>
        </w:rPr>
      </w:pPr>
      <w:r>
        <w:rPr>
          <w:rFonts w:ascii="Arial" w:cs="Arial" w:eastAsia="Arial" w:hAnsi="Arial"/>
          <w:sz w:val="18"/>
          <w:szCs w:val="18"/>
          <w:color w:val="auto"/>
        </w:rPr>
        <w:t>May</w:t>
        <w:tab/>
        <w:t>,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32" w:lineRule="exact"/>
        <w:rPr>
          <w:sz w:val="20"/>
          <w:szCs w:val="20"/>
          <w:color w:val="auto"/>
        </w:rPr>
      </w:pPr>
    </w:p>
    <w:p>
      <w:pPr>
        <w:ind w:left="900" w:right="320" w:hanging="446"/>
        <w:spacing w:after="0" w:line="268" w:lineRule="auto"/>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Pursuant to Section 2.1.(b) of the Credit Agreement, the Borrower hereby requests that the Lenders make Loans to the Borrower in an aggregate principal amount equal to $372,000,000.</w:t>
      </w:r>
    </w:p>
    <w:p>
      <w:pPr>
        <w:spacing w:after="0" w:line="51" w:lineRule="exact"/>
        <w:rPr>
          <w:sz w:val="20"/>
          <w:szCs w:val="20"/>
          <w:color w:val="auto"/>
        </w:rPr>
      </w:pPr>
    </w:p>
    <w:p>
      <w:pPr>
        <w:ind w:left="460"/>
        <w:spacing w:after="0"/>
        <w:tabs>
          <w:tab w:leader="none" w:pos="880" w:val="left"/>
          <w:tab w:leader="none" w:pos="690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The Borrower requests that such Loans be made available to the Borrower on May</w:t>
      </w:r>
      <w:r>
        <w:rPr>
          <w:sz w:val="20"/>
          <w:szCs w:val="20"/>
          <w:color w:val="auto"/>
        </w:rPr>
        <w:tab/>
      </w:r>
      <w:r>
        <w:rPr>
          <w:rFonts w:ascii="Arial" w:cs="Arial" w:eastAsia="Arial" w:hAnsi="Arial"/>
          <w:sz w:val="15"/>
          <w:szCs w:val="15"/>
          <w:color w:val="auto"/>
        </w:rPr>
        <w:t>, 2009.</w:t>
      </w:r>
    </w:p>
    <w:p>
      <w:pPr>
        <w:spacing w:after="0" w:line="113" w:lineRule="exact"/>
        <w:rPr>
          <w:sz w:val="20"/>
          <w:szCs w:val="20"/>
          <w:color w:val="auto"/>
        </w:rPr>
      </w:pPr>
    </w:p>
    <w:p>
      <w:pPr>
        <w:ind w:left="900" w:hanging="446"/>
        <w:spacing w:after="0"/>
        <w:tabs>
          <w:tab w:leader="none" w:pos="9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Borrower hereby requests that the requested Loans all be of the following Type:</w:t>
      </w:r>
    </w:p>
    <w:p>
      <w:pPr>
        <w:spacing w:after="0" w:line="16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217" w:lineRule="exact"/>
        <w:rPr>
          <w:rFonts w:ascii="Arial" w:cs="Arial" w:eastAsia="Arial" w:hAnsi="Arial"/>
          <w:sz w:val="18"/>
          <w:szCs w:val="18"/>
          <w:color w:val="auto"/>
        </w:rPr>
      </w:pPr>
    </w:p>
    <w:p>
      <w:pPr>
        <w:ind w:left="1920" w:hanging="440"/>
        <w:spacing w:after="0"/>
        <w:tabs>
          <w:tab w:leader="none" w:pos="1920" w:val="left"/>
        </w:tabs>
        <w:numPr>
          <w:ilvl w:val="1"/>
          <w:numId w:val="388"/>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23" w:lineRule="exact"/>
        <w:rPr>
          <w:rFonts w:ascii="MS PGothic" w:cs="MS PGothic" w:eastAsia="MS PGothic" w:hAnsi="MS PGothic"/>
          <w:sz w:val="18"/>
          <w:szCs w:val="18"/>
          <w:color w:val="auto"/>
        </w:rPr>
      </w:pPr>
    </w:p>
    <w:p>
      <w:pPr>
        <w:ind w:left="1920" w:hanging="440"/>
        <w:spacing w:after="0"/>
        <w:tabs>
          <w:tab w:leader="none" w:pos="1920" w:val="left"/>
        </w:tabs>
        <w:numPr>
          <w:ilvl w:val="1"/>
          <w:numId w:val="388"/>
        </w:numPr>
        <w:rPr>
          <w:rFonts w:ascii="MS PGothic" w:cs="MS PGothic" w:eastAsia="MS PGothic" w:hAnsi="MS PGothic"/>
          <w:sz w:val="18"/>
          <w:szCs w:val="18"/>
          <w:color w:val="auto"/>
        </w:rPr>
      </w:pPr>
      <w:r>
        <w:rPr>
          <w:rFonts w:ascii="Arial" w:cs="Arial" w:eastAsia="Arial" w:hAnsi="Arial"/>
          <w:sz w:val="18"/>
          <w:szCs w:val="18"/>
          <w:color w:val="auto"/>
        </w:rPr>
        <w:t>LIBOR Loans, each with an initial Interest Period for a duration of:</w:t>
      </w:r>
    </w:p>
    <w:p>
      <w:pPr>
        <w:spacing w:after="0" w:line="165" w:lineRule="exact"/>
        <w:rPr>
          <w:sz w:val="20"/>
          <w:szCs w:val="20"/>
          <w:color w:val="auto"/>
        </w:rPr>
      </w:pPr>
    </w:p>
    <w:p>
      <w:pPr>
        <w:ind w:left="1920"/>
        <w:spacing w:after="0" w:line="207" w:lineRule="exact"/>
        <w:tabs>
          <w:tab w:leader="none" w:pos="384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month</w:t>
      </w:r>
    </w:p>
    <w:p>
      <w:pPr>
        <w:spacing w:after="0" w:line="49" w:lineRule="exact"/>
        <w:rPr>
          <w:sz w:val="20"/>
          <w:szCs w:val="20"/>
          <w:color w:val="auto"/>
        </w:rPr>
      </w:pPr>
    </w:p>
    <w:p>
      <w:pPr>
        <w:ind w:left="4120" w:hanging="263"/>
        <w:spacing w:after="0"/>
        <w:tabs>
          <w:tab w:leader="none" w:pos="4120" w:val="left"/>
        </w:tabs>
        <w:numPr>
          <w:ilvl w:val="1"/>
          <w:numId w:val="389"/>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15" w:lineRule="exact"/>
        <w:rPr>
          <w:rFonts w:ascii="MS PGothic" w:cs="MS PGothic" w:eastAsia="MS PGothic" w:hAnsi="MS PGothic"/>
          <w:sz w:val="18"/>
          <w:szCs w:val="18"/>
          <w:color w:val="auto"/>
        </w:rPr>
      </w:pPr>
    </w:p>
    <w:p>
      <w:pPr>
        <w:ind w:left="4120" w:hanging="263"/>
        <w:spacing w:after="0"/>
        <w:tabs>
          <w:tab w:leader="none" w:pos="4120" w:val="left"/>
        </w:tabs>
        <w:numPr>
          <w:ilvl w:val="1"/>
          <w:numId w:val="389"/>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proceeds of this borrowing of Loans will be used for general corporate purposes.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Borrower requests that the proceeds the Loans be made available to the Borrower by wire transfer in immediately available funds to:</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[insert appropriate wiring instructions]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60"/>
          </w:cols>
          <w:pgMar w:left="240" w:top="279" w:right="299" w:bottom="1440" w:gutter="0" w:footer="0" w:header="0"/>
        </w:sectPr>
      </w:pPr>
    </w:p>
    <w:bookmarkStart w:id="535" w:name="page536"/>
    <w:bookmarkEnd w:id="53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hereby certifies to the Agent and the Lenders that as of the date hereof and as of the date of the making of the requested Loans and after giving effect thereto, (a) no Default or Event of Default exists or shall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duly executed and delivered this Notice of Borrowing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10795</wp:posOffset>
            </wp:positionV>
            <wp:extent cx="23241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10795</wp:posOffset>
            </wp:positionV>
            <wp:extent cx="23241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10795</wp:posOffset>
            </wp:positionV>
            <wp:extent cx="23241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40"/>
          </w:cols>
          <w:pgMar w:left="700" w:top="280" w:right="259" w:bottom="1440" w:gutter="0" w:footer="0" w:header="0"/>
        </w:sectPr>
      </w:pPr>
    </w:p>
    <w:bookmarkStart w:id="536" w:name="page537"/>
    <w:bookmarkEnd w:id="536"/>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NOTICE OF CONTINUATION</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Pursuant to Section 2.6. of the Credit Agreement, the Borrower hereby requests a Continuation of LIBOR Loans under the Credit Agreement, and in that connection sets forth below the information relating to such Continuation as required by such Section of the Credit Agreement:</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420" w:type="dxa"/>
            <w:vAlign w:val="bottom"/>
          </w:tcPr>
          <w:p>
            <w:pPr>
              <w:ind w:left="160"/>
              <w:spacing w:after="0"/>
              <w:rPr>
                <w:sz w:val="20"/>
                <w:szCs w:val="20"/>
                <w:color w:val="auto"/>
              </w:rPr>
            </w:pPr>
            <w:r>
              <w:rPr>
                <w:rFonts w:ascii="Arial" w:cs="Arial" w:eastAsia="Arial" w:hAnsi="Arial"/>
                <w:sz w:val="18"/>
                <w:szCs w:val="18"/>
                <w:color w:val="auto"/>
                <w:w w:val="95"/>
              </w:rPr>
              <w:t>The proposed date of such Continuation is</w:t>
            </w:r>
          </w:p>
        </w:tc>
        <w:tc>
          <w:tcPr>
            <w:tcW w:w="2140" w:type="dxa"/>
            <w:vAlign w:val="bottom"/>
          </w:tcPr>
          <w:p>
            <w:pPr>
              <w:jc w:val="right"/>
              <w:ind w:right="1292"/>
              <w:spacing w:after="0"/>
              <w:rPr>
                <w:sz w:val="20"/>
                <w:szCs w:val="20"/>
                <w:color w:val="auto"/>
              </w:rPr>
            </w:pPr>
            <w:r>
              <w:rPr>
                <w:rFonts w:ascii="Arial" w:cs="Arial" w:eastAsia="Arial" w:hAnsi="Arial"/>
                <w:sz w:val="18"/>
                <w:szCs w:val="18"/>
                <w:color w:val="auto"/>
              </w:rPr>
              <w:t>, 20  .</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500" w:type="dxa"/>
            <w:vAlign w:val="bottom"/>
            <w:gridSpan w:val="3"/>
          </w:tcPr>
          <w:p>
            <w:pPr>
              <w:ind w:left="160"/>
              <w:spacing w:after="0"/>
              <w:rPr>
                <w:sz w:val="20"/>
                <w:szCs w:val="20"/>
                <w:color w:val="auto"/>
              </w:rPr>
            </w:pPr>
            <w:r>
              <w:rPr>
                <w:rFonts w:ascii="Arial" w:cs="Arial" w:eastAsia="Arial" w:hAnsi="Arial"/>
                <w:sz w:val="18"/>
                <w:szCs w:val="18"/>
                <w:color w:val="auto"/>
                <w:w w:val="95"/>
              </w:rPr>
              <w:t>The aggregate principal amount of Loans subject to the requested Continuation is $</w:t>
            </w: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w w:val="96"/>
              </w:rPr>
              <w:t>The portion of such principal amount subject to such Continuation is $</w:t>
            </w:r>
          </w:p>
        </w:tc>
        <w:tc>
          <w:tcPr>
            <w:tcW w:w="9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6500" w:type="dxa"/>
            <w:vAlign w:val="bottom"/>
            <w:gridSpan w:val="3"/>
          </w:tcPr>
          <w:p>
            <w:pPr>
              <w:ind w:left="160"/>
              <w:spacing w:after="0"/>
              <w:rPr>
                <w:sz w:val="20"/>
                <w:szCs w:val="20"/>
                <w:color w:val="auto"/>
              </w:rPr>
            </w:pPr>
            <w:r>
              <w:rPr>
                <w:rFonts w:ascii="Arial" w:cs="Arial" w:eastAsia="Arial" w:hAnsi="Arial"/>
                <w:sz w:val="18"/>
                <w:szCs w:val="18"/>
                <w:color w:val="auto"/>
                <w:w w:val="91"/>
              </w:rPr>
              <w:t>The current Interest Period for each of the Loans subject to such Continuation ends on</w:t>
            </w:r>
          </w:p>
        </w:tc>
        <w:tc>
          <w:tcPr>
            <w:tcW w:w="76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75" w:lineRule="exact"/>
        <w:rPr>
          <w:sz w:val="20"/>
          <w:szCs w:val="20"/>
          <w:color w:val="auto"/>
        </w:rPr>
      </w:pPr>
    </w:p>
    <w:p>
      <w:pPr>
        <w:ind w:left="900" w:hanging="446"/>
        <w:spacing w:after="0"/>
        <w:tabs>
          <w:tab w:leader="none" w:pos="9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duration of the new Interest Period for each of such Loans or portion thereof subject to such Continuation is:</w:t>
      </w:r>
    </w:p>
    <w:p>
      <w:pPr>
        <w:spacing w:after="0" w:line="179" w:lineRule="exact"/>
        <w:rPr>
          <w:sz w:val="20"/>
          <w:szCs w:val="20"/>
          <w:color w:val="auto"/>
        </w:rPr>
      </w:pPr>
    </w:p>
    <w:p>
      <w:pPr>
        <w:ind w:left="1000"/>
        <w:spacing w:after="0" w:line="207" w:lineRule="exact"/>
        <w:tabs>
          <w:tab w:leader="none" w:pos="292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month</w:t>
      </w:r>
    </w:p>
    <w:p>
      <w:pPr>
        <w:spacing w:after="0" w:line="49" w:lineRule="exact"/>
        <w:rPr>
          <w:sz w:val="20"/>
          <w:szCs w:val="20"/>
          <w:color w:val="auto"/>
        </w:rPr>
      </w:pPr>
    </w:p>
    <w:p>
      <w:pPr>
        <w:ind w:left="3200" w:hanging="261"/>
        <w:spacing w:after="0"/>
        <w:tabs>
          <w:tab w:leader="none" w:pos="3200" w:val="left"/>
        </w:tabs>
        <w:numPr>
          <w:ilvl w:val="0"/>
          <w:numId w:val="391"/>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15" w:lineRule="exact"/>
        <w:rPr>
          <w:rFonts w:ascii="MS PGothic" w:cs="MS PGothic" w:eastAsia="MS PGothic" w:hAnsi="MS PGothic"/>
          <w:sz w:val="18"/>
          <w:szCs w:val="18"/>
          <w:color w:val="auto"/>
        </w:rPr>
      </w:pPr>
    </w:p>
    <w:p>
      <w:pPr>
        <w:ind w:left="3200" w:hanging="261"/>
        <w:spacing w:after="0"/>
        <w:tabs>
          <w:tab w:leader="none" w:pos="3200" w:val="left"/>
        </w:tabs>
        <w:numPr>
          <w:ilvl w:val="0"/>
          <w:numId w:val="391"/>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60"/>
          </w:cols>
          <w:pgMar w:left="240" w:top="280" w:right="299" w:bottom="1440" w:gutter="0" w:footer="0" w:header="0"/>
        </w:sectPr>
      </w:pPr>
    </w:p>
    <w:bookmarkStart w:id="537" w:name="page538"/>
    <w:bookmarkEnd w:id="537"/>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hereby certifies to the Agent and the Lenders that as of the date hereof, as of the proposed date of the requested Continuation, and after giving effect to such Continuation, no Event of Default exists or will exist.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notice of the requested Continuation was given previously by telephone, this notice is to be considered the written confirmation of such telephone notice required by Section 2.6.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Continuation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40"/>
          </w:cols>
          <w:pgMar w:left="240" w:top="279" w:right="319" w:bottom="1440" w:gutter="0" w:footer="0" w:header="0"/>
        </w:sectPr>
      </w:pPr>
    </w:p>
    <w:bookmarkStart w:id="538" w:name="page539"/>
    <w:bookmarkEnd w:id="538"/>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FORM OF NOTICE OF CONVERSION</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Pursuant to Section 2.7. of the Credit Agreement, the Borrower hereby requests a Conversion of a borrowing of Loans of one Type into Loans of another Type under the Credit Agreement, and in that connection sets forth below the information relating to such Conversion as required by such Section of the Credit Agreement:</w:t>
      </w:r>
    </w:p>
    <w:p>
      <w:pPr>
        <w:spacing w:after="0" w:line="59" w:lineRule="exact"/>
        <w:rPr>
          <w:sz w:val="20"/>
          <w:szCs w:val="20"/>
          <w:color w:val="auto"/>
        </w:rPr>
      </w:pPr>
    </w:p>
    <w:p>
      <w:pPr>
        <w:ind w:left="460"/>
        <w:spacing w:after="0"/>
        <w:tabs>
          <w:tab w:leader="none" w:pos="880" w:val="left"/>
          <w:tab w:leader="none" w:pos="4320" w:val="left"/>
          <w:tab w:leader="none" w:pos="47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proposed date of such Conversion is</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84" w:lineRule="exact"/>
        <w:rPr>
          <w:sz w:val="20"/>
          <w:szCs w:val="20"/>
          <w:color w:val="auto"/>
        </w:rPr>
      </w:pPr>
    </w:p>
    <w:p>
      <w:pPr>
        <w:ind w:left="900" w:hanging="446"/>
        <w:spacing w:after="0"/>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The Loans to be Converted pursuant hereto are </w:t>
      </w:r>
      <w:r>
        <w:rPr>
          <w:rFonts w:ascii="Arial" w:cs="Arial" w:eastAsia="Arial" w:hAnsi="Arial"/>
          <w:sz w:val="18"/>
          <w:szCs w:val="18"/>
          <w:b w:val="1"/>
          <w:bCs w:val="1"/>
          <w:color w:val="auto"/>
        </w:rPr>
        <w:t>currently</w:t>
      </w:r>
      <w:r>
        <w:rPr>
          <w:rFonts w:ascii="Arial" w:cs="Arial" w:eastAsia="Arial" w:hAnsi="Arial"/>
          <w:sz w:val="18"/>
          <w:szCs w:val="18"/>
          <w:color w:val="auto"/>
        </w:rPr>
        <w:t>:</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b w:val="1"/>
                <w:bCs w:val="1"/>
                <w:color w:val="auto"/>
                <w:w w:val="95"/>
              </w:rPr>
              <w:t>[Check one box only]</w:t>
            </w:r>
          </w:p>
        </w:tc>
        <w:tc>
          <w:tcPr>
            <w:tcW w:w="34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Base Rate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75"/>
        </w:trPr>
        <w:tc>
          <w:tcPr>
            <w:tcW w:w="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4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LIBOR Loans</w:t>
            </w: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6360" w:type="dxa"/>
            <w:vAlign w:val="bottom"/>
            <w:gridSpan w:val="3"/>
          </w:tcPr>
          <w:p>
            <w:pPr>
              <w:ind w:left="160"/>
              <w:spacing w:after="0"/>
              <w:rPr>
                <w:sz w:val="20"/>
                <w:szCs w:val="20"/>
                <w:color w:val="auto"/>
              </w:rPr>
            </w:pPr>
            <w:r>
              <w:rPr>
                <w:rFonts w:ascii="Arial" w:cs="Arial" w:eastAsia="Arial" w:hAnsi="Arial"/>
                <w:sz w:val="18"/>
                <w:szCs w:val="18"/>
                <w:color w:val="auto"/>
                <w:w w:val="94"/>
              </w:rPr>
              <w:t>The aggregate principal amount of Loans subject to the requested Conversion is $</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w w:val="97"/>
              </w:rPr>
              <w:t>The portion of such principal amount subject to such Conversion is $</w:t>
            </w:r>
          </w:p>
        </w:tc>
        <w:tc>
          <w:tcPr>
            <w:tcW w:w="8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D-1</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60"/>
          </w:cols>
          <w:pgMar w:left="240" w:top="279" w:right="299" w:bottom="1440" w:gutter="0" w:footer="0" w:header="0"/>
        </w:sectPr>
      </w:pPr>
    </w:p>
    <w:bookmarkStart w:id="539" w:name="page540"/>
    <w:bookmarkEnd w:id="539"/>
    <w:p>
      <w:pPr>
        <w:ind w:left="900" w:hanging="446"/>
        <w:spacing w:after="0"/>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such Loans to be so Converted is to be converted into Loans of the following Type:</w:t>
      </w:r>
    </w:p>
    <w:p>
      <w:pPr>
        <w:spacing w:after="0" w:line="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96" w:lineRule="exact"/>
        <w:rPr>
          <w:rFonts w:ascii="Arial" w:cs="Arial" w:eastAsia="Arial" w:hAnsi="Arial"/>
          <w:sz w:val="18"/>
          <w:szCs w:val="18"/>
          <w:color w:val="auto"/>
        </w:rPr>
      </w:pPr>
    </w:p>
    <w:p>
      <w:pPr>
        <w:ind w:left="1820" w:hanging="441"/>
        <w:spacing w:after="0"/>
        <w:tabs>
          <w:tab w:leader="none" w:pos="1820" w:val="left"/>
        </w:tabs>
        <w:numPr>
          <w:ilvl w:val="1"/>
          <w:numId w:val="393"/>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23" w:lineRule="exact"/>
        <w:rPr>
          <w:rFonts w:ascii="MS PGothic" w:cs="MS PGothic" w:eastAsia="MS PGothic" w:hAnsi="MS PGothic"/>
          <w:sz w:val="18"/>
          <w:szCs w:val="18"/>
          <w:color w:val="auto"/>
        </w:rPr>
      </w:pPr>
    </w:p>
    <w:p>
      <w:pPr>
        <w:ind w:left="1820" w:hanging="441"/>
        <w:spacing w:after="0"/>
        <w:tabs>
          <w:tab w:leader="none" w:pos="1820" w:val="left"/>
        </w:tabs>
        <w:numPr>
          <w:ilvl w:val="1"/>
          <w:numId w:val="393"/>
        </w:numPr>
        <w:rPr>
          <w:rFonts w:ascii="MS PGothic" w:cs="MS PGothic" w:eastAsia="MS PGothic" w:hAnsi="MS PGothic"/>
          <w:sz w:val="18"/>
          <w:szCs w:val="18"/>
          <w:color w:val="auto"/>
        </w:rPr>
      </w:pPr>
      <w:r>
        <w:rPr>
          <w:rFonts w:ascii="Arial" w:cs="Arial" w:eastAsia="Arial" w:hAnsi="Arial"/>
          <w:sz w:val="18"/>
          <w:szCs w:val="18"/>
          <w:color w:val="auto"/>
        </w:rPr>
        <w:t>LIBOR Loans, each with an initial Interest Period for a duration of:</w:t>
      </w:r>
    </w:p>
    <w:p>
      <w:pPr>
        <w:spacing w:after="0" w:line="165" w:lineRule="exact"/>
        <w:rPr>
          <w:sz w:val="20"/>
          <w:szCs w:val="20"/>
          <w:color w:val="auto"/>
        </w:rPr>
      </w:pPr>
    </w:p>
    <w:p>
      <w:pPr>
        <w:ind w:left="1840"/>
        <w:spacing w:after="0" w:line="207" w:lineRule="exact"/>
        <w:tabs>
          <w:tab w:leader="none" w:pos="376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1 month</w:t>
      </w:r>
    </w:p>
    <w:p>
      <w:pPr>
        <w:spacing w:after="0" w:line="49" w:lineRule="exact"/>
        <w:rPr>
          <w:sz w:val="20"/>
          <w:szCs w:val="20"/>
          <w:color w:val="auto"/>
        </w:rPr>
      </w:pPr>
    </w:p>
    <w:p>
      <w:pPr>
        <w:ind w:left="4100" w:hanging="317"/>
        <w:spacing w:after="0"/>
        <w:tabs>
          <w:tab w:leader="none" w:pos="4100" w:val="left"/>
        </w:tabs>
        <w:numPr>
          <w:ilvl w:val="0"/>
          <w:numId w:val="394"/>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15" w:lineRule="exact"/>
        <w:rPr>
          <w:rFonts w:ascii="MS PGothic" w:cs="MS PGothic" w:eastAsia="MS PGothic" w:hAnsi="MS PGothic"/>
          <w:sz w:val="18"/>
          <w:szCs w:val="18"/>
          <w:color w:val="auto"/>
        </w:rPr>
      </w:pPr>
    </w:p>
    <w:p>
      <w:pPr>
        <w:ind w:left="4100" w:hanging="317"/>
        <w:spacing w:after="0"/>
        <w:tabs>
          <w:tab w:leader="none" w:pos="4100" w:val="left"/>
        </w:tabs>
        <w:numPr>
          <w:ilvl w:val="0"/>
          <w:numId w:val="394"/>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7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Other than a conversion to Base Rate Loans, the Borrower hereby certifies to the Agent and the Lenders that as of the date hereof and as of the date of the requested Conversion and after giving effect thereto, (a) no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notice of the requested Conversion was given previously by telephone, this notice is to be considered the written confirmation of such telephone notice required by Section 2.7.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Conversion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40"/>
          </w:cols>
          <w:pgMar w:left="240" w:top="280" w:right="319" w:bottom="1440" w:gutter="0" w:footer="0" w:header="0"/>
        </w:sectPr>
      </w:pPr>
    </w:p>
    <w:bookmarkStart w:id="540" w:name="page541"/>
    <w:bookmarkEnd w:id="540"/>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5960" w:type="dxa"/>
            <w:vAlign w:val="bottom"/>
          </w:tcPr>
          <w:p>
            <w:pPr>
              <w:jc w:val="center"/>
              <w:ind w:right="5012"/>
              <w:spacing w:after="0"/>
              <w:rPr>
                <w:sz w:val="20"/>
                <w:szCs w:val="20"/>
                <w:color w:val="auto"/>
              </w:rPr>
            </w:pPr>
            <w:r>
              <w:rPr>
                <w:rFonts w:ascii="Arial" w:cs="Arial" w:eastAsia="Arial" w:hAnsi="Arial"/>
                <w:sz w:val="18"/>
                <w:szCs w:val="18"/>
                <w:color w:val="auto"/>
                <w:w w:val="98"/>
              </w:rPr>
              <w:t>EXHIBIT E</w:t>
            </w:r>
          </w:p>
        </w:tc>
      </w:tr>
      <w:tr>
        <w:trPr>
          <w:trHeight w:val="378"/>
        </w:trPr>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60" w:type="dxa"/>
            <w:vAlign w:val="bottom"/>
            <w:gridSpan w:val="2"/>
          </w:tcPr>
          <w:p>
            <w:pPr>
              <w:jc w:val="center"/>
              <w:ind w:right="692"/>
              <w:spacing w:after="0"/>
              <w:rPr>
                <w:sz w:val="20"/>
                <w:szCs w:val="20"/>
                <w:color w:val="auto"/>
              </w:rPr>
            </w:pPr>
            <w:r>
              <w:rPr>
                <w:rFonts w:ascii="Arial" w:cs="Arial" w:eastAsia="Arial" w:hAnsi="Arial"/>
                <w:sz w:val="18"/>
                <w:szCs w:val="18"/>
                <w:color w:val="auto"/>
                <w:w w:val="92"/>
              </w:rPr>
              <w:t>FORM OF NOTE</w:t>
            </w:r>
          </w:p>
        </w:tc>
      </w:tr>
      <w:tr>
        <w:trPr>
          <w:trHeight w:val="38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390"/>
        </w:trPr>
        <w:tc>
          <w:tcPr>
            <w:tcW w:w="100" w:type="dxa"/>
            <w:vAlign w:val="bottom"/>
          </w:tcPr>
          <w:p>
            <w:pPr>
              <w:spacing w:after="0"/>
              <w:rPr>
                <w:sz w:val="24"/>
                <w:szCs w:val="24"/>
                <w:color w:val="auto"/>
              </w:rPr>
            </w:pPr>
          </w:p>
        </w:tc>
        <w:tc>
          <w:tcPr>
            <w:tcW w:w="11140" w:type="dxa"/>
            <w:vAlign w:val="bottom"/>
            <w:gridSpan w:val="3"/>
          </w:tcPr>
          <w:p>
            <w:pPr>
              <w:jc w:val="right"/>
              <w:ind w:right="112"/>
              <w:spacing w:after="0"/>
              <w:rPr>
                <w:sz w:val="20"/>
                <w:szCs w:val="20"/>
                <w:color w:val="auto"/>
              </w:rPr>
            </w:pPr>
            <w:r>
              <w:rPr>
                <w:rFonts w:ascii="Arial" w:cs="Arial" w:eastAsia="Arial" w:hAnsi="Arial"/>
                <w:sz w:val="18"/>
                <w:szCs w:val="18"/>
                <w:color w:val="auto"/>
                <w:w w:val="93"/>
              </w:rPr>
              <w:t>FOR VALUE RECEIVED, the undersigned, FEDERAL REALTY INVESTMENT TRUST, a real estate investment trust formed under the laws of the</w:t>
            </w:r>
          </w:p>
        </w:tc>
      </w:tr>
      <w:tr>
        <w:trPr>
          <w:trHeight w:val="222"/>
        </w:trPr>
        <w:tc>
          <w:tcPr>
            <w:tcW w:w="5280" w:type="dxa"/>
            <w:vAlign w:val="bottom"/>
            <w:gridSpan w:val="3"/>
          </w:tcPr>
          <w:p>
            <w:pPr>
              <w:spacing w:after="0"/>
              <w:rPr>
                <w:sz w:val="20"/>
                <w:szCs w:val="20"/>
                <w:color w:val="auto"/>
              </w:rPr>
            </w:pPr>
            <w:r>
              <w:rPr>
                <w:rFonts w:ascii="Arial" w:cs="Arial" w:eastAsia="Arial" w:hAnsi="Arial"/>
                <w:sz w:val="18"/>
                <w:szCs w:val="18"/>
                <w:color w:val="auto"/>
                <w:w w:val="89"/>
              </w:rPr>
              <w:t>State of Maryland (the “Borrower”), hereby promises to pay to the order of</w:t>
            </w:r>
          </w:p>
        </w:tc>
        <w:tc>
          <w:tcPr>
            <w:tcW w:w="5960" w:type="dxa"/>
            <w:vAlign w:val="bottom"/>
          </w:tcPr>
          <w:p>
            <w:pPr>
              <w:jc w:val="right"/>
              <w:ind w:right="172"/>
              <w:spacing w:after="0"/>
              <w:rPr>
                <w:sz w:val="20"/>
                <w:szCs w:val="20"/>
                <w:color w:val="auto"/>
              </w:rPr>
            </w:pPr>
            <w:r>
              <w:rPr>
                <w:rFonts w:ascii="Arial" w:cs="Arial" w:eastAsia="Arial" w:hAnsi="Arial"/>
                <w:sz w:val="18"/>
                <w:szCs w:val="18"/>
                <w:color w:val="auto"/>
              </w:rPr>
              <w:t>(the “Lender”), in care of Wachovia Bank, National Association, as</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(the “Agent”) at Wachovia Bank, National Association, One Wachovia Center, 301 South College Street, Charlotte, North Carolina 28288, or at such other</w:t>
      </w:r>
    </w:p>
    <w:p>
      <w:pPr>
        <w:spacing w:after="0" w:line="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address as may be specified in writing by the Agent to the Borrower, the principal sum of AND /100 DOLLARS ($ ) (or such lesser amount as shall equal the aggregate unpaid principal amount of the Loan made by the Lender to the Borrower under the Credit Agreement (as herein defined)), on the dates and in the principal amounts provided in the Credit Agreement, and to pay interest on the unpaid principal amount owing hereunder, at the rates and on the dates provided in the Credit Agreement.</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The date, amount of the Loan made by the Lender to the Borrower, and each payment made on account of the principal thereof, shall be recorded by the Lender on its books and, prior to any transfer of this Note, endorsed by the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Lender to make any such recordation or endorsement shall not affect the obligations of the Borrower to make a payment when due of any amount owing under the Credit Agreement or hereunder in respect of the Loan made by the Lender.</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Note is one of the Notes referred to in the Credit Agreement dated as of May 4, 2009 (as amended, restated, supplemented or otherwise modified from time to time, the “Credit Agreement”), by and among the Borrower, the financial institutions party thereto and their permitted assignees under Section 12.5. thereof (the “Lenders”), the Agent, and the other parties thereto. Capitalized terms used herein, and not otherwise defined herein, have their respective meanings given them in the Credit Agreement.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Loans upon the terms and conditions specified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permitted by Section 12.5.(b) of the Credit Agreement, this Note may not be assigned by the Lender to any other Person.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00"/>
          </w:cols>
          <w:pgMar w:left="240" w:top="280" w:right="259" w:bottom="1440" w:gutter="0" w:footer="0" w:header="0"/>
        </w:sectPr>
      </w:pPr>
    </w:p>
    <w:bookmarkStart w:id="541" w:name="page542"/>
    <w:bookmarkEnd w:id="541"/>
    <w:p>
      <w:pPr>
        <w:ind w:right="7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this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and delivered this Note under seal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80"/>
          </w:cols>
          <w:pgMar w:left="240" w:top="280" w:right="479" w:bottom="1440" w:gutter="0" w:footer="0" w:header="0"/>
        </w:sectPr>
      </w:pPr>
    </w:p>
    <w:bookmarkStart w:id="542" w:name="page543"/>
    <w:bookmarkEnd w:id="542"/>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LOAN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Note evidences the Loan made under the within-described Credit Agreement to the Borrower, on the date and in the principal amount set forth below, subject to the payments and prepayments of principal set forth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Date of</w:t>
            </w:r>
          </w:p>
        </w:tc>
        <w:tc>
          <w:tcPr>
            <w:tcW w:w="28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14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14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Unpaid</w:t>
            </w: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0" w:type="dxa"/>
            <w:vAlign w:val="bottom"/>
            <w:vMerge w:val="continue"/>
          </w:tcPr>
          <w:p>
            <w:pPr>
              <w:spacing w:after="0"/>
              <w:rPr>
                <w:sz w:val="11"/>
                <w:szCs w:val="11"/>
                <w:color w:val="auto"/>
              </w:rPr>
            </w:pPr>
          </w:p>
        </w:tc>
        <w:tc>
          <w:tcPr>
            <w:tcW w:w="28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5"/>
              </w:rPr>
              <w:t>of</w:t>
            </w:r>
          </w:p>
        </w:tc>
        <w:tc>
          <w:tcPr>
            <w:tcW w:w="14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Paid or</w:t>
            </w:r>
          </w:p>
        </w:tc>
        <w:tc>
          <w:tcPr>
            <w:tcW w:w="140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Principal</w:t>
            </w:r>
          </w:p>
        </w:tc>
        <w:tc>
          <w:tcPr>
            <w:tcW w:w="142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4"/>
                <w:szCs w:val="14"/>
                <w:b w:val="1"/>
                <w:bCs w:val="1"/>
                <w:color w:val="auto"/>
                <w:w w:val="87"/>
              </w:rPr>
              <w:t>Notation</w:t>
            </w:r>
          </w:p>
        </w:tc>
        <w:tc>
          <w:tcPr>
            <w:tcW w:w="0" w:type="dxa"/>
            <w:vAlign w:val="bottom"/>
          </w:tcPr>
          <w:p>
            <w:pPr>
              <w:spacing w:after="0"/>
              <w:rPr>
                <w:sz w:val="1"/>
                <w:szCs w:val="1"/>
                <w:color w:val="auto"/>
              </w:rPr>
            </w:pPr>
          </w:p>
        </w:tc>
      </w:tr>
      <w:tr>
        <w:trPr>
          <w:trHeight w:val="168"/>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Loan</w:t>
            </w:r>
          </w:p>
        </w:tc>
        <w:tc>
          <w:tcPr>
            <w:tcW w:w="28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14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Prepaid</w:t>
            </w:r>
          </w:p>
        </w:tc>
        <w:tc>
          <w:tcPr>
            <w:tcW w:w="1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4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Made By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320"/>
          </w:cols>
          <w:pgMar w:left="240" w:top="279" w:right="339" w:bottom="1440" w:gutter="0" w:footer="0" w:header="0"/>
        </w:sectPr>
      </w:pPr>
    </w:p>
    <w:bookmarkStart w:id="543" w:name="page544"/>
    <w:bookmarkEnd w:id="5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OF COUNSEL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provided]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9019"/>
          </w:cols>
          <w:pgMar w:left="1440" w:top="279" w:right="1440" w:bottom="1440" w:gutter="0" w:footer="0" w:header="0"/>
        </w:sectPr>
      </w:pPr>
    </w:p>
    <w:bookmarkStart w:id="544" w:name="page545"/>
    <w:bookmarkEnd w:id="544"/>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COMPLIANCE CERTIFICATE</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Each of the Lenders Party to the Credit Agreement referred to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8.3. of the Credit Agreement, the undersigned hereby certifies to the Agent and the Lenders, in his or her capacity as an officer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and not in his or her individual capacity, as follows:</w:t>
      </w:r>
    </w:p>
    <w:p>
      <w:pPr>
        <w:spacing w:after="0" w:line="165" w:lineRule="exact"/>
        <w:rPr>
          <w:sz w:val="20"/>
          <w:szCs w:val="20"/>
          <w:color w:val="auto"/>
        </w:rPr>
      </w:pPr>
    </w:p>
    <w:p>
      <w:pPr>
        <w:ind w:left="720" w:hanging="256"/>
        <w:spacing w:after="0"/>
        <w:tabs>
          <w:tab w:leader="none" w:pos="72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The undersigned is a Responsible Officer of the Borrower, holding the office indicated below his/her signature to this Compliance Certificate.</w:t>
      </w:r>
    </w:p>
    <w:p>
      <w:pPr>
        <w:spacing w:after="0" w:line="19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undersigned has examined the books and records of the Borrower and has conducted such other examinations and investigations as are reasonably necessary to provide this Compliance Certificate.</w:t>
      </w:r>
    </w:p>
    <w:p>
      <w:pPr>
        <w:spacing w:after="0" w:line="131"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To the best of the undersigned’s knowledge, information and belief after due inquiry, no Default or Event of Default exists </w:t>
      </w:r>
      <w:r>
        <w:rPr>
          <w:rFonts w:ascii="Arial" w:cs="Arial" w:eastAsia="Arial" w:hAnsi="Arial"/>
          <w:sz w:val="18"/>
          <w:szCs w:val="18"/>
          <w:i w:val="1"/>
          <w:iCs w:val="1"/>
          <w:color w:val="auto"/>
        </w:rPr>
        <w:t>[if such is not the case,</w:t>
      </w:r>
      <w:r>
        <w:rPr>
          <w:rFonts w:ascii="Arial" w:cs="Arial" w:eastAsia="Arial" w:hAnsi="Arial"/>
          <w:sz w:val="18"/>
          <w:szCs w:val="18"/>
          <w:color w:val="auto"/>
        </w:rPr>
        <w:t xml:space="preserve"> </w:t>
      </w:r>
      <w:r>
        <w:rPr>
          <w:rFonts w:ascii="Arial" w:cs="Arial" w:eastAsia="Arial" w:hAnsi="Arial"/>
          <w:sz w:val="18"/>
          <w:szCs w:val="18"/>
          <w:i w:val="1"/>
          <w:iCs w:val="1"/>
          <w:color w:val="auto"/>
        </w:rPr>
        <w:t>specify such Default or Event of Default and its nature, when it occurred and whether it is continuing and the steps being taken by the Borrower with respect to such event, condition or failure]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Attached hereto as Schedule 1 are reasonably detailed calculations establishing whether or not the Borrower and its Subsidiaries were in compliance with the covenants contained in Sections 9.1. and 9.4.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360"/>
          </w:cols>
          <w:pgMar w:left="240" w:top="280" w:right="299" w:bottom="1440" w:gutter="0" w:footer="0" w:header="0"/>
        </w:sectPr>
      </w:pPr>
    </w:p>
    <w:bookmarkStart w:id="545" w:name="page546"/>
    <w:bookmarkEnd w:id="5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certificate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291465</wp:posOffset>
            </wp:positionV>
            <wp:extent cx="289877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9759"/>
          </w:cols>
          <w:pgMar w:left="700" w:top="279" w:right="1440" w:bottom="1440" w:gutter="0" w:footer="0" w:header="0"/>
        </w:sectPr>
      </w:pPr>
    </w:p>
    <w:bookmarkStart w:id="546" w:name="page547"/>
    <w:bookmarkEnd w:id="54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GUARANTY</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GUARANTY dated as of May 4, 2009, executed and delivered by each of the undersigned and the other Persons from time to time party hereto pursuant to the execution and delivery of an Accession Agreement in the form of Annex I hereto (all of the undersigned, together with such other Persons each a “Guarantor” and collectively, the “Guarantors”) in favor of (a) WACHOVIA BANK, NATIONAL ASSOCIATION, in its capacity as Agent (the “Agent”) for the Lenders under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pursuant to the Credit Agreement, the Lenders have agreed to make available to the Borrower certain financial accommodations on the terms and conditions set forth in the Credit Agreement;</w:t>
      </w:r>
    </w:p>
    <w:p>
      <w:pPr>
        <w:spacing w:after="0" w:line="13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WHEREAS, the Borrower and each of the Guarantors,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each Guarantor acknowledges that it will receive direct and indirect benefits from the Agent and the Lenders making such financial accommodations available to the Borrower under the Credit Agreement and, accordingly, each Guarantor is willing to guarantee the Borrower’s obligations to the Agent and the Lenders on the terms and conditions contained herein; and</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each Guarantor’s execution and delivery of this Guaranty is a condition to the Lenders making, and continuing to make, such financial accommodations to the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by each Guarantor,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agrees as follows: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Guaranty</w:t>
      </w:r>
      <w:r>
        <w:rPr>
          <w:rFonts w:ascii="Arial" w:cs="Arial" w:eastAsia="Arial" w:hAnsi="Arial"/>
          <w:sz w:val="18"/>
          <w:szCs w:val="18"/>
          <w:color w:val="auto"/>
        </w:rPr>
        <w:t>. Each Guarantor hereby absolutely, irrevocably and unconditionally guaranties the due and punctual payment and performance when due, whether at stated maturity, by acceleration or otherwise, of all of the following, whether now existing or hereafter arising, (collectively referred to as the “Guarantied Obligations”): (a) all indebtedness and obligations owing by the Borrower to any Lender or the Agent under or in connection with the Credit Agreement and any other Loan Document, including without limitation, the repayment of all principal of the Loans, and the payment of all interest, Fees, charges, attorneys’ fees and other amounts payable to any Lender or the Agent thereunder or in connection therewith; (b) any and all extensions, renewals, modifications, amendments or substitutions of the foregoing; (c) all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400"/>
          </w:cols>
          <w:pgMar w:left="240" w:top="280" w:right="259" w:bottom="1440" w:gutter="0" w:footer="0" w:header="0"/>
        </w:sectPr>
      </w:pPr>
    </w:p>
    <w:bookmarkStart w:id="547" w:name="page548"/>
    <w:bookmarkEnd w:id="54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including, without limitation, reasonable attorneys’ fees and disbursements, that are incurred by the Lenders and the Agent in the enforcement of any of the foregoing or any obligation of such Guarantor hereunder; and (d) all other Obligations.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Guaranty of Payment and Not of Collection</w:t>
      </w:r>
      <w:r>
        <w:rPr>
          <w:rFonts w:ascii="Arial" w:cs="Arial" w:eastAsia="Arial" w:hAnsi="Arial"/>
          <w:sz w:val="16"/>
          <w:szCs w:val="16"/>
          <w:color w:val="auto"/>
        </w:rPr>
        <w:t>. This Guaranty is a guaranty of payment, and not of collection, and a debt of each Guarantor for its own account. Accordingly, none of the Lenders or the Agent shall be obligated or required before enforcing this Guaranty against any Guarantor: (a) to pursue any right or remedy any of them may have against the Borrower, any other Guarantor or any other Person or commence any suit or other proceeding against the Borrower, any other Guarantor or any other Person in any court or other tribunal; (b) to make any claim in a liquidation or bankruptcy of the Borrower, any other Guarantor or any other Person; or (c) to make demand of the Borrower, any other Guarantor or any other Person or to enforce or seek to enforce or realize upon any collateral security held by the Lenders or the Agent which may secure any of the Guarantied Obligations.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Guaranty Absolute</w:t>
      </w:r>
      <w:r>
        <w:rPr>
          <w:rFonts w:ascii="Arial" w:cs="Arial" w:eastAsia="Arial" w:hAnsi="Arial"/>
          <w:sz w:val="16"/>
          <w:szCs w:val="16"/>
          <w:color w:val="auto"/>
        </w:rPr>
        <w:t>. Each Guarantor guarantees that the Guarantied Obligations will be paid strictly in accordance with the terms of the documents evidencing the same, regardless of any Applicable Law now or hereafter in effect in any jurisdiction affecting any of such terms or the rights of the Agent or the Lenders with respect thereto.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including without limitation, the following (whether or not such Guarantor consents thereto or has notice thereof):</w:t>
      </w:r>
    </w:p>
    <w:p>
      <w:pPr>
        <w:spacing w:after="0" w:line="116" w:lineRule="exact"/>
        <w:rPr>
          <w:sz w:val="20"/>
          <w:szCs w:val="20"/>
          <w:color w:val="auto"/>
        </w:rPr>
      </w:pPr>
    </w:p>
    <w:p>
      <w:pPr>
        <w:ind w:right="20" w:firstLine="464"/>
        <w:spacing w:after="0" w:line="291" w:lineRule="auto"/>
        <w:tabs>
          <w:tab w:leader="none" w:pos="695" w:val="left"/>
        </w:tabs>
        <w:numPr>
          <w:ilvl w:val="0"/>
          <w:numId w:val="396"/>
        </w:numPr>
        <w:rPr>
          <w:rFonts w:ascii="Arial" w:cs="Arial" w:eastAsia="Arial" w:hAnsi="Arial"/>
          <w:sz w:val="16"/>
          <w:szCs w:val="16"/>
          <w:color w:val="auto"/>
        </w:rPr>
      </w:pPr>
      <w:r>
        <w:rPr>
          <w:rFonts w:ascii="Arial" w:cs="Arial" w:eastAsia="Arial" w:hAnsi="Arial"/>
          <w:sz w:val="16"/>
          <w:szCs w:val="16"/>
          <w:color w:val="auto"/>
        </w:rPr>
        <w:t>(i) any change in the amount, interest rate or due date or other term of any of the Guarantied Obligations, (ii) any change in the time, place or manner of payment of all or any portion of the Guarantied Obligations, (iii) any amendment or waiver of, or consent to the departure from or other indulgence with respect to, the Credit Agreement, any other Loan Document, or any other document or instrument evidencing or relating to any Guarantied Obligations, or (iv) any waiver, renewal, extension, addition, or supplement to, or deletion from, or any other action or inaction under or in respect of, the Credit Agreement, any of the other Loan Documents,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20" w:lineRule="exact"/>
        <w:rPr>
          <w:rFonts w:ascii="Arial" w:cs="Arial" w:eastAsia="Arial" w:hAnsi="Arial"/>
          <w:sz w:val="16"/>
          <w:szCs w:val="16"/>
          <w:color w:val="auto"/>
        </w:rPr>
      </w:pPr>
    </w:p>
    <w:p>
      <w:pPr>
        <w:ind w:right="440" w:firstLine="464"/>
        <w:spacing w:after="0" w:line="332" w:lineRule="auto"/>
        <w:tabs>
          <w:tab w:leader="none" w:pos="705" w:val="left"/>
        </w:tabs>
        <w:numPr>
          <w:ilvl w:val="0"/>
          <w:numId w:val="396"/>
        </w:numPr>
        <w:rPr>
          <w:rFonts w:ascii="Arial" w:cs="Arial" w:eastAsia="Arial" w:hAnsi="Arial"/>
          <w:sz w:val="16"/>
          <w:szCs w:val="16"/>
          <w:color w:val="auto"/>
        </w:rPr>
      </w:pPr>
      <w:r>
        <w:rPr>
          <w:rFonts w:ascii="Arial" w:cs="Arial" w:eastAsia="Arial" w:hAnsi="Arial"/>
          <w:sz w:val="16"/>
          <w:szCs w:val="16"/>
          <w:color w:val="auto"/>
        </w:rPr>
        <w:t>any lack of validity or enforceability of the Credit Agreement, any of the other Loan Documents, or any other document, instrument or agreement referred to therein or evidencing any Guarantied Obligations or any assignment or transfer of any of the foregoing;</w:t>
      </w:r>
    </w:p>
    <w:p>
      <w:pPr>
        <w:spacing w:after="0" w:line="85"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furnishing to the Agent or the Lenders of any security for the Guarantied Obligations, or any sale, exchange, release or surrender of, or realization on, any collateral securing any of the Obligations;</w:t>
      </w:r>
    </w:p>
    <w:p>
      <w:pPr>
        <w:spacing w:after="0" w:line="131" w:lineRule="exact"/>
        <w:rPr>
          <w:rFonts w:ascii="Arial" w:cs="Arial" w:eastAsia="Arial" w:hAnsi="Arial"/>
          <w:sz w:val="18"/>
          <w:szCs w:val="18"/>
          <w:color w:val="auto"/>
        </w:rPr>
      </w:pPr>
    </w:p>
    <w:p>
      <w:pPr>
        <w:ind w:right="340" w:firstLine="464"/>
        <w:spacing w:after="0" w:line="259" w:lineRule="auto"/>
        <w:tabs>
          <w:tab w:leader="none" w:pos="70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settlement or compromise of any of the Guarantied Obligations, any security therefor, or any liability of any other party with respect to the Guarantied Obligations, or any subordination of the payment of the Guarantied Obligations to the payment of any other liability of the Borrower or any other Loan Party;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1400"/>
          </w:cols>
          <w:pgMar w:left="240" w:top="279" w:right="259" w:bottom="1440" w:gutter="0" w:footer="0" w:header="0"/>
        </w:sectPr>
      </w:pPr>
    </w:p>
    <w:bookmarkStart w:id="548" w:name="page549"/>
    <w:bookmarkEnd w:id="548"/>
    <w:p>
      <w:pPr>
        <w:ind w:right="260" w:firstLine="464"/>
        <w:spacing w:after="0" w:line="259" w:lineRule="auto"/>
        <w:tabs>
          <w:tab w:leader="none" w:pos="695" w:val="left"/>
        </w:tabs>
        <w:numPr>
          <w:ilvl w:val="0"/>
          <w:numId w:val="3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bankruptcy, insolvency, reorganization, composition, adjustment, dissolution, liquidation or other like proceeding relating to such Guarantor, the Borrower, any other Loan Party or any other Person, or any action taken with respect to this Guaranty by any trustee or receiver, or by any court, in any such proceeding;</w:t>
      </w:r>
    </w:p>
    <w:p>
      <w:pPr>
        <w:spacing w:after="0" w:line="140" w:lineRule="exact"/>
        <w:rPr>
          <w:rFonts w:ascii="Arial" w:cs="Arial" w:eastAsia="Arial" w:hAnsi="Arial"/>
          <w:sz w:val="18"/>
          <w:szCs w:val="18"/>
          <w:color w:val="auto"/>
        </w:rPr>
      </w:pPr>
    </w:p>
    <w:p>
      <w:pPr>
        <w:ind w:right="200" w:firstLine="464"/>
        <w:spacing w:after="0" w:line="268" w:lineRule="auto"/>
        <w:tabs>
          <w:tab w:leader="none" w:pos="67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act or failure to act by the Borrower, any other Loan Party or any other Person which may adversely affect such Guarantor’s subrogation rights, if any, against the Borrower to recover payments made under this Guaranty;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any nonperfection or impairment of any security interest or other Lien on any collateral, if any, securing in any way any of the Obligations;</w:t>
      </w:r>
    </w:p>
    <w:p>
      <w:pPr>
        <w:spacing w:after="0" w:line="194" w:lineRule="exact"/>
        <w:rPr>
          <w:rFonts w:ascii="Arial" w:cs="Arial" w:eastAsia="Arial" w:hAnsi="Arial"/>
          <w:sz w:val="16"/>
          <w:szCs w:val="16"/>
          <w:color w:val="auto"/>
        </w:rPr>
      </w:pPr>
    </w:p>
    <w:p>
      <w:pPr>
        <w:ind w:firstLine="464"/>
        <w:spacing w:after="0" w:line="268" w:lineRule="auto"/>
        <w:tabs>
          <w:tab w:leader="none" w:pos="70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application of sums paid by the Borrower, any other Guarantor or any other Person with respect to the liabilities of the Borrower to the Agent or the Lenders, regardless of what liabilities of the Borrower remain unpaid;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defect, limitation or insufficiency in the borrowing powers of the Borrower or in the exercise thereof; or</w:t>
      </w:r>
    </w:p>
    <w:p>
      <w:pPr>
        <w:spacing w:after="0" w:line="171" w:lineRule="exact"/>
        <w:rPr>
          <w:rFonts w:ascii="Arial" w:cs="Arial" w:eastAsia="Arial" w:hAnsi="Arial"/>
          <w:sz w:val="18"/>
          <w:szCs w:val="18"/>
          <w:color w:val="auto"/>
        </w:rPr>
      </w:pPr>
    </w:p>
    <w:p>
      <w:pPr>
        <w:ind w:right="540" w:firstLine="464"/>
        <w:spacing w:after="0" w:line="268" w:lineRule="auto"/>
        <w:tabs>
          <w:tab w:leader="none" w:pos="66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a Guarantor hereunder (other than indefeasible payment and performance in full).</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Action with Respect to Guarantied Obligations</w:t>
      </w:r>
      <w:r>
        <w:rPr>
          <w:rFonts w:ascii="Arial" w:cs="Arial" w:eastAsia="Arial" w:hAnsi="Arial"/>
          <w:sz w:val="16"/>
          <w:szCs w:val="16"/>
          <w:color w:val="auto"/>
        </w:rPr>
        <w:t>. The Lenders and the Agent may, at any time and from time to time, without the consent of, or notice to, any Guarantor, and without discharging any Guarantor from its obligations hereunder, take any and all actions described in Section 3 and may otherwise: (a) amend, modify, alter or supplement the terms of any of the Guarantied Obligations, including, but not limited to, extending or shortening the time of payment of any of the Guarantied Obligations or changing the interest rate that may accrue on any of the Guarantied Obligations; (b) amend, modify, alter or supplement the Credit Agreement or any other Loan Document (other than this Guaranty, as to which each Guarantor’s Agreement is required); (c) sell, exchange, release or otherwise deal with all, or any part, of any collateral securing any of the Obligations; (d) release any other Loan Party or other Person liable in any manner for the payment or collection of the Guarantied Obligations; (e) exercise, or refrain from exercising, any rights against the Borrower, any other Guarantor or any other Person; and (f) apply any sum, by whomsoever paid or however realized, to the Guarantied Obligations in such order as the Lenders shall elect.</w:t>
      </w:r>
    </w:p>
    <w:p>
      <w:pPr>
        <w:spacing w:after="0" w:line="12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Guarantor hereby severally with respect to itself only makes to the Agent and the Lenders all of the representations and warranties made by the Borrower with respect to or in any way relating to such Guarantor in the Credit Agreement and the other Loan Documents, as if the same were set forth herein in full.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1400"/>
          </w:cols>
          <w:pgMar w:left="240" w:top="279" w:right="259" w:bottom="1440" w:gutter="0" w:footer="0" w:header="0"/>
        </w:sectPr>
      </w:pPr>
    </w:p>
    <w:bookmarkStart w:id="549" w:name="page550"/>
    <w:bookmarkEnd w:id="54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Covenants</w:t>
      </w:r>
      <w:r>
        <w:rPr>
          <w:rFonts w:ascii="Arial" w:cs="Arial" w:eastAsia="Arial" w:hAnsi="Arial"/>
          <w:sz w:val="18"/>
          <w:szCs w:val="18"/>
          <w:color w:val="auto"/>
        </w:rPr>
        <w:t>. Each Guarantor will comply with all covenants which the Borrower is to cause such Guarantor to comply with under the terms of the Credit Agreement or any of the other Loan Documents.</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Waiver</w:t>
      </w:r>
      <w:r>
        <w:rPr>
          <w:rFonts w:ascii="Arial" w:cs="Arial" w:eastAsia="Arial" w:hAnsi="Arial"/>
          <w:sz w:val="16"/>
          <w:szCs w:val="16"/>
          <w:color w:val="auto"/>
        </w:rPr>
        <w:t>. Each Guarantor, to the fullest extent permitted by Applicable Law,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Inability to Accelerate Loan</w:t>
      </w:r>
      <w:r>
        <w:rPr>
          <w:rFonts w:ascii="Arial" w:cs="Arial" w:eastAsia="Arial" w:hAnsi="Arial"/>
          <w:sz w:val="16"/>
          <w:szCs w:val="16"/>
          <w:color w:val="auto"/>
        </w:rPr>
        <w:t>. If the Agent and/or the Lenders are prevented under Applicable Law or otherwise from demanding or accelerating payment of any of the Guarantied Obligations by reason of any automatic stay or otherwise, the Agent and/or the Lenders shall be entitled to receive from each Guarantor, upon demand therefor, the sums which otherwise would have been due had such demand or acceleration occurred.</w:t>
      </w:r>
    </w:p>
    <w:p>
      <w:pPr>
        <w:spacing w:after="0" w:line="107" w:lineRule="exact"/>
        <w:rPr>
          <w:sz w:val="20"/>
          <w:szCs w:val="20"/>
          <w:color w:val="auto"/>
        </w:rPr>
      </w:pPr>
    </w:p>
    <w:p>
      <w:pPr>
        <w:ind w:right="300" w:firstLine="456"/>
        <w:spacing w:after="0" w:line="305"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Reinstatement of Guarantied Obligations</w:t>
      </w:r>
      <w:r>
        <w:rPr>
          <w:rFonts w:ascii="Arial" w:cs="Arial" w:eastAsia="Arial" w:hAnsi="Arial"/>
          <w:sz w:val="15"/>
          <w:szCs w:val="15"/>
          <w:color w:val="auto"/>
        </w:rPr>
        <w:t>. If claim is ever made on the Agent, or any Lender for repayment or recovery of any amount or amounts received in payment or on account of any of the Guarantied Obligations, and the Agent or such Lender repays all or part of said amount by reason of</w:t>
      </w:r>
    </w:p>
    <w:p>
      <w:pPr>
        <w:ind w:firstLine="8"/>
        <w:spacing w:after="0" w:line="252" w:lineRule="auto"/>
        <w:tabs>
          <w:tab w:leader="none" w:pos="239"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judgment, decree or order of any court or administrative body of competent jurisdiction, or (b) any settlement or compromise of any such claim effected by the Agent or such Lender with any such claimant (including the Borrower or a trustee in bankruptcy for the Borrower), then and in such event each Guarantor agrees that any such judgment, decree, order, settlement or compromise shall be binding on it, notwithstanding any revocation hereof or the cancellation of the Credit Agreement, any of the other Loan Documents, or any other instrument evidencing any liability of the Borrower, and such Guarantor shall be and remain liable to the Agent or such Lender for the amounts so repaid or recovered to the same extent as if such amount had never originally been paid to the Agent or such Lender.</w:t>
      </w:r>
    </w:p>
    <w:p>
      <w:pPr>
        <w:spacing w:after="0" w:line="14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Subrogation</w:t>
      </w:r>
      <w:r>
        <w:rPr>
          <w:rFonts w:ascii="Arial" w:cs="Arial" w:eastAsia="Arial" w:hAnsi="Arial"/>
          <w:sz w:val="16"/>
          <w:szCs w:val="16"/>
          <w:color w:val="auto"/>
        </w:rPr>
        <w:t xml:space="preserve">. Upon the making by any Guarantor of any payment hereunder for the account of the Borrower, such Guarantor shall be subrogated to the rights of the payee against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Guarantor shall not enforce any right or receive any payment by way of subrogation or otherwise take any action in respect of any other claim or cause of action such Guarantor may have against the Borrower arising by reason of any payment or performance by such Guarantor pursuant to this Guaranty, unless and until all of the Guarantied Obligations have been indefeasibly paid and performed in full. If any amount shall be paid to such Guarantor on account of or in respect of such subrogation rights or other claims or causes of action, such Guarantor shall hold such amount in trust for the benefit of the Agent and the Lenders and shall forthwith pay such amount to the Agent to be credited and applied against the Guarantied Obligations, whether matured or unmatured, in accordance with the terms of the Credit Agreement or to be held by the Agent as collateral security for any Guarantied Obligations existing.</w:t>
      </w:r>
    </w:p>
    <w:p>
      <w:pPr>
        <w:spacing w:after="0" w:line="118"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Payments Free and Clear</w:t>
      </w:r>
      <w:r>
        <w:rPr>
          <w:rFonts w:ascii="Arial" w:cs="Arial" w:eastAsia="Arial" w:hAnsi="Arial"/>
          <w:sz w:val="16"/>
          <w:szCs w:val="16"/>
          <w:color w:val="auto"/>
        </w:rPr>
        <w:t>. All sums payable by each Guarantor hereunder, whether of principal, interest, Fees, expenses, premiums or otherwise, shall be paid in full, without set-off or counterclaim or any deduction or withholding whatsoever (including 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H-4</w:t>
      </w:r>
    </w:p>
    <w:p>
      <w:pPr>
        <w:sectPr>
          <w:pgSz w:w="11900" w:h="16838" w:orient="portrait"/>
          <w:cols w:equalWidth="0" w:num="1">
            <w:col w:w="11400"/>
          </w:cols>
          <w:pgMar w:left="240" w:top="280" w:right="259" w:bottom="1440" w:gutter="0" w:footer="0" w:header="0"/>
        </w:sectPr>
      </w:pPr>
    </w:p>
    <w:bookmarkStart w:id="550" w:name="page551"/>
    <w:bookmarkEnd w:id="55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 subject to Section 3.12. of the Credit Agreement), and if any Guarantor is required by Applicable Law or by a Governmental Authority to make any such deduction or withholding, such Guarantor shall, subject to Section 3.12. of the Credit Agreement, pay to the Agent and the Lenders such additional amount as will result in the receipt by the Agent and the Lenders of the full amount payable hereunder had such deduction or withholding not occurred or been required.</w:t>
      </w:r>
    </w:p>
    <w:p>
      <w:pPr>
        <w:spacing w:after="0" w:line="10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Set-off</w:t>
      </w:r>
      <w:r>
        <w:rPr>
          <w:rFonts w:ascii="Arial" w:cs="Arial" w:eastAsia="Arial" w:hAnsi="Arial"/>
          <w:sz w:val="15"/>
          <w:szCs w:val="15"/>
          <w:color w:val="auto"/>
        </w:rPr>
        <w:t>. In addition to any rights now or hereafter granted under any of the other Loan Documents or Applicable Law and not by way of limitation of any such rights, each Guarantor hereby authorizes the Agent, each Lender and each affiliate of the Agent or any Lender, at any time during the continuance of an Event of Default, without any prior notice to such Guarantor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affiliate of the Agent or such Lender, to or for the credit or the account of such Guarantor against and on account of any of the Guarantied Obligations, although such obligations shall be contingent or unmatured.</w:t>
      </w:r>
    </w:p>
    <w:p>
      <w:pPr>
        <w:spacing w:after="0" w:line="10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Subordination</w:t>
      </w:r>
      <w:r>
        <w:rPr>
          <w:rFonts w:ascii="Arial" w:cs="Arial" w:eastAsia="Arial" w:hAnsi="Arial"/>
          <w:sz w:val="16"/>
          <w:szCs w:val="16"/>
          <w:color w:val="auto"/>
        </w:rPr>
        <w:t>. Each Guarantor hereby expressly covenants and agrees for the benefit of the Agent and the Lenders that all obligations and liabilities of the Borrower to such Guarantor of whatever description, including without limitation, all intercompany receivables of such Guarantor from the Borrower (collectively, the “Junior Claims”) shall be subordinate and junior in right of payment to all Guarantied Obligations. If an Event of Default shall exist, then no Guarantor shall accept any direct or indirect payment (in cash, property or securities, by setoff or otherwise) from the Borrower on account of or in any manner in respect of any Junior Claim until all of the Guarantied Obligations have been indefeasibly paid in full.</w:t>
      </w:r>
    </w:p>
    <w:p>
      <w:pPr>
        <w:spacing w:after="0" w:line="1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Avoidance Provisions</w:t>
      </w:r>
      <w:r>
        <w:rPr>
          <w:rFonts w:ascii="Arial" w:cs="Arial" w:eastAsia="Arial" w:hAnsi="Arial"/>
          <w:sz w:val="16"/>
          <w:szCs w:val="16"/>
          <w:color w:val="auto"/>
        </w:rPr>
        <w:t>. It is the intent of each Guarantor, the Agent and the Lenders that in any Proceeding, such Guarantor’s maximum obligation hereunder shall equal, but not exceed, the maximum amount which would not otherwise cause the obligations of such Guarantor hereunder (or any other obligations of such Guarantor to the Agent and the Lenders) to be avoidable or unenforceable against such Guarantor in such Proceeding as a result of Applicable Law, including without limitation, (a) Section 548 of the Bankruptcy Code of 1978, as amended (the “Bankruptcy Code”) and (b) any state fraudulent transfer or fraudulent conveyance act or statute applied in such Proceeding, whether by virtue of Section 544 of the Bankruptcy Code or otherwise. The Applicable Laws under which the possible avoidance or unenforceability of the obligations of such Guarantor hereunder (or any other obligations of such Guarantor to the Agent and the Lenders) shall be determined in any such Proceeding are referred to as the “Avoidance Provisions”.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such Guarantor hereunder (or any other obligations of such Guarantor to the Agent and the Lenders), to be subject to avoidance under the Avoidance Provisions. This Section is intended solely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420"/>
          </w:cols>
          <w:pgMar w:left="240" w:top="280" w:right="239" w:bottom="1440" w:gutter="0" w:footer="0" w:header="0"/>
        </w:sectPr>
      </w:pPr>
    </w:p>
    <w:bookmarkStart w:id="551" w:name="page552"/>
    <w:bookmarkEnd w:id="551"/>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preserve the rights of the Agent and the Lenders hereunder to the maximum extent that would not cause the obligations of any Guarantor hereunder to be subject to avoidance under the Avoidance Provisions, and no Guarantor or any other Person shall have any right or claim under this Section as against the Agent and the Lenders that would not otherwise be available to such Person under the Avoidance Provisions.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Information</w:t>
      </w:r>
      <w:r>
        <w:rPr>
          <w:rFonts w:ascii="Arial" w:cs="Arial" w:eastAsia="Arial" w:hAnsi="Arial"/>
          <w:sz w:val="18"/>
          <w:szCs w:val="18"/>
          <w:color w:val="auto"/>
        </w:rPr>
        <w:t>. Each Guarantor assumes all responsibility for being and keeping itself informed of the financial condition of the Borrower and the other Guarantors, and of all other circumstances bearing upon the risk of nonpayment of any of the Guarantied Obligations and the nature, scope and extent of the risks that such Guarantor assumes and incurs hereunder, and agrees that none of the Agent or the Lenders shall have any duty whatsoever to advise any Guarantor of information regarding such circumstances or risks.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WAIVER OF JURY TRIAL, ETC</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53" w:lineRule="auto"/>
        <w:tabs>
          <w:tab w:leader="none" w:pos="69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EACH PARTY HERETO ACKNOWLEDGES THAT ANY DISPUTE OR CONTROVERSY BETWEEN OR AMONG ANY GUARANTOR, THE AGENT OR ANY OF THE LENDERS WOULD BE BASED ON DIFFICULT AND COMPLEX ISSUES OF LAW AND FACT AND WOULD RESULT IN DELAY AND EXPENSE TO THE PARTIES. ACCORDINGLY, TO THE EXTENT PERMITTED BY APPLICABLE LAW, EACH OF THE LENDERS, THE AGENT AND THE GUARANTORS HEREBY WAIVES ITS RIGHT TO A TRIAL BY JURY IN ANY ACTION OR PROCEEDING OF ANY KIND OR NATURE IN ANY COURT OR TRIBUNAL IN WHICH AN ACTION MAY BE COMMENCED BY OR AGAINST ANY PARTY HERETO ARISING OUT OF THIS GUARANTY OR ANY OTHER LOAN DOCUMENT OR BY REASON OF ANY OTHER SUIT, CAUSE OF ACTION OR DISPUTE WHATSOEVER BETWEEN OR AMONG THE GUARANTORS, THE AGENT OR ANY OF THE LENDERS OF ANY KIND OR NATURE RELATING TO ANY OF THE LOAN DOCUMENTS.</w:t>
      </w:r>
    </w:p>
    <w:p>
      <w:pPr>
        <w:spacing w:after="0" w:line="145" w:lineRule="exact"/>
        <w:rPr>
          <w:rFonts w:ascii="Arial" w:cs="Arial" w:eastAsia="Arial" w:hAnsi="Arial"/>
          <w:sz w:val="18"/>
          <w:szCs w:val="18"/>
          <w:color w:val="auto"/>
        </w:rPr>
      </w:pPr>
    </w:p>
    <w:p>
      <w:pPr>
        <w:ind w:right="40" w:firstLine="464"/>
        <w:spacing w:after="0" w:line="253" w:lineRule="auto"/>
        <w:tabs>
          <w:tab w:leader="none" w:pos="70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EACH OF THE GUARANTORS, THE AGENT AND EACH LENDER HEREBY AGREES THAT THE FEDERAL DISTRICT COURT FOR THE SOUTHERN DISTRICT OF NEW YORK AND ANY STATE COURT LOCATED IN THE BOROUGH OF MANHATTAN OF NEW YORK, NEW YORK, SHALL HAVE JURISDICTION TO HEAR AND DETERMINE ANY CLAIMS OR DISPUTES BETWEEN OR AMONG THE GUARANTORS, THE AGENT OR ANY OF THE LENDERS PERTAINING DIRECTLY OR INDIRECTLY TO THIS GUARANTY OR ANY OTHER LOAN DOCUMENT OR TO ANY MATTER ARISING HEREFROM OR THEREFROM. EACH GUARANTOR AND EACH OF THE LENDERS EXPRESSLY SUBMITS AND CONSENTS IN ADVANCE TO SUCH JURISDICTION IN ANY ACTION OR PROCEEDING COMMENCED IN SUCH COURTS WITH RESPECT TO SUCH CLAIMS OR DISPUTES. EACH PARTY FURTHER WAIVES ANY OBJECTION THAT IT MAY NOW OR HEREAFTER HAVE TO THE VENUE OF</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H-6</w:t>
      </w:r>
    </w:p>
    <w:p>
      <w:pPr>
        <w:sectPr>
          <w:pgSz w:w="11900" w:h="16838" w:orient="portrait"/>
          <w:cols w:equalWidth="0" w:num="1">
            <w:col w:w="11380"/>
          </w:cols>
          <w:pgMar w:left="240" w:top="280" w:right="279" w:bottom="1440" w:gutter="0" w:footer="0" w:header="0"/>
        </w:sectPr>
      </w:pPr>
    </w:p>
    <w:bookmarkStart w:id="552" w:name="page553"/>
    <w:bookmarkEnd w:id="552"/>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13" w:lineRule="exact"/>
        <w:rPr>
          <w:sz w:val="20"/>
          <w:szCs w:val="20"/>
          <w:color w:val="auto"/>
        </w:rPr>
      </w:pPr>
    </w:p>
    <w:p>
      <w:pPr>
        <w:ind w:right="60" w:firstLine="464"/>
        <w:spacing w:after="0" w:line="306" w:lineRule="auto"/>
        <w:tabs>
          <w:tab w:leader="none" w:pos="69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GUARANTY.</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Loan Accounts</w:t>
      </w:r>
      <w:r>
        <w:rPr>
          <w:rFonts w:ascii="Arial" w:cs="Arial" w:eastAsia="Arial" w:hAnsi="Arial"/>
          <w:sz w:val="18"/>
          <w:szCs w:val="18"/>
          <w:color w:val="auto"/>
        </w:rPr>
        <w:t>. The Agent and each Lender may maintain books and accounts setting forth the amounts of principal, interest and other sums paid and payable with respect to the Guarantied Obligations, and in the case of any dispute relating to any of the outstanding amount, payment or receipt of any of the Guarantied Obligations or otherwise, the entries in such books and accounts shall be deemed conclusive evidence of the amounts and other matters set forth herein, absent manifest error. The failure of the Agent or any Lender to maintain such books and accounts shall not in any way relieve or discharge any Guarantor of any of its obligations hereunder.</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 of Remedies</w:t>
      </w:r>
      <w:r>
        <w:rPr>
          <w:rFonts w:ascii="Arial" w:cs="Arial" w:eastAsia="Arial" w:hAnsi="Arial"/>
          <w:sz w:val="18"/>
          <w:szCs w:val="18"/>
          <w:color w:val="auto"/>
        </w:rPr>
        <w:t>. No delay or failure on the part of the Agent or any Lender in the exercise of any right or remedy it may have against any Guarantor hereunder or otherwise shall operate as a waiver thereof, and no single or partial exercise by the Agent or any Lender of any such right or remedy shall preclude any other or further exercise thereof or the exercise of any other such right or remedy.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Termination</w:t>
      </w:r>
      <w:r>
        <w:rPr>
          <w:rFonts w:ascii="Arial" w:cs="Arial" w:eastAsia="Arial" w:hAnsi="Arial"/>
          <w:sz w:val="18"/>
          <w:szCs w:val="18"/>
          <w:color w:val="auto"/>
        </w:rPr>
        <w:t>. This Guaranty shall remain in full force and effect until indefeasible payment in full of the Guarantied Obligations and the other Obligations and the termination or cancellation of the Credit Agreement in accordance with its terms.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Each reference herein to the Agent or the Lenders shall be deemed to include such Person’s respective successors and assigns (including, but not limited to, any holder of the Guarantied Obligations) in whose favor the provisions of this Guaranty also shall inure, and each reference herein to each Guarantor shall be deemed to include such Guarantor’s successors and assigns, upon whom this Guaranty also shall be binding. The Lenders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Subject to Section 12.8. of the Credit Agreement, each Guarantor hereby consents to the delivery by the Agent or any Lender to any Assignee or Participant (or any prospective Assignee or Participant) of any financial or other information regarding the Borrower or any Guarantor. No Guarantor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400"/>
          </w:cols>
          <w:pgMar w:left="240" w:top="279" w:right="259" w:bottom="1440" w:gutter="0" w:footer="0" w:header="0"/>
        </w:sectPr>
      </w:pPr>
    </w:p>
    <w:bookmarkStart w:id="553" w:name="page554"/>
    <w:bookmarkEnd w:id="553"/>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assign or transfer its obligations hereunder to any Person without the prior written consent of all Lenders and any such assignment or other transfer to which all of the Lenders have not so consented shall be null and void.</w:t>
      </w:r>
    </w:p>
    <w:p>
      <w:pPr>
        <w:spacing w:after="0" w:line="132"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JOINT AND SEVERAL OBLIGATIONS</w:t>
      </w:r>
      <w:r>
        <w:rPr>
          <w:rFonts w:ascii="Arial" w:cs="Arial" w:eastAsia="Arial" w:hAnsi="Arial"/>
          <w:sz w:val="16"/>
          <w:szCs w:val="16"/>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Amendments</w:t>
      </w:r>
      <w:r>
        <w:rPr>
          <w:rFonts w:ascii="Arial" w:cs="Arial" w:eastAsia="Arial" w:hAnsi="Arial"/>
          <w:sz w:val="18"/>
          <w:szCs w:val="18"/>
          <w:color w:val="auto"/>
        </w:rPr>
        <w:t>. This Guaranty may not be amended except in writing signed by the Requisite Lenders (or all of the Lenders if required under the terms of the Credit Agreement), the Agent and each Guarantor.</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Payments</w:t>
      </w:r>
      <w:r>
        <w:rPr>
          <w:rFonts w:ascii="Arial" w:cs="Arial" w:eastAsia="Arial" w:hAnsi="Arial"/>
          <w:sz w:val="18"/>
          <w:szCs w:val="18"/>
          <w:color w:val="auto"/>
        </w:rPr>
        <w:t>. All payments to be made by any Guarantor pursuant to this Guaranty shall be made in Dollars, in immediately available funds to the Agent at the Principal Office, not later than 2:00 p.m. on the date of demand therefor.</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and other communications hereunder shall be in writing (including facsimile transmission or similar writing) and shall be given (a) to each Guarantor at its address set forth below its signature hereto, (b) to the Agent or any Lender at its respective address for notices provided for in the Credit Agreement, or (c) as to each such party at such other address as such party shall designate in a written notice to the other parties. Each such notice, request or other communication shall be effective (i) if mailed, when received; (ii) if telecopied, when transmitted; or (iii) if hand delivered, when delivered;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notice of a change of address for notices shall not be effective until received.</w:t>
      </w:r>
    </w:p>
    <w:p>
      <w:pPr>
        <w:spacing w:after="0" w:line="1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used in this Guaranty are for convenience only and shall not affect the construction of this Guaranty.</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Neither the Agent nor any Lender, nor any affiliate, officer, director, employee, attorney, or agent of the Agent or any Lender, shall have any liability with respect to, and each Guarantor hereby waives, releases, and agrees not to sue any of them upon, any claim for any special, indirect, incidental, or consequential damages suffered or incurred by a Guarantor in connection with, arising out of, or in any way related to, this Guaranty or any of the other Loan Documents, or any of the transactions contemplated by this Guaranty, the Credit Agreement or any of the other Loan Documents. Each Guarantor hereby waives, releases, and agrees not to sue the Agent or any Lender or any of the Agent’s or any Lender’s affiliates, officers, directors, employees, attorneys, or agents for punitive damages in respect of any claim in connection with, arising out of, or in any way related to, this Guaranty, the Credit Agreement or any of the other Loan Documents, or any of the transactions contemplated by Credit Agreement or financed thereby.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400"/>
          </w:cols>
          <w:pgMar w:left="240" w:top="279" w:right="259" w:bottom="1440" w:gutter="0" w:footer="0" w:header="0"/>
        </w:sectPr>
      </w:pPr>
    </w:p>
    <w:bookmarkStart w:id="554" w:name="page555"/>
    <w:bookmarkEnd w:id="5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29. </w:t>
      </w:r>
      <w:r>
        <w:rPr>
          <w:rFonts w:ascii="Arial" w:cs="Arial" w:eastAsia="Arial" w:hAnsi="Arial"/>
          <w:sz w:val="18"/>
          <w:szCs w:val="18"/>
          <w:u w:val="single" w:color="auto"/>
          <w:color w:val="auto"/>
        </w:rPr>
        <w:t>Definitions</w:t>
      </w:r>
      <w:r>
        <w:rPr>
          <w:rFonts w:ascii="Arial" w:cs="Arial" w:eastAsia="Arial" w:hAnsi="Arial"/>
          <w:sz w:val="18"/>
          <w:szCs w:val="18"/>
          <w:color w:val="auto"/>
        </w:rPr>
        <w:t>. (a) For the purposes of this Guaranty:</w:t>
      </w:r>
    </w:p>
    <w:p>
      <w:pPr>
        <w:spacing w:after="0" w:line="17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of the following: (i) a voluntary or involuntary case concerning any Guarantor shall be commenced under the Bankruptcy Code of 1978, as amended; (ii) a custodian (as defined in such Bankruptcy Code or any other applicable bankruptcy laws) is appointed for, or takes charge of, all or any substantial part of the property of any Guarantor; (iii) any other proceeding under any Applicable Law, domestic or foreign, relating to bankruptcy, insolvency, reorganization, winding-up or composition for adjustment of debts, whether now or hereafter in effect, is commenced relating to any Guarantor; (iv) any Guarantor is adjudicated insolvent or bankrupt; (v) any order of relief or other order approving any such case or proceeding is entered by a court of competent jurisdiction; (vi) any Guarantor makes a general assignment for the benefit of creditors; (vii) any Guarantor shall fail to pay, or shall state that it is unable to pay, or shall be unable to pay, its debts generally as they become due; (viii) any Guarantor shall call a meeting of its creditors with a view to arranging a composition or adjustment of its debts; (ix) any Guarantor shall by any act or failure to act indicate its consent to, approval of or acquiescence in any of the foregoing; or</w:t>
      </w:r>
    </w:p>
    <w:p>
      <w:pPr>
        <w:spacing w:after="0" w:line="6" w:lineRule="exact"/>
        <w:rPr>
          <w:sz w:val="20"/>
          <w:szCs w:val="20"/>
          <w:color w:val="auto"/>
        </w:rPr>
      </w:pPr>
    </w:p>
    <w:p>
      <w:pPr>
        <w:ind w:left="260" w:hanging="252"/>
        <w:spacing w:after="0"/>
        <w:tabs>
          <w:tab w:leader="none" w:pos="2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corporate action shall be taken by any Guarantor for the purpose of effecting any of the foregoing.</w:t>
      </w:r>
    </w:p>
    <w:p>
      <w:pPr>
        <w:spacing w:after="0" w:line="164" w:lineRule="exact"/>
        <w:rPr>
          <w:rFonts w:ascii="Arial" w:cs="Arial" w:eastAsia="Arial" w:hAnsi="Arial"/>
          <w:sz w:val="18"/>
          <w:szCs w:val="18"/>
          <w:color w:val="auto"/>
        </w:rPr>
      </w:pPr>
    </w:p>
    <w:p>
      <w:pPr>
        <w:ind w:left="4820" w:right="2380" w:hanging="4356"/>
        <w:spacing w:after="0" w:line="430" w:lineRule="auto"/>
        <w:tabs>
          <w:tab w:leader="none" w:pos="709" w:val="left"/>
        </w:tabs>
        <w:numPr>
          <w:ilvl w:val="1"/>
          <w:numId w:val="401"/>
        </w:numPr>
        <w:rPr>
          <w:rFonts w:ascii="Arial" w:cs="Arial" w:eastAsia="Arial" w:hAnsi="Arial"/>
          <w:sz w:val="18"/>
          <w:szCs w:val="18"/>
          <w:color w:val="auto"/>
        </w:rPr>
      </w:pPr>
      <w:r>
        <w:rPr>
          <w:rFonts w:ascii="Arial" w:cs="Arial" w:eastAsia="Arial" w:hAnsi="Arial"/>
          <w:sz w:val="18"/>
          <w:szCs w:val="18"/>
          <w:color w:val="auto"/>
        </w:rPr>
        <w:t>Terms not otherwise defined herein are used herein with the respective meanings given them in the Credit Agreement. [Signature on Next Page]</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H-9</w:t>
      </w:r>
    </w:p>
    <w:p>
      <w:pPr>
        <w:sectPr>
          <w:pgSz w:w="11900" w:h="16838" w:orient="portrait"/>
          <w:cols w:equalWidth="0" w:num="1">
            <w:col w:w="11380"/>
          </w:cols>
          <w:pgMar w:left="240" w:top="280" w:right="279" w:bottom="1440" w:gutter="0" w:footer="0" w:header="0"/>
        </w:sectPr>
      </w:pPr>
    </w:p>
    <w:bookmarkStart w:id="555" w:name="page556"/>
    <w:bookmarkEnd w:id="55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Guarantor has duly executed and delivered this Guaranty as of the date and year first written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10795</wp:posOffset>
            </wp:positionV>
            <wp:extent cx="255587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10795</wp:posOffset>
            </wp:positionV>
            <wp:extent cx="255587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10795</wp:posOffset>
            </wp:positionV>
            <wp:extent cx="255587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0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400"/>
        <w:spacing w:after="0"/>
        <w:tabs>
          <w:tab w:leader="none" w:pos="7380" w:val="left"/>
        </w:tabs>
        <w:rPr>
          <w:sz w:val="20"/>
          <w:szCs w:val="20"/>
          <w:color w:val="auto"/>
        </w:rPr>
      </w:pPr>
      <w:r>
        <w:rPr>
          <w:rFonts w:ascii="Arial" w:cs="Arial" w:eastAsia="Arial" w:hAnsi="Arial"/>
          <w:sz w:val="18"/>
          <w:szCs w:val="18"/>
          <w:color w:val="auto"/>
        </w:rPr>
        <w:t>Telephone:</w:t>
        <w:tab/>
        <w:t>(301) 998-8100</w:t>
      </w:r>
    </w:p>
    <w:p>
      <w:pPr>
        <w:spacing w:after="0" w:line="9" w:lineRule="exact"/>
        <w:rPr>
          <w:sz w:val="20"/>
          <w:szCs w:val="20"/>
          <w:color w:val="auto"/>
        </w:rPr>
      </w:pPr>
    </w:p>
    <w:p>
      <w:pPr>
        <w:ind w:left="6400"/>
        <w:spacing w:after="0"/>
        <w:tabs>
          <w:tab w:leader="none" w:pos="738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(301) 998-3715</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H-10</w:t>
      </w:r>
    </w:p>
    <w:p>
      <w:pPr>
        <w:sectPr>
          <w:pgSz w:w="11900" w:h="16838" w:orient="portrait"/>
          <w:cols w:equalWidth="0" w:num="1">
            <w:col w:w="9759"/>
          </w:cols>
          <w:pgMar w:left="700" w:top="280" w:right="1440" w:bottom="1440" w:gutter="0" w:footer="0" w:header="0"/>
        </w:sectPr>
      </w:pPr>
    </w:p>
    <w:bookmarkStart w:id="556" w:name="page557"/>
    <w:bookmarkEnd w:id="55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ACCESSION AGREEMENT</w:t>
      </w:r>
    </w:p>
    <w:p>
      <w:pPr>
        <w:spacing w:after="0" w:line="171" w:lineRule="exact"/>
        <w:rPr>
          <w:sz w:val="20"/>
          <w:szCs w:val="20"/>
          <w:color w:val="auto"/>
        </w:rPr>
      </w:pPr>
    </w:p>
    <w:p>
      <w:pPr>
        <w:ind w:left="460"/>
        <w:spacing w:after="0"/>
        <w:tabs>
          <w:tab w:leader="none" w:pos="4700" w:val="left"/>
          <w:tab w:leader="none" w:pos="5140" w:val="left"/>
          <w:tab w:leader="none" w:pos="8880" w:val="left"/>
          <w:tab w:leader="none" w:pos="9960" w:val="left"/>
        </w:tabs>
        <w:rPr>
          <w:sz w:val="20"/>
          <w:szCs w:val="20"/>
          <w:color w:val="auto"/>
        </w:rPr>
      </w:pPr>
      <w:r>
        <w:rPr>
          <w:rFonts w:ascii="Arial" w:cs="Arial" w:eastAsia="Arial" w:hAnsi="Arial"/>
          <w:sz w:val="18"/>
          <w:szCs w:val="18"/>
          <w:color w:val="auto"/>
        </w:rPr>
        <w:t>THIS ACCESSION AGREEMENT dated as of</w:t>
      </w:r>
      <w:r>
        <w:rPr>
          <w:sz w:val="20"/>
          <w:szCs w:val="20"/>
          <w:color w:val="auto"/>
        </w:rPr>
        <w:tab/>
      </w:r>
      <w:r>
        <w:rPr>
          <w:rFonts w:ascii="Arial" w:cs="Arial" w:eastAsia="Arial" w:hAnsi="Arial"/>
          <w:sz w:val="18"/>
          <w:szCs w:val="18"/>
          <w:color w:val="auto"/>
        </w:rPr>
        <w:t>, 20</w:t>
        <w:tab/>
        <w:t>, executed and delivered by</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“New</w:t>
      </w:r>
    </w:p>
    <w:p>
      <w:pPr>
        <w:spacing w:after="0" w:line="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Guarantor”), in favor of (a) WACHOVIA BANK, NATIONAL ASSOCIATION, in its capacity as Agent (the “Agent”) for the Lenders under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pursuant to the Credit Agreement, the Lenders have agreed to make available to the Borrower certain financial accommodations on the terms and conditions set forth in the Credit Agreement;</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WHEREAS, the Borrower, the New Guarantor, and the existing Guarantors,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WHEREAS, the New Guarantor acknowledges that it will receive direct and indirect benefits from the Lenders making such financial accommodations available to the Borrower under the Credit Agreement and, accordingly, the New Guarantor is willing to guarantee the Borrower’s obligations to the Agent and the Lenders on the terms and conditions contained herein; and</w:t>
      </w:r>
    </w:p>
    <w:p>
      <w:pPr>
        <w:spacing w:after="0" w:line="140"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WHEREAS, the New Guarantor’s execution and delivery of this Agreement is a condition to the Lenders continuing to make such financial accommodations to the Borrower.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New Guarantor, the New Guarantor agrees as follows: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Accession to Guaranty</w:t>
      </w:r>
      <w:r>
        <w:rPr>
          <w:rFonts w:ascii="Arial" w:cs="Arial" w:eastAsia="Arial" w:hAnsi="Arial"/>
          <w:sz w:val="16"/>
          <w:szCs w:val="16"/>
          <w:color w:val="auto"/>
        </w:rPr>
        <w:t>. The New Guarantor hereby agrees that it is a “Guarantor” under that certain Guaranty dated as of May 4, 2009 (as amended, supplemented, restated or otherwise modified from time to time, the “Guaranty”), made by each Subsidiary of the Borrower a party thereto in favor of the Agent and the Lenders and assumes all obligations of a “Guarantor” thereunder and agrees to be bound thereby, all as if the New Guarantor had been an original signatory to the Guaranty. Without limiting the generality of the foregoing, the New Guarantor hereby:</w:t>
      </w:r>
    </w:p>
    <w:p>
      <w:pPr>
        <w:spacing w:after="0" w:line="113" w:lineRule="exact"/>
        <w:rPr>
          <w:sz w:val="20"/>
          <w:szCs w:val="20"/>
          <w:color w:val="auto"/>
        </w:rPr>
      </w:pPr>
    </w:p>
    <w:p>
      <w:pPr>
        <w:ind w:right="220" w:firstLine="464"/>
        <w:spacing w:after="0" w:line="268" w:lineRule="auto"/>
        <w:tabs>
          <w:tab w:leader="none" w:pos="69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irrevocably and unconditionally guarantees the due and punctual payment and performance when due, whether at stated maturity, by acceleration or otherwise, of all Guarantied Obligations (as defined in the Guaranty);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H-11</w:t>
      </w:r>
    </w:p>
    <w:p>
      <w:pPr>
        <w:sectPr>
          <w:pgSz w:w="11900" w:h="16838" w:orient="portrait"/>
          <w:cols w:equalWidth="0" w:num="1">
            <w:col w:w="11320"/>
          </w:cols>
          <w:pgMar w:left="240" w:top="279" w:right="339" w:bottom="1440" w:gutter="0" w:footer="0" w:header="0"/>
        </w:sectPr>
      </w:pPr>
    </w:p>
    <w:bookmarkStart w:id="557" w:name="page558"/>
    <w:bookmarkEnd w:id="557"/>
    <w:p>
      <w:pPr>
        <w:ind w:right="60" w:firstLine="464"/>
        <w:spacing w:after="0" w:line="268" w:lineRule="auto"/>
        <w:tabs>
          <w:tab w:leader="none" w:pos="705" w:val="left"/>
        </w:tabs>
        <w:numPr>
          <w:ilvl w:val="0"/>
          <w:numId w:val="4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makes to the Agent and the Lenders as of the date hereof each of the representations and warranties contained in Section 5 of the Guaranty with respect to itself and agrees to be bound by each of the covenants contained in Section 6 of the Guaranty; and</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consents and agrees to each provision set forth in the Guaranty.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NEW YORK APPLICABLE TO CONTRACTS EXECUTED, AND TO BE FULLY PERFORMED, IN SUCH STATE.</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and not otherwise defined herein shall have their respective defined meanings given them in the Credit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H-12</w:t>
      </w:r>
    </w:p>
    <w:p>
      <w:pPr>
        <w:sectPr>
          <w:pgSz w:w="11900" w:h="16838" w:orient="portrait"/>
          <w:cols w:equalWidth="0" w:num="1">
            <w:col w:w="11420"/>
          </w:cols>
          <w:pgMar w:left="240" w:top="279" w:right="239" w:bottom="1440" w:gutter="0" w:footer="0" w:header="0"/>
        </w:sectPr>
      </w:pPr>
    </w:p>
    <w:bookmarkStart w:id="558" w:name="page559"/>
    <w:bookmarkEnd w:id="55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New Guarantor has caused this Accession Agreement to be duly executed and delivered under seal by its duly authorized officers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10795</wp:posOffset>
            </wp:positionV>
            <wp:extent cx="255587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10795</wp:posOffset>
            </wp:positionV>
            <wp:extent cx="255587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10795</wp:posOffset>
            </wp:positionV>
            <wp:extent cx="255587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860"/>
        <w:spacing w:after="0"/>
        <w:tabs>
          <w:tab w:leader="none" w:pos="7840" w:val="left"/>
        </w:tabs>
        <w:rPr>
          <w:sz w:val="20"/>
          <w:szCs w:val="20"/>
          <w:color w:val="auto"/>
        </w:rPr>
      </w:pPr>
      <w:r>
        <w:rPr>
          <w:rFonts w:ascii="Arial" w:cs="Arial" w:eastAsia="Arial" w:hAnsi="Arial"/>
          <w:sz w:val="18"/>
          <w:szCs w:val="18"/>
          <w:color w:val="auto"/>
        </w:rPr>
        <w:t>Telephone:</w:t>
        <w:tab/>
        <w:t>(301) 998-8100</w:t>
      </w:r>
    </w:p>
    <w:p>
      <w:pPr>
        <w:spacing w:after="0" w:line="9" w:lineRule="exact"/>
        <w:rPr>
          <w:sz w:val="20"/>
          <w:szCs w:val="20"/>
          <w:color w:val="auto"/>
        </w:rPr>
      </w:pPr>
    </w:p>
    <w:p>
      <w:pPr>
        <w:ind w:left="6860"/>
        <w:spacing w:after="0"/>
        <w:tabs>
          <w:tab w:leader="none" w:pos="784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(301) 998-3715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H-13</w:t>
      </w:r>
    </w:p>
    <w:p>
      <w:pPr>
        <w:sectPr>
          <w:pgSz w:w="11900" w:h="16838" w:orient="portrait"/>
          <w:cols w:equalWidth="0" w:num="1">
            <w:col w:w="11200"/>
          </w:cols>
          <w:pgMar w:left="240" w:top="280" w:right="459" w:bottom="1440" w:gutter="0" w:footer="0" w:header="0"/>
        </w:sectPr>
      </w:pPr>
    </w:p>
    <w:bookmarkStart w:id="559" w:name="page560"/>
    <w:bookmarkEnd w:id="5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0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May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560" w:name="page561"/>
    <w:bookmarkEnd w:id="5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0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May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0"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561" w:name="page562"/>
    <w:bookmarkEnd w:id="5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2010 (the “Report”). The undersigned hereby certifies, to the best of his knowledge, that:</w:t>
      </w:r>
    </w:p>
    <w:p>
      <w:pPr>
        <w:spacing w:after="0" w:line="59" w:lineRule="exact"/>
        <w:rPr>
          <w:sz w:val="20"/>
          <w:szCs w:val="20"/>
          <w:color w:val="auto"/>
        </w:rPr>
      </w:pPr>
    </w:p>
    <w:p>
      <w:pPr>
        <w:ind w:left="900" w:hanging="446"/>
        <w:spacing w:after="0"/>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May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562" w:name="page563"/>
    <w:bookmarkEnd w:id="56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Quarterly Report on Form 10-Q for the period ended March 31, 2010 (the “Report”). The undersigned hereby certifies, to the best of his knowledge, that:</w:t>
      </w:r>
    </w:p>
    <w:p>
      <w:pPr>
        <w:spacing w:after="0" w:line="26" w:lineRule="exact"/>
        <w:rPr>
          <w:sz w:val="20"/>
          <w:szCs w:val="20"/>
          <w:color w:val="auto"/>
        </w:rPr>
      </w:pPr>
    </w:p>
    <w:p>
      <w:pPr>
        <w:ind w:left="900" w:hanging="446"/>
        <w:spacing w:after="0"/>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8"/>
          <w:szCs w:val="18"/>
          <w:color w:val="auto"/>
        </w:rPr>
        <w:t>May 4,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1AF98"/>
    <w:multiLevelType w:val="hybridMultilevel"/>
    <w:lvl w:ilvl="0">
      <w:lvlJc w:val="left"/>
      <w:lvlText w:val="☒"/>
      <w:numFmt w:val="bullet"/>
      <w:start w:val="1"/>
    </w:lvl>
  </w:abstractNum>
  <w:abstractNum w:abstractNumId="1">
    <w:nsid w:val="3D00B9D9"/>
    <w:multiLevelType w:val="hybridMultilevel"/>
    <w:lvl w:ilvl="0">
      <w:lvlJc w:val="left"/>
      <w:lvlText w:val="☐"/>
      <w:numFmt w:val="bullet"/>
      <w:start w:val="1"/>
    </w:lvl>
  </w:abstractNum>
  <w:abstractNum w:abstractNumId="2">
    <w:nsid w:val="15BCABA8"/>
    <w:multiLevelType w:val="hybridMultilevel"/>
    <w:lvl w:ilvl="0">
      <w:lvlJc w:val="left"/>
      <w:lvlText w:val="•"/>
      <w:numFmt w:val="bullet"/>
      <w:start w:val="1"/>
    </w:lvl>
  </w:abstractNum>
  <w:abstractNum w:abstractNumId="3">
    <w:nsid w:val="4E0B9A87"/>
    <w:multiLevelType w:val="hybridMultilevel"/>
    <w:lvl w:ilvl="0">
      <w:lvlJc w:val="left"/>
      <w:lvlText w:val="•"/>
      <w:numFmt w:val="bullet"/>
      <w:start w:val="1"/>
    </w:lvl>
  </w:abstractNum>
  <w:abstractNum w:abstractNumId="4">
    <w:nsid w:val="434BAE75"/>
    <w:multiLevelType w:val="hybridMultilevel"/>
    <w:lvl w:ilvl="0">
      <w:lvlJc w:val="left"/>
      <w:lvlText w:val="•"/>
      <w:numFmt w:val="bullet"/>
      <w:start w:val="1"/>
    </w:lvl>
  </w:abstractNum>
  <w:abstractNum w:abstractNumId="5">
    <w:nsid w:val="4F38F265"/>
    <w:multiLevelType w:val="hybridMultilevel"/>
    <w:lvl w:ilvl="0">
      <w:lvlJc w:val="left"/>
      <w:lvlText w:val="•"/>
      <w:numFmt w:val="bullet"/>
      <w:start w:val="1"/>
    </w:lvl>
  </w:abstractNum>
  <w:abstractNum w:abstractNumId="6">
    <w:nsid w:val="4C502870"/>
    <w:multiLevelType w:val="hybridMultilevel"/>
    <w:lvl w:ilvl="0">
      <w:lvlJc w:val="left"/>
      <w:lvlText w:val="•"/>
      <w:numFmt w:val="bullet"/>
      <w:start w:val="1"/>
    </w:lvl>
  </w:abstractNum>
  <w:abstractNum w:abstractNumId="7">
    <w:nsid w:val="1DE8725A"/>
    <w:multiLevelType w:val="hybridMultilevel"/>
    <w:lvl w:ilvl="0">
      <w:lvlJc w:val="left"/>
      <w:lvlText w:val="•"/>
      <w:numFmt w:val="bullet"/>
      <w:start w:val="1"/>
    </w:lvl>
  </w:abstractNum>
  <w:abstractNum w:abstractNumId="8">
    <w:nsid w:val="6A37288A"/>
    <w:multiLevelType w:val="hybridMultilevel"/>
    <w:lvl w:ilvl="0">
      <w:lvlJc w:val="left"/>
      <w:lvlText w:val="•"/>
      <w:numFmt w:val="bullet"/>
      <w:start w:val="1"/>
    </w:lvl>
  </w:abstractNum>
  <w:abstractNum w:abstractNumId="9">
    <w:nsid w:val="8F8B73F"/>
    <w:multiLevelType w:val="hybridMultilevel"/>
    <w:lvl w:ilvl="0">
      <w:lvlJc w:val="left"/>
      <w:lvlText w:val="%1)"/>
      <w:numFmt w:val="decimal"/>
      <w:start w:val="1"/>
    </w:lvl>
  </w:abstractNum>
  <w:abstractNum w:abstractNumId="10">
    <w:nsid w:val="CA6B462"/>
    <w:multiLevelType w:val="hybridMultilevel"/>
    <w:lvl w:ilvl="0">
      <w:lvlJc w:val="left"/>
      <w:lvlText w:val="%1)"/>
      <w:numFmt w:val="decimal"/>
      <w:start w:val="1"/>
    </w:lvl>
  </w:abstractNum>
  <w:abstractNum w:abstractNumId="11">
    <w:nsid w:val="763CB680"/>
    <w:multiLevelType w:val="hybridMultilevel"/>
    <w:lvl w:ilvl="0">
      <w:lvlJc w:val="left"/>
      <w:lvlText w:val="•"/>
      <w:numFmt w:val="bullet"/>
      <w:start w:val="1"/>
    </w:lvl>
  </w:abstractNum>
  <w:abstractNum w:abstractNumId="12">
    <w:nsid w:val="15B71329"/>
    <w:multiLevelType w:val="hybridMultilevel"/>
    <w:lvl w:ilvl="0">
      <w:lvlJc w:val="left"/>
      <w:lvlText w:val="•"/>
      <w:numFmt w:val="bullet"/>
      <w:start w:val="1"/>
    </w:lvl>
  </w:abstractNum>
  <w:abstractNum w:abstractNumId="13">
    <w:nsid w:val="3DA97044"/>
    <w:multiLevelType w:val="hybridMultilevel"/>
    <w:lvl w:ilvl="0">
      <w:lvlJc w:val="left"/>
      <w:lvlText w:val="(%1)"/>
      <w:numFmt w:val="decimal"/>
      <w:start w:val="1"/>
    </w:lvl>
  </w:abstractNum>
  <w:abstractNum w:abstractNumId="14">
    <w:nsid w:val="1CDCE2DE"/>
    <w:multiLevelType w:val="hybridMultilevel"/>
    <w:lvl w:ilvl="0">
      <w:lvlJc w:val="left"/>
      <w:lvlText w:val="•"/>
      <w:numFmt w:val="bullet"/>
      <w:start w:val="1"/>
    </w:lvl>
    <w:lvl w:ilvl="1">
      <w:lvlJc w:val="left"/>
      <w:lvlText w:val="•"/>
      <w:numFmt w:val="bullet"/>
      <w:start w:val="1"/>
    </w:lvl>
  </w:abstractNum>
  <w:abstractNum w:abstractNumId="15">
    <w:nsid w:val="69D3947C"/>
    <w:multiLevelType w:val="hybridMultilevel"/>
    <w:lvl w:ilvl="0">
      <w:lvlJc w:val="left"/>
      <w:lvlText w:val="(%1)"/>
      <w:numFmt w:val="lowerLetter"/>
      <w:start w:val="2"/>
    </w:lvl>
  </w:abstractNum>
  <w:abstractNum w:abstractNumId="16">
    <w:nsid w:val="2539DFA5"/>
    <w:multiLevelType w:val="hybridMultilevel"/>
    <w:lvl w:ilvl="0">
      <w:lvlJc w:val="left"/>
      <w:lvlText w:val="(%1)"/>
      <w:numFmt w:val="lowerLetter"/>
      <w:start w:val="2"/>
    </w:lvl>
    <w:lvl w:ilvl="1">
      <w:lvlJc w:val="left"/>
      <w:lvlText w:val="-"/>
      <w:numFmt w:val="bullet"/>
      <w:start w:val="1"/>
    </w:lvl>
  </w:abstractNum>
  <w:abstractNum w:abstractNumId="17">
    <w:nsid w:val="2DB88089"/>
    <w:multiLevelType w:val="hybridMultilevel"/>
    <w:lvl w:ilvl="0">
      <w:lvlJc w:val="left"/>
      <w:lvlText w:val="(%1)"/>
      <w:numFmt w:val="lowerLetter"/>
      <w:start w:val="2"/>
    </w:lvl>
  </w:abstractNum>
  <w:abstractNum w:abstractNumId="18">
    <w:nsid w:val="706B674E"/>
    <w:multiLevelType w:val="hybridMultilevel"/>
    <w:lvl w:ilvl="0">
      <w:lvlJc w:val="left"/>
      <w:lvlText w:val="(%1)"/>
      <w:numFmt w:val="lowerLetter"/>
      <w:start w:val="7"/>
    </w:lvl>
  </w:abstractNum>
  <w:abstractNum w:abstractNumId="19">
    <w:nsid w:val="2C106A57"/>
    <w:multiLevelType w:val="hybridMultilevel"/>
    <w:lvl w:ilvl="0">
      <w:lvlJc w:val="left"/>
      <w:lvlText w:val="(%1)"/>
      <w:numFmt w:val="lowerLetter"/>
      <w:start w:val="1"/>
    </w:lvl>
  </w:abstractNum>
  <w:abstractNum w:abstractNumId="20">
    <w:nsid w:val="684EED59"/>
    <w:multiLevelType w:val="hybridMultilevel"/>
    <w:lvl w:ilvl="0">
      <w:lvlJc w:val="left"/>
      <w:lvlText w:val="(%1)"/>
      <w:numFmt w:val="lowerLetter"/>
      <w:start w:val="3"/>
    </w:lvl>
  </w:abstractNum>
  <w:abstractNum w:abstractNumId="21">
    <w:nsid w:val="545EE5D3"/>
    <w:multiLevelType w:val="hybridMultilevel"/>
    <w:lvl w:ilvl="0">
      <w:lvlJc w:val="left"/>
      <w:lvlText w:val="(%1)"/>
      <w:numFmt w:val="lowerLetter"/>
      <w:start w:val="1"/>
    </w:lvl>
  </w:abstractNum>
  <w:abstractNum w:abstractNumId="22">
    <w:nsid w:val="4A66051"/>
    <w:multiLevelType w:val="hybridMultilevel"/>
    <w:lvl w:ilvl="0">
      <w:lvlJc w:val="left"/>
      <w:lvlText w:val="(%1)"/>
      <w:numFmt w:val="lowerLetter"/>
      <w:start w:val="9"/>
    </w:lvl>
  </w:abstractNum>
  <w:abstractNum w:abstractNumId="23">
    <w:nsid w:val="20F4BDAD"/>
    <w:multiLevelType w:val="hybridMultilevel"/>
    <w:lvl w:ilvl="0">
      <w:lvlJc w:val="left"/>
      <w:lvlText w:val="(%1)"/>
      <w:numFmt w:val="lowerLetter"/>
      <w:start w:val="9"/>
    </w:lvl>
  </w:abstractNum>
  <w:abstractNum w:abstractNumId="24">
    <w:nsid w:val="639DEFAC"/>
    <w:multiLevelType w:val="hybridMultilevel"/>
    <w:lvl w:ilvl="0">
      <w:lvlJc w:val="left"/>
      <w:lvlText w:val="(%1)"/>
      <w:numFmt w:val="lowerLetter"/>
      <w:start w:val="2"/>
    </w:lvl>
  </w:abstractNum>
  <w:abstractNum w:abstractNumId="25">
    <w:nsid w:val="501F9786"/>
    <w:multiLevelType w:val="hybridMultilevel"/>
    <w:lvl w:ilvl="0">
      <w:lvlJc w:val="left"/>
      <w:lvlText w:val="(%1)"/>
      <w:numFmt w:val="lowerLetter"/>
      <w:start w:val="1"/>
    </w:lvl>
  </w:abstractNum>
  <w:abstractNum w:abstractNumId="26">
    <w:nsid w:val="6B057295"/>
    <w:multiLevelType w:val="hybridMultilevel"/>
    <w:lvl w:ilvl="0">
      <w:lvlJc w:val="left"/>
      <w:lvlText w:val="(%1)"/>
      <w:numFmt w:val="lowerLetter"/>
      <w:start w:val="1"/>
    </w:lvl>
    <w:lvl w:ilvl="1">
      <w:lvlJc w:val="left"/>
      <w:lvlText w:val="-"/>
      <w:numFmt w:val="bullet"/>
      <w:start w:val="1"/>
    </w:lvl>
  </w:abstractNum>
  <w:abstractNum w:abstractNumId="27">
    <w:nsid w:val="2771AC80"/>
    <w:multiLevelType w:val="hybridMultilevel"/>
    <w:lvl w:ilvl="0">
      <w:lvlJc w:val="left"/>
      <w:lvlText w:val="(%1)"/>
      <w:numFmt w:val="lowerLetter"/>
      <w:start w:val="2"/>
    </w:lvl>
    <w:lvl w:ilvl="1">
      <w:lvlJc w:val="left"/>
      <w:lvlText w:val="(%2)"/>
      <w:numFmt w:val="lowerRoman"/>
      <w:start w:val="1"/>
    </w:lvl>
  </w:abstractNum>
  <w:abstractNum w:abstractNumId="28">
    <w:nsid w:val="1C4A08EC"/>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9">
    <w:nsid w:val="1958BD17"/>
    <w:multiLevelType w:val="hybridMultilevel"/>
    <w:lvl w:ilvl="0">
      <w:lvlJc w:val="left"/>
      <w:lvlText w:val="(%1)"/>
      <w:numFmt w:val="lowerRoman"/>
      <w:start w:val="2"/>
    </w:lvl>
    <w:lvl w:ilvl="1">
      <w:lvlJc w:val="left"/>
      <w:lvlText w:val="(%2)"/>
      <w:numFmt w:val="upperLetter"/>
      <w:start w:val="1"/>
    </w:lvl>
  </w:abstractNum>
  <w:abstractNum w:abstractNumId="30">
    <w:nsid w:val="4E647FE4"/>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31">
    <w:nsid w:val="E0BB885"/>
    <w:multiLevelType w:val="hybridMultilevel"/>
    <w:lvl w:ilvl="0">
      <w:lvlJc w:val="left"/>
      <w:lvlText w:val="(%1)"/>
      <w:numFmt w:val="lowerLetter"/>
      <w:start w:val="24"/>
    </w:lvl>
    <w:lvl w:ilvl="1">
      <w:lvlJc w:val="left"/>
      <w:lvlText w:val="%2"/>
      <w:numFmt w:val="lowerLetter"/>
      <w:start w:val="1"/>
    </w:lvl>
    <w:lvl w:ilvl="2">
      <w:lvlJc w:val="left"/>
      <w:lvlText w:val="-"/>
      <w:numFmt w:val="bullet"/>
      <w:start w:val="1"/>
    </w:lvl>
  </w:abstractNum>
  <w:abstractNum w:abstractNumId="32">
    <w:nsid w:val="565976F1"/>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33">
    <w:nsid w:val="64212B8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34">
    <w:nsid w:val="5C17530C"/>
    <w:multiLevelType w:val="hybridMultilevel"/>
    <w:lvl w:ilvl="0">
      <w:lvlJc w:val="left"/>
      <w:lvlText w:val="(%1)"/>
      <w:numFmt w:val="lowerLetter"/>
      <w:start w:val="6"/>
    </w:lvl>
  </w:abstractNum>
  <w:abstractNum w:abstractNumId="35">
    <w:nsid w:val="19A52566"/>
    <w:multiLevelType w:val="hybridMultilevel"/>
    <w:lvl w:ilvl="0">
      <w:lvlJc w:val="left"/>
      <w:lvlText w:val="(%1)"/>
      <w:numFmt w:val="lowerLetter"/>
      <w:start w:val="1"/>
    </w:lvl>
    <w:lvl w:ilvl="1">
      <w:lvlJc w:val="left"/>
      <w:lvlText w:val="-"/>
      <w:numFmt w:val="bullet"/>
      <w:start w:val="1"/>
    </w:lvl>
  </w:abstractNum>
  <w:abstractNum w:abstractNumId="36">
    <w:nsid w:val="335A1DF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7">
    <w:nsid w:val="28677B7C"/>
    <w:multiLevelType w:val="hybridMultilevel"/>
    <w:lvl w:ilvl="0">
      <w:lvlJc w:val="left"/>
      <w:lvlText w:val="(%1)"/>
      <w:numFmt w:val="lowerRoman"/>
      <w:start w:val="2"/>
    </w:lvl>
  </w:abstractNum>
  <w:abstractNum w:abstractNumId="38">
    <w:nsid w:val="378D97C0"/>
    <w:multiLevelType w:val="hybridMultilevel"/>
    <w:lvl w:ilvl="0">
      <w:lvlJc w:val="left"/>
      <w:lvlText w:val="(%1)"/>
      <w:numFmt w:val="lowerLetter"/>
      <w:start w:val="1"/>
    </w:lvl>
    <w:lvl w:ilvl="1">
      <w:lvlJc w:val="left"/>
      <w:lvlText w:val="-"/>
      <w:numFmt w:val="bullet"/>
      <w:start w:val="1"/>
    </w:lvl>
  </w:abstractNum>
  <w:abstractNum w:abstractNumId="39">
    <w:nsid w:val="1D91467C"/>
    <w:multiLevelType w:val="hybridMultilevel"/>
    <w:lvl w:ilvl="0">
      <w:lvlJc w:val="left"/>
      <w:lvlText w:val="(%1)"/>
      <w:numFmt w:val="lowerLetter"/>
      <w:start w:val="2"/>
    </w:lvl>
    <w:lvl w:ilvl="1">
      <w:lvlJc w:val="left"/>
      <w:lvlText w:val="-"/>
      <w:numFmt w:val="bullet"/>
      <w:start w:val="1"/>
    </w:lvl>
  </w:abstractNum>
  <w:abstractNum w:abstractNumId="40">
    <w:nsid w:val="316032BB"/>
    <w:multiLevelType w:val="hybridMultilevel"/>
    <w:lvl w:ilvl="0">
      <w:lvlJc w:val="left"/>
      <w:lvlText w:val="(%1)"/>
      <w:numFmt w:val="lowerLetter"/>
      <w:start w:val="6"/>
    </w:lvl>
    <w:lvl w:ilvl="1">
      <w:lvlJc w:val="left"/>
      <w:lvlText w:val="-"/>
      <w:numFmt w:val="bullet"/>
      <w:start w:val="1"/>
    </w:lvl>
  </w:abstractNum>
  <w:abstractNum w:abstractNumId="41">
    <w:nsid w:val="44344C22"/>
    <w:multiLevelType w:val="hybridMultilevel"/>
    <w:lvl w:ilvl="0">
      <w:lvlJc w:val="left"/>
      <w:lvlText w:val="(%1)"/>
      <w:numFmt w:val="lowerLetter"/>
      <w:start w:val="8"/>
    </w:lvl>
    <w:lvl w:ilvl="1">
      <w:lvlJc w:val="left"/>
      <w:lvlText w:val="-"/>
      <w:numFmt w:val="bullet"/>
      <w:start w:val="1"/>
    </w:lvl>
  </w:abstractNum>
  <w:abstractNum w:abstractNumId="42">
    <w:nsid w:val="13CDFCFC"/>
    <w:multiLevelType w:val="hybridMultilevel"/>
    <w:lvl w:ilvl="0">
      <w:lvlJc w:val="left"/>
      <w:lvlText w:val="(%1)"/>
      <w:numFmt w:val="lowerLetter"/>
      <w:start w:val="9"/>
    </w:lvl>
    <w:lvl w:ilvl="1">
      <w:lvlJc w:val="left"/>
      <w:lvlText w:val="-"/>
      <w:numFmt w:val="bullet"/>
      <w:start w:val="1"/>
    </w:lvl>
  </w:abstractNum>
  <w:abstractNum w:abstractNumId="43">
    <w:nsid w:val="471745E4"/>
    <w:multiLevelType w:val="hybridMultilevel"/>
    <w:lvl w:ilvl="0">
      <w:lvlJc w:val="left"/>
      <w:lvlText w:val="(%1)"/>
      <w:numFmt w:val="lowerLetter"/>
      <w:start w:val="1"/>
    </w:lvl>
    <w:lvl w:ilvl="1">
      <w:lvlJc w:val="left"/>
      <w:lvlText w:val="(%2)"/>
      <w:numFmt w:val="lowerRoman"/>
      <w:start w:val="1"/>
    </w:lvl>
  </w:abstractNum>
  <w:abstractNum w:abstractNumId="44">
    <w:nsid w:val="1DDBC66"/>
    <w:multiLevelType w:val="hybridMultilevel"/>
    <w:lvl w:ilvl="0">
      <w:lvlJc w:val="left"/>
      <w:lvlText w:val="(%1)"/>
      <w:numFmt w:val="lowerLetter"/>
      <w:start w:val="2"/>
    </w:lvl>
    <w:lvl w:ilvl="1">
      <w:lvlJc w:val="left"/>
      <w:lvlText w:val="-"/>
      <w:numFmt w:val="bullet"/>
      <w:start w:val="1"/>
    </w:lvl>
  </w:abstractNum>
  <w:abstractNum w:abstractNumId="45">
    <w:nsid w:val="30AADFDA"/>
    <w:multiLevelType w:val="hybridMultilevel"/>
    <w:lvl w:ilvl="0">
      <w:lvlJc w:val="left"/>
      <w:lvlText w:val="(%1)"/>
      <w:numFmt w:val="lowerRoman"/>
      <w:start w:val="10"/>
    </w:lvl>
  </w:abstractNum>
  <w:abstractNum w:abstractNumId="46">
    <w:nsid w:val="30EADA61"/>
    <w:multiLevelType w:val="hybridMultilevel"/>
    <w:lvl w:ilvl="0">
      <w:lvlJc w:val="left"/>
      <w:lvlText w:val="(%1)"/>
      <w:numFmt w:val="lowerLetter"/>
      <w:start w:val="1"/>
    </w:lvl>
  </w:abstractNum>
  <w:abstractNum w:abstractNumId="47">
    <w:nsid w:val="27179C0B"/>
    <w:multiLevelType w:val="hybridMultilevel"/>
    <w:lvl w:ilvl="0">
      <w:lvlJc w:val="left"/>
      <w:lvlText w:val="(%1)"/>
      <w:numFmt w:val="lowerLetter"/>
      <w:start w:val="1"/>
    </w:lvl>
    <w:lvl w:ilvl="1">
      <w:lvlJc w:val="left"/>
      <w:lvlText w:val="-"/>
      <w:numFmt w:val="bullet"/>
      <w:start w:val="1"/>
    </w:lvl>
  </w:abstractNum>
  <w:abstractNum w:abstractNumId="48">
    <w:nsid w:val="5E636063"/>
    <w:multiLevelType w:val="hybridMultilevel"/>
    <w:lvl w:ilvl="0">
      <w:lvlJc w:val="left"/>
      <w:lvlText w:val="(%1)"/>
      <w:numFmt w:val="lowerLetter"/>
      <w:start w:val="1"/>
    </w:lvl>
  </w:abstractNum>
  <w:abstractNum w:abstractNumId="49">
    <w:nsid w:val="215641AF"/>
    <w:multiLevelType w:val="hybridMultilevel"/>
    <w:lvl w:ilvl="0">
      <w:lvlJc w:val="left"/>
      <w:lvlText w:val="(%1)"/>
      <w:numFmt w:val="lowerLetter"/>
      <w:start w:val="1"/>
    </w:lvl>
    <w:lvl w:ilvl="1">
      <w:lvlJc w:val="left"/>
      <w:lvlText w:val="-"/>
      <w:numFmt w:val="bullet"/>
      <w:start w:val="1"/>
    </w:lvl>
  </w:abstractNum>
  <w:abstractNum w:abstractNumId="50">
    <w:nsid w:val="53280662"/>
    <w:multiLevelType w:val="hybridMultilevel"/>
    <w:lvl w:ilvl="0">
      <w:lvlJc w:val="left"/>
      <w:lvlText w:val="(%1)"/>
      <w:numFmt w:val="upperLetter"/>
      <w:start w:val="2"/>
    </w:lvl>
    <w:lvl w:ilvl="1">
      <w:lvlJc w:val="left"/>
      <w:lvlText w:val="-"/>
      <w:numFmt w:val="bullet"/>
      <w:start w:val="1"/>
    </w:lvl>
  </w:abstractNum>
  <w:abstractNum w:abstractNumId="51">
    <w:nsid w:val="46B24DBC"/>
    <w:multiLevelType w:val="hybridMultilevel"/>
    <w:lvl w:ilvl="0">
      <w:lvlJc w:val="left"/>
      <w:lvlText w:val="(%1)"/>
      <w:numFmt w:val="lowerLetter"/>
      <w:start w:val="1"/>
    </w:lvl>
  </w:abstractNum>
  <w:abstractNum w:abstractNumId="52">
    <w:nsid w:val="75B52783"/>
    <w:multiLevelType w:val="hybridMultilevel"/>
    <w:lvl w:ilvl="0">
      <w:lvlJc w:val="left"/>
      <w:lvlText w:val="(%1)"/>
      <w:numFmt w:val="lowerLetter"/>
      <w:start w:val="1"/>
    </w:lvl>
    <w:lvl w:ilvl="1">
      <w:lvlJc w:val="left"/>
      <w:lvlText w:val="-"/>
      <w:numFmt w:val="bullet"/>
      <w:start w:val="1"/>
    </w:lvl>
  </w:abstractNum>
  <w:abstractNum w:abstractNumId="53">
    <w:nsid w:val="57CE66B4"/>
    <w:multiLevelType w:val="hybridMultilevel"/>
    <w:lvl w:ilvl="0">
      <w:lvlJc w:val="left"/>
      <w:lvlText w:val="(%1)"/>
      <w:numFmt w:val="lowerLetter"/>
      <w:start w:val="3"/>
    </w:lvl>
  </w:abstractNum>
  <w:abstractNum w:abstractNumId="54">
    <w:nsid w:val="67A70B69"/>
    <w:multiLevelType w:val="hybridMultilevel"/>
    <w:lvl w:ilvl="0">
      <w:lvlJc w:val="left"/>
      <w:lvlText w:val="(%1)"/>
      <w:numFmt w:val="lowerLetter"/>
      <w:start w:val="1"/>
    </w:lvl>
  </w:abstractNum>
  <w:abstractNum w:abstractNumId="55">
    <w:nsid w:val="5953172F"/>
    <w:multiLevelType w:val="hybridMultilevel"/>
    <w:lvl w:ilvl="0">
      <w:lvlJc w:val="left"/>
      <w:lvlText w:val="(%1)"/>
      <w:numFmt w:val="lowerLetter"/>
      <w:start w:val="3"/>
    </w:lvl>
  </w:abstractNum>
  <w:abstractNum w:abstractNumId="56">
    <w:nsid w:val="27EDFE3A"/>
    <w:multiLevelType w:val="hybridMultilevel"/>
    <w:lvl w:ilvl="0">
      <w:lvlJc w:val="left"/>
      <w:lvlText w:val="(%1)"/>
      <w:numFmt w:val="lowerLetter"/>
      <w:start w:val="1"/>
    </w:lvl>
    <w:lvl w:ilvl="1">
      <w:lvlJc w:val="left"/>
      <w:lvlText w:val="-"/>
      <w:numFmt w:val="bullet"/>
      <w:start w:val="1"/>
    </w:lvl>
  </w:abstractNum>
  <w:abstractNum w:abstractNumId="57">
    <w:nsid w:val="52AC7DFF"/>
    <w:multiLevelType w:val="hybridMultilevel"/>
    <w:lvl w:ilvl="0">
      <w:lvlJc w:val="left"/>
      <w:lvlText w:val="(%1)"/>
      <w:numFmt w:val="lowerLetter"/>
      <w:start w:val="3"/>
    </w:lvl>
  </w:abstractNum>
  <w:abstractNum w:abstractNumId="58">
    <w:nsid w:val="C4C3AF"/>
    <w:multiLevelType w:val="hybridMultilevel"/>
    <w:lvl w:ilvl="0">
      <w:lvlJc w:val="left"/>
      <w:lvlText w:val="(%1)"/>
      <w:numFmt w:val="lowerLetter"/>
      <w:start w:val="1"/>
    </w:lvl>
    <w:lvl w:ilvl="1">
      <w:lvlJc w:val="left"/>
      <w:lvlText w:val="-"/>
      <w:numFmt w:val="bullet"/>
      <w:start w:val="1"/>
    </w:lvl>
  </w:abstractNum>
  <w:abstractNum w:abstractNumId="59">
    <w:nsid w:val="44380727"/>
    <w:multiLevelType w:val="hybridMultilevel"/>
    <w:lvl w:ilvl="0">
      <w:lvlJc w:val="left"/>
      <w:lvlText w:val="(%1)"/>
      <w:numFmt w:val="lowerLetter"/>
      <w:start w:val="2"/>
    </w:lvl>
  </w:abstractNum>
  <w:abstractNum w:abstractNumId="60">
    <w:nsid w:val="6C053B16"/>
    <w:multiLevelType w:val="hybridMultilevel"/>
    <w:lvl w:ilvl="0">
      <w:lvlJc w:val="left"/>
      <w:lvlText w:val="(%1)"/>
      <w:numFmt w:val="lowerLetter"/>
      <w:start w:val="1"/>
    </w:lvl>
    <w:lvl w:ilvl="1">
      <w:lvlJc w:val="left"/>
      <w:lvlText w:val="-"/>
      <w:numFmt w:val="bullet"/>
      <w:start w:val="1"/>
    </w:lvl>
  </w:abstractNum>
  <w:abstractNum w:abstractNumId="61">
    <w:nsid w:val="4F294393"/>
    <w:multiLevelType w:val="hybridMultilevel"/>
    <w:lvl w:ilvl="0">
      <w:lvlJc w:val="left"/>
      <w:lvlText w:val="(%1)"/>
      <w:numFmt w:val="lowerLetter"/>
      <w:start w:val="2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2">
    <w:nsid w:val="5243BFAC"/>
    <w:multiLevelType w:val="hybridMultilevel"/>
    <w:lvl w:ilvl="0">
      <w:lvlJc w:val="left"/>
      <w:lvlText w:val="(%1)"/>
      <w:numFmt w:val="lowerLetter"/>
      <w:start w:val="1"/>
    </w:lvl>
    <w:lvl w:ilvl="1">
      <w:lvlJc w:val="left"/>
      <w:lvlText w:val="-"/>
      <w:numFmt w:val="bullet"/>
      <w:start w:val="1"/>
    </w:lvl>
  </w:abstractNum>
  <w:abstractNum w:abstractNumId="63">
    <w:nsid w:val="425EB207"/>
    <w:multiLevelType w:val="hybridMultilevel"/>
    <w:lvl w:ilvl="0">
      <w:lvlJc w:val="left"/>
      <w:lvlText w:val="(%1)"/>
      <w:numFmt w:val="lowerLetter"/>
      <w:start w:val="2"/>
    </w:lvl>
    <w:lvl w:ilvl="1">
      <w:lvlJc w:val="left"/>
      <w:lvlText w:val="-"/>
      <w:numFmt w:val="bullet"/>
      <w:start w:val="1"/>
    </w:lvl>
  </w:abstractNum>
  <w:abstractNum w:abstractNumId="64">
    <w:nsid w:val="334A6F1F"/>
    <w:multiLevelType w:val="hybridMultilevel"/>
    <w:lvl w:ilvl="0">
      <w:lvlJc w:val="left"/>
      <w:lvlText w:val="(%1)"/>
      <w:numFmt w:val="lowerLetter"/>
      <w:start w:val="1"/>
    </w:lvl>
  </w:abstractNum>
  <w:abstractNum w:abstractNumId="65">
    <w:nsid w:val="2E5B12B8"/>
    <w:multiLevelType w:val="hybridMultilevel"/>
    <w:lvl w:ilvl="0">
      <w:lvlJc w:val="left"/>
      <w:lvlText w:val="(%1)"/>
      <w:numFmt w:val="lowerLetter"/>
      <w:start w:val="1"/>
    </w:lvl>
    <w:lvl w:ilvl="1">
      <w:lvlJc w:val="left"/>
      <w:lvlText w:val="-"/>
      <w:numFmt w:val="bullet"/>
      <w:start w:val="1"/>
    </w:lvl>
  </w:abstractNum>
  <w:abstractNum w:abstractNumId="66">
    <w:nsid w:val="5C03D76D"/>
    <w:multiLevelType w:val="hybridMultilevel"/>
    <w:lvl w:ilvl="0">
      <w:lvlJc w:val="left"/>
      <w:lvlText w:val="(%1)"/>
      <w:numFmt w:val="lowerLetter"/>
      <w:start w:val="1"/>
    </w:lvl>
  </w:abstractNum>
  <w:abstractNum w:abstractNumId="67">
    <w:nsid w:val="66A48D1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8">
    <w:nsid w:val="56C28E34"/>
    <w:multiLevelType w:val="hybridMultilevel"/>
    <w:lvl w:ilvl="0">
      <w:lvlJc w:val="left"/>
      <w:lvlText w:val="(%1)"/>
      <w:numFmt w:val="lowerRoman"/>
      <w:start w:val="2"/>
    </w:lvl>
    <w:lvl w:ilvl="1">
      <w:lvlJc w:val="left"/>
      <w:lvlText w:val="-"/>
      <w:numFmt w:val="bullet"/>
      <w:start w:val="1"/>
    </w:lvl>
  </w:abstractNum>
  <w:abstractNum w:abstractNumId="69">
    <w:nsid w:val="13916F2D"/>
    <w:multiLevelType w:val="hybridMultilevel"/>
    <w:lvl w:ilvl="0">
      <w:lvlJc w:val="left"/>
      <w:lvlText w:val="%1"/>
      <w:numFmt w:val="lowerLetter"/>
      <w:start w:val="1"/>
    </w:lvl>
    <w:lvl w:ilvl="1">
      <w:lvlJc w:val="left"/>
      <w:lvlText w:val="(%2)"/>
      <w:numFmt w:val="lowerRoman"/>
      <w:start w:val="11"/>
    </w:lvl>
    <w:lvl w:ilvl="2">
      <w:lvlJc w:val="left"/>
      <w:lvlText w:val="-"/>
      <w:numFmt w:val="bullet"/>
      <w:start w:val="1"/>
    </w:lvl>
  </w:abstractNum>
  <w:abstractNum w:abstractNumId="70">
    <w:nsid w:val="435D38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1">
    <w:nsid w:val="822C0EF"/>
    <w:multiLevelType w:val="hybridMultilevel"/>
    <w:lvl w:ilvl="0">
      <w:lvlJc w:val="left"/>
      <w:lvlText w:val="(%1)"/>
      <w:numFmt w:val="lowerRoman"/>
      <w:start w:val="4"/>
    </w:lvl>
  </w:abstractNum>
  <w:abstractNum w:abstractNumId="72">
    <w:nsid w:val="57C5BB4F"/>
    <w:multiLevelType w:val="hybridMultilevel"/>
    <w:lvl w:ilvl="0">
      <w:lvlJc w:val="left"/>
      <w:lvlText w:val="(%1)"/>
      <w:numFmt w:val="lowerLetter"/>
      <w:start w:val="1"/>
    </w:lvl>
    <w:lvl w:ilvl="1">
      <w:lvlJc w:val="left"/>
      <w:lvlText w:val="-"/>
      <w:numFmt w:val="bullet"/>
      <w:start w:val="1"/>
    </w:lvl>
  </w:abstractNum>
  <w:abstractNum w:abstractNumId="73">
    <w:nsid w:val="1803D089"/>
    <w:multiLevelType w:val="hybridMultilevel"/>
    <w:lvl w:ilvl="0">
      <w:lvlJc w:val="left"/>
      <w:lvlText w:val="%1"/>
      <w:numFmt w:val="lowerRoman"/>
      <w:start w:val="1"/>
    </w:lvl>
    <w:lvl w:ilvl="1">
      <w:lvlJc w:val="left"/>
      <w:lvlText w:val="(%2)"/>
      <w:numFmt w:val="lowerLetter"/>
      <w:start w:val="3"/>
    </w:lvl>
    <w:lvl w:ilvl="2">
      <w:lvlJc w:val="left"/>
      <w:lvlText w:val="-"/>
      <w:numFmt w:val="bullet"/>
      <w:start w:val="1"/>
    </w:lvl>
  </w:abstractNum>
  <w:abstractNum w:abstractNumId="74">
    <w:nsid w:val="4F3A06D4"/>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75">
    <w:nsid w:val="59A377B6"/>
    <w:multiLevelType w:val="hybridMultilevel"/>
    <w:lvl w:ilvl="0">
      <w:lvlJc w:val="left"/>
      <w:lvlText w:val="(%1)"/>
      <w:numFmt w:val="lowerLetter"/>
      <w:start w:val="5"/>
    </w:lvl>
    <w:lvl w:ilvl="1">
      <w:lvlJc w:val="left"/>
      <w:lvlText w:val="-"/>
      <w:numFmt w:val="bullet"/>
      <w:start w:val="1"/>
    </w:lvl>
  </w:abstractNum>
  <w:abstractNum w:abstractNumId="76">
    <w:nsid w:val="48AEB063"/>
    <w:multiLevelType w:val="hybridMultilevel"/>
    <w:lvl w:ilvl="0">
      <w:lvlJc w:val="left"/>
      <w:lvlText w:val="%1"/>
      <w:numFmt w:val="lowerLetter"/>
      <w:start w:val="1"/>
    </w:lvl>
    <w:lvl w:ilvl="1">
      <w:lvlJc w:val="left"/>
      <w:lvlText w:val="(%2)"/>
      <w:numFmt w:val="lowerLetter"/>
      <w:start w:val="11"/>
    </w:lvl>
    <w:lvl w:ilvl="2">
      <w:lvlJc w:val="left"/>
      <w:lvlText w:val="-"/>
      <w:numFmt w:val="bullet"/>
      <w:start w:val="1"/>
    </w:lvl>
  </w:abstractNum>
  <w:abstractNum w:abstractNumId="77">
    <w:nsid w:val="24E135"/>
    <w:multiLevelType w:val="hybridMultilevel"/>
    <w:lvl w:ilvl="0">
      <w:lvlJc w:val="left"/>
      <w:lvlText w:val="(%1)"/>
      <w:numFmt w:val="lowerLetter"/>
      <w:start w:val="35"/>
    </w:lvl>
    <w:lvl w:ilvl="1">
      <w:lvlJc w:val="left"/>
      <w:lvlText w:val="(%2)"/>
      <w:numFmt w:val="lowerLetter"/>
      <w:start w:val="13"/>
    </w:lvl>
    <w:lvl w:ilvl="2">
      <w:lvlJc w:val="left"/>
      <w:lvlText w:val="-"/>
      <w:numFmt w:val="bullet"/>
      <w:start w:val="1"/>
    </w:lvl>
  </w:abstractNum>
  <w:abstractNum w:abstractNumId="78">
    <w:nsid w:val="BB13C1"/>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79">
    <w:nsid w:val="271210C7"/>
    <w:multiLevelType w:val="hybridMultilevel"/>
    <w:lvl w:ilvl="0">
      <w:lvlJc w:val="left"/>
      <w:lvlText w:val="(%1)"/>
      <w:numFmt w:val="lowerLetter"/>
      <w:start w:val="15"/>
    </w:lvl>
    <w:lvl w:ilvl="1">
      <w:lvlJc w:val="left"/>
      <w:lvlText w:val="-"/>
      <w:numFmt w:val="bullet"/>
      <w:start w:val="1"/>
    </w:lvl>
  </w:abstractNum>
  <w:abstractNum w:abstractNumId="80">
    <w:nsid w:val="217B22E4"/>
    <w:multiLevelType w:val="hybridMultilevel"/>
    <w:lvl w:ilvl="0">
      <w:lvlJc w:val="left"/>
      <w:lvlText w:val="(%1)"/>
      <w:numFmt w:val="lowerLetter"/>
      <w:start w:val="20"/>
    </w:lvl>
    <w:lvl w:ilvl="1">
      <w:lvlJc w:val="left"/>
      <w:lvlText w:val="-"/>
      <w:numFmt w:val="bullet"/>
      <w:start w:val="1"/>
    </w:lvl>
  </w:abstractNum>
  <w:abstractNum w:abstractNumId="81">
    <w:nsid w:val="53E31A24"/>
    <w:multiLevelType w:val="hybridMultilevel"/>
    <w:lvl w:ilvl="0">
      <w:lvlJc w:val="left"/>
      <w:lvlText w:val="(%1)"/>
      <w:numFmt w:val="lowerLetter"/>
      <w:start w:val="23"/>
    </w:lvl>
  </w:abstractNum>
  <w:abstractNum w:abstractNumId="82">
    <w:nsid w:val="6DC45E83"/>
    <w:multiLevelType w:val="hybridMultilevel"/>
    <w:lvl w:ilvl="0">
      <w:lvlJc w:val="left"/>
      <w:lvlText w:val="(%1)"/>
      <w:numFmt w:val="lowerLetter"/>
      <w:start w:val="1"/>
    </w:lvl>
    <w:lvl w:ilvl="1">
      <w:lvlJc w:val="left"/>
      <w:lvlText w:val="-"/>
      <w:numFmt w:val="bullet"/>
      <w:start w:val="1"/>
    </w:lvl>
  </w:abstractNum>
  <w:abstractNum w:abstractNumId="83">
    <w:nsid w:val="17304A67"/>
    <w:multiLevelType w:val="hybridMultilevel"/>
    <w:lvl w:ilvl="0">
      <w:lvlJc w:val="left"/>
      <w:lvlText w:val="(%1)"/>
      <w:numFmt w:val="lowerRoman"/>
      <w:start w:val="2"/>
    </w:lvl>
  </w:abstractNum>
  <w:abstractNum w:abstractNumId="84">
    <w:nsid w:val="2BB180D8"/>
    <w:multiLevelType w:val="hybridMultilevel"/>
    <w:lvl w:ilvl="0">
      <w:lvlJc w:val="left"/>
      <w:lvlText w:val="(%1)"/>
      <w:numFmt w:val="lowerLetter"/>
      <w:start w:val="2"/>
    </w:lvl>
  </w:abstractNum>
  <w:abstractNum w:abstractNumId="85">
    <w:nsid w:val="556B69ED"/>
    <w:multiLevelType w:val="hybridMultilevel"/>
    <w:lvl w:ilvl="0">
      <w:lvlJc w:val="left"/>
      <w:lvlText w:val="(%1)"/>
      <w:numFmt w:val="lowerLetter"/>
      <w:start w:val="25"/>
    </w:lvl>
  </w:abstractNum>
  <w:abstractNum w:abstractNumId="86">
    <w:nsid w:val="70836196"/>
    <w:multiLevelType w:val="hybridMultilevel"/>
    <w:lvl w:ilvl="0">
      <w:lvlJc w:val="left"/>
      <w:lvlText w:val="(%1)"/>
      <w:numFmt w:val="lowerLetter"/>
      <w:start w:val="1"/>
    </w:lvl>
    <w:lvl w:ilvl="1">
      <w:lvlJc w:val="left"/>
      <w:lvlText w:val="-"/>
      <w:numFmt w:val="bullet"/>
      <w:start w:val="1"/>
    </w:lvl>
  </w:abstractNum>
  <w:abstractNum w:abstractNumId="87">
    <w:nsid w:val="539F7F12"/>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88">
    <w:nsid w:val="2817E7EC"/>
    <w:multiLevelType w:val="hybridMultilevel"/>
    <w:lvl w:ilvl="0">
      <w:lvlJc w:val="left"/>
      <w:lvlText w:val="(%1)"/>
      <w:numFmt w:val="lowerRoman"/>
      <w:start w:val="4"/>
    </w:lvl>
    <w:lvl w:ilvl="1">
      <w:lvlJc w:val="left"/>
      <w:lvlText w:val="(%2)"/>
      <w:numFmt w:val="lowerLetter"/>
      <w:start w:val="5"/>
    </w:lvl>
    <w:lvl w:ilvl="2">
      <w:lvlJc w:val="left"/>
      <w:lvlText w:val="-"/>
      <w:numFmt w:val="bullet"/>
      <w:start w:val="1"/>
    </w:lvl>
  </w:abstractNum>
  <w:abstractNum w:abstractNumId="89">
    <w:nsid w:val="71482545"/>
    <w:multiLevelType w:val="hybridMultilevel"/>
    <w:lvl w:ilvl="0">
      <w:lvlJc w:val="left"/>
      <w:lvlText w:val="(%1)"/>
      <w:numFmt w:val="lowerLetter"/>
      <w:start w:val="7"/>
    </w:lvl>
  </w:abstractNum>
  <w:abstractNum w:abstractNumId="90">
    <w:nsid w:val="17D78639"/>
    <w:multiLevelType w:val="hybridMultilevel"/>
    <w:lvl w:ilvl="0">
      <w:lvlJc w:val="left"/>
      <w:lvlText w:val="(%1)"/>
      <w:numFmt w:val="decimal"/>
      <w:start w:val="1"/>
    </w:lvl>
  </w:abstractNum>
  <w:abstractNum w:abstractNumId="91">
    <w:nsid w:val="141D2302"/>
    <w:multiLevelType w:val="hybridMultilevel"/>
    <w:lvl w:ilvl="0">
      <w:lvlJc w:val="left"/>
      <w:lvlText w:val="(%1)"/>
      <w:numFmt w:val="lowerLetter"/>
      <w:start w:val="13"/>
    </w:lvl>
  </w:abstractNum>
  <w:abstractNum w:abstractNumId="92">
    <w:nsid w:val="407168D8"/>
    <w:multiLevelType w:val="hybridMultilevel"/>
    <w:lvl w:ilvl="0">
      <w:lvlJc w:val="left"/>
      <w:lvlText w:val="(%1)"/>
      <w:numFmt w:val="lowerLetter"/>
      <w:start w:val="1"/>
    </w:lvl>
    <w:lvl w:ilvl="1">
      <w:lvlJc w:val="left"/>
      <w:lvlText w:val="-"/>
      <w:numFmt w:val="bullet"/>
      <w:start w:val="1"/>
    </w:lvl>
  </w:abstractNum>
  <w:abstractNum w:abstractNumId="93">
    <w:nsid w:val="6A1B45E5"/>
    <w:multiLevelType w:val="hybridMultilevel"/>
    <w:lvl w:ilvl="0">
      <w:lvlJc w:val="left"/>
      <w:lvlText w:val="(%1)"/>
      <w:numFmt w:val="lowerLetter"/>
      <w:start w:val="2"/>
    </w:lvl>
    <w:lvl w:ilvl="1">
      <w:lvlJc w:val="left"/>
      <w:lvlText w:val="-"/>
      <w:numFmt w:val="bullet"/>
      <w:start w:val="1"/>
    </w:lvl>
  </w:abstractNum>
  <w:abstractNum w:abstractNumId="94">
    <w:nsid w:val="567BD50A"/>
    <w:multiLevelType w:val="hybridMultilevel"/>
    <w:lvl w:ilvl="0">
      <w:lvlJc w:val="left"/>
      <w:lvlText w:val="%1"/>
      <w:numFmt w:val="decimal"/>
      <w:start w:val="1"/>
    </w:lvl>
    <w:lvl w:ilvl="1">
      <w:lvlJc w:val="left"/>
      <w:lvlText w:val="(%2)"/>
      <w:numFmt w:val="lowerLetter"/>
      <w:start w:val="1"/>
    </w:lvl>
  </w:abstractNum>
  <w:abstractNum w:abstractNumId="95">
    <w:nsid w:val="73BBD7F8"/>
    <w:multiLevelType w:val="hybridMultilevel"/>
    <w:lvl w:ilvl="0">
      <w:lvlJc w:val="left"/>
      <w:lvlText w:val="(%1)"/>
      <w:numFmt w:val="decimal"/>
      <w:start w:val="3"/>
    </w:lvl>
    <w:lvl w:ilvl="1">
      <w:lvlJc w:val="left"/>
      <w:lvlText w:val="(%2)"/>
      <w:numFmt w:val="lowerLetter"/>
      <w:start w:val="2"/>
    </w:lvl>
  </w:abstractNum>
  <w:abstractNum w:abstractNumId="96">
    <w:nsid w:val="1876589D"/>
    <w:multiLevelType w:val="hybridMultilevel"/>
    <w:lvl w:ilvl="0">
      <w:lvlJc w:val="left"/>
      <w:lvlText w:val="(%1)"/>
      <w:numFmt w:val="lowerLetter"/>
      <w:start w:val="1"/>
    </w:lvl>
  </w:abstractNum>
  <w:abstractNum w:abstractNumId="97">
    <w:nsid w:val="327FAC77"/>
    <w:multiLevelType w:val="hybridMultilevel"/>
    <w:lvl w:ilvl="0">
      <w:lvlJc w:val="left"/>
      <w:lvlText w:val="(%1)"/>
      <w:numFmt w:val="lowerLetter"/>
      <w:start w:val="1"/>
    </w:lvl>
    <w:lvl w:ilvl="1">
      <w:lvlJc w:val="left"/>
      <w:lvlText w:val="-"/>
      <w:numFmt w:val="bullet"/>
      <w:start w:val="1"/>
    </w:lvl>
  </w:abstractNum>
  <w:abstractNum w:abstractNumId="98">
    <w:nsid w:val="5A606509"/>
    <w:multiLevelType w:val="hybridMultilevel"/>
    <w:lvl w:ilvl="0">
      <w:lvlJc w:val="left"/>
      <w:lvlText w:val="(%1)"/>
      <w:numFmt w:val="lowerLetter"/>
      <w:start w:val="3"/>
    </w:lvl>
  </w:abstractNum>
  <w:abstractNum w:abstractNumId="99">
    <w:nsid w:val="6F38E6D1"/>
    <w:multiLevelType w:val="hybridMultilevel"/>
    <w:lvl w:ilvl="0">
      <w:lvlJc w:val="left"/>
      <w:lvlText w:val="(%1)"/>
      <w:numFmt w:val="lowerLetter"/>
      <w:start w:val="1"/>
    </w:lvl>
    <w:lvl w:ilvl="1">
      <w:lvlJc w:val="left"/>
      <w:lvlText w:val="-"/>
      <w:numFmt w:val="bullet"/>
      <w:start w:val="1"/>
    </w:lvl>
  </w:abstractNum>
  <w:abstractNum w:abstractNumId="100">
    <w:nsid w:val="46111BA5"/>
    <w:multiLevelType w:val="hybridMultilevel"/>
    <w:lvl w:ilvl="0">
      <w:lvlJc w:val="left"/>
      <w:lvlText w:val="(%1)"/>
      <w:numFmt w:val="lowerLetter"/>
      <w:start w:val="1"/>
    </w:lvl>
    <w:lvl w:ilvl="1">
      <w:lvlJc w:val="left"/>
      <w:lvlText w:val="-"/>
      <w:numFmt w:val="bullet"/>
      <w:start w:val="1"/>
    </w:lvl>
  </w:abstractNum>
  <w:abstractNum w:abstractNumId="101">
    <w:nsid w:val="5E963896"/>
    <w:multiLevelType w:val="hybridMultilevel"/>
    <w:lvl w:ilvl="0">
      <w:lvlJc w:val="left"/>
      <w:lvlText w:val="(%1)"/>
      <w:numFmt w:val="lowerLetter"/>
      <w:start w:val="4"/>
    </w:lvl>
  </w:abstractNum>
  <w:abstractNum w:abstractNumId="102">
    <w:nsid w:val="775BA7C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03">
    <w:nsid w:val="1DD6D6F4"/>
    <w:multiLevelType w:val="hybridMultilevel"/>
    <w:lvl w:ilvl="0">
      <w:lvlJc w:val="left"/>
      <w:lvlText w:val="(%1)"/>
      <w:numFmt w:val="lowerLetter"/>
      <w:start w:val="25"/>
    </w:lvl>
    <w:lvl w:ilvl="1">
      <w:lvlJc w:val="left"/>
      <w:lvlText w:val="(%2)"/>
      <w:numFmt w:val="lowerLetter"/>
      <w:start w:val="4"/>
    </w:lvl>
    <w:lvl w:ilvl="2">
      <w:lvlJc w:val="left"/>
      <w:lvlText w:val="(%3)"/>
      <w:numFmt w:val="lowerLetter"/>
      <w:start w:val="9"/>
    </w:lvl>
    <w:lvl w:ilvl="3">
      <w:lvlJc w:val="left"/>
      <w:lvlText w:val="-"/>
      <w:numFmt w:val="bullet"/>
      <w:start w:val="1"/>
    </w:lvl>
  </w:abstractNum>
  <w:abstractNum w:abstractNumId="104">
    <w:nsid w:val="769A091F"/>
    <w:multiLevelType w:val="hybridMultilevel"/>
    <w:lvl w:ilvl="0">
      <w:lvlJc w:val="left"/>
      <w:lvlText w:val="(%1)"/>
      <w:numFmt w:val="lowerRoman"/>
      <w:start w:val="2"/>
    </w:lvl>
  </w:abstractNum>
  <w:abstractNum w:abstractNumId="105">
    <w:nsid w:val="4695AE95"/>
    <w:multiLevelType w:val="hybridMultilevel"/>
    <w:lvl w:ilvl="0">
      <w:lvlJc w:val="left"/>
      <w:lvlText w:val="(%1)"/>
      <w:numFmt w:val="lowerLetter"/>
      <w:start w:val="6"/>
    </w:lvl>
    <w:lvl w:ilvl="1">
      <w:lvlJc w:val="left"/>
      <w:lvlText w:val="-"/>
      <w:numFmt w:val="bullet"/>
      <w:start w:val="1"/>
    </w:lvl>
  </w:abstractNum>
  <w:abstractNum w:abstractNumId="106">
    <w:nsid w:val="777A4EAA"/>
    <w:multiLevelType w:val="hybridMultilevel"/>
    <w:lvl w:ilvl="0">
      <w:lvlJc w:val="left"/>
      <w:lvlText w:val="(%1)"/>
      <w:numFmt w:val="lowerLetter"/>
      <w:start w:val="8"/>
    </w:lvl>
    <w:lvl w:ilvl="1">
      <w:lvlJc w:val="left"/>
      <w:lvlText w:val="-"/>
      <w:numFmt w:val="bullet"/>
      <w:start w:val="1"/>
    </w:lvl>
  </w:abstractNum>
  <w:abstractNum w:abstractNumId="107">
    <w:nsid w:val="3F48B982"/>
    <w:multiLevelType w:val="hybridMultilevel"/>
    <w:lvl w:ilvl="0">
      <w:lvlJc w:val="left"/>
      <w:lvlText w:val="(%1)"/>
      <w:numFmt w:val="lowerLetter"/>
      <w:start w:val="12"/>
    </w:lvl>
    <w:lvl w:ilvl="1">
      <w:lvlJc w:val="left"/>
      <w:lvlText w:val="(%2)"/>
      <w:numFmt w:val="lowerRoman"/>
      <w:start w:val="1"/>
    </w:lvl>
  </w:abstractNum>
  <w:abstractNum w:abstractNumId="108">
    <w:nsid w:val="46BA8FC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9">
    <w:nsid w:val="7835626C"/>
    <w:multiLevelType w:val="hybridMultilevel"/>
    <w:lvl w:ilvl="0">
      <w:lvlJc w:val="left"/>
      <w:lvlText w:val="(%1)"/>
      <w:numFmt w:val="lowerLetter"/>
      <w:start w:val="2"/>
    </w:lvl>
  </w:abstractNum>
  <w:abstractNum w:abstractNumId="110">
    <w:nsid w:val="665ACA49"/>
    <w:multiLevelType w:val="hybridMultilevel"/>
    <w:lvl w:ilvl="0">
      <w:lvlJc w:val="left"/>
      <w:lvlText w:val="(%1)"/>
      <w:numFmt w:val="lowerLetter"/>
      <w:start w:val="1"/>
    </w:lvl>
    <w:lvl w:ilvl="1">
      <w:lvlJc w:val="left"/>
      <w:lvlText w:val="-"/>
      <w:numFmt w:val="bullet"/>
      <w:start w:val="1"/>
    </w:lvl>
  </w:abstractNum>
  <w:abstractNum w:abstractNumId="111">
    <w:nsid w:val="6835B2AE"/>
    <w:multiLevelType w:val="hybridMultilevel"/>
    <w:lvl w:ilvl="0">
      <w:lvlJc w:val="left"/>
      <w:lvlText w:val="(%1)"/>
      <w:numFmt w:val="lowerLetter"/>
      <w:start w:val="7"/>
    </w:lvl>
  </w:abstractNum>
  <w:abstractNum w:abstractNumId="112">
    <w:nsid w:val="4C187C90"/>
    <w:multiLevelType w:val="hybridMultilevel"/>
    <w:lvl w:ilvl="0">
      <w:lvlJc w:val="left"/>
      <w:lvlText w:val="(%1)"/>
      <w:numFmt w:val="lowerLetter"/>
      <w:start w:val="1"/>
    </w:lvl>
    <w:lvl w:ilvl="1">
      <w:lvlJc w:val="left"/>
      <w:lvlText w:val="-"/>
      <w:numFmt w:val="bullet"/>
      <w:start w:val="1"/>
    </w:lvl>
  </w:abstractNum>
  <w:abstractNum w:abstractNumId="113">
    <w:nsid w:val="541F28CD"/>
    <w:multiLevelType w:val="hybridMultilevel"/>
    <w:lvl w:ilvl="0">
      <w:lvlJc w:val="left"/>
      <w:lvlText w:val="(%1)"/>
      <w:numFmt w:val="lowerLetter"/>
      <w:start w:val="5"/>
    </w:lvl>
  </w:abstractNum>
  <w:abstractNum w:abstractNumId="114">
    <w:nsid w:val="7F65FD16"/>
    <w:multiLevelType w:val="hybridMultilevel"/>
    <w:lvl w:ilvl="0">
      <w:lvlJc w:val="left"/>
      <w:lvlText w:val="(%1)"/>
      <w:numFmt w:val="lowerLetter"/>
      <w:start w:val="1"/>
    </w:lvl>
    <w:lvl w:ilvl="1">
      <w:lvlJc w:val="left"/>
      <w:lvlText w:val="-"/>
      <w:numFmt w:val="bullet"/>
      <w:start w:val="1"/>
    </w:lvl>
  </w:abstractNum>
  <w:abstractNum w:abstractNumId="115">
    <w:nsid w:val="77C9FD68"/>
    <w:multiLevelType w:val="hybridMultilevel"/>
    <w:lvl w:ilvl="0">
      <w:lvlJc w:val="left"/>
      <w:lvlText w:val="(%1)"/>
      <w:numFmt w:val="lowerLetter"/>
      <w:start w:val="2"/>
    </w:lvl>
  </w:abstractNum>
  <w:abstractNum w:abstractNumId="116">
    <w:nsid w:val="298A92BA"/>
    <w:multiLevelType w:val="hybridMultilevel"/>
    <w:lvl w:ilvl="0">
      <w:lvlJc w:val="left"/>
      <w:lvlText w:val="(%1)"/>
      <w:numFmt w:val="lowerLetter"/>
      <w:start w:val="1"/>
    </w:lvl>
    <w:lvl w:ilvl="1">
      <w:lvlJc w:val="left"/>
      <w:lvlText w:val="-"/>
      <w:numFmt w:val="bullet"/>
      <w:start w:val="1"/>
    </w:lvl>
  </w:abstractNum>
  <w:abstractNum w:abstractNumId="117">
    <w:nsid w:val="6FE95EAC"/>
    <w:multiLevelType w:val="hybridMultilevel"/>
    <w:lvl w:ilvl="0">
      <w:lvlJc w:val="left"/>
      <w:lvlText w:val="(%1)"/>
      <w:numFmt w:val="lowerLetter"/>
      <w:start w:val="3"/>
    </w:lvl>
    <w:lvl w:ilvl="1">
      <w:lvlJc w:val="left"/>
      <w:lvlText w:val="-"/>
      <w:numFmt w:val="bullet"/>
      <w:start w:val="1"/>
    </w:lvl>
  </w:abstractNum>
  <w:abstractNum w:abstractNumId="118">
    <w:nsid w:val="4B697C7A"/>
    <w:multiLevelType w:val="hybridMultilevel"/>
    <w:lvl w:ilvl="0">
      <w:lvlJc w:val="left"/>
      <w:lvlText w:val="(%1)"/>
      <w:numFmt w:val="lowerLetter"/>
      <w:start w:val="5"/>
    </w:lvl>
    <w:lvl w:ilvl="1">
      <w:lvlJc w:val="left"/>
      <w:lvlText w:val="-"/>
      <w:numFmt w:val="bullet"/>
      <w:start w:val="1"/>
    </w:lvl>
  </w:abstractNum>
  <w:abstractNum w:abstractNumId="119">
    <w:nsid w:val="51A27AA6"/>
    <w:multiLevelType w:val="hybridMultilevel"/>
    <w:lvl w:ilvl="0">
      <w:lvlJc w:val="left"/>
      <w:lvlText w:val="%1"/>
      <w:numFmt w:val="lowerLetter"/>
      <w:start w:val="1"/>
    </w:lvl>
    <w:lvl w:ilvl="1">
      <w:lvlJc w:val="left"/>
      <w:lvlText w:val="(%2)"/>
      <w:numFmt w:val="lowerLetter"/>
      <w:start w:val="6"/>
    </w:lvl>
    <w:lvl w:ilvl="2">
      <w:lvlJc w:val="left"/>
      <w:lvlText w:val="-"/>
      <w:numFmt w:val="bullet"/>
      <w:start w:val="1"/>
    </w:lvl>
  </w:abstractNum>
  <w:abstractNum w:abstractNumId="120">
    <w:nsid w:val="613183F2"/>
    <w:multiLevelType w:val="hybridMultilevel"/>
    <w:lvl w:ilvl="0">
      <w:lvlJc w:val="left"/>
      <w:lvlText w:val="(%1)"/>
      <w:numFmt w:val="lowerLetter"/>
      <w:start w:val="61"/>
    </w:lvl>
    <w:lvl w:ilvl="1">
      <w:lvlJc w:val="left"/>
      <w:lvlText w:val="(%2)"/>
      <w:numFmt w:val="lowerLetter"/>
      <w:start w:val="7"/>
    </w:lvl>
    <w:lvl w:ilvl="2">
      <w:lvlJc w:val="left"/>
      <w:lvlText w:val="-"/>
      <w:numFmt w:val="bullet"/>
      <w:start w:val="1"/>
    </w:lvl>
  </w:abstractNum>
  <w:abstractNum w:abstractNumId="121">
    <w:nsid w:val="634102B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2">
    <w:nsid w:val="65BF9DA8"/>
    <w:multiLevelType w:val="hybridMultilevel"/>
    <w:lvl w:ilvl="0">
      <w:lvlJc w:val="left"/>
      <w:lvlText w:val="%1"/>
      <w:numFmt w:val="lowerLetter"/>
      <w:start w:val="1"/>
    </w:lvl>
    <w:lvl w:ilvl="1">
      <w:lvlJc w:val="left"/>
      <w:lvlText w:val="(%2)"/>
      <w:numFmt w:val="lowerRoman"/>
      <w:start w:val="8"/>
    </w:lvl>
  </w:abstractNum>
  <w:abstractNum w:abstractNumId="123">
    <w:nsid w:val="21A2ECCA"/>
    <w:multiLevelType w:val="hybridMultilevel"/>
    <w:lvl w:ilvl="0">
      <w:lvlJc w:val="left"/>
      <w:lvlText w:val="(%1)"/>
      <w:numFmt w:val="lowerLetter"/>
      <w:start w:val="3"/>
    </w:lvl>
    <w:lvl w:ilvl="1">
      <w:lvlJc w:val="left"/>
      <w:lvlText w:val="%2"/>
      <w:numFmt w:val="lowerRoman"/>
      <w:start w:val="1"/>
    </w:lvl>
  </w:abstractNum>
  <w:abstractNum w:abstractNumId="124">
    <w:nsid w:val="4D5C4899"/>
    <w:multiLevelType w:val="hybridMultilevel"/>
    <w:lvl w:ilvl="0">
      <w:lvlJc w:val="left"/>
      <w:lvlText w:val="(%1)"/>
      <w:numFmt w:val="lowerLetter"/>
      <w:start w:val="6"/>
    </w:lvl>
  </w:abstractNum>
  <w:abstractNum w:abstractNumId="125">
    <w:nsid w:val="3C3B72B2"/>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26">
    <w:nsid w:val="155EC4C2"/>
    <w:multiLevelType w:val="hybridMultilevel"/>
    <w:lvl w:ilvl="0">
      <w:lvlJc w:val="left"/>
      <w:lvlText w:val="(%1)"/>
      <w:numFmt w:val="lowerRoman"/>
      <w:start w:val="6"/>
    </w:lvl>
    <w:lvl w:ilvl="1">
      <w:lvlJc w:val="left"/>
      <w:lvlText w:val="%2"/>
      <w:numFmt w:val="lowerLetter"/>
      <w:start w:val="1"/>
    </w:lvl>
    <w:lvl w:ilvl="2">
      <w:lvlJc w:val="left"/>
      <w:lvlText w:val="-"/>
      <w:numFmt w:val="bullet"/>
      <w:start w:val="1"/>
    </w:lvl>
  </w:abstractNum>
  <w:abstractNum w:abstractNumId="127">
    <w:nsid w:val="65D2A137"/>
    <w:multiLevelType w:val="hybridMultilevel"/>
    <w:lvl w:ilvl="0">
      <w:lvlJc w:val="left"/>
      <w:lvlText w:val="(%1)"/>
      <w:numFmt w:val="lowerLetter"/>
      <w:start w:val="2"/>
    </w:lvl>
    <w:lvl w:ilvl="1">
      <w:lvlJc w:val="left"/>
      <w:lvlText w:val="-"/>
      <w:numFmt w:val="bullet"/>
      <w:start w:val="1"/>
    </w:lvl>
  </w:abstractNum>
  <w:abstractNum w:abstractNumId="128">
    <w:nsid w:val="6EBB1F2A"/>
    <w:multiLevelType w:val="hybridMultilevel"/>
    <w:lvl w:ilvl="0">
      <w:lvlJc w:val="left"/>
      <w:lvlText w:val="(%1)"/>
      <w:numFmt w:val="lowerLetter"/>
      <w:start w:val="5"/>
    </w:lvl>
  </w:abstractNum>
  <w:abstractNum w:abstractNumId="129">
    <w:nsid w:val="6FBF29CB"/>
    <w:multiLevelType w:val="hybridMultilevel"/>
    <w:lvl w:ilvl="0">
      <w:lvlJc w:val="left"/>
      <w:lvlText w:val="(%1)"/>
      <w:numFmt w:val="lowerRoman"/>
      <w:start w:val="1"/>
    </w:lvl>
    <w:lvl w:ilvl="1">
      <w:lvlJc w:val="left"/>
      <w:lvlText w:val="-"/>
      <w:numFmt w:val="bullet"/>
      <w:start w:val="1"/>
    </w:lvl>
  </w:abstractNum>
  <w:abstractNum w:abstractNumId="130">
    <w:nsid w:val="550B8808"/>
    <w:multiLevelType w:val="hybridMultilevel"/>
    <w:lvl w:ilvl="0">
      <w:lvlJc w:val="left"/>
      <w:lvlText w:val="%1."/>
      <w:numFmt w:val="decimal"/>
      <w:start w:val="1"/>
    </w:lvl>
  </w:abstractNum>
  <w:abstractNum w:abstractNumId="131">
    <w:nsid w:val="34CC3ACF"/>
    <w:multiLevelType w:val="hybridMultilevel"/>
    <w:lvl w:ilvl="0">
      <w:lvlJc w:val="left"/>
      <w:lvlText w:val="%1."/>
      <w:numFmt w:val="decimal"/>
      <w:start w:val="22"/>
    </w:lvl>
  </w:abstractNum>
  <w:abstractNum w:abstractNumId="132">
    <w:nsid w:val="4E556261"/>
    <w:multiLevelType w:val="hybridMultilevel"/>
    <w:lvl w:ilvl="0">
      <w:lvlJc w:val="left"/>
      <w:lvlText w:val="•"/>
      <w:numFmt w:val="bullet"/>
      <w:start w:val="1"/>
    </w:lvl>
  </w:abstractNum>
  <w:abstractNum w:abstractNumId="133">
    <w:nsid w:val="4C672FC9"/>
    <w:multiLevelType w:val="hybridMultilevel"/>
    <w:lvl w:ilvl="0">
      <w:lvlJc w:val="left"/>
      <w:lvlText w:val="•"/>
      <w:numFmt w:val="bullet"/>
      <w:start w:val="1"/>
    </w:lvl>
  </w:abstractNum>
  <w:abstractNum w:abstractNumId="134">
    <w:nsid w:val="52A311C3"/>
    <w:multiLevelType w:val="hybridMultilevel"/>
    <w:lvl w:ilvl="0">
      <w:lvlJc w:val="left"/>
      <w:lvlText w:val="•"/>
      <w:numFmt w:val="bullet"/>
      <w:start w:val="1"/>
    </w:lvl>
  </w:abstractNum>
  <w:abstractNum w:abstractNumId="135">
    <w:nsid w:val="44EF6B80"/>
    <w:multiLevelType w:val="hybridMultilevel"/>
    <w:lvl w:ilvl="0">
      <w:lvlJc w:val="left"/>
      <w:lvlText w:val="•"/>
      <w:numFmt w:val="bullet"/>
      <w:start w:val="1"/>
    </w:lvl>
  </w:abstractNum>
  <w:abstractNum w:abstractNumId="136">
    <w:nsid w:val="12FCDE5E"/>
    <w:multiLevelType w:val="hybridMultilevel"/>
    <w:lvl w:ilvl="0">
      <w:lvlJc w:val="left"/>
      <w:lvlText w:val="•"/>
      <w:numFmt w:val="bullet"/>
      <w:start w:val="1"/>
    </w:lvl>
  </w:abstractNum>
  <w:abstractNum w:abstractNumId="137">
    <w:nsid w:val="4A1D606E"/>
    <w:multiLevelType w:val="hybridMultilevel"/>
    <w:lvl w:ilvl="0">
      <w:lvlJc w:val="left"/>
      <w:lvlText w:val="•"/>
      <w:numFmt w:val="bullet"/>
      <w:start w:val="1"/>
    </w:lvl>
  </w:abstractNum>
  <w:abstractNum w:abstractNumId="138">
    <w:nsid w:val="4382503"/>
    <w:multiLevelType w:val="hybridMultilevel"/>
    <w:lvl w:ilvl="0">
      <w:lvlJc w:val="left"/>
      <w:lvlText w:val="•"/>
      <w:numFmt w:val="bullet"/>
      <w:start w:val="1"/>
    </w:lvl>
  </w:abstractNum>
  <w:abstractNum w:abstractNumId="139">
    <w:nsid w:val="59B76E28"/>
    <w:multiLevelType w:val="hybridMultilevel"/>
    <w:lvl w:ilvl="0">
      <w:lvlJc w:val="left"/>
      <w:lvlText w:val="(%1)"/>
      <w:numFmt w:val="lowerLetter"/>
      <w:start w:val="1"/>
    </w:lvl>
  </w:abstractNum>
  <w:abstractNum w:abstractNumId="140">
    <w:nsid w:val="4252C2DA"/>
    <w:multiLevelType w:val="hybridMultilevel"/>
    <w:lvl w:ilvl="0">
      <w:lvlJc w:val="left"/>
      <w:lvlText w:val="(%1)"/>
      <w:numFmt w:val="lowerLetter"/>
      <w:start w:val="2"/>
    </w:lvl>
  </w:abstractNum>
  <w:abstractNum w:abstractNumId="141">
    <w:nsid w:val="6A92EF4C"/>
    <w:multiLevelType w:val="hybridMultilevel"/>
    <w:lvl w:ilvl="0">
      <w:lvlJc w:val="left"/>
      <w:lvlText w:val="%1."/>
      <w:numFmt w:val="decimal"/>
      <w:start w:val="1"/>
    </w:lvl>
  </w:abstractNum>
  <w:abstractNum w:abstractNumId="142">
    <w:nsid w:val="41ED20D7"/>
    <w:multiLevelType w:val="hybridMultilevel"/>
    <w:lvl w:ilvl="0">
      <w:lvlJc w:val="left"/>
      <w:lvlText w:val="(%1)"/>
      <w:numFmt w:val="lowerLetter"/>
      <w:start w:val="2"/>
    </w:lvl>
  </w:abstractNum>
  <w:abstractNum w:abstractNumId="143">
    <w:nsid w:val="E6B3F6A"/>
    <w:multiLevelType w:val="hybridMultilevel"/>
    <w:lvl w:ilvl="0">
      <w:lvlJc w:val="left"/>
      <w:lvlText w:val="(%1)"/>
      <w:numFmt w:val="lowerLetter"/>
      <w:start w:val="4"/>
    </w:lvl>
  </w:abstractNum>
  <w:abstractNum w:abstractNumId="144">
    <w:nsid w:val="3EB21819"/>
    <w:multiLevelType w:val="hybridMultilevel"/>
    <w:lvl w:ilvl="0">
      <w:lvlJc w:val="left"/>
      <w:lvlText w:val="%1."/>
      <w:numFmt w:val="decimal"/>
      <w:start w:val="1"/>
    </w:lvl>
  </w:abstractNum>
  <w:abstractNum w:abstractNumId="145">
    <w:nsid w:val="41531DED"/>
    <w:multiLevelType w:val="hybridMultilevel"/>
    <w:lvl w:ilvl="0">
      <w:lvlJc w:val="left"/>
      <w:lvlText w:val="%1."/>
      <w:numFmt w:val="decimal"/>
      <w:start w:val="3"/>
    </w:lvl>
    <w:lvl w:ilvl="1">
      <w:lvlJc w:val="left"/>
      <w:lvlText w:val="☐"/>
      <w:numFmt w:val="bullet"/>
      <w:start w:val="1"/>
    </w:lvl>
  </w:abstractNum>
  <w:abstractNum w:abstractNumId="146">
    <w:nsid w:val="6353CD2"/>
    <w:multiLevelType w:val="hybridMultilevel"/>
    <w:lvl w:ilvl="0">
      <w:lvlJc w:val="left"/>
      <w:lvlText w:val="☐"/>
      <w:numFmt w:val="bullet"/>
      <w:start w:val="1"/>
    </w:lvl>
  </w:abstractNum>
  <w:abstractNum w:abstractNumId="147">
    <w:nsid w:val="683CAAD3"/>
    <w:multiLevelType w:val="hybridMultilevel"/>
    <w:lvl w:ilvl="0">
      <w:lvlJc w:val="left"/>
      <w:lvlText w:val="%1."/>
      <w:numFmt w:val="decimal"/>
      <w:start w:val="4"/>
    </w:lvl>
  </w:abstractNum>
  <w:abstractNum w:abstractNumId="148">
    <w:nsid w:val="313C7C99"/>
    <w:multiLevelType w:val="hybridMultilevel"/>
    <w:lvl w:ilvl="0">
      <w:lvlJc w:val="left"/>
      <w:lvlText w:val="%1."/>
      <w:numFmt w:val="decimal"/>
      <w:start w:val="5"/>
    </w:lvl>
  </w:abstractNum>
  <w:abstractNum w:abstractNumId="149">
    <w:nsid w:val="519EB94C"/>
    <w:multiLevelType w:val="hybridMultilevel"/>
    <w:lvl w:ilvl="0">
      <w:lvlJc w:val="left"/>
      <w:lvlText w:val="%1."/>
      <w:numFmt w:val="decimal"/>
      <w:start w:val="5"/>
    </w:lvl>
  </w:abstractNum>
  <w:abstractNum w:abstractNumId="150">
    <w:nsid w:val="39DF2579"/>
    <w:multiLevelType w:val="hybridMultilevel"/>
    <w:lvl w:ilvl="0">
      <w:lvlJc w:val="left"/>
      <w:lvlText w:val="☐"/>
      <w:numFmt w:val="bullet"/>
      <w:start w:val="1"/>
    </w:lvl>
  </w:abstractNum>
  <w:abstractNum w:abstractNumId="151">
    <w:nsid w:val="126E008B"/>
    <w:multiLevelType w:val="hybridMultilevel"/>
    <w:lvl w:ilvl="0">
      <w:lvlJc w:val="left"/>
      <w:lvlText w:val="%1."/>
      <w:numFmt w:val="decimal"/>
      <w:start w:val="5"/>
    </w:lvl>
    <w:lvl w:ilvl="1">
      <w:lvlJc w:val="left"/>
      <w:lvlText w:val="☐"/>
      <w:numFmt w:val="bullet"/>
      <w:start w:val="1"/>
    </w:lvl>
  </w:abstractNum>
  <w:abstractNum w:abstractNumId="152">
    <w:nsid w:val="34DFBC00"/>
    <w:multiLevelType w:val="hybridMultilevel"/>
    <w:lvl w:ilvl="0">
      <w:lvlJc w:val="left"/>
      <w:lvlText w:val="☐"/>
      <w:numFmt w:val="bullet"/>
      <w:start w:val="1"/>
    </w:lvl>
  </w:abstractNum>
  <w:abstractNum w:abstractNumId="153">
    <w:nsid w:val="1F9EC322"/>
    <w:multiLevelType w:val="hybridMultilevel"/>
    <w:lvl w:ilvl="0">
      <w:lvlJc w:val="left"/>
      <w:lvlText w:val="%1."/>
      <w:numFmt w:val="decimal"/>
      <w:start w:val="1"/>
    </w:lvl>
  </w:abstractNum>
  <w:abstractNum w:abstractNumId="154">
    <w:nsid w:val="3410ED56"/>
    <w:multiLevelType w:val="hybridMultilevel"/>
    <w:lvl w:ilvl="0">
      <w:lvlJc w:val="left"/>
      <w:lvlText w:val="%1."/>
      <w:numFmt w:val="decimal"/>
      <w:start w:val="3"/>
    </w:lvl>
  </w:abstractNum>
  <w:abstractNum w:abstractNumId="155">
    <w:nsid w:val="23C049A"/>
    <w:multiLevelType w:val="hybridMultilevel"/>
    <w:lvl w:ilvl="0">
      <w:lvlJc w:val="left"/>
      <w:lvlText w:val="%1."/>
      <w:numFmt w:val="decimal"/>
      <w:start w:val="1"/>
    </w:lvl>
  </w:abstractNum>
  <w:abstractNum w:abstractNumId="156">
    <w:nsid w:val="5BDA35D4"/>
    <w:multiLevelType w:val="hybridMultilevel"/>
    <w:lvl w:ilvl="0">
      <w:lvlJc w:val="left"/>
      <w:lvlText w:val="%1."/>
      <w:numFmt w:val="decimal"/>
      <w:start w:val="2"/>
    </w:lvl>
  </w:abstractNum>
  <w:abstractNum w:abstractNumId="157">
    <w:nsid w:val="496FB218"/>
    <w:multiLevelType w:val="hybridMultilevel"/>
    <w:lvl w:ilvl="0">
      <w:lvlJc w:val="left"/>
      <w:lvlText w:val="%1."/>
      <w:numFmt w:val="decimal"/>
      <w:start w:val="3"/>
    </w:lvl>
  </w:abstractNum>
  <w:abstractNum w:abstractNumId="158">
    <w:nsid w:val="680EA5D1"/>
    <w:multiLevelType w:val="hybridMultilevel"/>
    <w:lvl w:ilvl="0">
      <w:lvlJc w:val="left"/>
      <w:lvlText w:val="4"/>
      <w:numFmt w:val="bullet"/>
      <w:start w:val="1"/>
    </w:lvl>
  </w:abstractNum>
  <w:abstractNum w:abstractNumId="159">
    <w:nsid w:val="4A9554FE"/>
    <w:multiLevelType w:val="hybridMultilevel"/>
    <w:lvl w:ilvl="0">
      <w:lvlJc w:val="left"/>
      <w:lvlText w:val="%1."/>
      <w:numFmt w:val="decimal"/>
      <w:start w:val="1"/>
    </w:lvl>
  </w:abstractNum>
  <w:abstractNum w:abstractNumId="160">
    <w:nsid w:val="392EDBE4"/>
    <w:multiLevelType w:val="hybridMultilevel"/>
    <w:lvl w:ilvl="0">
      <w:lvlJc w:val="left"/>
      <w:lvlText w:val="(%1)"/>
      <w:numFmt w:val="lowerLetter"/>
      <w:start w:val="1"/>
    </w:lvl>
  </w:abstractNum>
  <w:abstractNum w:abstractNumId="161">
    <w:nsid w:val="3D1A2DD9"/>
    <w:multiLevelType w:val="hybridMultilevel"/>
    <w:lvl w:ilvl="0">
      <w:lvlJc w:val="left"/>
      <w:lvlText w:val="%1."/>
      <w:numFmt w:val="decimal"/>
      <w:start w:val="1"/>
    </w:lvl>
  </w:abstractNum>
  <w:abstractNum w:abstractNumId="162">
    <w:nsid w:val="7F618FCD"/>
    <w:multiLevelType w:val="hybridMultilevel"/>
    <w:lvl w:ilvl="0">
      <w:lvlJc w:val="left"/>
      <w:lvlText w:val="%1."/>
      <w:numFmt w:val="decimal"/>
      <w:start w:val="2"/>
    </w:lvl>
  </w:abstractNum>
  <w:abstractNum w:abstractNumId="163">
    <w:nsid w:val="7843E45"/>
    <w:multiLevelType w:val="hybridMultilevel"/>
    <w:lvl w:ilvl="0">
      <w:lvlJc w:val="left"/>
      <w:lvlText w:val="(%1)"/>
      <w:numFmt w:val="lowerLetter"/>
      <w:start w:val="1"/>
    </w:lvl>
  </w:abstractNum>
  <w:abstractNum w:abstractNumId="164">
    <w:nsid w:val="9815DA3"/>
    <w:multiLevelType w:val="hybridMultilevel"/>
    <w:lvl w:ilvl="0">
      <w:lvlJc w:val="left"/>
      <w:lvlText w:val="%1."/>
      <w:numFmt w:val="decimal"/>
      <w:start w:val="7"/>
    </w:lvl>
  </w:abstractNum>
  <w:abstractNum w:abstractNumId="165">
    <w:nsid w:val="5204A191"/>
    <w:multiLevelType w:val="hybridMultilevel"/>
    <w:lvl w:ilvl="0">
      <w:lvlJc w:val="left"/>
      <w:lvlText w:val="(%1)"/>
      <w:numFmt w:val="lowerRoman"/>
      <w:start w:val="7"/>
    </w:lvl>
    <w:lvl w:ilvl="1">
      <w:lvlJc w:val="left"/>
      <w:lvlText w:val="%2."/>
      <w:numFmt w:val="upperLetter"/>
      <w:start w:val="4"/>
    </w:lvl>
  </w:abstractNum>
  <w:abstractNum w:abstractNumId="166">
    <w:nsid w:val="4C73A9C6"/>
    <w:multiLevelType w:val="hybridMultilevel"/>
    <w:lvl w:ilvl="0">
      <w:lvlJc w:val="left"/>
      <w:lvlText w:val="(%1)"/>
      <w:numFmt w:val="lowerRoman"/>
      <w:start w:val="4"/>
    </w:lvl>
    <w:lvl w:ilvl="1">
      <w:lvlJc w:val="left"/>
      <w:lvlText w:val="%2."/>
      <w:numFmt w:val="upperLetter"/>
      <w:start w:val="12"/>
    </w:lvl>
  </w:abstractNum>
  <w:abstractNum w:abstractNumId="167">
    <w:nsid w:val="1C7E3C01"/>
    <w:multiLevelType w:val="hybridMultilevel"/>
    <w:lvl w:ilvl="0">
      <w:lvlJc w:val="left"/>
      <w:lvlText w:val="%1."/>
      <w:numFmt w:val="decimal"/>
      <w:start w:val="1"/>
    </w:lvl>
  </w:abstractNum>
  <w:abstractNum w:abstractNumId="168">
    <w:nsid w:val="1C2201FF"/>
    <w:multiLevelType w:val="hybridMultilevel"/>
    <w:lvl w:ilvl="0">
      <w:lvlJc w:val="left"/>
      <w:lvlText w:val="%1."/>
      <w:numFmt w:val="decimal"/>
      <w:start w:val="8"/>
    </w:lvl>
    <w:lvl w:ilvl="1">
      <w:lvlJc w:val="left"/>
      <w:lvlText w:val="%2."/>
      <w:numFmt w:val="lowerLetter"/>
      <w:start w:val="1"/>
    </w:lvl>
  </w:abstractNum>
  <w:abstractNum w:abstractNumId="169">
    <w:nsid w:val="50ABCEC9"/>
    <w:multiLevelType w:val="hybridMultilevel"/>
    <w:lvl w:ilvl="0">
      <w:lvlJc w:val="left"/>
      <w:lvlText w:val="%1."/>
      <w:numFmt w:val="decimal"/>
      <w:start w:val="1"/>
    </w:lvl>
  </w:abstractNum>
  <w:abstractNum w:abstractNumId="170">
    <w:nsid w:val="7635AA2A"/>
    <w:multiLevelType w:val="hybridMultilevel"/>
    <w:lvl w:ilvl="0">
      <w:lvlJc w:val="left"/>
      <w:lvlText w:val="%1."/>
      <w:numFmt w:val="decimal"/>
      <w:start w:val="7"/>
    </w:lvl>
    <w:lvl w:ilvl="1">
      <w:lvlJc w:val="left"/>
      <w:lvlText w:val="%2."/>
      <w:numFmt w:val="lowerLetter"/>
      <w:start w:val="1"/>
    </w:lvl>
  </w:abstractNum>
  <w:abstractNum w:abstractNumId="171">
    <w:nsid w:val="5E74C4D9"/>
    <w:multiLevelType w:val="hybridMultilevel"/>
    <w:lvl w:ilvl="0">
      <w:lvlJc w:val="left"/>
      <w:lvlText w:val="(%1)"/>
      <w:numFmt w:val="decimal"/>
      <w:start w:val="2"/>
    </w:lvl>
  </w:abstractNum>
  <w:abstractNum w:abstractNumId="172">
    <w:nsid w:val="3B3EBE15"/>
    <w:multiLevelType w:val="hybridMultilevel"/>
    <w:lvl w:ilvl="0">
      <w:lvlJc w:val="left"/>
      <w:lvlText w:val="(%1)"/>
      <w:numFmt w:val="decimal"/>
      <w:start w:val="5"/>
    </w:lvl>
  </w:abstractNum>
  <w:abstractNum w:abstractNumId="173">
    <w:nsid w:val="3822CB01"/>
    <w:multiLevelType w:val="hybridMultilevel"/>
    <w:lvl w:ilvl="0">
      <w:lvlJc w:val="left"/>
      <w:lvlText w:val="(%1)"/>
      <w:numFmt w:val="lowerLetter"/>
      <w:start w:val="2"/>
    </w:lvl>
  </w:abstractNum>
  <w:abstractNum w:abstractNumId="174">
    <w:nsid w:val="6CE00443"/>
    <w:multiLevelType w:val="hybridMultilevel"/>
    <w:lvl w:ilvl="0">
      <w:lvlJc w:val="left"/>
      <w:lvlText w:val="(%1)"/>
      <w:numFmt w:val="lowerLetter"/>
      <w:start w:val="3"/>
    </w:lvl>
  </w:abstractNum>
  <w:abstractNum w:abstractNumId="175">
    <w:nsid w:val="79F0D62F"/>
    <w:multiLevelType w:val="hybridMultilevel"/>
    <w:lvl w:ilvl="0">
      <w:lvlJc w:val="left"/>
      <w:lvlText w:val="(%1)"/>
      <w:numFmt w:val="lowerLetter"/>
      <w:start w:val="1"/>
    </w:lvl>
  </w:abstractNum>
  <w:abstractNum w:abstractNumId="176">
    <w:nsid w:val="7975E8EE"/>
    <w:multiLevelType w:val="hybridMultilevel"/>
    <w:lvl w:ilvl="0">
      <w:lvlJc w:val="left"/>
      <w:lvlText w:val="(%1)"/>
      <w:numFmt w:val="lowerLetter"/>
      <w:start w:val="1"/>
    </w:lvl>
  </w:abstractNum>
  <w:abstractNum w:abstractNumId="177">
    <w:nsid w:val="73154115"/>
    <w:multiLevelType w:val="hybridMultilevel"/>
    <w:lvl w:ilvl="0">
      <w:lvlJc w:val="left"/>
      <w:lvlText w:val="(%1)"/>
      <w:numFmt w:val="lowerLetter"/>
      <w:start w:val="2"/>
    </w:lvl>
  </w:abstractNum>
  <w:abstractNum w:abstractNumId="178">
    <w:nsid w:val="622D8102"/>
    <w:multiLevelType w:val="hybridMultilevel"/>
    <w:lvl w:ilvl="0">
      <w:lvlJc w:val="left"/>
      <w:lvlText w:val="(%1)"/>
      <w:numFmt w:val="lowerLetter"/>
      <w:start w:val="24"/>
    </w:lvl>
    <w:lvl w:ilvl="1">
      <w:lvlJc w:val="left"/>
      <w:lvlText w:val="(%2)"/>
      <w:numFmt w:val="lowerLetter"/>
      <w:start w:val="2"/>
    </w:lvl>
  </w:abstractNum>
  <w:abstractNum w:abstractNumId="179">
    <w:nsid w:val="2AB26587"/>
    <w:multiLevelType w:val="hybridMultilevel"/>
    <w:lvl w:ilvl="0">
      <w:lvlJc w:val="left"/>
      <w:lvlText w:val="(%1)"/>
      <w:numFmt w:val="lowerLetter"/>
      <w:start w:val="1"/>
    </w:lvl>
  </w:abstractNum>
  <w:abstractNum w:abstractNumId="180">
    <w:nsid w:val="44B3FA61"/>
    <w:multiLevelType w:val="hybridMultilevel"/>
    <w:lvl w:ilvl="0">
      <w:lvlJc w:val="left"/>
      <w:lvlText w:val="(%1)"/>
      <w:numFmt w:val="lowerLetter"/>
      <w:start w:val="2"/>
    </w:lvl>
  </w:abstractNum>
  <w:abstractNum w:abstractNumId="181">
    <w:nsid w:val="1C0CA67C"/>
    <w:multiLevelType w:val="hybridMultilevel"/>
    <w:lvl w:ilvl="0">
      <w:lvlJc w:val="left"/>
      <w:lvlText w:val="(%1)"/>
      <w:numFmt w:val="lowerLetter"/>
      <w:start w:val="2"/>
    </w:lvl>
    <w:lvl w:ilvl="1">
      <w:lvlJc w:val="left"/>
      <w:lvlText w:val="-"/>
      <w:numFmt w:val="bullet"/>
      <w:start w:val="1"/>
    </w:lvl>
  </w:abstractNum>
  <w:abstractNum w:abstractNumId="182">
    <w:nsid w:val="3D206613"/>
    <w:multiLevelType w:val="hybridMultilevel"/>
    <w:lvl w:ilvl="0">
      <w:lvlJc w:val="left"/>
      <w:lvlText w:val="%1."/>
      <w:numFmt w:val="decimal"/>
      <w:start w:val="365"/>
    </w:lvl>
  </w:abstractNum>
  <w:abstractNum w:abstractNumId="183">
    <w:nsid w:val="7993B662"/>
    <w:multiLevelType w:val="hybridMultilevel"/>
    <w:lvl w:ilvl="0">
      <w:lvlJc w:val="left"/>
      <w:lvlText w:val="(%1)"/>
      <w:numFmt w:val="lowerLetter"/>
      <w:start w:val="5"/>
    </w:lvl>
  </w:abstractNum>
  <w:abstractNum w:abstractNumId="184">
    <w:nsid w:val="3BAB699E"/>
    <w:multiLevelType w:val="hybridMultilevel"/>
    <w:lvl w:ilvl="0">
      <w:lvlJc w:val="left"/>
      <w:lvlText w:val="(%1)"/>
      <w:numFmt w:val="lowerLetter"/>
      <w:start w:val="2"/>
    </w:lvl>
    <w:lvl w:ilvl="1">
      <w:lvlJc w:val="left"/>
      <w:lvlText w:val="-"/>
      <w:numFmt w:val="bullet"/>
      <w:start w:val="1"/>
    </w:lvl>
  </w:abstractNum>
  <w:abstractNum w:abstractNumId="185">
    <w:nsid w:val="71315369"/>
    <w:multiLevelType w:val="hybridMultilevel"/>
    <w:lvl w:ilvl="0">
      <w:lvlJc w:val="left"/>
      <w:lvlText w:val="(%1)"/>
      <w:numFmt w:val="lowerRoman"/>
      <w:start w:val="5"/>
    </w:lvl>
  </w:abstractNum>
  <w:abstractNum w:abstractNumId="186">
    <w:nsid w:val="7BCFBAFC"/>
    <w:multiLevelType w:val="hybridMultilevel"/>
    <w:lvl w:ilvl="0">
      <w:lvlJc w:val="left"/>
      <w:lvlText w:val="(%1)"/>
      <w:numFmt w:val="lowerLetter"/>
      <w:start w:val="3"/>
    </w:lvl>
  </w:abstractNum>
  <w:abstractNum w:abstractNumId="187">
    <w:nsid w:val="17859F72"/>
    <w:multiLevelType w:val="hybridMultilevel"/>
    <w:lvl w:ilvl="0">
      <w:lvlJc w:val="left"/>
      <w:lvlText w:val="(%1)"/>
      <w:numFmt w:val="lowerLetter"/>
      <w:start w:val="1"/>
    </w:lvl>
  </w:abstractNum>
  <w:abstractNum w:abstractNumId="188">
    <w:nsid w:val="3AA10581"/>
    <w:multiLevelType w:val="hybridMultilevel"/>
    <w:lvl w:ilvl="0">
      <w:lvlJc w:val="left"/>
      <w:lvlText w:val="(%1)"/>
      <w:numFmt w:val="lowerRoman"/>
      <w:start w:val="1"/>
    </w:lvl>
  </w:abstractNum>
  <w:abstractNum w:abstractNumId="189">
    <w:nsid w:val="63DE60CD"/>
    <w:multiLevelType w:val="hybridMultilevel"/>
    <w:lvl w:ilvl="0">
      <w:lvlJc w:val="left"/>
      <w:lvlText w:val="(%1)"/>
      <w:numFmt w:val="lowerRoman"/>
      <w:start w:val="1"/>
    </w:lvl>
  </w:abstractNum>
  <w:abstractNum w:abstractNumId="190">
    <w:nsid w:val="621AF471"/>
    <w:multiLevelType w:val="hybridMultilevel"/>
    <w:lvl w:ilvl="0">
      <w:lvlJc w:val="left"/>
      <w:lvlText w:val="(%1)"/>
      <w:numFmt w:val="lowerLetter"/>
      <w:start w:val="1"/>
    </w:lvl>
    <w:lvl w:ilvl="1">
      <w:lvlJc w:val="left"/>
      <w:lvlText w:val="-"/>
      <w:numFmt w:val="bullet"/>
      <w:start w:val="1"/>
    </w:lvl>
  </w:abstractNum>
  <w:abstractNum w:abstractNumId="191">
    <w:nsid w:val="73CFE165"/>
    <w:multiLevelType w:val="hybridMultilevel"/>
    <w:lvl w:ilvl="0">
      <w:lvlJc w:val="left"/>
      <w:lvlText w:val="(%1)"/>
      <w:numFmt w:val="lowerLetter"/>
      <w:start w:val="1"/>
    </w:lvl>
    <w:lvl w:ilvl="1">
      <w:lvlJc w:val="left"/>
      <w:lvlText w:val="(%2)"/>
      <w:numFmt w:val="lowerRoman"/>
      <w:start w:val="1"/>
    </w:lvl>
  </w:abstractNum>
  <w:abstractNum w:abstractNumId="192">
    <w:nsid w:val="20F88EA6"/>
    <w:multiLevelType w:val="hybridMultilevel"/>
    <w:lvl w:ilvl="0">
      <w:lvlJc w:val="left"/>
      <w:lvlText w:val="(%1)"/>
      <w:numFmt w:val="lowerLetter"/>
      <w:start w:val="2"/>
    </w:lvl>
    <w:lvl w:ilvl="1">
      <w:lvlJc w:val="left"/>
      <w:lvlText w:val="-"/>
      <w:numFmt w:val="bullet"/>
      <w:start w:val="1"/>
    </w:lvl>
  </w:abstractNum>
  <w:abstractNum w:abstractNumId="193">
    <w:nsid w:val="617C843E"/>
    <w:multiLevelType w:val="hybridMultilevel"/>
    <w:lvl w:ilvl="0">
      <w:lvlJc w:val="left"/>
      <w:lvlText w:val="(%1)"/>
      <w:numFmt w:val="lowerLetter"/>
      <w:start w:val="1"/>
    </w:lvl>
  </w:abstractNum>
  <w:abstractNum w:abstractNumId="194">
    <w:nsid w:val="7B541FAB"/>
    <w:multiLevelType w:val="hybridMultilevel"/>
    <w:lvl w:ilvl="0">
      <w:lvlJc w:val="left"/>
      <w:lvlText w:val="(%1)"/>
      <w:numFmt w:val="lowerLetter"/>
      <w:start w:val="1"/>
    </w:lvl>
    <w:lvl w:ilvl="1">
      <w:lvlJc w:val="left"/>
      <w:lvlText w:val="-"/>
      <w:numFmt w:val="bullet"/>
      <w:start w:val="1"/>
    </w:lvl>
  </w:abstractNum>
  <w:abstractNum w:abstractNumId="195">
    <w:nsid w:val="2A79EC49"/>
    <w:multiLevelType w:val="hybridMultilevel"/>
    <w:lvl w:ilvl="0">
      <w:lvlJc w:val="left"/>
      <w:lvlText w:val="(%1)"/>
      <w:numFmt w:val="lowerLetter"/>
      <w:start w:val="1"/>
    </w:lvl>
    <w:lvl w:ilvl="1">
      <w:lvlJc w:val="left"/>
      <w:lvlText w:val="-"/>
      <w:numFmt w:val="bullet"/>
      <w:start w:val="1"/>
    </w:lvl>
  </w:abstractNum>
  <w:abstractNum w:abstractNumId="196">
    <w:nsid w:val="338125CF"/>
    <w:multiLevelType w:val="hybridMultilevel"/>
    <w:lvl w:ilvl="0">
      <w:lvlJc w:val="left"/>
      <w:lvlText w:val="(%1)"/>
      <w:numFmt w:val="lowerLetter"/>
      <w:start w:val="1"/>
    </w:lvl>
  </w:abstractNum>
  <w:abstractNum w:abstractNumId="197">
    <w:nsid w:val="47C7C971"/>
    <w:multiLevelType w:val="hybridMultilevel"/>
    <w:lvl w:ilvl="0">
      <w:lvlJc w:val="left"/>
      <w:lvlText w:val="(%1)"/>
      <w:numFmt w:val="lowerLetter"/>
      <w:start w:val="1"/>
    </w:lvl>
    <w:lvl w:ilvl="1">
      <w:lvlJc w:val="left"/>
      <w:lvlText w:val="-"/>
      <w:numFmt w:val="bullet"/>
      <w:start w:val="1"/>
    </w:lvl>
  </w:abstractNum>
  <w:abstractNum w:abstractNumId="198">
    <w:nsid w:val="46F8284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9">
    <w:nsid w:val="4FA327CE"/>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00">
    <w:nsid w:val="1873983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01">
    <w:nsid w:val="3D2DD275"/>
    <w:multiLevelType w:val="hybridMultilevel"/>
    <w:lvl w:ilvl="0">
      <w:lvlJc w:val="left"/>
      <w:lvlText w:val="(%1)"/>
      <w:numFmt w:val="lowerLetter"/>
      <w:start w:val="1"/>
    </w:lvl>
    <w:lvl w:ilvl="1">
      <w:lvlJc w:val="left"/>
      <w:lvlText w:val="-"/>
      <w:numFmt w:val="bullet"/>
      <w:start w:val="1"/>
    </w:lvl>
  </w:abstractNum>
  <w:abstractNum w:abstractNumId="202">
    <w:nsid w:val="2E17ECA7"/>
    <w:multiLevelType w:val="hybridMultilevel"/>
    <w:lvl w:ilvl="0">
      <w:lvlJc w:val="left"/>
      <w:lvlText w:val="(%1)"/>
      <w:numFmt w:val="lowerLetter"/>
      <w:start w:val="3"/>
    </w:lvl>
  </w:abstractNum>
  <w:abstractNum w:abstractNumId="203">
    <w:nsid w:val="53B2564F"/>
    <w:multiLevelType w:val="hybridMultilevel"/>
    <w:lvl w:ilvl="0">
      <w:lvlJc w:val="left"/>
      <w:lvlText w:val="(%1)"/>
      <w:numFmt w:val="lowerLetter"/>
      <w:start w:val="1"/>
    </w:lvl>
  </w:abstractNum>
  <w:abstractNum w:abstractNumId="204">
    <w:nsid w:val="75509D76"/>
    <w:multiLevelType w:val="hybridMultilevel"/>
    <w:lvl w:ilvl="0">
      <w:lvlJc w:val="left"/>
      <w:lvlText w:val="(%1)"/>
      <w:numFmt w:val="lowerLetter"/>
      <w:start w:val="1"/>
    </w:lvl>
  </w:abstractNum>
  <w:abstractNum w:abstractNumId="205">
    <w:nsid w:val="1AF7F0EA"/>
    <w:multiLevelType w:val="hybridMultilevel"/>
    <w:lvl w:ilvl="0">
      <w:lvlJc w:val="left"/>
      <w:lvlText w:val="(%1)"/>
      <w:numFmt w:val="lowerLetter"/>
      <w:start w:val="1"/>
    </w:lvl>
  </w:abstractNum>
  <w:abstractNum w:abstractNumId="206">
    <w:nsid w:val="4DA32C7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7">
    <w:nsid w:val="6EC68664"/>
    <w:multiLevelType w:val="hybridMultilevel"/>
    <w:lvl w:ilvl="0">
      <w:lvlJc w:val="left"/>
      <w:lvlText w:val="%1"/>
      <w:numFmt w:val="lowerLetter"/>
      <w:start w:val="1"/>
    </w:lvl>
    <w:lvl w:ilvl="1">
      <w:lvlJc w:val="left"/>
      <w:lvlText w:val="(%2)"/>
      <w:numFmt w:val="lowerRoman"/>
      <w:start w:val="10"/>
    </w:lvl>
    <w:lvl w:ilvl="2">
      <w:lvlJc w:val="left"/>
      <w:lvlText w:val="-"/>
      <w:numFmt w:val="bullet"/>
      <w:start w:val="1"/>
    </w:lvl>
  </w:abstractNum>
  <w:abstractNum w:abstractNumId="208">
    <w:nsid w:val="E0D31FF"/>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09">
    <w:nsid w:val="2FD0AD81"/>
    <w:multiLevelType w:val="hybridMultilevel"/>
    <w:lvl w:ilvl="0">
      <w:lvlJc w:val="left"/>
      <w:lvlText w:val="%1"/>
      <w:numFmt w:val="decimal"/>
      <w:start w:val="1"/>
    </w:lvl>
    <w:lvl w:ilvl="1">
      <w:lvlJc w:val="left"/>
      <w:lvlText w:val="(%2)"/>
      <w:numFmt w:val="lowerRoman"/>
      <w:start w:val="2"/>
    </w:lvl>
  </w:abstractNum>
  <w:abstractNum w:abstractNumId="210">
    <w:nsid w:val="1978EBEB"/>
    <w:multiLevelType w:val="hybridMultilevel"/>
    <w:lvl w:ilvl="0">
      <w:lvlJc w:val="left"/>
      <w:lvlText w:val="(%1)"/>
      <w:numFmt w:val="decimal"/>
      <w:start w:val="1"/>
    </w:lvl>
    <w:lvl w:ilvl="1">
      <w:lvlJc w:val="left"/>
      <w:lvlText w:val="(%2)"/>
      <w:numFmt w:val="lowerRoman"/>
      <w:start w:val="4"/>
    </w:lvl>
  </w:abstractNum>
  <w:abstractNum w:abstractNumId="211">
    <w:nsid w:val="52C12C61"/>
    <w:multiLevelType w:val="hybridMultilevel"/>
    <w:lvl w:ilvl="0">
      <w:lvlJc w:val="left"/>
      <w:lvlText w:val="(%1)"/>
      <w:numFmt w:val="lowerLetter"/>
      <w:start w:val="3"/>
    </w:lvl>
  </w:abstractNum>
  <w:abstractNum w:abstractNumId="212">
    <w:nsid w:val="4BDD53FD"/>
    <w:multiLevelType w:val="hybridMultilevel"/>
    <w:lvl w:ilvl="0">
      <w:lvlJc w:val="left"/>
      <w:lvlText w:val="(%1)"/>
      <w:numFmt w:val="lowerLetter"/>
      <w:start w:val="1"/>
    </w:lvl>
    <w:lvl w:ilvl="1">
      <w:lvlJc w:val="left"/>
      <w:lvlText w:val="-"/>
      <w:numFmt w:val="bullet"/>
      <w:start w:val="1"/>
    </w:lvl>
  </w:abstractNum>
  <w:abstractNum w:abstractNumId="213">
    <w:nsid w:val="569951FE"/>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14">
    <w:nsid w:val="4C54E2C3"/>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215">
    <w:nsid w:val="788BD9B"/>
    <w:multiLevelType w:val="hybridMultilevel"/>
    <w:lvl w:ilvl="0">
      <w:lvlJc w:val="left"/>
      <w:lvlText w:val="(%1)"/>
      <w:numFmt w:val="lowerLetter"/>
      <w:start w:val="5"/>
    </w:lvl>
    <w:lvl w:ilvl="1">
      <w:lvlJc w:val="left"/>
      <w:lvlText w:val="-"/>
      <w:numFmt w:val="bullet"/>
      <w:start w:val="1"/>
    </w:lvl>
  </w:abstractNum>
  <w:abstractNum w:abstractNumId="216">
    <w:nsid w:val="47CAA567"/>
    <w:multiLevelType w:val="hybridMultilevel"/>
    <w:lvl w:ilvl="0">
      <w:lvlJc w:val="left"/>
      <w:lvlText w:val="%1"/>
      <w:numFmt w:val="lowerLetter"/>
      <w:start w:val="1"/>
    </w:lvl>
    <w:lvl w:ilvl="1">
      <w:lvlJc w:val="left"/>
      <w:lvlText w:val="(%2)"/>
      <w:numFmt w:val="lowerLetter"/>
      <w:start w:val="10"/>
    </w:lvl>
    <w:lvl w:ilvl="2">
      <w:lvlJc w:val="left"/>
      <w:lvlText w:val="-"/>
      <w:numFmt w:val="bullet"/>
      <w:start w:val="1"/>
    </w:lvl>
  </w:abstractNum>
  <w:abstractNum w:abstractNumId="217">
    <w:nsid w:val="48249DBF"/>
    <w:multiLevelType w:val="hybridMultilevel"/>
    <w:lvl w:ilvl="0">
      <w:lvlJc w:val="left"/>
      <w:lvlText w:val="(%1)"/>
      <w:numFmt w:val="lowerLetter"/>
      <w:start w:val="35"/>
    </w:lvl>
    <w:lvl w:ilvl="1">
      <w:lvlJc w:val="left"/>
      <w:lvlText w:val="(%2)"/>
      <w:numFmt w:val="lowerLetter"/>
      <w:start w:val="13"/>
    </w:lvl>
    <w:lvl w:ilvl="2">
      <w:lvlJc w:val="left"/>
      <w:lvlText w:val="-"/>
      <w:numFmt w:val="bullet"/>
      <w:start w:val="1"/>
    </w:lvl>
  </w:abstractNum>
  <w:abstractNum w:abstractNumId="218">
    <w:nsid w:val="1F0E5D0D"/>
    <w:multiLevelType w:val="hybridMultilevel"/>
    <w:lvl w:ilvl="0">
      <w:lvlJc w:val="left"/>
      <w:lvlText w:val="%1"/>
      <w:numFmt w:val="lowerLetter"/>
      <w:start w:val="1"/>
    </w:lvl>
    <w:lvl w:ilvl="1">
      <w:lvlJc w:val="left"/>
      <w:lvlText w:val="(%2)"/>
      <w:numFmt w:val="lowerLetter"/>
      <w:start w:val="14"/>
    </w:lvl>
    <w:lvl w:ilvl="2">
      <w:lvlJc w:val="left"/>
      <w:lvlText w:val="-"/>
      <w:numFmt w:val="bullet"/>
      <w:start w:val="1"/>
    </w:lvl>
  </w:abstractNum>
  <w:abstractNum w:abstractNumId="219">
    <w:nsid w:val="26BAAE9"/>
    <w:multiLevelType w:val="hybridMultilevel"/>
    <w:lvl w:ilvl="0">
      <w:lvlJc w:val="left"/>
      <w:lvlText w:val="(%1)"/>
      <w:numFmt w:val="lowerLetter"/>
      <w:start w:val="9"/>
    </w:lvl>
    <w:lvl w:ilvl="1">
      <w:lvlJc w:val="left"/>
      <w:lvlText w:val="(%2)"/>
      <w:numFmt w:val="lowerLetter"/>
      <w:start w:val="15"/>
    </w:lvl>
    <w:lvl w:ilvl="2">
      <w:lvlJc w:val="left"/>
      <w:lvlText w:val="-"/>
      <w:numFmt w:val="bullet"/>
      <w:start w:val="1"/>
    </w:lvl>
  </w:abstractNum>
  <w:abstractNum w:abstractNumId="220">
    <w:nsid w:val="2C02FE8C"/>
    <w:multiLevelType w:val="hybridMultilevel"/>
    <w:lvl w:ilvl="0">
      <w:lvlJc w:val="left"/>
      <w:lvlText w:val="(%1)"/>
      <w:numFmt w:val="lowerLetter"/>
      <w:start w:val="19"/>
    </w:lvl>
    <w:lvl w:ilvl="1">
      <w:lvlJc w:val="left"/>
      <w:lvlText w:val="-"/>
      <w:numFmt w:val="bullet"/>
      <w:start w:val="1"/>
    </w:lvl>
  </w:abstractNum>
  <w:abstractNum w:abstractNumId="221">
    <w:nsid w:val="129517E"/>
    <w:multiLevelType w:val="hybridMultilevel"/>
    <w:lvl w:ilvl="0">
      <w:lvlJc w:val="left"/>
      <w:lvlText w:val="(%1)"/>
      <w:numFmt w:val="lowerLetter"/>
      <w:start w:val="23"/>
    </w:lvl>
  </w:abstractNum>
  <w:abstractNum w:abstractNumId="222">
    <w:nsid w:val="763B8C4E"/>
    <w:multiLevelType w:val="hybridMultilevel"/>
    <w:lvl w:ilvl="0">
      <w:lvlJc w:val="left"/>
      <w:lvlText w:val="(%1)"/>
      <w:numFmt w:val="lowerLetter"/>
      <w:start w:val="1"/>
    </w:lvl>
  </w:abstractNum>
  <w:abstractNum w:abstractNumId="223">
    <w:nsid w:val="4CFB8D32"/>
    <w:multiLevelType w:val="hybridMultilevel"/>
    <w:lvl w:ilvl="0">
      <w:lvlJc w:val="left"/>
      <w:lvlText w:val="(%1)"/>
      <w:numFmt w:val="lowerLetter"/>
      <w:start w:val="1"/>
    </w:lvl>
    <w:lvl w:ilvl="1">
      <w:lvlJc w:val="left"/>
      <w:lvlText w:val="-"/>
      <w:numFmt w:val="bullet"/>
      <w:start w:val="1"/>
    </w:lvl>
  </w:abstractNum>
  <w:abstractNum w:abstractNumId="224">
    <w:nsid w:val="62A5D5BD"/>
    <w:multiLevelType w:val="hybridMultilevel"/>
    <w:lvl w:ilvl="0">
      <w:lvlJc w:val="left"/>
      <w:lvlText w:val="(%1)"/>
      <w:numFmt w:val="lowerLetter"/>
      <w:start w:val="2"/>
    </w:lvl>
  </w:abstractNum>
  <w:abstractNum w:abstractNumId="225">
    <w:nsid w:val="718FABF9"/>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26">
    <w:nsid w:val="7775797C"/>
    <w:multiLevelType w:val="hybridMultilevel"/>
    <w:lvl w:ilvl="0">
      <w:lvlJc w:val="left"/>
      <w:lvlText w:val="(%1)"/>
      <w:numFmt w:val="lowerRoman"/>
      <w:start w:val="4"/>
    </w:lvl>
    <w:lvl w:ilvl="1">
      <w:lvlJc w:val="left"/>
      <w:lvlText w:val="(%2)"/>
      <w:numFmt w:val="lowerLetter"/>
      <w:start w:val="5"/>
    </w:lvl>
    <w:lvl w:ilvl="2">
      <w:lvlJc w:val="left"/>
      <w:lvlText w:val="-"/>
      <w:numFmt w:val="bullet"/>
      <w:start w:val="1"/>
    </w:lvl>
  </w:abstractNum>
  <w:abstractNum w:abstractNumId="227">
    <w:nsid w:val="1626FB8C"/>
    <w:multiLevelType w:val="hybridMultilevel"/>
    <w:lvl w:ilvl="0">
      <w:lvlJc w:val="left"/>
      <w:lvlText w:val="(%1)"/>
      <w:numFmt w:val="lowerLetter"/>
      <w:start w:val="6"/>
    </w:lvl>
    <w:lvl w:ilvl="1">
      <w:lvlJc w:val="left"/>
      <w:lvlText w:val="-"/>
      <w:numFmt w:val="bullet"/>
      <w:start w:val="1"/>
    </w:lvl>
  </w:abstractNum>
  <w:abstractNum w:abstractNumId="228">
    <w:nsid w:val="3957756A"/>
    <w:multiLevelType w:val="hybridMultilevel"/>
    <w:lvl w:ilvl="0">
      <w:lvlJc w:val="left"/>
      <w:lvlText w:val="(%1)"/>
      <w:numFmt w:val="lowerLetter"/>
      <w:start w:val="1"/>
    </w:lvl>
    <w:lvl w:ilvl="1">
      <w:lvlJc w:val="left"/>
      <w:lvlText w:val="-"/>
      <w:numFmt w:val="bullet"/>
      <w:start w:val="1"/>
    </w:lvl>
  </w:abstractNum>
  <w:abstractNum w:abstractNumId="229">
    <w:nsid w:val="3E6DA1C7"/>
    <w:multiLevelType w:val="hybridMultilevel"/>
    <w:lvl w:ilvl="0">
      <w:lvlJc w:val="left"/>
      <w:lvlText w:val="(%1)"/>
      <w:numFmt w:val="lowerLetter"/>
      <w:start w:val="5"/>
    </w:lvl>
  </w:abstractNum>
  <w:abstractNum w:abstractNumId="230">
    <w:nsid w:val="65CA235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31">
    <w:nsid w:val="51CB0DA4"/>
    <w:multiLevelType w:val="hybridMultilevel"/>
    <w:lvl w:ilvl="0">
      <w:lvlJc w:val="left"/>
      <w:lvlText w:val="(%1)"/>
      <w:numFmt w:val="decimal"/>
      <w:start w:val="3"/>
    </w:lvl>
    <w:lvl w:ilvl="1">
      <w:lvlJc w:val="left"/>
      <w:lvlText w:val="(%2)"/>
      <w:numFmt w:val="lowerLetter"/>
      <w:start w:val="2"/>
    </w:lvl>
    <w:lvl w:ilvl="2">
      <w:lvlJc w:val="left"/>
      <w:lvlText w:val="-"/>
      <w:numFmt w:val="bullet"/>
      <w:start w:val="1"/>
    </w:lvl>
  </w:abstractNum>
  <w:abstractNum w:abstractNumId="232">
    <w:nsid w:val="7B9B743C"/>
    <w:multiLevelType w:val="hybridMultilevel"/>
    <w:lvl w:ilvl="0">
      <w:lvlJc w:val="left"/>
      <w:lvlText w:val="(%1)"/>
      <w:numFmt w:val="lowerLetter"/>
      <w:start w:val="6"/>
    </w:lvl>
  </w:abstractNum>
  <w:abstractNum w:abstractNumId="233">
    <w:nsid w:val="13E21002"/>
    <w:multiLevelType w:val="hybridMultilevel"/>
    <w:lvl w:ilvl="0">
      <w:lvlJc w:val="left"/>
      <w:lvlText w:val="(%1)"/>
      <w:numFmt w:val="lowerLetter"/>
      <w:start w:val="1"/>
    </w:lvl>
    <w:lvl w:ilvl="1">
      <w:lvlJc w:val="left"/>
      <w:lvlText w:val="-"/>
      <w:numFmt w:val="bullet"/>
      <w:start w:val="1"/>
    </w:lvl>
  </w:abstractNum>
  <w:abstractNum w:abstractNumId="234">
    <w:nsid w:val="257D63F4"/>
    <w:multiLevelType w:val="hybridMultilevel"/>
    <w:lvl w:ilvl="0">
      <w:lvlJc w:val="left"/>
      <w:lvlText w:val="(%1)"/>
      <w:numFmt w:val="lowerLetter"/>
      <w:start w:val="1"/>
    </w:lvl>
  </w:abstractNum>
  <w:abstractNum w:abstractNumId="235">
    <w:nsid w:val="70EC11B2"/>
    <w:multiLevelType w:val="hybridMultilevel"/>
    <w:lvl w:ilvl="0">
      <w:lvlJc w:val="left"/>
      <w:lvlText w:val="(%1)"/>
      <w:numFmt w:val="lowerLetter"/>
      <w:start w:val="1"/>
    </w:lvl>
    <w:lvl w:ilvl="1">
      <w:lvlJc w:val="left"/>
      <w:lvlText w:val="-"/>
      <w:numFmt w:val="bullet"/>
      <w:start w:val="1"/>
    </w:lvl>
  </w:abstractNum>
  <w:abstractNum w:abstractNumId="236">
    <w:nsid w:val="2EDA00ED"/>
    <w:multiLevelType w:val="hybridMultilevel"/>
    <w:lvl w:ilvl="0">
      <w:lvlJc w:val="left"/>
      <w:lvlText w:val="(%1)"/>
      <w:numFmt w:val="lowerLetter"/>
      <w:start w:val="61"/>
    </w:lvl>
    <w:lvl w:ilvl="1">
      <w:lvlJc w:val="left"/>
      <w:lvlText w:val="(%2)"/>
      <w:numFmt w:val="lowerLetter"/>
      <w:start w:val="3"/>
    </w:lvl>
  </w:abstractNum>
  <w:abstractNum w:abstractNumId="237">
    <w:nsid w:val="73209072"/>
    <w:multiLevelType w:val="hybridMultilevel"/>
    <w:lvl w:ilvl="0">
      <w:lvlJc w:val="left"/>
      <w:lvlText w:val="(%1)"/>
      <w:numFmt w:val="lowerLetter"/>
      <w:start w:val="1"/>
    </w:lvl>
    <w:lvl w:ilvl="1">
      <w:lvlJc w:val="left"/>
      <w:lvlText w:val="-"/>
      <w:numFmt w:val="bullet"/>
      <w:start w:val="1"/>
    </w:lvl>
  </w:abstractNum>
  <w:abstractNum w:abstractNumId="238">
    <w:nsid w:val="5FB29816"/>
    <w:multiLevelType w:val="hybridMultilevel"/>
    <w:lvl w:ilvl="0">
      <w:lvlJc w:val="left"/>
      <w:lvlText w:val="(%1)"/>
      <w:numFmt w:val="lowerLetter"/>
      <w:start w:val="2"/>
    </w:lvl>
  </w:abstractNum>
  <w:abstractNum w:abstractNumId="239">
    <w:nsid w:val="3CE732E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40">
    <w:nsid w:val="22F13DF3"/>
    <w:multiLevelType w:val="hybridMultilevel"/>
    <w:lvl w:ilvl="0">
      <w:lvlJc w:val="left"/>
      <w:lvlText w:val="(%1)"/>
      <w:numFmt w:val="lowerLetter"/>
      <w:start w:val="25"/>
    </w:lvl>
    <w:lvl w:ilvl="1">
      <w:lvlJc w:val="left"/>
      <w:lvlText w:val="(%2)"/>
      <w:numFmt w:val="lowerLetter"/>
      <w:start w:val="4"/>
    </w:lvl>
    <w:lvl w:ilvl="2">
      <w:lvlJc w:val="left"/>
      <w:lvlText w:val="-"/>
      <w:numFmt w:val="bullet"/>
      <w:start w:val="1"/>
    </w:lvl>
  </w:abstractNum>
  <w:abstractNum w:abstractNumId="241">
    <w:nsid w:val="792B8401"/>
    <w:multiLevelType w:val="hybridMultilevel"/>
    <w:lvl w:ilvl="0">
      <w:lvlJc w:val="left"/>
      <w:lvlText w:val="(%1)"/>
      <w:numFmt w:val="lowerLetter"/>
      <w:start w:val="5"/>
    </w:lvl>
    <w:lvl w:ilvl="1">
      <w:lvlJc w:val="left"/>
      <w:lvlText w:val="(%2)"/>
      <w:numFmt w:val="lowerRoman"/>
      <w:start w:val="1"/>
    </w:lvl>
  </w:abstractNum>
  <w:abstractNum w:abstractNumId="242">
    <w:nsid w:val="FA85F4D"/>
    <w:multiLevelType w:val="hybridMultilevel"/>
    <w:lvl w:ilvl="0">
      <w:lvlJc w:val="left"/>
      <w:lvlText w:val="(%1)"/>
      <w:numFmt w:val="lowerLetter"/>
      <w:start w:val="6"/>
    </w:lvl>
    <w:lvl w:ilvl="1">
      <w:lvlJc w:val="left"/>
      <w:lvlText w:val="-"/>
      <w:numFmt w:val="bullet"/>
      <w:start w:val="1"/>
    </w:lvl>
  </w:abstractNum>
  <w:abstractNum w:abstractNumId="243">
    <w:nsid w:val="6ECE91F0"/>
    <w:multiLevelType w:val="hybridMultilevel"/>
    <w:lvl w:ilvl="0">
      <w:lvlJc w:val="left"/>
      <w:lvlText w:val="(%1)"/>
      <w:numFmt w:val="lowerLetter"/>
      <w:start w:val="7"/>
    </w:lvl>
    <w:lvl w:ilvl="1">
      <w:lvlJc w:val="left"/>
      <w:lvlText w:val="-"/>
      <w:numFmt w:val="bullet"/>
      <w:start w:val="1"/>
    </w:lvl>
  </w:abstractNum>
  <w:abstractNum w:abstractNumId="244">
    <w:nsid w:val="4FC4D600"/>
    <w:multiLevelType w:val="hybridMultilevel"/>
    <w:lvl w:ilvl="0">
      <w:lvlJc w:val="left"/>
      <w:lvlText w:val="(%1)"/>
      <w:numFmt w:val="lowerLetter"/>
      <w:start w:val="11"/>
    </w:lvl>
    <w:lvl w:ilvl="1">
      <w:lvlJc w:val="left"/>
      <w:lvlText w:val="(%2)"/>
      <w:numFmt w:val="lowerRoman"/>
      <w:start w:val="1"/>
    </w:lvl>
  </w:abstractNum>
  <w:abstractNum w:abstractNumId="245">
    <w:nsid w:val="5BFD421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46">
    <w:nsid w:val="76574F8B"/>
    <w:multiLevelType w:val="hybridMultilevel"/>
    <w:lvl w:ilvl="0">
      <w:lvlJc w:val="left"/>
      <w:lvlText w:val="%1"/>
      <w:numFmt w:val="lowerLetter"/>
      <w:start w:val="1"/>
    </w:lvl>
    <w:lvl w:ilvl="1">
      <w:lvlJc w:val="left"/>
      <w:lvlText w:val="(%2)"/>
      <w:numFmt w:val="lowerLetter"/>
      <w:start w:val="35"/>
    </w:lvl>
  </w:abstractNum>
  <w:abstractNum w:abstractNumId="247">
    <w:nsid w:val="178F7B67"/>
    <w:multiLevelType w:val="hybridMultilevel"/>
    <w:lvl w:ilvl="0">
      <w:lvlJc w:val="left"/>
      <w:lvlText w:val="(%1)"/>
      <w:numFmt w:val="lowerLetter"/>
      <w:start w:val="2"/>
    </w:lvl>
    <w:lvl w:ilvl="1">
      <w:lvlJc w:val="left"/>
      <w:lvlText w:val="%2"/>
      <w:numFmt w:val="lowerLetter"/>
      <w:start w:val="1"/>
    </w:lvl>
  </w:abstractNum>
  <w:abstractNum w:abstractNumId="248">
    <w:nsid w:val="2421DFCF"/>
    <w:multiLevelType w:val="hybridMultilevel"/>
    <w:lvl w:ilvl="0">
      <w:lvlJc w:val="left"/>
      <w:lvlText w:val="(%1)"/>
      <w:numFmt w:val="lowerLetter"/>
      <w:start w:val="1"/>
    </w:lvl>
    <w:lvl w:ilvl="1">
      <w:lvlJc w:val="left"/>
      <w:lvlText w:val="-"/>
      <w:numFmt w:val="bullet"/>
      <w:start w:val="1"/>
    </w:lvl>
  </w:abstractNum>
  <w:abstractNum w:abstractNumId="249">
    <w:nsid w:val="1565AC99"/>
    <w:multiLevelType w:val="hybridMultilevel"/>
    <w:lvl w:ilvl="0">
      <w:lvlJc w:val="left"/>
      <w:lvlText w:val="(%1)"/>
      <w:numFmt w:val="lowerLetter"/>
      <w:start w:val="5"/>
    </w:lvl>
  </w:abstractNum>
  <w:abstractNum w:abstractNumId="250">
    <w:nsid w:val="19FB2650"/>
    <w:multiLevelType w:val="hybridMultilevel"/>
    <w:lvl w:ilvl="0">
      <w:lvlJc w:val="left"/>
      <w:lvlText w:val="(%1)"/>
      <w:numFmt w:val="lowerLetter"/>
      <w:start w:val="6"/>
    </w:lvl>
  </w:abstractNum>
  <w:abstractNum w:abstractNumId="251">
    <w:nsid w:val="5024DE5B"/>
    <w:multiLevelType w:val="hybridMultilevel"/>
    <w:lvl w:ilvl="0">
      <w:lvlJc w:val="left"/>
      <w:lvlText w:val="(%1)"/>
      <w:numFmt w:val="lowerLetter"/>
      <w:start w:val="1"/>
    </w:lvl>
    <w:lvl w:ilvl="1">
      <w:lvlJc w:val="left"/>
      <w:lvlText w:val="-"/>
      <w:numFmt w:val="bullet"/>
      <w:start w:val="1"/>
    </w:lvl>
  </w:abstractNum>
  <w:abstractNum w:abstractNumId="252">
    <w:nsid w:val="168EFE17"/>
    <w:multiLevelType w:val="hybridMultilevel"/>
    <w:lvl w:ilvl="0">
      <w:lvlJc w:val="left"/>
      <w:lvlText w:val="(%1)"/>
      <w:numFmt w:val="lowerLetter"/>
      <w:start w:val="2"/>
    </w:lvl>
  </w:abstractNum>
  <w:abstractNum w:abstractNumId="253">
    <w:nsid w:val="1036B29F"/>
    <w:multiLevelType w:val="hybridMultilevel"/>
    <w:lvl w:ilvl="0">
      <w:lvlJc w:val="left"/>
      <w:lvlText w:val="(%1)"/>
      <w:numFmt w:val="lowerLetter"/>
      <w:start w:val="1"/>
    </w:lvl>
    <w:lvl w:ilvl="1">
      <w:lvlJc w:val="left"/>
      <w:lvlText w:val="-"/>
      <w:numFmt w:val="bullet"/>
      <w:start w:val="1"/>
    </w:lvl>
  </w:abstractNum>
  <w:abstractNum w:abstractNumId="254">
    <w:nsid w:val="1D206B8E"/>
    <w:multiLevelType w:val="hybridMultilevel"/>
    <w:lvl w:ilvl="0">
      <w:lvlJc w:val="left"/>
      <w:lvlText w:val="(%1)"/>
      <w:numFmt w:val="lowerLetter"/>
      <w:start w:val="4"/>
    </w:lvl>
    <w:lvl w:ilvl="1">
      <w:lvlJc w:val="left"/>
      <w:lvlText w:val="-"/>
      <w:numFmt w:val="bullet"/>
      <w:start w:val="1"/>
    </w:lvl>
  </w:abstractNum>
  <w:abstractNum w:abstractNumId="255">
    <w:nsid w:val="7934D3D4"/>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256">
    <w:nsid w:val="1C65E98"/>
    <w:multiLevelType w:val="hybridMultilevel"/>
    <w:lvl w:ilvl="0">
      <w:lvlJc w:val="left"/>
      <w:lvlText w:val="(%1)"/>
      <w:numFmt w:val="lowerLetter"/>
      <w:start w:val="61"/>
    </w:lvl>
    <w:lvl w:ilvl="1">
      <w:lvlJc w:val="left"/>
      <w:lvlText w:val="(%2)"/>
      <w:numFmt w:val="lowerLetter"/>
      <w:start w:val="6"/>
    </w:lvl>
    <w:lvl w:ilvl="2">
      <w:lvlJc w:val="left"/>
      <w:lvlText w:val="-"/>
      <w:numFmt w:val="bullet"/>
      <w:start w:val="1"/>
    </w:lvl>
  </w:abstractNum>
  <w:abstractNum w:abstractNumId="257">
    <w:nsid w:val="1495E50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58">
    <w:nsid w:val="F5BCF61"/>
    <w:multiLevelType w:val="hybridMultilevel"/>
    <w:lvl w:ilvl="0">
      <w:lvlJc w:val="left"/>
      <w:lvlText w:val="(%1)"/>
      <w:numFmt w:val="lowerLetter"/>
      <w:start w:val="4"/>
    </w:lvl>
  </w:abstractNum>
  <w:abstractNum w:abstractNumId="259">
    <w:nsid w:val="3B1DD403"/>
    <w:multiLevelType w:val="hybridMultilevel"/>
    <w:lvl w:ilvl="0">
      <w:lvlJc w:val="left"/>
      <w:lvlText w:val="(%1)"/>
      <w:numFmt w:val="lowerLetter"/>
      <w:start w:val="1"/>
    </w:lvl>
    <w:lvl w:ilvl="1">
      <w:lvlJc w:val="left"/>
      <w:lvlText w:val="-"/>
      <w:numFmt w:val="bullet"/>
      <w:start w:val="1"/>
    </w:lvl>
  </w:abstractNum>
  <w:abstractNum w:abstractNumId="260">
    <w:nsid w:val="530386D1"/>
    <w:multiLevelType w:val="hybridMultilevel"/>
    <w:lvl w:ilvl="0">
      <w:lvlJc w:val="left"/>
      <w:lvlText w:val="(%1)"/>
      <w:numFmt w:val="lowerLetter"/>
      <w:start w:val="2"/>
    </w:lvl>
    <w:lvl w:ilvl="1">
      <w:lvlJc w:val="left"/>
      <w:lvlText w:val="-"/>
      <w:numFmt w:val="bullet"/>
      <w:start w:val="1"/>
    </w:lvl>
  </w:abstractNum>
  <w:abstractNum w:abstractNumId="261">
    <w:nsid w:val="7525F2BC"/>
    <w:multiLevelType w:val="hybridMultilevel"/>
    <w:lvl w:ilvl="0">
      <w:lvlJc w:val="left"/>
      <w:lvlText w:val="(%1)"/>
      <w:numFmt w:val="lowerLetter"/>
      <w:start w:val="6"/>
    </w:lvl>
  </w:abstractNum>
  <w:abstractNum w:abstractNumId="262">
    <w:nsid w:val="CE8E1A7"/>
    <w:multiLevelType w:val="hybridMultilevel"/>
    <w:lvl w:ilvl="0">
      <w:lvlJc w:val="left"/>
      <w:lvlText w:val="%1."/>
      <w:numFmt w:val="decimal"/>
      <w:start w:val="1"/>
    </w:lvl>
  </w:abstractNum>
  <w:abstractNum w:abstractNumId="263">
    <w:nsid w:val="4E9EFB0D"/>
    <w:multiLevelType w:val="hybridMultilevel"/>
    <w:lvl w:ilvl="0">
      <w:lvlJc w:val="left"/>
      <w:lvlText w:val="%1."/>
      <w:numFmt w:val="decimal"/>
      <w:start w:val="23"/>
    </w:lvl>
  </w:abstractNum>
  <w:abstractNum w:abstractNumId="264">
    <w:nsid w:val="90802BE"/>
    <w:multiLevelType w:val="hybridMultilevel"/>
    <w:lvl w:ilvl="0">
      <w:lvlJc w:val="left"/>
      <w:lvlText w:val="•"/>
      <w:numFmt w:val="bullet"/>
      <w:start w:val="1"/>
    </w:lvl>
  </w:abstractNum>
  <w:abstractNum w:abstractNumId="265">
    <w:nsid w:val="3266459B"/>
    <w:multiLevelType w:val="hybridMultilevel"/>
    <w:lvl w:ilvl="0">
      <w:lvlJc w:val="left"/>
      <w:lvlText w:val="•"/>
      <w:numFmt w:val="bullet"/>
      <w:start w:val="1"/>
    </w:lvl>
  </w:abstractNum>
  <w:abstractNum w:abstractNumId="266">
    <w:nsid w:val="3F8B0CBF"/>
    <w:multiLevelType w:val="hybridMultilevel"/>
    <w:lvl w:ilvl="0">
      <w:lvlJc w:val="left"/>
      <w:lvlText w:val="•"/>
      <w:numFmt w:val="bullet"/>
      <w:start w:val="1"/>
    </w:lvl>
  </w:abstractNum>
  <w:abstractNum w:abstractNumId="267">
    <w:nsid w:val="37E203AB"/>
    <w:multiLevelType w:val="hybridMultilevel"/>
    <w:lvl w:ilvl="0">
      <w:lvlJc w:val="left"/>
      <w:lvlText w:val="•"/>
      <w:numFmt w:val="bullet"/>
      <w:start w:val="1"/>
    </w:lvl>
  </w:abstractNum>
  <w:abstractNum w:abstractNumId="268">
    <w:nsid w:val="2586D60E"/>
    <w:multiLevelType w:val="hybridMultilevel"/>
    <w:lvl w:ilvl="0">
      <w:lvlJc w:val="left"/>
      <w:lvlText w:val="•"/>
      <w:numFmt w:val="bullet"/>
      <w:start w:val="1"/>
    </w:lvl>
  </w:abstractNum>
  <w:abstractNum w:abstractNumId="269">
    <w:nsid w:val="1F3DA4D5"/>
    <w:multiLevelType w:val="hybridMultilevel"/>
    <w:lvl w:ilvl="0">
      <w:lvlJc w:val="left"/>
      <w:lvlText w:val="(%1)"/>
      <w:numFmt w:val="lowerLetter"/>
      <w:start w:val="1"/>
    </w:lvl>
  </w:abstractNum>
  <w:abstractNum w:abstractNumId="270">
    <w:nsid w:val="74C93698"/>
    <w:multiLevelType w:val="hybridMultilevel"/>
    <w:lvl w:ilvl="0">
      <w:lvlJc w:val="left"/>
      <w:lvlText w:val="(%1)"/>
      <w:numFmt w:val="lowerLetter"/>
      <w:start w:val="7"/>
    </w:lvl>
  </w:abstractNum>
  <w:abstractNum w:abstractNumId="271">
    <w:nsid w:val="48781401"/>
    <w:multiLevelType w:val="hybridMultilevel"/>
    <w:lvl w:ilvl="0">
      <w:lvlJc w:val="left"/>
      <w:lvlText w:val="%1."/>
      <w:numFmt w:val="decimal"/>
      <w:start w:val="1"/>
    </w:lvl>
  </w:abstractNum>
  <w:abstractNum w:abstractNumId="272">
    <w:nsid w:val="186928D6"/>
    <w:multiLevelType w:val="hybridMultilevel"/>
    <w:lvl w:ilvl="0">
      <w:lvlJc w:val="left"/>
      <w:lvlText w:val="(%1)"/>
      <w:numFmt w:val="lowerLetter"/>
      <w:start w:val="2"/>
    </w:lvl>
  </w:abstractNum>
  <w:abstractNum w:abstractNumId="273">
    <w:nsid w:val="47195E5"/>
    <w:multiLevelType w:val="hybridMultilevel"/>
    <w:lvl w:ilvl="0">
      <w:lvlJc w:val="left"/>
      <w:lvlText w:val="(%1)"/>
      <w:numFmt w:val="lowerRoman"/>
      <w:start w:val="1"/>
    </w:lvl>
  </w:abstractNum>
  <w:abstractNum w:abstractNumId="274">
    <w:nsid w:val="3746A5F2"/>
    <w:multiLevelType w:val="hybridMultilevel"/>
    <w:lvl w:ilvl="0">
      <w:lvlJc w:val="left"/>
      <w:lvlText w:val="(%1)"/>
      <w:numFmt w:val="lowerLetter"/>
      <w:start w:val="4"/>
    </w:lvl>
  </w:abstractNum>
  <w:abstractNum w:abstractNumId="275">
    <w:nsid w:val="682DFED6"/>
    <w:multiLevelType w:val="hybridMultilevel"/>
    <w:lvl w:ilvl="0">
      <w:lvlJc w:val="left"/>
      <w:lvlText w:val="%1."/>
      <w:numFmt w:val="decimal"/>
      <w:start w:val="1"/>
    </w:lvl>
  </w:abstractNum>
  <w:abstractNum w:abstractNumId="276">
    <w:nsid w:val="606ED7F6"/>
    <w:multiLevelType w:val="hybridMultilevel"/>
    <w:lvl w:ilvl="0">
      <w:lvlJc w:val="left"/>
      <w:lvlText w:val="%1."/>
      <w:numFmt w:val="decimal"/>
      <w:start w:val="3"/>
    </w:lvl>
  </w:abstractNum>
  <w:abstractNum w:abstractNumId="277">
    <w:nsid w:val="2D9DF57D"/>
    <w:multiLevelType w:val="hybridMultilevel"/>
    <w:lvl w:ilvl="0">
      <w:lvlJc w:val="left"/>
      <w:lvlText w:val="☐"/>
      <w:numFmt w:val="bullet"/>
      <w:start w:val="1"/>
    </w:lvl>
  </w:abstractNum>
  <w:abstractNum w:abstractNumId="278">
    <w:nsid w:val="7FBD7A3E"/>
    <w:multiLevelType w:val="hybridMultilevel"/>
    <w:lvl w:ilvl="0">
      <w:lvlJc w:val="left"/>
      <w:lvlText w:val="☐"/>
      <w:numFmt w:val="bullet"/>
      <w:start w:val="1"/>
    </w:lvl>
  </w:abstractNum>
  <w:abstractNum w:abstractNumId="279">
    <w:nsid w:val="490B7C5"/>
    <w:multiLevelType w:val="hybridMultilevel"/>
    <w:lvl w:ilvl="0">
      <w:lvlJc w:val="left"/>
      <w:lvlText w:val="%1."/>
      <w:numFmt w:val="decimal"/>
      <w:start w:val="4"/>
    </w:lvl>
  </w:abstractNum>
  <w:abstractNum w:abstractNumId="280">
    <w:nsid w:val="4303A216"/>
    <w:multiLevelType w:val="hybridMultilevel"/>
    <w:lvl w:ilvl="0">
      <w:lvlJc w:val="left"/>
      <w:lvlText w:val="%1."/>
      <w:numFmt w:val="decimal"/>
      <w:start w:val="5"/>
    </w:lvl>
  </w:abstractNum>
  <w:abstractNum w:abstractNumId="281">
    <w:nsid w:val="19B8A08E"/>
    <w:multiLevelType w:val="hybridMultilevel"/>
    <w:lvl w:ilvl="0">
      <w:lvlJc w:val="left"/>
      <w:lvlText w:val="☐"/>
      <w:numFmt w:val="bullet"/>
      <w:start w:val="1"/>
    </w:lvl>
  </w:abstractNum>
  <w:abstractNum w:abstractNumId="282">
    <w:nsid w:val="54B59621"/>
    <w:multiLevelType w:val="hybridMultilevel"/>
    <w:lvl w:ilvl="0">
      <w:lvlJc w:val="left"/>
      <w:lvlText w:val="%1."/>
      <w:numFmt w:val="decimal"/>
      <w:start w:val="5"/>
    </w:lvl>
  </w:abstractNum>
  <w:abstractNum w:abstractNumId="283">
    <w:nsid w:val="5992A02E"/>
    <w:multiLevelType w:val="hybridMultilevel"/>
    <w:lvl w:ilvl="0">
      <w:lvlJc w:val="left"/>
      <w:lvlText w:val="☐"/>
      <w:numFmt w:val="bullet"/>
      <w:start w:val="1"/>
    </w:lvl>
  </w:abstractNum>
  <w:abstractNum w:abstractNumId="284">
    <w:nsid w:val="29EF532D"/>
    <w:multiLevelType w:val="hybridMultilevel"/>
    <w:lvl w:ilvl="0">
      <w:lvlJc w:val="left"/>
      <w:lvlText w:val="☐"/>
      <w:numFmt w:val="bullet"/>
      <w:start w:val="1"/>
    </w:lvl>
  </w:abstractNum>
  <w:abstractNum w:abstractNumId="285">
    <w:nsid w:val="71D601AF"/>
    <w:multiLevelType w:val="hybridMultilevel"/>
    <w:lvl w:ilvl="0">
      <w:lvlJc w:val="left"/>
      <w:lvlText w:val="(%1)"/>
      <w:numFmt w:val="decimal"/>
      <w:start w:val="1"/>
    </w:lvl>
  </w:abstractNum>
  <w:abstractNum w:abstractNumId="286">
    <w:nsid w:val="52C77402"/>
    <w:multiLevelType w:val="hybridMultilevel"/>
    <w:lvl w:ilvl="0">
      <w:lvlJc w:val="left"/>
      <w:lvlText w:val="(%1)"/>
      <w:numFmt w:val="lowerLetter"/>
      <w:start w:val="1"/>
    </w:lvl>
  </w:abstractNum>
  <w:abstractNum w:abstractNumId="287">
    <w:nsid w:val="2BB5B1C6"/>
    <w:multiLevelType w:val="hybridMultilevel"/>
    <w:lvl w:ilvl="0">
      <w:lvlJc w:val="left"/>
      <w:lvlText w:val="(%1)"/>
      <w:numFmt w:val="lowerLetter"/>
      <w:start w:val="5"/>
    </w:lvl>
  </w:abstractNum>
  <w:abstractNum w:abstractNumId="288">
    <w:nsid w:val="66BE6B9"/>
    <w:multiLevelType w:val="hybridMultilevel"/>
    <w:lvl w:ilvl="0">
      <w:lvlJc w:val="left"/>
      <w:lvlText w:val="(%1)"/>
      <w:numFmt w:val="lowerLetter"/>
      <w:start w:val="1"/>
    </w:lvl>
  </w:abstractNum>
  <w:abstractNum w:abstractNumId="289">
    <w:nsid w:val="62234363"/>
    <w:multiLevelType w:val="hybridMultilevel"/>
    <w:lvl w:ilvl="0">
      <w:lvlJc w:val="left"/>
      <w:lvlText w:val="(%1)"/>
      <w:numFmt w:val="lowerLetter"/>
      <w:start w:val="1"/>
    </w:lvl>
  </w:abstractNum>
  <w:abstractNum w:abstractNumId="290">
    <w:nsid w:val="66D385C9"/>
    <w:multiLevelType w:val="hybridMultilevel"/>
    <w:lvl w:ilvl="0">
      <w:lvlJc w:val="left"/>
      <w:lvlText w:val="(%1)"/>
      <w:numFmt w:val="lowerLetter"/>
      <w:start w:val="3"/>
    </w:lvl>
  </w:abstractNum>
  <w:abstractNum w:abstractNumId="291">
    <w:nsid w:val="596F6D8A"/>
    <w:multiLevelType w:val="hybridMultilevel"/>
    <w:lvl w:ilvl="0">
      <w:lvlJc w:val="left"/>
      <w:lvlText w:val="(%1)"/>
      <w:numFmt w:val="lowerLetter"/>
      <w:start w:val="24"/>
    </w:lvl>
    <w:lvl w:ilvl="1">
      <w:lvlJc w:val="left"/>
      <w:lvlText w:val="(%2)"/>
      <w:numFmt w:val="lowerLetter"/>
      <w:start w:val="2"/>
    </w:lvl>
  </w:abstractNum>
  <w:abstractNum w:abstractNumId="292">
    <w:nsid w:val="5749361F"/>
    <w:multiLevelType w:val="hybridMultilevel"/>
    <w:lvl w:ilvl="0">
      <w:lvlJc w:val="left"/>
      <w:lvlText w:val="(%1)"/>
      <w:numFmt w:val="lowerLetter"/>
      <w:start w:val="1"/>
    </w:lvl>
  </w:abstractNum>
  <w:abstractNum w:abstractNumId="293">
    <w:nsid w:val="73BC6770"/>
    <w:multiLevelType w:val="hybridMultilevel"/>
    <w:lvl w:ilvl="0">
      <w:lvlJc w:val="left"/>
      <w:lvlText w:val="(%1)"/>
      <w:numFmt w:val="lowerLetter"/>
      <w:start w:val="2"/>
    </w:lvl>
  </w:abstractNum>
  <w:abstractNum w:abstractNumId="294">
    <w:nsid w:val="280E6897"/>
    <w:multiLevelType w:val="hybridMultilevel"/>
    <w:lvl w:ilvl="0">
      <w:lvlJc w:val="left"/>
      <w:lvlText w:val="(%1)"/>
      <w:numFmt w:val="lowerLetter"/>
      <w:start w:val="2"/>
    </w:lvl>
  </w:abstractNum>
  <w:abstractNum w:abstractNumId="295">
    <w:nsid w:val="605138DE"/>
    <w:multiLevelType w:val="hybridMultilevel"/>
    <w:lvl w:ilvl="0">
      <w:lvlJc w:val="left"/>
      <w:lvlText w:val="(%1)"/>
      <w:numFmt w:val="lowerLetter"/>
      <w:start w:val="5"/>
    </w:lvl>
    <w:lvl w:ilvl="1">
      <w:lvlJc w:val="left"/>
      <w:lvlText w:val="-"/>
      <w:numFmt w:val="bullet"/>
      <w:start w:val="1"/>
    </w:lvl>
  </w:abstractNum>
  <w:abstractNum w:abstractNumId="296">
    <w:nsid w:val="2622AD0C"/>
    <w:multiLevelType w:val="hybridMultilevel"/>
    <w:lvl w:ilvl="0">
      <w:lvlJc w:val="left"/>
      <w:lvlText w:val="(%1)"/>
      <w:numFmt w:val="lowerRoman"/>
      <w:start w:val="2"/>
    </w:lvl>
  </w:abstractNum>
  <w:abstractNum w:abstractNumId="297">
    <w:nsid w:val="67997556"/>
    <w:multiLevelType w:val="hybridMultilevel"/>
    <w:lvl w:ilvl="0">
      <w:lvlJc w:val="left"/>
      <w:lvlText w:val="(%1)"/>
      <w:numFmt w:val="lowerLetter"/>
      <w:start w:val="2"/>
    </w:lvl>
  </w:abstractNum>
  <w:abstractNum w:abstractNumId="298">
    <w:nsid w:val="18333C89"/>
    <w:multiLevelType w:val="hybridMultilevel"/>
    <w:lvl w:ilvl="0">
      <w:lvlJc w:val="left"/>
      <w:lvlText w:val="(%1)"/>
      <w:numFmt w:val="lowerLetter"/>
      <w:start w:val="7"/>
    </w:lvl>
  </w:abstractNum>
  <w:abstractNum w:abstractNumId="299">
    <w:nsid w:val="4BA9831A"/>
    <w:multiLevelType w:val="hybridMultilevel"/>
    <w:lvl w:ilvl="0">
      <w:lvlJc w:val="left"/>
      <w:lvlText w:val="(%1)"/>
      <w:numFmt w:val="lowerLetter"/>
      <w:start w:val="3"/>
    </w:lvl>
    <w:lvl w:ilvl="1">
      <w:lvlJc w:val="left"/>
      <w:lvlText w:val="-"/>
      <w:numFmt w:val="bullet"/>
      <w:start w:val="1"/>
    </w:lvl>
  </w:abstractNum>
  <w:abstractNum w:abstractNumId="300">
    <w:nsid w:val="6D71A2B"/>
    <w:multiLevelType w:val="hybridMultilevel"/>
    <w:lvl w:ilvl="0">
      <w:lvlJc w:val="left"/>
      <w:lvlText w:val="(%1)"/>
      <w:numFmt w:val="lowerLetter"/>
      <w:start w:val="1"/>
    </w:lvl>
  </w:abstractNum>
  <w:abstractNum w:abstractNumId="301">
    <w:nsid w:val="CFC7321"/>
    <w:multiLevelType w:val="hybridMultilevel"/>
    <w:lvl w:ilvl="0">
      <w:lvlJc w:val="left"/>
      <w:lvlText w:val="(%1)"/>
      <w:numFmt w:val="lowerRoman"/>
      <w:start w:val="1"/>
    </w:lvl>
  </w:abstractNum>
  <w:abstractNum w:abstractNumId="302">
    <w:nsid w:val="1421971B"/>
    <w:multiLevelType w:val="hybridMultilevel"/>
    <w:lvl w:ilvl="0">
      <w:lvlJc w:val="left"/>
      <w:lvlText w:val="(%1)"/>
      <w:numFmt w:val="lowerLetter"/>
      <w:start w:val="1"/>
    </w:lvl>
  </w:abstractNum>
  <w:abstractNum w:abstractNumId="303">
    <w:nsid w:val="1F40430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4">
    <w:nsid w:val="116E0907"/>
    <w:multiLevelType w:val="hybridMultilevel"/>
    <w:lvl w:ilvl="0">
      <w:lvlJc w:val="left"/>
      <w:lvlText w:val="(%1)"/>
      <w:numFmt w:val="lowerRoman"/>
      <w:start w:val="2"/>
    </w:lvl>
  </w:abstractNum>
  <w:abstractNum w:abstractNumId="305">
    <w:nsid w:val="4B683D0D"/>
    <w:multiLevelType w:val="hybridMultilevel"/>
    <w:lvl w:ilvl="0">
      <w:lvlJc w:val="left"/>
      <w:lvlText w:val="(%1)"/>
      <w:numFmt w:val="lowerLetter"/>
      <w:start w:val="2"/>
    </w:lvl>
  </w:abstractNum>
  <w:abstractNum w:abstractNumId="306">
    <w:nsid w:val="76E41D8"/>
    <w:multiLevelType w:val="hybridMultilevel"/>
    <w:lvl w:ilvl="0">
      <w:lvlJc w:val="left"/>
      <w:lvlText w:val="(%1)"/>
      <w:numFmt w:val="lowerLetter"/>
      <w:start w:val="1"/>
    </w:lvl>
  </w:abstractNum>
  <w:abstractNum w:abstractNumId="307">
    <w:nsid w:val="71DCE0FD"/>
    <w:multiLevelType w:val="hybridMultilevel"/>
    <w:lvl w:ilvl="0">
      <w:lvlJc w:val="left"/>
      <w:lvlText w:val="(%1)"/>
      <w:numFmt w:val="lowerLetter"/>
      <w:start w:val="1"/>
    </w:lvl>
  </w:abstractNum>
  <w:abstractNum w:abstractNumId="308">
    <w:nsid w:val="7906328B"/>
    <w:multiLevelType w:val="hybridMultilevel"/>
    <w:lvl w:ilvl="0">
      <w:lvlJc w:val="left"/>
      <w:lvlText w:val="(%1)"/>
      <w:numFmt w:val="lowerLetter"/>
      <w:start w:val="1"/>
    </w:lvl>
  </w:abstractNum>
  <w:abstractNum w:abstractNumId="309">
    <w:nsid w:val="72BBC16"/>
    <w:multiLevelType w:val="hybridMultilevel"/>
    <w:lvl w:ilvl="0">
      <w:lvlJc w:val="left"/>
      <w:lvlText w:val="(%1)"/>
      <w:numFmt w:val="lowerLetter"/>
      <w:start w:val="1"/>
    </w:lvl>
  </w:abstractNum>
  <w:abstractNum w:abstractNumId="310">
    <w:nsid w:val="766D98C2"/>
    <w:multiLevelType w:val="hybridMultilevel"/>
    <w:lvl w:ilvl="0">
      <w:lvlJc w:val="left"/>
      <w:lvlText w:val="(%1)"/>
      <w:numFmt w:val="lowerLetter"/>
      <w:start w:val="1"/>
    </w:lvl>
    <w:lvl w:ilvl="1">
      <w:lvlJc w:val="left"/>
      <w:lvlText w:val="-"/>
      <w:numFmt w:val="bullet"/>
      <w:start w:val="1"/>
    </w:lvl>
  </w:abstractNum>
  <w:abstractNum w:abstractNumId="311">
    <w:nsid w:val="3C09D4A1"/>
    <w:multiLevelType w:val="hybridMultilevel"/>
    <w:lvl w:ilvl="0">
      <w:lvlJc w:val="left"/>
      <w:lvlText w:val="(%1)"/>
      <w:numFmt w:val="lowerLetter"/>
      <w:start w:val="2"/>
    </w:lvl>
  </w:abstractNum>
  <w:abstractNum w:abstractNumId="312">
    <w:nsid w:val="20E45CA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3">
    <w:nsid w:val="4B232EE3"/>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314">
    <w:nsid w:val="159C74CF"/>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15">
    <w:nsid w:val="4AD3AFD2"/>
    <w:multiLevelType w:val="hybridMultilevel"/>
    <w:lvl w:ilvl="0">
      <w:lvlJc w:val="left"/>
      <w:lvlText w:val="(%1)"/>
      <w:numFmt w:val="lowerLetter"/>
      <w:start w:val="1"/>
    </w:lvl>
    <w:lvl w:ilvl="1">
      <w:lvlJc w:val="left"/>
      <w:lvlText w:val="-"/>
      <w:numFmt w:val="bullet"/>
      <w:start w:val="1"/>
    </w:lvl>
  </w:abstractNum>
  <w:abstractNum w:abstractNumId="316">
    <w:nsid w:val="3CF93092"/>
    <w:multiLevelType w:val="hybridMultilevel"/>
    <w:lvl w:ilvl="0">
      <w:lvlJc w:val="left"/>
      <w:lvlText w:val="(%1)"/>
      <w:numFmt w:val="lowerLetter"/>
      <w:start w:val="3"/>
    </w:lvl>
  </w:abstractNum>
  <w:abstractNum w:abstractNumId="317">
    <w:nsid w:val="6863E8D2"/>
    <w:multiLevelType w:val="hybridMultilevel"/>
    <w:lvl w:ilvl="0">
      <w:lvlJc w:val="left"/>
      <w:lvlText w:val="(%1)"/>
      <w:numFmt w:val="lowerLetter"/>
      <w:start w:val="1"/>
    </w:lvl>
  </w:abstractNum>
  <w:abstractNum w:abstractNumId="318">
    <w:nsid w:val="76896198"/>
    <w:multiLevelType w:val="hybridMultilevel"/>
    <w:lvl w:ilvl="0">
      <w:lvlJc w:val="left"/>
      <w:lvlText w:val="(%1)"/>
      <w:numFmt w:val="lowerLetter"/>
      <w:start w:val="1"/>
    </w:lvl>
  </w:abstractNum>
  <w:abstractNum w:abstractNumId="319">
    <w:nsid w:val="4365174B"/>
    <w:multiLevelType w:val="hybridMultilevel"/>
    <w:lvl w:ilvl="0">
      <w:lvlJc w:val="left"/>
      <w:lvlText w:val="(%1)"/>
      <w:numFmt w:val="lowerLetter"/>
      <w:start w:val="1"/>
    </w:lvl>
    <w:lvl w:ilvl="1">
      <w:lvlJc w:val="left"/>
      <w:lvlText w:val="-"/>
      <w:numFmt w:val="bullet"/>
      <w:start w:val="1"/>
    </w:lvl>
  </w:abstractNum>
  <w:abstractNum w:abstractNumId="320">
    <w:nsid w:val="4A872C3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21">
    <w:nsid w:val="5D5CE761"/>
    <w:multiLevelType w:val="hybridMultilevel"/>
    <w:lvl w:ilvl="0">
      <w:lvlJc w:val="left"/>
      <w:lvlText w:val="(%1)"/>
      <w:numFmt w:val="lowerRoman"/>
      <w:start w:val="9"/>
    </w:lvl>
    <w:lvl w:ilvl="1">
      <w:lvlJc w:val="left"/>
      <w:lvlText w:val="-"/>
      <w:numFmt w:val="bullet"/>
      <w:start w:val="1"/>
    </w:lvl>
  </w:abstractNum>
  <w:abstractNum w:abstractNumId="322">
    <w:nsid w:val="1CD484D5"/>
    <w:multiLevelType w:val="hybridMultilevel"/>
    <w:lvl w:ilvl="0">
      <w:lvlJc w:val="left"/>
      <w:lvlText w:val="%1"/>
      <w:numFmt w:val="lowerLetter"/>
      <w:start w:val="1"/>
    </w:lvl>
    <w:lvl w:ilvl="1">
      <w:lvlJc w:val="left"/>
      <w:lvlText w:val="(%2)"/>
      <w:numFmt w:val="lowerRoman"/>
      <w:start w:val="17"/>
    </w:lvl>
    <w:lvl w:ilvl="2">
      <w:lvlJc w:val="left"/>
      <w:lvlText w:val="-"/>
      <w:numFmt w:val="bullet"/>
      <w:start w:val="1"/>
    </w:lvl>
  </w:abstractNum>
  <w:abstractNum w:abstractNumId="323">
    <w:nsid w:val="21D0625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24">
    <w:nsid w:val="51194ED1"/>
    <w:multiLevelType w:val="hybridMultilevel"/>
    <w:lvl w:ilvl="0">
      <w:lvlJc w:val="left"/>
      <w:lvlText w:val="(%1)"/>
      <w:numFmt w:val="lowerLetter"/>
      <w:start w:val="1"/>
    </w:lvl>
    <w:lvl w:ilvl="1">
      <w:lvlJc w:val="left"/>
      <w:lvlText w:val="-"/>
      <w:numFmt w:val="bullet"/>
      <w:start w:val="1"/>
    </w:lvl>
  </w:abstractNum>
  <w:abstractNum w:abstractNumId="325">
    <w:nsid w:val="44E2ED6C"/>
    <w:multiLevelType w:val="hybridMultilevel"/>
    <w:lvl w:ilvl="0">
      <w:lvlJc w:val="left"/>
      <w:lvlText w:val="%1"/>
      <w:numFmt w:val="lowerRoman"/>
      <w:start w:val="1"/>
    </w:lvl>
    <w:lvl w:ilvl="1">
      <w:lvlJc w:val="left"/>
      <w:lvlText w:val="(%2)"/>
      <w:numFmt w:val="lowerLetter"/>
      <w:start w:val="4"/>
    </w:lvl>
    <w:lvl w:ilvl="2">
      <w:lvlJc w:val="left"/>
      <w:lvlText w:val="-"/>
      <w:numFmt w:val="bullet"/>
      <w:start w:val="1"/>
    </w:lvl>
  </w:abstractNum>
  <w:abstractNum w:abstractNumId="326">
    <w:nsid w:val="2219B33"/>
    <w:multiLevelType w:val="hybridMultilevel"/>
    <w:lvl w:ilvl="0">
      <w:lvlJc w:val="left"/>
      <w:lvlText w:val="(%1)"/>
      <w:numFmt w:val="lowerRoman"/>
      <w:start w:val="2"/>
    </w:lvl>
    <w:lvl w:ilvl="1">
      <w:lvlJc w:val="left"/>
      <w:lvlText w:val="(%2)"/>
      <w:numFmt w:val="lowerLetter"/>
      <w:start w:val="5"/>
    </w:lvl>
    <w:lvl w:ilvl="2">
      <w:lvlJc w:val="left"/>
      <w:lvlText w:val="-"/>
      <w:numFmt w:val="bullet"/>
      <w:start w:val="1"/>
    </w:lvl>
  </w:abstractNum>
  <w:abstractNum w:abstractNumId="327">
    <w:nsid w:val="773BFBDD"/>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328">
    <w:nsid w:val="2C7C62C2"/>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329">
    <w:nsid w:val="1A54D7BC"/>
    <w:multiLevelType w:val="hybridMultilevel"/>
    <w:lvl w:ilvl="0">
      <w:lvlJc w:val="left"/>
      <w:lvlText w:val="%1"/>
      <w:numFmt w:val="lowerLetter"/>
      <w:start w:val="1"/>
    </w:lvl>
    <w:lvl w:ilvl="1">
      <w:lvlJc w:val="left"/>
      <w:lvlText w:val="(%2)"/>
      <w:numFmt w:val="lowerLetter"/>
      <w:start w:val="13"/>
    </w:lvl>
    <w:lvl w:ilvl="2">
      <w:lvlJc w:val="left"/>
      <w:lvlText w:val="-"/>
      <w:numFmt w:val="bullet"/>
      <w:start w:val="1"/>
    </w:lvl>
  </w:abstractNum>
  <w:abstractNum w:abstractNumId="330">
    <w:nsid w:val="42E57EF7"/>
    <w:multiLevelType w:val="hybridMultilevel"/>
    <w:lvl w:ilvl="0">
      <w:lvlJc w:val="left"/>
      <w:lvlText w:val="(%1)"/>
      <w:numFmt w:val="lowerLetter"/>
      <w:start w:val="9"/>
    </w:lvl>
    <w:lvl w:ilvl="1">
      <w:lvlJc w:val="left"/>
      <w:lvlText w:val="(%2)"/>
      <w:numFmt w:val="lowerLetter"/>
      <w:start w:val="15"/>
    </w:lvl>
    <w:lvl w:ilvl="2">
      <w:lvlJc w:val="left"/>
      <w:lvlText w:val="-"/>
      <w:numFmt w:val="bullet"/>
      <w:start w:val="1"/>
    </w:lvl>
  </w:abstractNum>
  <w:abstractNum w:abstractNumId="331">
    <w:nsid w:val="33537CED"/>
    <w:multiLevelType w:val="hybridMultilevel"/>
    <w:lvl w:ilvl="0">
      <w:lvlJc w:val="left"/>
      <w:lvlText w:val="(%1)"/>
      <w:numFmt w:val="lowerLetter"/>
      <w:start w:val="17"/>
    </w:lvl>
    <w:lvl w:ilvl="1">
      <w:lvlJc w:val="left"/>
      <w:lvlText w:val="-"/>
      <w:numFmt w:val="bullet"/>
      <w:start w:val="1"/>
    </w:lvl>
  </w:abstractNum>
  <w:abstractNum w:abstractNumId="332">
    <w:nsid w:val="27514ADE"/>
    <w:multiLevelType w:val="hybridMultilevel"/>
    <w:lvl w:ilvl="0">
      <w:lvlJc w:val="left"/>
      <w:lvlText w:val="(%1)"/>
      <w:numFmt w:val="lowerLetter"/>
      <w:start w:val="23"/>
    </w:lvl>
  </w:abstractNum>
  <w:abstractNum w:abstractNumId="333">
    <w:nsid w:val="57071613"/>
    <w:multiLevelType w:val="hybridMultilevel"/>
    <w:lvl w:ilvl="0">
      <w:lvlJc w:val="left"/>
      <w:lvlText w:val="(%1)"/>
      <w:numFmt w:val="lowerLetter"/>
      <w:start w:val="1"/>
    </w:lvl>
    <w:lvl w:ilvl="1">
      <w:lvlJc w:val="left"/>
      <w:lvlText w:val="-"/>
      <w:numFmt w:val="bullet"/>
      <w:start w:val="1"/>
    </w:lvl>
  </w:abstractNum>
  <w:abstractNum w:abstractNumId="334">
    <w:nsid w:val="5293BFEF"/>
    <w:multiLevelType w:val="hybridMultilevel"/>
    <w:lvl w:ilvl="0">
      <w:lvlJc w:val="left"/>
      <w:lvlText w:val="(%1)"/>
      <w:numFmt w:val="lowerLetter"/>
      <w:start w:val="1"/>
    </w:lvl>
  </w:abstractNum>
  <w:abstractNum w:abstractNumId="335">
    <w:nsid w:val="38BF53E5"/>
    <w:multiLevelType w:val="hybridMultilevel"/>
    <w:lvl w:ilvl="0">
      <w:lvlJc w:val="left"/>
      <w:lvlText w:val="(%1)"/>
      <w:numFmt w:val="lowerRoman"/>
      <w:start w:val="10"/>
    </w:lvl>
  </w:abstractNum>
  <w:abstractNum w:abstractNumId="336">
    <w:nsid w:val="226F5320"/>
    <w:multiLevelType w:val="hybridMultilevel"/>
    <w:lvl w:ilvl="0">
      <w:lvlJc w:val="left"/>
      <w:lvlText w:val="(%1)"/>
      <w:numFmt w:val="lowerLetter"/>
      <w:start w:val="1"/>
    </w:lvl>
    <w:lvl w:ilvl="1">
      <w:lvlJc w:val="left"/>
      <w:lvlText w:val="-"/>
      <w:numFmt w:val="bullet"/>
      <w:start w:val="1"/>
    </w:lvl>
  </w:abstractNum>
  <w:abstractNum w:abstractNumId="337">
    <w:nsid w:val="5A0201C7"/>
    <w:multiLevelType w:val="hybridMultilevel"/>
    <w:lvl w:ilvl="0">
      <w:lvlJc w:val="left"/>
      <w:lvlText w:val="%1"/>
      <w:numFmt w:val="lowerRoman"/>
      <w:start w:val="1"/>
    </w:lvl>
    <w:lvl w:ilvl="1">
      <w:lvlJc w:val="left"/>
      <w:lvlText w:val="(%2)"/>
      <w:numFmt w:val="lowerLetter"/>
      <w:start w:val="3"/>
    </w:lvl>
    <w:lvl w:ilvl="2">
      <w:lvlJc w:val="left"/>
      <w:lvlText w:val="-"/>
      <w:numFmt w:val="bullet"/>
      <w:start w:val="1"/>
    </w:lvl>
  </w:abstractNum>
  <w:abstractNum w:abstractNumId="338">
    <w:nsid w:val="2A9C34E2"/>
    <w:multiLevelType w:val="hybridMultilevel"/>
    <w:lvl w:ilvl="0">
      <w:lvlJc w:val="left"/>
      <w:lvlText w:val="(%1)"/>
      <w:numFmt w:val="lowerRoman"/>
      <w:start w:val="4"/>
    </w:lvl>
    <w:lvl w:ilvl="1">
      <w:lvlJc w:val="left"/>
      <w:lvlText w:val="(%2)"/>
      <w:numFmt w:val="lowerLetter"/>
      <w:start w:val="6"/>
    </w:lvl>
    <w:lvl w:ilvl="2">
      <w:lvlJc w:val="left"/>
      <w:lvlText w:val="-"/>
      <w:numFmt w:val="bullet"/>
      <w:start w:val="1"/>
    </w:lvl>
  </w:abstractNum>
  <w:abstractNum w:abstractNumId="339">
    <w:nsid w:val="1B7585AB"/>
    <w:multiLevelType w:val="hybridMultilevel"/>
    <w:lvl w:ilvl="0">
      <w:lvlJc w:val="left"/>
      <w:lvlText w:val="(%1)"/>
      <w:numFmt w:val="lowerLetter"/>
      <w:start w:val="8"/>
    </w:lvl>
  </w:abstractNum>
  <w:abstractNum w:abstractNumId="340">
    <w:nsid w:val="612DBDDD"/>
    <w:multiLevelType w:val="hybridMultilevel"/>
    <w:lvl w:ilvl="0">
      <w:lvlJc w:val="left"/>
      <w:lvlText w:val="(%1)"/>
      <w:numFmt w:val="lowerLetter"/>
      <w:start w:val="1"/>
    </w:lvl>
    <w:lvl w:ilvl="1">
      <w:lvlJc w:val="left"/>
      <w:lvlText w:val="-"/>
      <w:numFmt w:val="bullet"/>
      <w:start w:val="1"/>
    </w:lvl>
  </w:abstractNum>
  <w:abstractNum w:abstractNumId="341">
    <w:nsid w:val="2109CDA4"/>
    <w:multiLevelType w:val="hybridMultilevel"/>
    <w:lvl w:ilvl="0">
      <w:lvlJc w:val="left"/>
      <w:lvlText w:val="(%1)"/>
      <w:numFmt w:val="lowerLetter"/>
      <w:start w:val="2"/>
    </w:lvl>
    <w:lvl w:ilvl="1">
      <w:lvlJc w:val="left"/>
      <w:lvlText w:val="-"/>
      <w:numFmt w:val="bullet"/>
      <w:start w:val="1"/>
    </w:lvl>
  </w:abstractNum>
  <w:abstractNum w:abstractNumId="342">
    <w:nsid w:val="577F5A4D"/>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43">
    <w:nsid w:val="2121A81"/>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344">
    <w:nsid w:val="6C2CFC88"/>
    <w:multiLevelType w:val="hybridMultilevel"/>
    <w:lvl w:ilvl="0">
      <w:lvlJc w:val="left"/>
      <w:lvlText w:val="(%1)"/>
      <w:numFmt w:val="lowerLetter"/>
      <w:start w:val="5"/>
    </w:lvl>
  </w:abstractNum>
  <w:abstractNum w:abstractNumId="345">
    <w:nsid w:val="6D1BCF1C"/>
    <w:multiLevelType w:val="hybridMultilevel"/>
    <w:lvl w:ilvl="0">
      <w:lvlJc w:val="left"/>
      <w:lvlText w:val="(%1)"/>
      <w:numFmt w:val="lowerLetter"/>
      <w:start w:val="1"/>
    </w:lvl>
    <w:lvl w:ilvl="1">
      <w:lvlJc w:val="left"/>
      <w:lvlText w:val="-"/>
      <w:numFmt w:val="bullet"/>
      <w:start w:val="1"/>
    </w:lvl>
  </w:abstractNum>
  <w:abstractNum w:abstractNumId="346">
    <w:nsid w:val="4CE5CA53"/>
    <w:multiLevelType w:val="hybridMultilevel"/>
    <w:lvl w:ilvl="0">
      <w:lvlJc w:val="left"/>
      <w:lvlText w:val="(%1)"/>
      <w:numFmt w:val="lowerLetter"/>
      <w:start w:val="2"/>
    </w:lvl>
  </w:abstractNum>
  <w:abstractNum w:abstractNumId="347">
    <w:nsid w:val="29262D1A"/>
    <w:multiLevelType w:val="hybridMultilevel"/>
    <w:lvl w:ilvl="0">
      <w:lvlJc w:val="left"/>
      <w:lvlText w:val="(%1)"/>
      <w:numFmt w:val="lowerLetter"/>
      <w:start w:val="1"/>
    </w:lvl>
    <w:lvl w:ilvl="1">
      <w:lvlJc w:val="left"/>
      <w:lvlText w:val="-"/>
      <w:numFmt w:val="bullet"/>
      <w:start w:val="1"/>
    </w:lvl>
  </w:abstractNum>
  <w:abstractNum w:abstractNumId="348">
    <w:nsid w:val="557FB7EE"/>
    <w:multiLevelType w:val="hybridMultilevel"/>
    <w:lvl w:ilvl="0">
      <w:lvlJc w:val="left"/>
      <w:lvlText w:val="(%1)"/>
      <w:numFmt w:val="lowerLetter"/>
      <w:start w:val="7"/>
    </w:lvl>
  </w:abstractNum>
  <w:abstractNum w:abstractNumId="349">
    <w:nsid w:val="436F2BEB"/>
    <w:multiLevelType w:val="hybridMultilevel"/>
    <w:lvl w:ilvl="0">
      <w:lvlJc w:val="left"/>
      <w:lvlText w:val="(%1)"/>
      <w:numFmt w:val="lowerLetter"/>
      <w:start w:val="1"/>
    </w:lvl>
  </w:abstractNum>
  <w:abstractNum w:abstractNumId="350">
    <w:nsid w:val="6C8B4466"/>
    <w:multiLevelType w:val="hybridMultilevel"/>
    <w:lvl w:ilvl="0">
      <w:lvlJc w:val="left"/>
      <w:lvlText w:val="(%1)"/>
      <w:numFmt w:val="lowerLetter"/>
      <w:start w:val="1"/>
    </w:lvl>
    <w:lvl w:ilvl="1">
      <w:lvlJc w:val="left"/>
      <w:lvlText w:val="-"/>
      <w:numFmt w:val="bullet"/>
      <w:start w:val="1"/>
    </w:lvl>
  </w:abstractNum>
  <w:abstractNum w:abstractNumId="351">
    <w:nsid w:val="2006E424"/>
    <w:multiLevelType w:val="hybridMultilevel"/>
    <w:lvl w:ilvl="0">
      <w:lvlJc w:val="left"/>
      <w:lvlText w:val="(%1)"/>
      <w:numFmt w:val="lowerLetter"/>
      <w:start w:val="2"/>
    </w:lvl>
  </w:abstractNum>
  <w:abstractNum w:abstractNumId="352">
    <w:nsid w:val="20CC134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53">
    <w:nsid w:val="95FC93B"/>
    <w:multiLevelType w:val="hybridMultilevel"/>
    <w:lvl w:ilvl="0">
      <w:lvlJc w:val="left"/>
      <w:lvlText w:val="(%1)"/>
      <w:numFmt w:val="lowerLetter"/>
      <w:start w:val="25"/>
    </w:lvl>
    <w:lvl w:ilvl="1">
      <w:lvlJc w:val="left"/>
      <w:lvlText w:val="(%2)"/>
      <w:numFmt w:val="lowerLetter"/>
      <w:start w:val="4"/>
    </w:lvl>
    <w:lvl w:ilvl="2">
      <w:lvlJc w:val="left"/>
      <w:lvlText w:val="(%3)"/>
      <w:numFmt w:val="lowerLetter"/>
      <w:start w:val="9"/>
    </w:lvl>
    <w:lvl w:ilvl="3">
      <w:lvlJc w:val="left"/>
      <w:lvlText w:val="-"/>
      <w:numFmt w:val="bullet"/>
      <w:start w:val="1"/>
    </w:lvl>
  </w:abstractNum>
  <w:abstractNum w:abstractNumId="354">
    <w:nsid w:val="41D74679"/>
    <w:multiLevelType w:val="hybridMultilevel"/>
    <w:lvl w:ilvl="0">
      <w:lvlJc w:val="left"/>
      <w:lvlText w:val="(%1)"/>
      <w:numFmt w:val="lowerRoman"/>
      <w:start w:val="2"/>
    </w:lvl>
  </w:abstractNum>
  <w:abstractNum w:abstractNumId="355">
    <w:nsid w:val="71E5621E"/>
    <w:multiLevelType w:val="hybridMultilevel"/>
    <w:lvl w:ilvl="0">
      <w:lvlJc w:val="left"/>
      <w:lvlText w:val="(%1)"/>
      <w:numFmt w:val="lowerLetter"/>
      <w:start w:val="6"/>
    </w:lvl>
    <w:lvl w:ilvl="1">
      <w:lvlJc w:val="left"/>
      <w:lvlText w:val="-"/>
      <w:numFmt w:val="bullet"/>
      <w:start w:val="1"/>
    </w:lvl>
  </w:abstractNum>
  <w:abstractNum w:abstractNumId="356">
    <w:nsid w:val="4E42B6A8"/>
    <w:multiLevelType w:val="hybridMultilevel"/>
    <w:lvl w:ilvl="0">
      <w:lvlJc w:val="left"/>
      <w:lvlText w:val="(%1)"/>
      <w:numFmt w:val="lowerLetter"/>
      <w:start w:val="8"/>
    </w:lvl>
    <w:lvl w:ilvl="1">
      <w:lvlJc w:val="left"/>
      <w:lvlText w:val="-"/>
      <w:numFmt w:val="bullet"/>
      <w:start w:val="1"/>
    </w:lvl>
  </w:abstractNum>
  <w:abstractNum w:abstractNumId="357">
    <w:nsid w:val="43F8E1AC"/>
    <w:multiLevelType w:val="hybridMultilevel"/>
    <w:lvl w:ilvl="0">
      <w:lvlJc w:val="left"/>
      <w:lvlText w:val="(%1)"/>
      <w:numFmt w:val="lowerLetter"/>
      <w:start w:val="12"/>
    </w:lvl>
    <w:lvl w:ilvl="1">
      <w:lvlJc w:val="left"/>
      <w:lvlText w:val="(%2)"/>
      <w:numFmt w:val="lowerRoman"/>
      <w:start w:val="1"/>
    </w:lvl>
  </w:abstractNum>
  <w:abstractNum w:abstractNumId="358">
    <w:nsid w:val="69215DF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59">
    <w:nsid w:val="7ABF196A"/>
    <w:multiLevelType w:val="hybridMultilevel"/>
    <w:lvl w:ilvl="0">
      <w:lvlJc w:val="left"/>
      <w:lvlText w:val="(%1)"/>
      <w:numFmt w:val="lowerLetter"/>
      <w:start w:val="2"/>
    </w:lvl>
  </w:abstractNum>
  <w:abstractNum w:abstractNumId="360">
    <w:nsid w:val="5E4DB968"/>
    <w:multiLevelType w:val="hybridMultilevel"/>
    <w:lvl w:ilvl="0">
      <w:lvlJc w:val="left"/>
      <w:lvlText w:val="(%1)"/>
      <w:numFmt w:val="lowerLetter"/>
      <w:start w:val="1"/>
    </w:lvl>
    <w:lvl w:ilvl="1">
      <w:lvlJc w:val="left"/>
      <w:lvlText w:val="-"/>
      <w:numFmt w:val="bullet"/>
      <w:start w:val="1"/>
    </w:lvl>
  </w:abstractNum>
  <w:abstractNum w:abstractNumId="361">
    <w:nsid w:val="2C06DCF3"/>
    <w:multiLevelType w:val="hybridMultilevel"/>
    <w:lvl w:ilvl="0">
      <w:lvlJc w:val="left"/>
      <w:lvlText w:val="(%1)"/>
      <w:numFmt w:val="lowerLetter"/>
      <w:start w:val="1"/>
    </w:lvl>
    <w:lvl w:ilvl="1">
      <w:lvlJc w:val="left"/>
      <w:lvlText w:val="-"/>
      <w:numFmt w:val="bullet"/>
      <w:start w:val="1"/>
    </w:lvl>
  </w:abstractNum>
  <w:abstractNum w:abstractNumId="362">
    <w:nsid w:val="2E129658"/>
    <w:multiLevelType w:val="hybridMultilevel"/>
    <w:lvl w:ilvl="0">
      <w:lvlJc w:val="left"/>
      <w:lvlText w:val="(%1)"/>
      <w:numFmt w:val="lowerLetter"/>
      <w:start w:val="2"/>
    </w:lvl>
  </w:abstractNum>
  <w:abstractNum w:abstractNumId="363">
    <w:nsid w:val="59F0446"/>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64">
    <w:nsid w:val="30DF306"/>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365">
    <w:nsid w:val="A6564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366">
    <w:nsid w:val="3E5E582B"/>
    <w:multiLevelType w:val="hybridMultilevel"/>
    <w:lvl w:ilvl="0">
      <w:lvlJc w:val="left"/>
      <w:lvlText w:val="(%1)"/>
      <w:numFmt w:val="lowerRoman"/>
      <w:start w:val="5"/>
    </w:lvl>
  </w:abstractNum>
  <w:abstractNum w:abstractNumId="367">
    <w:nsid w:val="257D4626"/>
    <w:multiLevelType w:val="hybridMultilevel"/>
    <w:lvl w:ilvl="0">
      <w:lvlJc w:val="left"/>
      <w:lvlText w:val="(%1)"/>
      <w:numFmt w:val="lowerLetter"/>
      <w:start w:val="3"/>
    </w:lvl>
    <w:lvl w:ilvl="1">
      <w:lvlJc w:val="left"/>
      <w:lvlText w:val="-"/>
      <w:numFmt w:val="bullet"/>
      <w:start w:val="1"/>
    </w:lvl>
  </w:abstractNum>
  <w:abstractNum w:abstractNumId="368">
    <w:nsid w:val="5AA8580E"/>
    <w:multiLevelType w:val="hybridMultilevel"/>
    <w:lvl w:ilvl="0">
      <w:lvlJc w:val="left"/>
      <w:lvlText w:val="(%1)"/>
      <w:numFmt w:val="lowerLetter"/>
      <w:start w:val="5"/>
    </w:lvl>
  </w:abstractNum>
  <w:abstractNum w:abstractNumId="369">
    <w:nsid w:val="68FA8D0D"/>
    <w:multiLevelType w:val="hybridMultilevel"/>
    <w:lvl w:ilvl="0">
      <w:lvlJc w:val="left"/>
      <w:lvlText w:val="(%1)"/>
      <w:numFmt w:val="lowerLetter"/>
      <w:start w:val="1"/>
    </w:lvl>
    <w:lvl w:ilvl="1">
      <w:lvlJc w:val="left"/>
      <w:lvlText w:val="-"/>
      <w:numFmt w:val="bullet"/>
      <w:start w:val="1"/>
    </w:lvl>
  </w:abstractNum>
  <w:abstractNum w:abstractNumId="370">
    <w:nsid w:val="40F2CBD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71">
    <w:nsid w:val="3BD615EB"/>
    <w:multiLevelType w:val="hybridMultilevel"/>
    <w:lvl w:ilvl="0">
      <w:lvlJc w:val="left"/>
      <w:lvlText w:val="(%1)"/>
      <w:numFmt w:val="lowerLetter"/>
      <w:start w:val="1"/>
    </w:lvl>
    <w:lvl w:ilvl="1">
      <w:lvlJc w:val="left"/>
      <w:lvlText w:val="-"/>
      <w:numFmt w:val="bullet"/>
      <w:start w:val="1"/>
    </w:lvl>
  </w:abstractNum>
  <w:abstractNum w:abstractNumId="372">
    <w:nsid w:val="A045AB2"/>
    <w:multiLevelType w:val="hybridMultilevel"/>
    <w:lvl w:ilvl="0">
      <w:lvlJc w:val="left"/>
      <w:lvlText w:val="(%1)"/>
      <w:numFmt w:val="lowerLetter"/>
      <w:start w:val="2"/>
    </w:lvl>
    <w:lvl w:ilvl="1">
      <w:lvlJc w:val="left"/>
      <w:lvlText w:val="-"/>
      <w:numFmt w:val="bullet"/>
      <w:start w:val="1"/>
    </w:lvl>
  </w:abstractNum>
  <w:abstractNum w:abstractNumId="373">
    <w:nsid w:val="1872261F"/>
    <w:multiLevelType w:val="hybridMultilevel"/>
    <w:lvl w:ilvl="0">
      <w:lvlJc w:val="left"/>
      <w:lvlText w:val="(%1)"/>
      <w:numFmt w:val="lowerLetter"/>
      <w:start w:val="6"/>
    </w:lvl>
  </w:abstractNum>
  <w:abstractNum w:abstractNumId="374">
    <w:nsid w:val="3DE8306C"/>
    <w:multiLevelType w:val="hybridMultilevel"/>
    <w:lvl w:ilvl="0">
      <w:lvlJc w:val="left"/>
      <w:lvlText w:val="%1."/>
      <w:numFmt w:val="decimal"/>
      <w:start w:val="1"/>
    </w:lvl>
  </w:abstractNum>
  <w:abstractNum w:abstractNumId="375">
    <w:nsid w:val="7631573A"/>
    <w:multiLevelType w:val="hybridMultilevel"/>
    <w:lvl w:ilvl="0">
      <w:lvlJc w:val="left"/>
      <w:lvlText w:val="%1."/>
      <w:numFmt w:val="decimal"/>
      <w:start w:val="22"/>
    </w:lvl>
  </w:abstractNum>
  <w:abstractNum w:abstractNumId="376">
    <w:nsid w:val="58DF53B"/>
    <w:multiLevelType w:val="hybridMultilevel"/>
    <w:lvl w:ilvl="0">
      <w:lvlJc w:val="left"/>
      <w:lvlText w:val="%1."/>
      <w:numFmt w:val="decimal"/>
      <w:start w:val="46"/>
    </w:lvl>
  </w:abstractNum>
  <w:abstractNum w:abstractNumId="377">
    <w:nsid w:val="ACDFAC0"/>
    <w:multiLevelType w:val="hybridMultilevel"/>
    <w:lvl w:ilvl="0">
      <w:lvlJc w:val="left"/>
      <w:lvlText w:val="•"/>
      <w:numFmt w:val="bullet"/>
      <w:start w:val="1"/>
    </w:lvl>
  </w:abstractNum>
  <w:abstractNum w:abstractNumId="378">
    <w:nsid w:val="1F578454"/>
    <w:multiLevelType w:val="hybridMultilevel"/>
    <w:lvl w:ilvl="0">
      <w:lvlJc w:val="left"/>
      <w:lvlText w:val="•"/>
      <w:numFmt w:val="bullet"/>
      <w:start w:val="1"/>
    </w:lvl>
  </w:abstractNum>
  <w:abstractNum w:abstractNumId="379">
    <w:nsid w:val="5B0DAD2A"/>
    <w:multiLevelType w:val="hybridMultilevel"/>
    <w:lvl w:ilvl="0">
      <w:lvlJc w:val="left"/>
      <w:lvlText w:val="[%1]"/>
      <w:numFmt w:val="decimal"/>
      <w:start w:val="1"/>
    </w:lvl>
  </w:abstractNum>
  <w:abstractNum w:abstractNumId="380">
    <w:nsid w:val="4E3D26AB"/>
    <w:multiLevelType w:val="hybridMultilevel"/>
    <w:lvl w:ilvl="0">
      <w:lvlJc w:val="left"/>
      <w:lvlText w:val="(%1)"/>
      <w:numFmt w:val="lowerLetter"/>
      <w:start w:val="1"/>
    </w:lvl>
  </w:abstractNum>
  <w:abstractNum w:abstractNumId="381">
    <w:nsid w:val="BE2C8BA"/>
    <w:multiLevelType w:val="hybridMultilevel"/>
    <w:lvl w:ilvl="0">
      <w:lvlJc w:val="left"/>
      <w:lvlText w:val="%1."/>
      <w:numFmt w:val="decimal"/>
      <w:start w:val="1"/>
    </w:lvl>
  </w:abstractNum>
  <w:abstractNum w:abstractNumId="382">
    <w:nsid w:val="7B14914E"/>
    <w:multiLevelType w:val="hybridMultilevel"/>
    <w:lvl w:ilvl="0">
      <w:lvlJc w:val="left"/>
      <w:lvlText w:val="[%1]"/>
      <w:numFmt w:val="decimal"/>
      <w:start w:val="1"/>
    </w:lvl>
  </w:abstractNum>
  <w:abstractNum w:abstractNumId="383">
    <w:nsid w:val="6F0939F8"/>
    <w:multiLevelType w:val="hybridMultilevel"/>
    <w:lvl w:ilvl="0">
      <w:lvlJc w:val="left"/>
      <w:lvlText w:val="(%1)"/>
      <w:numFmt w:val="lowerLetter"/>
      <w:start w:val="2"/>
    </w:lvl>
  </w:abstractNum>
  <w:abstractNum w:abstractNumId="384">
    <w:nsid w:val="154291F6"/>
    <w:multiLevelType w:val="hybridMultilevel"/>
    <w:lvl w:ilvl="0">
      <w:lvlJc w:val="left"/>
      <w:lvlText w:val="(%1)"/>
      <w:numFmt w:val="lowerRoman"/>
      <w:start w:val="1"/>
    </w:lvl>
  </w:abstractNum>
  <w:abstractNum w:abstractNumId="385">
    <w:nsid w:val="3CEBD7C7"/>
    <w:multiLevelType w:val="hybridMultilevel"/>
    <w:lvl w:ilvl="0">
      <w:lvlJc w:val="left"/>
      <w:lvlText w:val="(%1)"/>
      <w:numFmt w:val="lowerLetter"/>
      <w:start w:val="4"/>
    </w:lvl>
  </w:abstractNum>
  <w:abstractNum w:abstractNumId="386">
    <w:nsid w:val="60EE9C16"/>
    <w:multiLevelType w:val="hybridMultilevel"/>
    <w:lvl w:ilvl="0">
      <w:lvlJc w:val="left"/>
      <w:lvlText w:val="%1."/>
      <w:numFmt w:val="decimal"/>
      <w:start w:val="1"/>
    </w:lvl>
  </w:abstractNum>
  <w:abstractNum w:abstractNumId="387">
    <w:nsid w:val="6385489E"/>
    <w:multiLevelType w:val="hybridMultilevel"/>
    <w:lvl w:ilvl="0">
      <w:lvlJc w:val="left"/>
      <w:lvlText w:val="%1."/>
      <w:numFmt w:val="decimal"/>
      <w:start w:val="3"/>
    </w:lvl>
    <w:lvl w:ilvl="1">
      <w:lvlJc w:val="left"/>
      <w:lvlText w:val="☐"/>
      <w:numFmt w:val="bullet"/>
      <w:start w:val="1"/>
    </w:lvl>
  </w:abstractNum>
  <w:abstractNum w:abstractNumId="388">
    <w:nsid w:val="E4B973"/>
    <w:multiLevelType w:val="hybridMultilevel"/>
    <w:lvl w:ilvl="0">
      <w:lvlJc w:val="left"/>
      <w:lvlText w:val="%1."/>
      <w:numFmt w:val="decimal"/>
      <w:start w:val="3"/>
    </w:lvl>
    <w:lvl w:ilvl="1">
      <w:lvlJc w:val="left"/>
      <w:lvlText w:val="☐"/>
      <w:numFmt w:val="bullet"/>
      <w:start w:val="1"/>
    </w:lvl>
  </w:abstractNum>
  <w:abstractNum w:abstractNumId="389">
    <w:nsid w:val="4A0FFA11"/>
    <w:multiLevelType w:val="hybridMultilevel"/>
    <w:lvl w:ilvl="0">
      <w:lvlJc w:val="left"/>
      <w:lvlText w:val="%1."/>
      <w:numFmt w:val="decimal"/>
      <w:start w:val="5"/>
    </w:lvl>
  </w:abstractNum>
  <w:abstractNum w:abstractNumId="390">
    <w:nsid w:val="5E446208"/>
    <w:multiLevelType w:val="hybridMultilevel"/>
    <w:lvl w:ilvl="0">
      <w:lvlJc w:val="left"/>
      <w:lvlText w:val="☐"/>
      <w:numFmt w:val="bullet"/>
      <w:start w:val="1"/>
    </w:lvl>
  </w:abstractNum>
  <w:abstractNum w:abstractNumId="391">
    <w:nsid w:val="5F3272DB"/>
    <w:multiLevelType w:val="hybridMultilevel"/>
    <w:lvl w:ilvl="0">
      <w:lvlJc w:val="left"/>
      <w:lvlText w:val="%1."/>
      <w:numFmt w:val="decimal"/>
      <w:start w:val="2"/>
    </w:lvl>
  </w:abstractNum>
  <w:abstractNum w:abstractNumId="392">
    <w:nsid w:val="7616D704"/>
    <w:multiLevelType w:val="hybridMultilevel"/>
    <w:lvl w:ilvl="0">
      <w:lvlJc w:val="left"/>
      <w:lvlText w:val="%1."/>
      <w:numFmt w:val="decimal"/>
      <w:start w:val="5"/>
    </w:lvl>
    <w:lvl w:ilvl="1">
      <w:lvlJc w:val="left"/>
      <w:lvlText w:val="☐"/>
      <w:numFmt w:val="bullet"/>
      <w:start w:val="1"/>
    </w:lvl>
  </w:abstractNum>
  <w:abstractNum w:abstractNumId="393">
    <w:nsid w:val="C56F860"/>
    <w:multiLevelType w:val="hybridMultilevel"/>
    <w:lvl w:ilvl="0">
      <w:lvlJc w:val="left"/>
      <w:lvlText w:val="☐"/>
      <w:numFmt w:val="bullet"/>
      <w:start w:val="1"/>
    </w:lvl>
  </w:abstractNum>
  <w:abstractNum w:abstractNumId="394">
    <w:nsid w:val="64D17722"/>
    <w:multiLevelType w:val="hybridMultilevel"/>
    <w:lvl w:ilvl="0">
      <w:lvlJc w:val="left"/>
      <w:lvlText w:val="(%1)"/>
      <w:numFmt w:val="decimal"/>
      <w:start w:val="1"/>
    </w:lvl>
  </w:abstractNum>
  <w:abstractNum w:abstractNumId="395">
    <w:nsid w:val="7924CA0A"/>
    <w:multiLevelType w:val="hybridMultilevel"/>
    <w:lvl w:ilvl="0">
      <w:lvlJc w:val="left"/>
      <w:lvlText w:val="(%1)"/>
      <w:numFmt w:val="lowerLetter"/>
      <w:start w:val="1"/>
    </w:lvl>
  </w:abstractNum>
  <w:abstractNum w:abstractNumId="396">
    <w:nsid w:val="CFD4EA7"/>
    <w:multiLevelType w:val="hybridMultilevel"/>
    <w:lvl w:ilvl="0">
      <w:lvlJc w:val="left"/>
      <w:lvlText w:val="(%1)"/>
      <w:numFmt w:val="lowerLetter"/>
      <w:start w:val="5"/>
    </w:lvl>
  </w:abstractNum>
  <w:abstractNum w:abstractNumId="397">
    <w:nsid w:val="232FCF4D"/>
    <w:multiLevelType w:val="hybridMultilevel"/>
    <w:lvl w:ilvl="0">
      <w:lvlJc w:val="left"/>
      <w:lvlText w:val="(%1)"/>
      <w:numFmt w:val="lowerLetter"/>
      <w:start w:val="1"/>
    </w:lvl>
  </w:abstractNum>
  <w:abstractNum w:abstractNumId="398">
    <w:nsid w:val="1EA21031"/>
    <w:multiLevelType w:val="hybridMultilevel"/>
    <w:lvl w:ilvl="0">
      <w:lvlJc w:val="left"/>
      <w:lvlText w:val="(%1)"/>
      <w:numFmt w:val="lowerLetter"/>
      <w:start w:val="1"/>
    </w:lvl>
  </w:abstractNum>
  <w:abstractNum w:abstractNumId="399">
    <w:nsid w:val="67A5A6B5"/>
    <w:multiLevelType w:val="hybridMultilevel"/>
    <w:lvl w:ilvl="0">
      <w:lvlJc w:val="left"/>
      <w:lvlText w:val="(%1)"/>
      <w:numFmt w:val="lowerLetter"/>
      <w:start w:val="3"/>
    </w:lvl>
  </w:abstractNum>
  <w:abstractNum w:abstractNumId="400">
    <w:nsid w:val="C2A5C5B"/>
    <w:multiLevelType w:val="hybridMultilevel"/>
    <w:lvl w:ilvl="0">
      <w:lvlJc w:val="left"/>
      <w:lvlText w:val="(%1)"/>
      <w:numFmt w:val="lowerLetter"/>
      <w:start w:val="24"/>
    </w:lvl>
    <w:lvl w:ilvl="1">
      <w:lvlJc w:val="left"/>
      <w:lvlText w:val="(%2)"/>
      <w:numFmt w:val="lowerLetter"/>
      <w:start w:val="2"/>
    </w:lvl>
  </w:abstractNum>
  <w:abstractNum w:abstractNumId="401">
    <w:nsid w:val="5F94DC03"/>
    <w:multiLevelType w:val="hybridMultilevel"/>
    <w:lvl w:ilvl="0">
      <w:lvlJc w:val="left"/>
      <w:lvlText w:val="(%1)"/>
      <w:numFmt w:val="lowerLetter"/>
      <w:start w:val="1"/>
    </w:lvl>
  </w:abstractNum>
  <w:abstractNum w:abstractNumId="402">
    <w:nsid w:val="237BBCA0"/>
    <w:multiLevelType w:val="hybridMultilevel"/>
    <w:lvl w:ilvl="0">
      <w:lvlJc w:val="left"/>
      <w:lvlText w:val="(%1)"/>
      <w:numFmt w:val="lowerLetter"/>
      <w:start w:val="2"/>
    </w:lvl>
  </w:abstractNum>
  <w:abstractNum w:abstractNumId="403">
    <w:nsid w:val="162EB70D"/>
    <w:multiLevelType w:val="hybridMultilevel"/>
    <w:lvl w:ilvl="0">
      <w:lvlJc w:val="left"/>
      <w:lvlText w:val="%1)"/>
      <w:numFmt w:val="decimal"/>
      <w:start w:val="1"/>
    </w:lvl>
    <w:lvl w:ilvl="1">
      <w:lvlJc w:val="left"/>
      <w:lvlText w:val="%2)"/>
      <w:numFmt w:val="lowerLetter"/>
      <w:start w:val="1"/>
    </w:lvl>
  </w:abstractNum>
  <w:abstractNum w:abstractNumId="404">
    <w:nsid w:val="78070222"/>
    <w:multiLevelType w:val="hybridMultilevel"/>
    <w:lvl w:ilvl="0">
      <w:lvlJc w:val="left"/>
      <w:lvlText w:val="%1)"/>
      <w:numFmt w:val="decimal"/>
      <w:start w:val="1"/>
    </w:lvl>
    <w:lvl w:ilvl="1">
      <w:lvlJc w:val="left"/>
      <w:lvlText w:val="%2)"/>
      <w:numFmt w:val="lowerLetter"/>
      <w:start w:val="1"/>
    </w:lvl>
  </w:abstractNum>
  <w:abstractNum w:abstractNumId="405">
    <w:nsid w:val="6163ED0D"/>
    <w:multiLevelType w:val="hybridMultilevel"/>
    <w:lvl w:ilvl="0">
      <w:lvlJc w:val="left"/>
      <w:lvlText w:val="(%1)"/>
      <w:numFmt w:val="decimal"/>
      <w:start w:val="1"/>
    </w:lvl>
  </w:abstractNum>
  <w:abstractNum w:abstractNumId="406">
    <w:nsid w:val="C600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2019-12-10T00:03:46Z</dcterms:created>
  <dcterms:modified xsi:type="dcterms:W3CDTF">2019-12-10T00:03:46Z</dcterms:modified>
</cp:coreProperties>
</file>