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22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left="2240" w:right="14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May 03,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5915025</wp:posOffset>
            </wp:positionH>
            <wp:positionV relativeFrom="paragraph">
              <wp:posOffset>161925</wp:posOffset>
            </wp:positionV>
            <wp:extent cx="497205" cy="2470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205" cy="2470150"/>
                    </a:xfrm>
                    <a:prstGeom prst="rect">
                      <a:avLst/>
                    </a:prstGeom>
                    <a:noFill/>
                  </pic:spPr>
                </pic:pic>
              </a:graphicData>
            </a:graphic>
          </wp:anchor>
        </w:drawing>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392"/>
        </w:trPr>
        <w:tc>
          <w:tcPr>
            <w:tcW w:w="4320" w:type="dxa"/>
            <w:vAlign w:val="bottom"/>
            <w:tcBorders>
              <w:right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Meeting Information</w:t>
            </w:r>
          </w:p>
        </w:tc>
        <w:tc>
          <w:tcPr>
            <w:tcW w:w="134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shd w:val="clear" w:color="auto" w:fill="000000"/>
          </w:tcPr>
          <w:p>
            <w:pPr>
              <w:spacing w:after="0"/>
              <w:rPr>
                <w:sz w:val="24"/>
                <w:szCs w:val="24"/>
                <w:color w:val="auto"/>
              </w:rPr>
            </w:pPr>
          </w:p>
        </w:tc>
      </w:tr>
      <w:tr>
        <w:trPr>
          <w:trHeight w:val="329"/>
        </w:trPr>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i w:val="1"/>
                <w:iCs w:val="1"/>
                <w:color w:val="auto"/>
              </w:rPr>
              <w:t>FEDERAL REALTY INVESTMENT TRUST</w:t>
            </w:r>
          </w:p>
        </w:tc>
        <w:tc>
          <w:tcPr>
            <w:tcW w:w="438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tc>
        <w:tc>
          <w:tcPr>
            <w:tcW w:w="20" w:type="dxa"/>
            <w:vAlign w:val="bottom"/>
            <w:shd w:val="clear" w:color="auto" w:fill="000000"/>
          </w:tcPr>
          <w:p>
            <w:pPr>
              <w:spacing w:after="0"/>
              <w:rPr>
                <w:sz w:val="24"/>
                <w:szCs w:val="24"/>
                <w:color w:val="auto"/>
              </w:rPr>
            </w:pPr>
          </w:p>
        </w:tc>
      </w:tr>
      <w:tr>
        <w:trPr>
          <w:trHeight w:val="311"/>
        </w:trPr>
        <w:tc>
          <w:tcPr>
            <w:tcW w:w="4320" w:type="dxa"/>
            <w:vAlign w:val="bottom"/>
            <w:tcBorders>
              <w:right w:val="single" w:sz="8" w:color="auto"/>
            </w:tcBorders>
          </w:tcPr>
          <w:p>
            <w:pPr>
              <w:spacing w:after="0"/>
              <w:rPr>
                <w:sz w:val="24"/>
                <w:szCs w:val="24"/>
                <w:color w:val="auto"/>
              </w:rPr>
            </w:pPr>
          </w:p>
        </w:tc>
        <w:tc>
          <w:tcPr>
            <w:tcW w:w="438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14, 2017</w:t>
            </w:r>
          </w:p>
        </w:tc>
        <w:tc>
          <w:tcPr>
            <w:tcW w:w="20" w:type="dxa"/>
            <w:vAlign w:val="bottom"/>
            <w:shd w:val="clear" w:color="auto" w:fill="000000"/>
          </w:tcPr>
          <w:p>
            <w:pPr>
              <w:spacing w:after="0"/>
              <w:rPr>
                <w:sz w:val="24"/>
                <w:szCs w:val="24"/>
                <w:color w:val="auto"/>
              </w:rPr>
            </w:pPr>
          </w:p>
        </w:tc>
      </w:tr>
      <w:tr>
        <w:trPr>
          <w:trHeight w:val="311"/>
        </w:trPr>
        <w:tc>
          <w:tcPr>
            <w:tcW w:w="4320" w:type="dxa"/>
            <w:vAlign w:val="bottom"/>
            <w:tcBorders>
              <w:right w:val="single" w:sz="8" w:color="auto"/>
            </w:tcBorders>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 xml:space="preserve">Date: </w:t>
            </w:r>
            <w:r>
              <w:rPr>
                <w:rFonts w:ascii="Arial" w:cs="Arial" w:eastAsia="Arial" w:hAnsi="Arial"/>
                <w:sz w:val="18"/>
                <w:szCs w:val="18"/>
                <w:color w:val="auto"/>
                <w:w w:val="99"/>
              </w:rPr>
              <w:t>May 03, 2017</w:t>
            </w:r>
          </w:p>
        </w:tc>
        <w:tc>
          <w:tcPr>
            <w:tcW w:w="26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EDT</w:t>
            </w:r>
          </w:p>
        </w:tc>
        <w:tc>
          <w:tcPr>
            <w:tcW w:w="20" w:type="dxa"/>
            <w:vAlign w:val="bottom"/>
            <w:shd w:val="clear" w:color="auto" w:fill="000000"/>
          </w:tcPr>
          <w:p>
            <w:pPr>
              <w:spacing w:after="0"/>
              <w:rPr>
                <w:sz w:val="24"/>
                <w:szCs w:val="24"/>
                <w:color w:val="auto"/>
              </w:rPr>
            </w:pPr>
          </w:p>
        </w:tc>
      </w:tr>
      <w:tr>
        <w:trPr>
          <w:trHeight w:val="304"/>
        </w:trPr>
        <w:tc>
          <w:tcPr>
            <w:tcW w:w="4320" w:type="dxa"/>
            <w:vAlign w:val="bottom"/>
            <w:tcBorders>
              <w:right w:val="single" w:sz="8" w:color="auto"/>
            </w:tcBorders>
          </w:tcPr>
          <w:p>
            <w:pPr>
              <w:spacing w:after="0"/>
              <w:rPr>
                <w:sz w:val="24"/>
                <w:szCs w:val="24"/>
                <w:color w:val="auto"/>
              </w:rPr>
            </w:pPr>
          </w:p>
        </w:tc>
        <w:tc>
          <w:tcPr>
            <w:tcW w:w="438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AMP by Strathmore</w:t>
            </w:r>
          </w:p>
        </w:tc>
        <w:tc>
          <w:tcPr>
            <w:tcW w:w="20" w:type="dxa"/>
            <w:vAlign w:val="bottom"/>
            <w:shd w:val="clear" w:color="auto" w:fill="000000"/>
          </w:tcPr>
          <w:p>
            <w:pPr>
              <w:spacing w:after="0"/>
              <w:rPr>
                <w:sz w:val="24"/>
                <w:szCs w:val="24"/>
                <w:color w:val="auto"/>
              </w:rPr>
            </w:pPr>
          </w:p>
        </w:tc>
      </w:tr>
      <w:tr>
        <w:trPr>
          <w:trHeight w:val="216"/>
        </w:trPr>
        <w:tc>
          <w:tcPr>
            <w:tcW w:w="4320" w:type="dxa"/>
            <w:vAlign w:val="bottom"/>
            <w:tcBorders>
              <w:right w:val="single" w:sz="8" w:color="auto"/>
            </w:tcBorders>
          </w:tcPr>
          <w:p>
            <w:pPr>
              <w:spacing w:after="0"/>
              <w:rPr>
                <w:sz w:val="18"/>
                <w:szCs w:val="18"/>
                <w:color w:val="auto"/>
              </w:rPr>
            </w:pPr>
          </w:p>
        </w:tc>
        <w:tc>
          <w:tcPr>
            <w:tcW w:w="4380" w:type="dxa"/>
            <w:vAlign w:val="bottom"/>
            <w:gridSpan w:val="4"/>
          </w:tcPr>
          <w:p>
            <w:pPr>
              <w:ind w:left="1000"/>
              <w:spacing w:after="0"/>
              <w:rPr>
                <w:sz w:val="20"/>
                <w:szCs w:val="20"/>
                <w:color w:val="auto"/>
              </w:rPr>
            </w:pPr>
            <w:r>
              <w:rPr>
                <w:rFonts w:ascii="Arial" w:cs="Arial" w:eastAsia="Arial" w:hAnsi="Arial"/>
                <w:sz w:val="18"/>
                <w:szCs w:val="18"/>
                <w:color w:val="auto"/>
              </w:rPr>
              <w:t>11810 Grand Park Avenue</w:t>
            </w:r>
          </w:p>
        </w:tc>
        <w:tc>
          <w:tcPr>
            <w:tcW w:w="20" w:type="dxa"/>
            <w:vAlign w:val="bottom"/>
            <w:shd w:val="clear" w:color="auto" w:fill="000000"/>
          </w:tcPr>
          <w:p>
            <w:pPr>
              <w:spacing w:after="0"/>
              <w:rPr>
                <w:sz w:val="18"/>
                <w:szCs w:val="18"/>
                <w:color w:val="auto"/>
              </w:rPr>
            </w:pPr>
          </w:p>
        </w:tc>
      </w:tr>
      <w:tr>
        <w:trPr>
          <w:trHeight w:val="231"/>
        </w:trPr>
        <w:tc>
          <w:tcPr>
            <w:tcW w:w="4320" w:type="dxa"/>
            <w:vAlign w:val="bottom"/>
            <w:tcBorders>
              <w:right w:val="single" w:sz="8" w:color="auto"/>
            </w:tcBorders>
          </w:tcPr>
          <w:p>
            <w:pPr>
              <w:spacing w:after="0"/>
              <w:rPr>
                <w:sz w:val="20"/>
                <w:szCs w:val="20"/>
                <w:color w:val="auto"/>
              </w:rPr>
            </w:pPr>
          </w:p>
        </w:tc>
        <w:tc>
          <w:tcPr>
            <w:tcW w:w="4380" w:type="dxa"/>
            <w:vAlign w:val="bottom"/>
            <w:tcBorders>
              <w:bottom w:val="single" w:sz="8" w:color="auto"/>
            </w:tcBorders>
            <w:gridSpan w:val="4"/>
          </w:tcPr>
          <w:p>
            <w:pPr>
              <w:ind w:left="1000"/>
              <w:spacing w:after="0"/>
              <w:rPr>
                <w:sz w:val="20"/>
                <w:szCs w:val="20"/>
                <w:color w:val="auto"/>
              </w:rPr>
            </w:pPr>
            <w:r>
              <w:rPr>
                <w:rFonts w:ascii="Arial" w:cs="Arial" w:eastAsia="Arial" w:hAnsi="Arial"/>
                <w:sz w:val="18"/>
                <w:szCs w:val="18"/>
                <w:color w:val="auto"/>
              </w:rPr>
              <w:t>North Bethesda, MD</w:t>
            </w:r>
          </w:p>
        </w:tc>
        <w:tc>
          <w:tcPr>
            <w:tcW w:w="20" w:type="dxa"/>
            <w:vAlign w:val="bottom"/>
            <w:tcBorders>
              <w:bottom w:val="single" w:sz="8" w:color="auto"/>
            </w:tcBorders>
            <w:shd w:val="clear" w:color="auto" w:fill="000000"/>
          </w:tcPr>
          <w:p>
            <w:pPr>
              <w:spacing w:after="0"/>
              <w:rPr>
                <w:sz w:val="20"/>
                <w:szCs w:val="20"/>
                <w:color w:val="auto"/>
              </w:rPr>
            </w:pPr>
          </w:p>
        </w:tc>
      </w:tr>
      <w:tr>
        <w:trPr>
          <w:trHeight w:val="410"/>
        </w:trPr>
        <w:tc>
          <w:tcPr>
            <w:tcW w:w="4320" w:type="dxa"/>
            <w:vAlign w:val="bottom"/>
          </w:tcPr>
          <w:p>
            <w:pPr>
              <w:spacing w:after="0"/>
              <w:rPr>
                <w:sz w:val="24"/>
                <w:szCs w:val="24"/>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w w:val="97"/>
              </w:rPr>
              <w:t>You are receiving this communication because you hold</w:t>
            </w:r>
          </w:p>
        </w:tc>
        <w:tc>
          <w:tcPr>
            <w:tcW w:w="20" w:type="dxa"/>
            <w:vAlign w:val="bottom"/>
          </w:tcPr>
          <w:p>
            <w:pPr>
              <w:spacing w:after="0"/>
              <w:rPr>
                <w:sz w:val="24"/>
                <w:szCs w:val="24"/>
                <w:color w:val="auto"/>
              </w:rPr>
            </w:pPr>
          </w:p>
        </w:tc>
      </w:tr>
      <w:tr>
        <w:trPr>
          <w:trHeight w:val="222"/>
        </w:trPr>
        <w:tc>
          <w:tcPr>
            <w:tcW w:w="4320" w:type="dxa"/>
            <w:vAlign w:val="bottom"/>
          </w:tcPr>
          <w:p>
            <w:pPr>
              <w:spacing w:after="0"/>
              <w:rPr>
                <w:sz w:val="19"/>
                <w:szCs w:val="19"/>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shares in the above named company.</w:t>
            </w:r>
          </w:p>
        </w:tc>
        <w:tc>
          <w:tcPr>
            <w:tcW w:w="20" w:type="dxa"/>
            <w:vAlign w:val="bottom"/>
          </w:tcPr>
          <w:p>
            <w:pPr>
              <w:spacing w:after="0"/>
              <w:rPr>
                <w:sz w:val="19"/>
                <w:szCs w:val="19"/>
                <w:color w:val="auto"/>
              </w:rPr>
            </w:pPr>
          </w:p>
        </w:tc>
      </w:tr>
      <w:tr>
        <w:trPr>
          <w:trHeight w:val="426"/>
        </w:trPr>
        <w:tc>
          <w:tcPr>
            <w:tcW w:w="4320" w:type="dxa"/>
            <w:vAlign w:val="bottom"/>
          </w:tcPr>
          <w:p>
            <w:pPr>
              <w:spacing w:after="0"/>
              <w:rPr>
                <w:sz w:val="24"/>
                <w:szCs w:val="24"/>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w w:val="91"/>
              </w:rPr>
              <w:t>This is not a ballot. You cannot use this notice to vote these</w:t>
            </w:r>
          </w:p>
        </w:tc>
        <w:tc>
          <w:tcPr>
            <w:tcW w:w="20" w:type="dxa"/>
            <w:vAlign w:val="bottom"/>
          </w:tcPr>
          <w:p>
            <w:pPr>
              <w:spacing w:after="0"/>
              <w:rPr>
                <w:sz w:val="24"/>
                <w:szCs w:val="24"/>
                <w:color w:val="auto"/>
              </w:rPr>
            </w:pPr>
          </w:p>
        </w:tc>
      </w:tr>
      <w:tr>
        <w:trPr>
          <w:trHeight w:val="216"/>
        </w:trPr>
        <w:tc>
          <w:tcPr>
            <w:tcW w:w="43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w w:val="89"/>
              </w:rPr>
              <w:t>shares. This communication presents only an overview of the</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w w:val="93"/>
              </w:rPr>
              <w:t>more complete proxy materials that are available to you on</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w w:val="98"/>
              </w:rPr>
              <w:t>the Internet. You may view the proxy materials online at</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i w:val="1"/>
                <w:iCs w:val="1"/>
                <w:color w:val="auto"/>
                <w:w w:val="97"/>
              </w:rPr>
              <w:t xml:space="preserve">www.proxyvote.com </w:t>
            </w:r>
            <w:r>
              <w:rPr>
                <w:rFonts w:ascii="Arial" w:cs="Arial" w:eastAsia="Arial" w:hAnsi="Arial"/>
                <w:sz w:val="18"/>
                <w:szCs w:val="18"/>
                <w:color w:val="auto"/>
                <w:w w:val="97"/>
              </w:rPr>
              <w:t>or easily request a paper copy (see</w:t>
            </w:r>
          </w:p>
        </w:tc>
        <w:tc>
          <w:tcPr>
            <w:tcW w:w="2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reverse side).</w:t>
            </w: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4320" w:type="dxa"/>
            <w:vAlign w:val="bottom"/>
          </w:tcPr>
          <w:p>
            <w:pPr>
              <w:spacing w:after="0"/>
              <w:rPr>
                <w:sz w:val="24"/>
                <w:szCs w:val="24"/>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w w:val="91"/>
              </w:rPr>
              <w:t>We encourage you to access and review all of the important</w:t>
            </w:r>
          </w:p>
        </w:tc>
        <w:tc>
          <w:tcPr>
            <w:tcW w:w="20" w:type="dxa"/>
            <w:vAlign w:val="bottom"/>
          </w:tcPr>
          <w:p>
            <w:pPr>
              <w:spacing w:after="0"/>
              <w:rPr>
                <w:sz w:val="24"/>
                <w:szCs w:val="24"/>
                <w:color w:val="auto"/>
              </w:rPr>
            </w:pPr>
          </w:p>
        </w:tc>
      </w:tr>
      <w:tr>
        <w:trPr>
          <w:trHeight w:val="222"/>
        </w:trPr>
        <w:tc>
          <w:tcPr>
            <w:tcW w:w="4320" w:type="dxa"/>
            <w:vAlign w:val="bottom"/>
          </w:tcPr>
          <w:p>
            <w:pPr>
              <w:spacing w:after="0"/>
              <w:rPr>
                <w:sz w:val="19"/>
                <w:szCs w:val="19"/>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w w:val="94"/>
              </w:rPr>
              <w:t>information contained in the proxy materials before voting.</w:t>
            </w:r>
          </w:p>
        </w:tc>
        <w:tc>
          <w:tcPr>
            <w:tcW w:w="20" w:type="dxa"/>
            <w:vAlign w:val="bottom"/>
          </w:tcPr>
          <w:p>
            <w:pPr>
              <w:spacing w:after="0"/>
              <w:rPr>
                <w:sz w:val="19"/>
                <w:szCs w:val="19"/>
                <w:color w:val="auto"/>
              </w:rPr>
            </w:pPr>
          </w:p>
        </w:tc>
      </w:tr>
      <w:tr>
        <w:trPr>
          <w:trHeight w:val="164"/>
        </w:trPr>
        <w:tc>
          <w:tcPr>
            <w:tcW w:w="4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4320" w:type="dxa"/>
            <w:vAlign w:val="bottom"/>
            <w:tcBorders>
              <w:right w:val="single" w:sz="8" w:color="auto"/>
            </w:tcBorders>
          </w:tcPr>
          <w:p>
            <w:pPr>
              <w:spacing w:after="0"/>
              <w:rPr>
                <w:sz w:val="17"/>
                <w:szCs w:val="17"/>
                <w:color w:val="auto"/>
              </w:rPr>
            </w:pPr>
          </w:p>
        </w:tc>
        <w:tc>
          <w:tcPr>
            <w:tcW w:w="4380" w:type="dxa"/>
            <w:vAlign w:val="bottom"/>
            <w:gridSpan w:val="4"/>
            <w:shd w:val="clear" w:color="auto" w:fill="000000"/>
          </w:tcPr>
          <w:p>
            <w:pPr>
              <w:ind w:left="100"/>
              <w:spacing w:after="0" w:line="201" w:lineRule="exact"/>
              <w:rPr>
                <w:sz w:val="20"/>
                <w:szCs w:val="20"/>
                <w:color w:val="auto"/>
              </w:rPr>
            </w:pPr>
            <w:r>
              <w:rPr>
                <w:rFonts w:ascii="Arial" w:cs="Arial" w:eastAsia="Arial" w:hAnsi="Arial"/>
                <w:sz w:val="18"/>
                <w:szCs w:val="18"/>
                <w:b w:val="1"/>
                <w:bCs w:val="1"/>
                <w:color w:val="FFFFFF"/>
                <w:w w:val="99"/>
              </w:rPr>
              <w:t>See the reverse side of this notice to obtain proxy</w:t>
            </w:r>
          </w:p>
        </w:tc>
        <w:tc>
          <w:tcPr>
            <w:tcW w:w="20" w:type="dxa"/>
            <w:vAlign w:val="bottom"/>
          </w:tcPr>
          <w:p>
            <w:pPr>
              <w:spacing w:after="0"/>
              <w:rPr>
                <w:sz w:val="17"/>
                <w:szCs w:val="17"/>
                <w:color w:val="auto"/>
              </w:rPr>
            </w:pPr>
          </w:p>
        </w:tc>
      </w:tr>
      <w:tr>
        <w:trPr>
          <w:trHeight w:val="230"/>
        </w:trPr>
        <w:tc>
          <w:tcPr>
            <w:tcW w:w="4320" w:type="dxa"/>
            <w:vAlign w:val="bottom"/>
            <w:tcBorders>
              <w:right w:val="single" w:sz="8" w:color="auto"/>
            </w:tcBorders>
          </w:tcPr>
          <w:p>
            <w:pPr>
              <w:spacing w:after="0"/>
              <w:rPr>
                <w:sz w:val="20"/>
                <w:szCs w:val="20"/>
                <w:color w:val="auto"/>
              </w:rPr>
            </w:pPr>
          </w:p>
        </w:tc>
        <w:tc>
          <w:tcPr>
            <w:tcW w:w="4380" w:type="dxa"/>
            <w:vAlign w:val="bottom"/>
            <w:gridSpan w:val="4"/>
            <w:shd w:val="clear" w:color="auto" w:fill="000000"/>
          </w:tcPr>
          <w:p>
            <w:pPr>
              <w:ind w:left="100"/>
              <w:spacing w:after="0"/>
              <w:rPr>
                <w:sz w:val="20"/>
                <w:szCs w:val="20"/>
                <w:color w:val="auto"/>
              </w:rPr>
            </w:pPr>
            <w:r>
              <w:rPr>
                <w:rFonts w:ascii="Arial" w:cs="Arial" w:eastAsia="Arial" w:hAnsi="Arial"/>
                <w:sz w:val="18"/>
                <w:szCs w:val="18"/>
                <w:b w:val="1"/>
                <w:bCs w:val="1"/>
                <w:color w:val="FFFFFF"/>
              </w:rPr>
              <w:t>materials and voting instructions.</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-2572385</wp:posOffset>
            </wp:positionV>
            <wp:extent cx="3302000" cy="2204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00" cy="2204085"/>
                    </a:xfrm>
                    <a:prstGeom prst="rect">
                      <a:avLst/>
                    </a:prstGeom>
                    <a:noFill/>
                  </pic:spPr>
                </pic:pic>
              </a:graphicData>
            </a:graphic>
          </wp:anchor>
        </w:drawing>
        <w:drawing>
          <wp:anchor simplePos="0" relativeHeight="251657728" behindDoc="1" locked="0" layoutInCell="0" allowOverlap="1">
            <wp:simplePos x="0" y="0"/>
            <wp:positionH relativeFrom="column">
              <wp:posOffset>5212080</wp:posOffset>
            </wp:positionH>
            <wp:positionV relativeFrom="paragraph">
              <wp:posOffset>51435</wp:posOffset>
            </wp:positionV>
            <wp:extent cx="1200785"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785" cy="523240"/>
                    </a:xfrm>
                    <a:prstGeom prst="rect">
                      <a:avLst/>
                    </a:prstGeom>
                    <a:noFill/>
                  </pic:spPr>
                </pic:pic>
              </a:graphicData>
            </a:graphic>
          </wp:anchor>
        </w:drawing>
      </w:r>
    </w:p>
    <w:p>
      <w:pPr>
        <w:sectPr>
          <w:pgSz w:w="11900" w:h="16838" w:orient="portrait"/>
          <w:cols w:equalWidth="0" w:num="1">
            <w:col w:w="9040"/>
          </w:cols>
          <w:pgMar w:left="1440" w:top="274" w:right="1419" w:bottom="1440" w:gutter="0" w:footer="0" w:header="0"/>
        </w:sectPr>
      </w:pPr>
    </w:p>
    <w:bookmarkStart w:id="3" w:name="page4"/>
    <w:bookmarkEnd w:id="3"/>
    <w:p>
      <w:pPr>
        <w:jc w:val="center"/>
        <w:ind w:lef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w:t>
      </w:r>
      <w:r>
        <w:rPr>
          <w:rFonts w:ascii="Arial" w:cs="Arial" w:eastAsia="Arial" w:hAnsi="Arial"/>
          <w:sz w:val="18"/>
          <w:szCs w:val="18"/>
          <w:b w:val="1"/>
          <w:bCs w:val="1"/>
          <w:color w:val="auto"/>
        </w:rPr>
        <w:t>Before You Vote</w:t>
      </w:r>
      <w:r>
        <w:rPr>
          <w:rFonts w:ascii="Arial" w:cs="Arial" w:eastAsia="Arial" w:hAnsi="Arial"/>
          <w:sz w:val="18"/>
          <w:szCs w:val="18"/>
          <w:color w:val="auto"/>
        </w:rPr>
        <w:t xml:space="preserve"> —</w:t>
      </w:r>
    </w:p>
    <w:p>
      <w:pPr>
        <w:spacing w:after="0" w:line="2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109855</wp:posOffset>
            </wp:positionV>
            <wp:extent cx="6311900" cy="2787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1900" cy="27870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96"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1. Notice of Annual Meeting of Shareholders &amp; Proxy Statement</w:t>
      </w:r>
      <w:r>
        <w:rPr>
          <w:sz w:val="20"/>
          <w:szCs w:val="20"/>
          <w:color w:val="auto"/>
        </w:rPr>
        <w:tab/>
      </w:r>
      <w:r>
        <w:rPr>
          <w:rFonts w:ascii="Arial" w:cs="Arial" w:eastAsia="Arial" w:hAnsi="Arial"/>
          <w:sz w:val="16"/>
          <w:szCs w:val="16"/>
          <w:color w:val="auto"/>
        </w:rPr>
        <w:t>2. Annual Report/Form 10-K Wrap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43330" cy="102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124"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62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440" w:type="dxa"/>
            <w:vAlign w:val="bottom"/>
          </w:tcPr>
          <w:p>
            <w:pPr>
              <w:ind w:left="32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62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440" w:type="dxa"/>
            <w:vAlign w:val="bottom"/>
          </w:tcPr>
          <w:p>
            <w:pPr>
              <w:ind w:left="320"/>
              <w:spacing w:after="0"/>
              <w:rPr>
                <w:sz w:val="20"/>
                <w:szCs w:val="20"/>
                <w:color w:val="auto"/>
              </w:rPr>
            </w:pPr>
            <w:r>
              <w:rPr>
                <w:rFonts w:ascii="Arial" w:cs="Arial" w:eastAsia="Arial" w:hAnsi="Arial"/>
                <w:sz w:val="18"/>
                <w:szCs w:val="18"/>
                <w:color w:val="auto"/>
              </w:rPr>
              <w:t>1-800-579-1639</w:t>
            </w:r>
          </w:p>
        </w:tc>
      </w:t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62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440" w:type="dxa"/>
            <w:vAlign w:val="bottom"/>
          </w:tcPr>
          <w:p>
            <w:pPr>
              <w:ind w:left="320"/>
              <w:spacing w:after="0"/>
              <w:rPr>
                <w:sz w:val="20"/>
                <w:szCs w:val="20"/>
                <w:color w:val="auto"/>
              </w:rPr>
            </w:pPr>
            <w:r>
              <w:rPr>
                <w:rFonts w:ascii="Arial" w:cs="Arial" w:eastAsia="Arial" w:hAnsi="Arial"/>
                <w:sz w:val="18"/>
                <w:szCs w:val="18"/>
                <w:color w:val="auto"/>
                <w:w w:val="88"/>
              </w:rPr>
              <w:t>sendmaterial@proxyvote.com</w:t>
            </w:r>
          </w:p>
        </w:tc>
      </w:tr>
    </w:tbl>
    <w:p>
      <w:pPr>
        <w:spacing w:after="0" w:line="196" w:lineRule="exact"/>
        <w:rPr>
          <w:sz w:val="20"/>
          <w:szCs w:val="20"/>
          <w:color w:val="auto"/>
        </w:rPr>
      </w:pPr>
    </w:p>
    <w:p>
      <w:pPr>
        <w:ind w:left="180" w:hanging="176"/>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requesting materials by e-mail, please send a blank e-mail with the information that is printed in the box marked by the arrow</w:t>
      </w:r>
    </w:p>
    <w:p>
      <w:pPr>
        <w:spacing w:after="0" w:line="38"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243330" cy="1028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19, 2017 to facilitate timely delivery.</w:t>
      </w:r>
    </w:p>
    <w:p>
      <w:pPr>
        <w:spacing w:after="0" w:line="342"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How To Vote</w:t>
      </w:r>
      <w:r>
        <w:rPr>
          <w:rFonts w:ascii="Arial" w:cs="Arial" w:eastAsia="Arial" w:hAnsi="Arial"/>
          <w:sz w:val="18"/>
          <w:szCs w:val="18"/>
          <w:color w:val="auto"/>
        </w:rPr>
        <w:t xml:space="preserve"> —</w:t>
      </w:r>
    </w:p>
    <w:p>
      <w:pPr>
        <w:spacing w:after="0" w:line="2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109855</wp:posOffset>
            </wp:positionV>
            <wp:extent cx="7075170" cy="132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5170" cy="1320800"/>
                    </a:xfrm>
                    <a:prstGeom prst="rect">
                      <a:avLst/>
                    </a:prstGeom>
                    <a:noFill/>
                  </pic:spPr>
                </pic:pic>
              </a:graphicData>
            </a:graphic>
          </wp:anchor>
        </w:drawing>
      </w:r>
    </w:p>
    <w:p>
      <w:pPr>
        <w:spacing w:after="0" w:line="2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If you choose to vote these shares in person at the meeting, you must request a “</w:t>
      </w:r>
      <w:r>
        <w:rPr>
          <w:rFonts w:ascii="Arial" w:cs="Arial" w:eastAsia="Arial" w:hAnsi="Arial"/>
          <w:sz w:val="16"/>
          <w:szCs w:val="16"/>
          <w:i w:val="1"/>
          <w:iCs w:val="1"/>
          <w:color w:val="auto"/>
        </w:rPr>
        <w:t>legal proxy.</w:t>
      </w:r>
      <w:r>
        <w:rPr>
          <w:rFonts w:ascii="Arial" w:cs="Arial" w:eastAsia="Arial" w:hAnsi="Arial"/>
          <w:sz w:val="16"/>
          <w:szCs w:val="16"/>
          <w:color w:val="auto"/>
        </w:rPr>
        <w:t>” To do so, please follow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instructions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information that is printed in the box marked by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43330" cy="102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which will include a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Internal Use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Only</w:t>
      </w:r>
    </w:p>
    <w:p>
      <w:pPr>
        <w:sectPr>
          <w:pgSz w:w="11900" w:h="16838" w:orient="portrait"/>
          <w:cols w:equalWidth="0" w:num="2">
            <w:col w:w="9420" w:space="260"/>
            <w:col w:w="880"/>
          </w:cols>
          <w:pgMar w:left="1000" w:top="274" w:right="339" w:bottom="1440" w:gutter="0" w:footer="0" w:header="0"/>
        </w:sectPr>
      </w:pPr>
    </w:p>
    <w:bookmarkStart w:id="4" w:name="page5"/>
    <w:bookmarkEnd w:id="4"/>
    <w:p>
      <w:pPr>
        <w:jc w:val="cente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440690</wp:posOffset>
            </wp:positionH>
            <wp:positionV relativeFrom="page">
              <wp:posOffset>183515</wp:posOffset>
            </wp:positionV>
            <wp:extent cx="293306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33065" cy="171450"/>
                    </a:xfrm>
                    <a:prstGeom prst="rect">
                      <a:avLst/>
                    </a:prstGeom>
                    <a:noFill/>
                  </pic:spPr>
                </pic:pic>
              </a:graphicData>
            </a:graphic>
          </wp:anchor>
        </w:drawing>
        <w:t>Voting items</w:t>
      </w:r>
    </w:p>
    <w:p>
      <w:pPr>
        <w:spacing w:after="0" w:line="3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Board of Trustees recommends you vote FOR the following proposal(s):</w:t>
      </w:r>
    </w:p>
    <w:p>
      <w:pPr>
        <w:spacing w:after="0" w:line="26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Election of Trustees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Nominees</w:t>
      </w:r>
    </w:p>
    <w:p>
      <w:pPr>
        <w:spacing w:after="0" w:line="1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1A</w:t>
      </w:r>
      <w:r>
        <w:rPr>
          <w:sz w:val="20"/>
          <w:szCs w:val="20"/>
          <w:color w:val="auto"/>
        </w:rPr>
        <w:tab/>
      </w:r>
      <w:r>
        <w:rPr>
          <w:rFonts w:ascii="Arial" w:cs="Arial" w:eastAsia="Arial" w:hAnsi="Arial"/>
          <w:sz w:val="16"/>
          <w:szCs w:val="16"/>
          <w:color w:val="auto"/>
        </w:rPr>
        <w:t>Jon E. Bortz</w:t>
      </w:r>
    </w:p>
    <w:p>
      <w:pPr>
        <w:spacing w:after="0" w:line="11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1B</w:t>
      </w:r>
      <w:r>
        <w:rPr>
          <w:sz w:val="20"/>
          <w:szCs w:val="20"/>
          <w:color w:val="auto"/>
        </w:rPr>
        <w:tab/>
      </w:r>
      <w:r>
        <w:rPr>
          <w:rFonts w:ascii="Arial" w:cs="Arial" w:eastAsia="Arial" w:hAnsi="Arial"/>
          <w:sz w:val="15"/>
          <w:szCs w:val="15"/>
          <w:color w:val="auto"/>
        </w:rPr>
        <w:t>David W. Faeder</w:t>
      </w:r>
    </w:p>
    <w:p>
      <w:pPr>
        <w:spacing w:after="0" w:line="11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1C</w:t>
      </w:r>
      <w:r>
        <w:rPr>
          <w:sz w:val="20"/>
          <w:szCs w:val="20"/>
          <w:color w:val="auto"/>
        </w:rPr>
        <w:tab/>
      </w:r>
      <w:r>
        <w:rPr>
          <w:rFonts w:ascii="Arial" w:cs="Arial" w:eastAsia="Arial" w:hAnsi="Arial"/>
          <w:sz w:val="16"/>
          <w:szCs w:val="16"/>
          <w:color w:val="auto"/>
        </w:rPr>
        <w:t>Elizabeth I. Holland</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1D</w:t>
      </w:r>
      <w:r>
        <w:rPr>
          <w:sz w:val="20"/>
          <w:szCs w:val="20"/>
          <w:color w:val="auto"/>
        </w:rPr>
        <w:tab/>
      </w:r>
      <w:r>
        <w:rPr>
          <w:rFonts w:ascii="Arial" w:cs="Arial" w:eastAsia="Arial" w:hAnsi="Arial"/>
          <w:sz w:val="15"/>
          <w:szCs w:val="15"/>
          <w:color w:val="auto"/>
        </w:rPr>
        <w:t>Gail P. Steinel</w:t>
      </w:r>
    </w:p>
    <w:p>
      <w:pPr>
        <w:spacing w:after="0" w:line="11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1E</w:t>
      </w:r>
      <w:r>
        <w:rPr>
          <w:sz w:val="20"/>
          <w:szCs w:val="20"/>
          <w:color w:val="auto"/>
        </w:rPr>
        <w:tab/>
      </w:r>
      <w:r>
        <w:rPr>
          <w:rFonts w:ascii="Arial" w:cs="Arial" w:eastAsia="Arial" w:hAnsi="Arial"/>
          <w:sz w:val="15"/>
          <w:szCs w:val="15"/>
          <w:color w:val="auto"/>
        </w:rPr>
        <w:t>Warren M. Thompson</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1F</w:t>
      </w:r>
      <w:r>
        <w:rPr>
          <w:sz w:val="20"/>
          <w:szCs w:val="20"/>
          <w:color w:val="auto"/>
        </w:rPr>
        <w:tab/>
      </w:r>
      <w:r>
        <w:rPr>
          <w:rFonts w:ascii="Arial" w:cs="Arial" w:eastAsia="Arial" w:hAnsi="Arial"/>
          <w:sz w:val="15"/>
          <w:szCs w:val="15"/>
          <w:color w:val="auto"/>
        </w:rPr>
        <w:t>Joseph S. Vassalluzzo</w:t>
      </w:r>
    </w:p>
    <w:p>
      <w:pPr>
        <w:spacing w:after="0" w:line="1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1G</w:t>
      </w:r>
      <w:r>
        <w:rPr>
          <w:sz w:val="20"/>
          <w:szCs w:val="20"/>
          <w:color w:val="auto"/>
        </w:rPr>
        <w:tab/>
      </w:r>
      <w:r>
        <w:rPr>
          <w:rFonts w:ascii="Arial" w:cs="Arial" w:eastAsia="Arial" w:hAnsi="Arial"/>
          <w:sz w:val="16"/>
          <w:szCs w:val="16"/>
          <w:color w:val="auto"/>
        </w:rPr>
        <w:t>Donald C. Wood</w:t>
      </w:r>
    </w:p>
    <w:p>
      <w:pPr>
        <w:spacing w:after="0" w:line="11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Board of Trustees recommends you vote FOR the following proposal(s):</w:t>
      </w:r>
    </w:p>
    <w:p>
      <w:pPr>
        <w:spacing w:after="0" w:line="139" w:lineRule="exact"/>
        <w:rPr>
          <w:sz w:val="20"/>
          <w:szCs w:val="20"/>
          <w:color w:val="auto"/>
        </w:rPr>
      </w:pPr>
    </w:p>
    <w:p>
      <w:pPr>
        <w:ind w:left="440" w:right="40" w:hanging="431"/>
        <w:spacing w:after="0" w:line="306" w:lineRule="auto"/>
        <w:tabs>
          <w:tab w:leader="none" w:pos="403"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To ratify the appointment of Grant Thornton LLP as our independent registered public accounting firm for the fiscal year ending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-363855</wp:posOffset>
            </wp:positionV>
            <wp:extent cx="77470" cy="943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943610"/>
                    </a:xfrm>
                    <a:prstGeom prst="rect">
                      <a:avLst/>
                    </a:prstGeom>
                    <a:noFill/>
                  </pic:spPr>
                </pic:pic>
              </a:graphicData>
            </a:graphic>
          </wp:anchor>
        </w:drawing>
      </w:r>
    </w:p>
    <w:p>
      <w:pPr>
        <w:spacing w:after="0" w:line="154" w:lineRule="exact"/>
        <w:rPr>
          <w:sz w:val="20"/>
          <w:szCs w:val="20"/>
          <w:color w:val="auto"/>
        </w:rPr>
      </w:pPr>
    </w:p>
    <w:p>
      <w:pPr>
        <w:ind w:left="440" w:hanging="431"/>
        <w:spacing w:after="0" w:line="268" w:lineRule="auto"/>
        <w:tabs>
          <w:tab w:leader="none" w:pos="403"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To hold an advisory vote approving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1039"/>
        <w:spacing w:after="0" w:line="275" w:lineRule="auto"/>
        <w:rPr>
          <w:sz w:val="20"/>
          <w:szCs w:val="20"/>
          <w:color w:val="auto"/>
        </w:rPr>
      </w:pPr>
      <w:r>
        <w:rPr>
          <w:rFonts w:ascii="Arial" w:cs="Arial" w:eastAsia="Arial" w:hAnsi="Arial"/>
          <w:sz w:val="18"/>
          <w:szCs w:val="18"/>
          <w:b w:val="1"/>
          <w:bCs w:val="1"/>
          <w:color w:val="auto"/>
        </w:rPr>
        <w:t>The Board of Trustees recommends you vote 1 YEAR on the following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-677545</wp:posOffset>
            </wp:positionV>
            <wp:extent cx="7289165" cy="3327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32740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-677545</wp:posOffset>
            </wp:positionV>
            <wp:extent cx="7289165" cy="3327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327400"/>
                    </a:xfrm>
                    <a:prstGeom prst="rect">
                      <a:avLst/>
                    </a:prstGeom>
                    <a:noFill/>
                  </pic:spPr>
                </pic:pic>
              </a:graphicData>
            </a:graphic>
          </wp:anchor>
        </w:drawing>
      </w:r>
    </w:p>
    <w:p>
      <w:pPr>
        <w:spacing w:after="0" w:line="65" w:lineRule="exact"/>
        <w:rPr>
          <w:sz w:val="20"/>
          <w:szCs w:val="20"/>
          <w:color w:val="auto"/>
        </w:rPr>
      </w:pPr>
    </w:p>
    <w:p>
      <w:pPr>
        <w:ind w:left="440" w:right="919" w:hanging="433"/>
        <w:spacing w:after="0" w:line="259" w:lineRule="auto"/>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hold an advisory vote on the frequency of holding future votes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2006600</wp:posOffset>
            </wp:positionV>
            <wp:extent cx="3773170" cy="960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73170" cy="9607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2006600</wp:posOffset>
            </wp:positionV>
            <wp:extent cx="3773170" cy="960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73170" cy="960755"/>
                    </a:xfrm>
                    <a:prstGeom prst="rect">
                      <a:avLst/>
                    </a:prstGeom>
                    <a:noFill/>
                  </pic:spPr>
                </pic:pic>
              </a:graphicData>
            </a:graphic>
          </wp:anchor>
        </w:drawing>
      </w:r>
    </w:p>
    <w:p>
      <w:pPr>
        <w:sectPr>
          <w:pgSz w:w="11900" w:h="16838" w:orient="portrait"/>
          <w:cols w:equalWidth="0" w:num="2">
            <w:col w:w="4380" w:space="200"/>
            <w:col w:w="5059"/>
          </w:cols>
          <w:pgMar w:left="820" w:top="301" w:right="1440"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3340" w:type="dxa"/>
            <w:vAlign w:val="bottom"/>
            <w:tcBorders>
              <w:top w:val="single" w:sz="8" w:color="auto"/>
              <w:left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Voting items Continued</w:t>
            </w:r>
          </w:p>
        </w:tc>
        <w:tc>
          <w:tcPr>
            <w:tcW w:w="2300" w:type="dxa"/>
            <w:vAlign w:val="bottom"/>
            <w:tcBorders>
              <w:right w:val="single" w:sz="8" w:color="auto"/>
            </w:tcBorders>
          </w:tcPr>
          <w:p>
            <w:pPr>
              <w:spacing w:after="0"/>
              <w:rPr>
                <w:sz w:val="21"/>
                <w:szCs w:val="21"/>
                <w:color w:val="auto"/>
              </w:rPr>
            </w:pPr>
          </w:p>
        </w:tc>
        <w:tc>
          <w:tcPr>
            <w:tcW w:w="53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Reserved for Broadridge Internal Control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709295</wp:posOffset>
            </wp:positionV>
            <wp:extent cx="16897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97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6612255" cy="1071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THIS SPACE RESERVED FOR LANGUAGE PERTAINING TO</w:t>
      </w:r>
    </w:p>
    <w:p>
      <w:pPr>
        <w:spacing w:after="0" w:line="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BANKS AND BROKERS</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AS REQUIRED BY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298450</wp:posOffset>
            </wp:positionV>
            <wp:extent cx="7109460" cy="857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9460" cy="8578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Broadridge Internal Use Only</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Job #</w:t>
      </w:r>
    </w:p>
    <w:p>
      <w:pPr>
        <w:jc w:val="right"/>
        <w:spacing w:after="0" w:line="229" w:lineRule="auto"/>
        <w:tabs>
          <w:tab w:leader="none" w:pos="780" w:val="left"/>
        </w:tabs>
        <w:rPr>
          <w:sz w:val="20"/>
          <w:szCs w:val="20"/>
          <w:color w:val="auto"/>
        </w:rPr>
      </w:pPr>
      <w:r>
        <w:rPr>
          <w:rFonts w:ascii="Arial" w:cs="Arial" w:eastAsia="Arial" w:hAnsi="Arial"/>
          <w:sz w:val="16"/>
          <w:szCs w:val="16"/>
          <w:color w:val="auto"/>
        </w:rPr>
        <w:t>THIS SPACE RESERVED FOR SIGNATURES IF APPLICABLE</w:t>
      </w:r>
      <w:r>
        <w:rPr>
          <w:sz w:val="20"/>
          <w:szCs w:val="20"/>
          <w:color w:val="auto"/>
        </w:rPr>
        <w:tab/>
      </w:r>
      <w:r>
        <w:rPr>
          <w:rFonts w:ascii="Arial" w:cs="Arial" w:eastAsia="Arial" w:hAnsi="Arial"/>
          <w:sz w:val="23"/>
          <w:szCs w:val="23"/>
          <w:color w:val="auto"/>
          <w:vertAlign w:val="superscript"/>
        </w:rPr>
        <w:t>Envelope #</w:t>
      </w:r>
    </w:p>
    <w:p>
      <w:pPr>
        <w:jc w:val="right"/>
        <w:spacing w:after="0"/>
        <w:rPr>
          <w:sz w:val="20"/>
          <w:szCs w:val="20"/>
          <w:color w:val="auto"/>
        </w:rPr>
      </w:pPr>
      <w:r>
        <w:rPr>
          <w:rFonts w:ascii="Arial" w:cs="Arial" w:eastAsia="Arial" w:hAnsi="Arial"/>
          <w:sz w:val="18"/>
          <w:szCs w:val="18"/>
          <w:color w:val="auto"/>
        </w:rPr>
        <w:t>Sequence #</w:t>
      </w:r>
    </w:p>
    <w:p>
      <w:pPr>
        <w:spacing w:after="0" w:line="1" w:lineRule="exact"/>
        <w:rPr>
          <w:sz w:val="20"/>
          <w:szCs w:val="20"/>
          <w:color w:val="auto"/>
        </w:rPr>
      </w:pPr>
    </w:p>
    <w:p>
      <w:pPr>
        <w:ind w:left="10060"/>
        <w:spacing w:after="0"/>
        <w:rPr>
          <w:sz w:val="20"/>
          <w:szCs w:val="20"/>
          <w:color w:val="auto"/>
        </w:rPr>
      </w:pPr>
      <w:r>
        <w:rPr>
          <w:rFonts w:ascii="Arial" w:cs="Arial" w:eastAsia="Arial" w:hAnsi="Arial"/>
          <w:sz w:val="15"/>
          <w:szCs w:val="15"/>
          <w:color w:val="auto"/>
        </w:rPr>
        <w:t xml:space="preserve"># of # Sequence </w:t>
      </w:r>
      <w:r>
        <w:rPr>
          <w:rFonts w:ascii="Arial" w:cs="Arial" w:eastAsia="Arial" w:hAnsi="Arial"/>
          <w:sz w:val="15"/>
          <w:szCs w:val="15"/>
          <w:b w:val="1"/>
          <w:bCs w:val="1"/>
          <w:color w:val="auto"/>
        </w:rPr>
        <w:t>#</w:t>
      </w:r>
    </w:p>
    <w:sectPr>
      <w:pgSz w:w="11900" w:h="16838" w:orient="portrait"/>
      <w:cols w:equalWidth="0" w:num="1">
        <w:col w:w="11320"/>
      </w:cols>
      <w:pgMar w:left="240" w:top="2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2019-12-05T03:19:34Z</dcterms:created>
  <dcterms:modified xsi:type="dcterms:W3CDTF">2019-12-05T03:19:34Z</dcterms:modified>
</cp:coreProperties>
</file>