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333-160009</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91"/>
              </w:rPr>
              <w:t>Offering</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56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9"/>
              </w:rPr>
              <w:t>Price Per Unit</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7"/>
              </w:rPr>
              <w:t>Price</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7"/>
              </w:rPr>
              <w:t>Fee(1)</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5.95% Notes due 2014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$150,000,000</w:t>
            </w:r>
          </w:p>
        </w:tc>
        <w:tc>
          <w:tcPr>
            <w:tcW w:w="1560" w:type="dxa"/>
            <w:vAlign w:val="bottom"/>
            <w:tcBorders>
              <w:bottom w:val="single" w:sz="8" w:color="auto"/>
            </w:tcBorders>
          </w:tcPr>
          <w:p>
            <w:pPr>
              <w:jc w:val="right"/>
              <w:ind w:right="427"/>
              <w:spacing w:after="0"/>
              <w:rPr>
                <w:sz w:val="20"/>
                <w:szCs w:val="20"/>
                <w:color w:val="auto"/>
              </w:rPr>
            </w:pPr>
            <w:r>
              <w:rPr>
                <w:rFonts w:ascii="Arial" w:cs="Arial" w:eastAsia="Arial" w:hAnsi="Arial"/>
                <w:sz w:val="18"/>
                <w:szCs w:val="18"/>
                <w:color w:val="auto"/>
              </w:rPr>
              <w:t>$8,370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460" w:right="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filing fee is calculated in accordance with Rule 457(r) under the Securities Act of 1933, as amended, and relates to the Registration Statement on Form S-3 (No. 333-160009) filed on June 16, 2009.</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JUNE 16,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5.95%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178435</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40" w:firstLine="685"/>
        <w:spacing w:after="0" w:line="306" w:lineRule="auto"/>
        <w:rPr>
          <w:sz w:val="20"/>
          <w:szCs w:val="20"/>
          <w:color w:val="auto"/>
        </w:rPr>
      </w:pPr>
      <w:r>
        <w:rPr>
          <w:rFonts w:ascii="Arial" w:cs="Arial" w:eastAsia="Arial" w:hAnsi="Arial"/>
          <w:sz w:val="16"/>
          <w:szCs w:val="16"/>
          <w:color w:val="auto"/>
        </w:rPr>
        <w:t>The notes offered by this prospectus supplement will bear interest at the rate of 5.95% per year. Interest on the notes will be payable on February 15 and August 15 of each year, beginning on February 15, 2010. The notes will mature on August 15, 2014. We may redeem some or all of the notes at any time before maturity. The redemption price is discussed under the caption “Description of Notes — Optional Redemption.”</w:t>
      </w:r>
    </w:p>
    <w:p>
      <w:pPr>
        <w:spacing w:after="0" w:line="93"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The notes will be unsecured senior obligations of our company and will rank equally with all of our other unsecured senior indebtedness. The notes will be effectively subordinated to the prior claims of each secured mortgage lender to any specified property that secures such lender’s mortgage and to all of the unsecured indebtedness of our subsidiaries.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8" w:lineRule="exact"/>
        <w:rPr>
          <w:sz w:val="20"/>
          <w:szCs w:val="20"/>
          <w:color w:val="auto"/>
        </w:rPr>
      </w:pPr>
    </w:p>
    <w:p>
      <w:pPr>
        <w:ind w:right="140" w:firstLine="685"/>
        <w:spacing w:after="0" w:line="258" w:lineRule="auto"/>
        <w:rPr>
          <w:rFonts w:ascii="Arial" w:cs="Arial" w:eastAsia="Arial" w:hAnsi="Arial"/>
          <w:sz w:val="24"/>
          <w:szCs w:val="24"/>
          <w:b w:val="1"/>
          <w:bCs w:val="1"/>
          <w:color w:val="auto"/>
        </w:rPr>
      </w:pPr>
      <w:r>
        <w:rPr>
          <w:rFonts w:ascii="Arial" w:cs="Arial" w:eastAsia="Arial" w:hAnsi="Arial"/>
          <w:sz w:val="24"/>
          <w:szCs w:val="24"/>
          <w:b w:val="1"/>
          <w:bCs w:val="1"/>
          <w:color w:val="auto"/>
        </w:rPr>
        <w:t>Investing in the notes involves risks. See “</w:t>
      </w:r>
      <w:hyperlink w:anchor="page10">
        <w:r>
          <w:rPr>
            <w:rFonts w:ascii="Arial" w:cs="Arial" w:eastAsia="Arial" w:hAnsi="Arial"/>
            <w:sz w:val="24"/>
            <w:szCs w:val="24"/>
            <w:b w:val="1"/>
            <w:bCs w:val="1"/>
            <w:u w:val="single" w:color="auto"/>
            <w:color w:val="0000EE"/>
          </w:rPr>
          <w:t>Risk Factors</w:t>
        </w:r>
      </w:hyperlink>
      <w:r>
        <w:rPr>
          <w:rFonts w:ascii="Arial" w:cs="Arial" w:eastAsia="Arial" w:hAnsi="Arial"/>
          <w:sz w:val="24"/>
          <w:szCs w:val="24"/>
          <w:b w:val="1"/>
          <w:bCs w:val="1"/>
          <w:color w:val="auto"/>
        </w:rPr>
        <w:t>” beginning on page S-5 of this prospectus supplement, on page 2 of the accompanying prospectus and in our Annual Report on Form 10-K for the year ended December 31, 2008, filed with the Securities and Exchange Commission, or the SEC, on February 26, 2009, as amended on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6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750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r>
      <w:tr>
        <w:trPr>
          <w:trHeight w:val="211"/>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Public offering price </w:t>
            </w:r>
            <w:r>
              <w:rPr>
                <w:rFonts w:ascii="Arial" w:cs="Arial" w:eastAsia="Arial" w:hAnsi="Arial"/>
                <w:sz w:val="11"/>
                <w:szCs w:val="11"/>
                <w:color w:val="auto"/>
              </w:rPr>
              <w:t>(1)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99.153%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148,729,500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900,000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Proceeds, before expenses, to us </w:t>
            </w:r>
            <w:r>
              <w:rPr>
                <w:rFonts w:ascii="Arial" w:cs="Arial" w:eastAsia="Arial" w:hAnsi="Arial"/>
                <w:sz w:val="11"/>
                <w:szCs w:val="11"/>
                <w:color w:val="auto"/>
              </w:rPr>
              <w:t>(1)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98.553%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147,829,500</w:t>
            </w:r>
          </w:p>
        </w:tc>
      </w:tr>
    </w:tbl>
    <w:p>
      <w:pPr>
        <w:spacing w:after="0" w:line="140" w:lineRule="exact"/>
        <w:rPr>
          <w:sz w:val="20"/>
          <w:szCs w:val="20"/>
          <w:color w:val="auto"/>
        </w:rPr>
      </w:pPr>
    </w:p>
    <w:p>
      <w:pPr>
        <w:ind w:left="860" w:hanging="167"/>
        <w:spacing w:after="0"/>
        <w:tabs>
          <w:tab w:leader="none" w:pos="860" w:val="left"/>
        </w:tabs>
        <w:numPr>
          <w:ilvl w:val="0"/>
          <w:numId w:val="2"/>
        </w:numPr>
        <w:rPr>
          <w:rFonts w:ascii="Arial" w:cs="Arial" w:eastAsia="Arial" w:hAnsi="Arial"/>
          <w:sz w:val="11"/>
          <w:szCs w:val="11"/>
          <w:color w:val="auto"/>
        </w:rPr>
      </w:pPr>
      <w:r>
        <w:rPr>
          <w:rFonts w:ascii="Arial" w:cs="Arial" w:eastAsia="Arial" w:hAnsi="Arial"/>
          <w:sz w:val="18"/>
          <w:szCs w:val="18"/>
          <w:color w:val="auto"/>
        </w:rPr>
        <w:t>Plus accrued interest from August 13, 2009, if settlement occurs after that date.</w:t>
      </w:r>
    </w:p>
    <w:p>
      <w:pPr>
        <w:spacing w:after="0" w:line="198" w:lineRule="exact"/>
        <w:rPr>
          <w:sz w:val="20"/>
          <w:szCs w:val="20"/>
          <w:color w:val="auto"/>
        </w:rPr>
      </w:pPr>
    </w:p>
    <w:p>
      <w:pPr>
        <w:ind w:right="120" w:firstLine="685"/>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August 13, 2009.</w:t>
      </w:r>
    </w:p>
    <w:p>
      <w:pPr>
        <w:spacing w:after="0" w:line="112" w:lineRule="exact"/>
        <w:rPr>
          <w:sz w:val="20"/>
          <w:szCs w:val="20"/>
          <w:color w:val="auto"/>
        </w:rPr>
      </w:pPr>
    </w:p>
    <w:p>
      <w:pPr>
        <w:ind w:right="800" w:firstLine="685"/>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99060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20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49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32"/>
                <w:szCs w:val="32"/>
                <w:b w:val="1"/>
                <w:bCs w:val="1"/>
                <w:color w:val="auto"/>
                <w:w w:val="96"/>
              </w:rPr>
              <w:t>Wells Fargo Securities</w:t>
            </w:r>
          </w:p>
        </w:tc>
      </w:tr>
      <w:tr>
        <w:trPr>
          <w:trHeight w:val="348"/>
        </w:trPr>
        <w:tc>
          <w:tcPr>
            <w:tcW w:w="3200" w:type="dxa"/>
            <w:vAlign w:val="bottom"/>
          </w:tcPr>
          <w:p>
            <w:pPr>
              <w:spacing w:after="0"/>
              <w:rPr>
                <w:sz w:val="24"/>
                <w:szCs w:val="24"/>
                <w:color w:val="auto"/>
              </w:rPr>
            </w:pPr>
          </w:p>
        </w:tc>
        <w:tc>
          <w:tcPr>
            <w:tcW w:w="4900" w:type="dxa"/>
            <w:vAlign w:val="bottom"/>
          </w:tcPr>
          <w:p>
            <w:pPr>
              <w:jc w:val="center"/>
              <w:ind w:left="22"/>
              <w:spacing w:after="0"/>
              <w:rPr>
                <w:sz w:val="20"/>
                <w:szCs w:val="20"/>
                <w:color w:val="auto"/>
              </w:rPr>
            </w:pPr>
            <w:r>
              <w:rPr>
                <w:rFonts w:ascii="Arial" w:cs="Arial" w:eastAsia="Arial" w:hAnsi="Arial"/>
                <w:sz w:val="18"/>
                <w:szCs w:val="18"/>
                <w:i w:val="1"/>
                <w:iCs w:val="1"/>
                <w:color w:val="auto"/>
                <w:w w:val="89"/>
              </w:rPr>
              <w:t>Co-Managers</w:t>
            </w:r>
          </w:p>
        </w:tc>
        <w:tc>
          <w:tcPr>
            <w:tcW w:w="3320" w:type="dxa"/>
            <w:vAlign w:val="bottom"/>
          </w:tcPr>
          <w:p>
            <w:pPr>
              <w:spacing w:after="0"/>
              <w:rPr>
                <w:sz w:val="24"/>
                <w:szCs w:val="24"/>
                <w:color w:val="auto"/>
              </w:rPr>
            </w:pPr>
          </w:p>
        </w:tc>
      </w:tr>
      <w:tr>
        <w:trPr>
          <w:trHeight w:val="515"/>
        </w:trPr>
        <w:tc>
          <w:tcPr>
            <w:tcW w:w="3200" w:type="dxa"/>
            <w:vAlign w:val="bottom"/>
          </w:tcPr>
          <w:p>
            <w:pPr>
              <w:spacing w:after="0"/>
              <w:rPr>
                <w:sz w:val="20"/>
                <w:szCs w:val="20"/>
                <w:color w:val="auto"/>
              </w:rPr>
            </w:pPr>
            <w:r>
              <w:rPr>
                <w:rFonts w:ascii="Arial" w:cs="Arial" w:eastAsia="Arial" w:hAnsi="Arial"/>
                <w:sz w:val="22"/>
                <w:szCs w:val="22"/>
                <w:b w:val="1"/>
                <w:bCs w:val="1"/>
                <w:color w:val="auto"/>
              </w:rPr>
              <w:t>Citi</w:t>
            </w:r>
          </w:p>
        </w:tc>
        <w:tc>
          <w:tcPr>
            <w:tcW w:w="4900" w:type="dxa"/>
            <w:vAlign w:val="bottom"/>
          </w:tcPr>
          <w:p>
            <w:pPr>
              <w:jc w:val="center"/>
              <w:ind w:left="62"/>
              <w:spacing w:after="0"/>
              <w:rPr>
                <w:sz w:val="20"/>
                <w:szCs w:val="20"/>
                <w:color w:val="auto"/>
              </w:rPr>
            </w:pPr>
            <w:r>
              <w:rPr>
                <w:rFonts w:ascii="Arial" w:cs="Arial" w:eastAsia="Arial" w:hAnsi="Arial"/>
                <w:sz w:val="22"/>
                <w:szCs w:val="22"/>
                <w:b w:val="1"/>
                <w:bCs w:val="1"/>
                <w:color w:val="auto"/>
                <w:w w:val="94"/>
              </w:rPr>
              <w:t>PNC Capital Markets LLC</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w w:val="96"/>
              </w:rPr>
              <w:t>Morgan Keegan &amp; Company, Inc.</w:t>
            </w:r>
          </w:p>
        </w:tc>
      </w:tr>
      <w:tr>
        <w:trPr>
          <w:trHeight w:val="281"/>
        </w:trPr>
        <w:tc>
          <w:tcPr>
            <w:tcW w:w="3200" w:type="dxa"/>
            <w:vAlign w:val="bottom"/>
          </w:tcPr>
          <w:p>
            <w:pPr>
              <w:spacing w:after="0"/>
              <w:rPr>
                <w:sz w:val="20"/>
                <w:szCs w:val="20"/>
                <w:color w:val="auto"/>
              </w:rPr>
            </w:pPr>
            <w:r>
              <w:rPr>
                <w:rFonts w:ascii="Arial" w:cs="Arial" w:eastAsia="Arial" w:hAnsi="Arial"/>
                <w:sz w:val="22"/>
                <w:szCs w:val="22"/>
                <w:b w:val="1"/>
                <w:bCs w:val="1"/>
                <w:color w:val="auto"/>
                <w:w w:val="99"/>
              </w:rPr>
              <w:t>SunTrust Robinson Humphrey</w:t>
            </w:r>
          </w:p>
        </w:tc>
        <w:tc>
          <w:tcPr>
            <w:tcW w:w="4900" w:type="dxa"/>
            <w:vAlign w:val="bottom"/>
          </w:tcPr>
          <w:p>
            <w:pPr>
              <w:jc w:val="center"/>
              <w:ind w:left="62"/>
              <w:spacing w:after="0"/>
              <w:rPr>
                <w:sz w:val="20"/>
                <w:szCs w:val="20"/>
                <w:color w:val="auto"/>
              </w:rPr>
            </w:pPr>
            <w:r>
              <w:rPr>
                <w:rFonts w:ascii="Arial" w:cs="Arial" w:eastAsia="Arial" w:hAnsi="Arial"/>
                <w:sz w:val="22"/>
                <w:szCs w:val="22"/>
                <w:b w:val="1"/>
                <w:bCs w:val="1"/>
                <w:color w:val="auto"/>
                <w:w w:val="87"/>
              </w:rPr>
              <w:t>Capital One Southcoast</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U.S. Bancorp Investments, Inc.</w:t>
            </w:r>
          </w:p>
        </w:tc>
      </w:tr>
      <w:tr>
        <w:trPr>
          <w:trHeight w:val="353"/>
        </w:trPr>
        <w:tc>
          <w:tcPr>
            <w:tcW w:w="3200" w:type="dxa"/>
            <w:vAlign w:val="bottom"/>
          </w:tcPr>
          <w:p>
            <w:pPr>
              <w:spacing w:after="0"/>
              <w:rPr>
                <w:sz w:val="24"/>
                <w:szCs w:val="24"/>
                <w:color w:val="auto"/>
              </w:rPr>
            </w:pPr>
          </w:p>
        </w:tc>
        <w:tc>
          <w:tcPr>
            <w:tcW w:w="4900" w:type="dxa"/>
            <w:vAlign w:val="bottom"/>
          </w:tcPr>
          <w:p>
            <w:pPr>
              <w:jc w:val="center"/>
              <w:ind w:left="22"/>
              <w:spacing w:after="0"/>
              <w:rPr>
                <w:sz w:val="20"/>
                <w:szCs w:val="20"/>
                <w:color w:val="auto"/>
              </w:rPr>
            </w:pPr>
            <w:r>
              <w:rPr>
                <w:rFonts w:ascii="Arial" w:cs="Arial" w:eastAsia="Arial" w:hAnsi="Arial"/>
                <w:sz w:val="18"/>
                <w:szCs w:val="18"/>
                <w:b w:val="1"/>
                <w:bCs w:val="1"/>
                <w:color w:val="auto"/>
                <w:w w:val="86"/>
              </w:rPr>
              <w:t>The date of this prospectus supplement is August 10, 2009.</w:t>
            </w:r>
          </w:p>
        </w:tc>
        <w:tc>
          <w:tcPr>
            <w:tcW w:w="3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5"/>
              </w:rPr>
              <w:t>Prospectus Supplement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2440" w:type="dxa"/>
            <w:vAlign w:val="bottom"/>
            <w:tcBorders>
              <w:bottom w:val="single" w:sz="8" w:color="0000EE"/>
            </w:tcBorders>
            <w:gridSpan w:val="12"/>
          </w:tcPr>
          <w:p>
            <w:pPr>
              <w:spacing w:after="0" w:line="171"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8620" w:type="dxa"/>
            <w:vAlign w:val="bottom"/>
            <w:gridSpan w:val="8"/>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Concerning 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6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101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25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Ratios of Earnings to Fixed Charges</w:t>
              </w:r>
            </w:hyperlink>
          </w:p>
        </w:tc>
        <w:tc>
          <w:tcPr>
            <w:tcW w:w="850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Description of Notes</w:t>
              </w:r>
            </w:hyperlink>
          </w:p>
        </w:tc>
        <w:tc>
          <w:tcPr>
            <w:tcW w:w="9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r>
      <w:tr>
        <w:trPr>
          <w:trHeight w:val="196"/>
        </w:trPr>
        <w:tc>
          <w:tcPr>
            <w:tcW w:w="43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Additional Material U.S. Federal Income Tax Considerations</w:t>
              </w:r>
            </w:hyperlink>
          </w:p>
        </w:tc>
        <w:tc>
          <w:tcPr>
            <w:tcW w:w="676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S-14</w:t>
            </w: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Underwriting</w:t>
              </w:r>
            </w:hyperlink>
          </w:p>
        </w:tc>
        <w:tc>
          <w:tcPr>
            <w:tcW w:w="101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S-18</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S-19</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6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3"/>
              </w:rPr>
              <w:t>Prospectus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11060" w:type="dxa"/>
            <w:vAlign w:val="bottom"/>
            <w:gridSpan w:val="20"/>
          </w:tcPr>
          <w:p>
            <w:pPr>
              <w:spacing w:after="0" w:line="171" w:lineRule="exact"/>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640" w:type="dxa"/>
            <w:vAlign w:val="bottom"/>
            <w:tcBorders>
              <w:top w:val="single" w:sz="8" w:color="0000EE"/>
            </w:tcBorders>
            <w:gridSpan w:val="7"/>
          </w:tcPr>
          <w:p>
            <w:pPr>
              <w:spacing w:after="0"/>
              <w:rPr>
                <w:sz w:val="17"/>
                <w:szCs w:val="17"/>
                <w:color w:val="auto"/>
              </w:rPr>
            </w:pPr>
          </w:p>
        </w:tc>
        <w:tc>
          <w:tcPr>
            <w:tcW w:w="95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Forward-Looking Information</w:t>
              </w:r>
            </w:hyperlink>
          </w:p>
        </w:tc>
        <w:tc>
          <w:tcPr>
            <w:tcW w:w="89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Ratios of Earnings to Combined Fixed Charges and Preferred Share Dividends</w:t>
              </w:r>
            </w:hyperlink>
          </w:p>
        </w:tc>
        <w:tc>
          <w:tcPr>
            <w:tcW w:w="55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Description of Debt Securities</w:t>
              </w:r>
            </w:hyperlink>
          </w:p>
        </w:tc>
        <w:tc>
          <w:tcPr>
            <w:tcW w:w="89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30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Shares of Beneficial Interest</w:t>
              </w:r>
            </w:hyperlink>
          </w:p>
        </w:tc>
        <w:tc>
          <w:tcPr>
            <w:tcW w:w="800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196"/>
        </w:trPr>
        <w:tc>
          <w:tcPr>
            <w:tcW w:w="3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7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96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1008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You should read this prospectus supplement along with the accompanying prospectus, as well as the information contained or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05" w:lineRule="exact"/>
        <w:rPr>
          <w:sz w:val="20"/>
          <w:szCs w:val="20"/>
          <w:color w:val="auto"/>
        </w:rPr>
      </w:pPr>
    </w:p>
    <w:p>
      <w:pPr>
        <w:ind w:right="140" w:firstLine="571"/>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93"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12"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or incorporated by reference in this prospectus supplement and the accompanying prospectus describe forward-looking information. The risk factors, including those contained on page S-5 of this prospectus supplement, on page 2 of the accompanying prospectus and in our Annual Report on Form 10-K for the year ended December 31, 2008, filed with the SEC on February 26, 2009, as amended on June 25, 2009,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4" w:lineRule="exact"/>
        <w:rPr>
          <w:sz w:val="20"/>
          <w:szCs w:val="20"/>
          <w:color w:val="auto"/>
        </w:rPr>
      </w:pPr>
    </w:p>
    <w:p>
      <w:pPr>
        <w:ind w:left="900" w:right="4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37"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60" w:right="40" w:hanging="447"/>
        <w:spacing w:after="0" w:line="268" w:lineRule="auto"/>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U.S.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and redevelopment of high-quality retail and mixed-use properties located primarily in densely populated and affluent communities in strategically selected metropolitan markets in the Northeast, Mid-Atlantic and California. As of June 30, 2009, we owned or had a majority interest in community and neighborhood shopping centers and mixed-use properties which are operated as 84 predominantly retail real estate projects comprising approximately 18.2 million square feet. In total, the real estate properties were 94.0% leased and 93.2% occupied at June 30, 2009. A joint venture in which we own a 30% interest owned seven retail real estate projects totaling approximately 1.0 million square feet as of June 30, 2009. In total, the joint venture properties in which we own an interest were 96.2% leased and occupied at June 30, 2009.</w:t>
      </w:r>
    </w:p>
    <w:p>
      <w:pPr>
        <w:spacing w:after="0" w:line="134"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 xml:space="preserve">We operate in a manner intended to qualify as a REIT for tax purposes pursuant to provisions of the Internal Revenue Code of 1986, as amended, or the Code. Our offices are located at 1626 East Jefferson Street, Rockville, Maryland 20852. Our telephone numbers are (301) 998-8100 and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380"/>
          </w:cols>
          <w:pgMar w:left="240" w:top="459" w:right="27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$150 million aggregate principal amount of 5.95% notes due 2014.</w:t>
      </w:r>
    </w:p>
    <w:p>
      <w:pPr>
        <w:spacing w:after="0" w:line="200"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Unless redeemed prior to maturity as described below, the notes will mature on August 15, 2014.</w:t>
      </w:r>
    </w:p>
    <w:p>
      <w:pPr>
        <w:spacing w:after="0" w:line="205"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540"/>
        <w:spacing w:after="0" w:line="268" w:lineRule="auto"/>
        <w:rPr>
          <w:sz w:val="20"/>
          <w:szCs w:val="20"/>
          <w:color w:val="auto"/>
        </w:rPr>
      </w:pPr>
      <w:r>
        <w:rPr>
          <w:rFonts w:ascii="Arial" w:cs="Arial" w:eastAsia="Arial" w:hAnsi="Arial"/>
          <w:sz w:val="18"/>
          <w:szCs w:val="18"/>
          <w:color w:val="auto"/>
        </w:rPr>
        <w:t>Interest on the notes will be payable semi-annually in arrears on February 15 and August 15, beginning on February 15, 2010, and at maturity.</w:t>
      </w:r>
    </w:p>
    <w:p>
      <w:pPr>
        <w:spacing w:after="0" w:line="118"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220"/>
        <w:spacing w:after="0" w:line="287"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$545 million (excluding net unamortized discount) of secured indebtedness collateralized by all or parts of 22 properties (of which approximately $289 million was issued by our subsidiaries), approximately $12 million of unsecured indebtedness issued by our subsidiaries (which will be senior to the notes) and approximately $1,425 million of other unsecured indebtedness (excluding net unamortized premium) ranking equally with the notes.</w:t>
      </w:r>
    </w:p>
    <w:p>
      <w:pPr>
        <w:spacing w:after="0" w:line="109"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We intend to use the net proceeds from this offering to fund potential acquisition opportunities, fund our redevelopment pipeline, reduce amounts outstanding under our $372 million term loan, and/or for general corporate purposes. See “Use of Proceeds” on page S-6 for more information.</w:t>
      </w:r>
    </w:p>
    <w:p>
      <w:pPr>
        <w:spacing w:after="0" w:line="93"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113"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ind w:left="4340"/>
        <w:spacing w:after="0" w:line="289" w:lineRule="auto"/>
        <w:rPr>
          <w:sz w:val="20"/>
          <w:szCs w:val="20"/>
          <w:color w:val="auto"/>
        </w:rPr>
      </w:pPr>
      <w:r>
        <w:rPr>
          <w:rFonts w:ascii="Arial" w:cs="Arial" w:eastAsia="Arial" w:hAnsi="Arial"/>
          <w:sz w:val="16"/>
          <w:szCs w:val="16"/>
          <w:color w:val="auto"/>
        </w:rPr>
        <w:t>(1) we will not, and will not permit any subsidiary to, incur any Debt if, immediately after giving effect to the incurrence of such Debt and the application of the proceeds thereof, the aggregate principal amount of all of our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Wachovia Bank National Association, as successor to First Union National Bank,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0"/>
        <w:spacing w:after="0" w:line="294" w:lineRule="auto"/>
        <w:rPr>
          <w:sz w:val="20"/>
          <w:szCs w:val="20"/>
          <w:color w:val="auto"/>
        </w:rPr>
      </w:pPr>
      <w:r>
        <w:rPr>
          <w:rFonts w:ascii="Arial" w:cs="Arial" w:eastAsia="Arial" w:hAnsi="Arial"/>
          <w:sz w:val="16"/>
          <w:szCs w:val="16"/>
          <w:color w:val="auto"/>
        </w:rPr>
        <w:t>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5" w:lineRule="exact"/>
        <w:rPr>
          <w:sz w:val="20"/>
          <w:szCs w:val="20"/>
          <w:color w:val="auto"/>
        </w:rPr>
      </w:pPr>
    </w:p>
    <w:p>
      <w:pPr>
        <w:ind w:left="4340" w:firstLine="4"/>
        <w:spacing w:after="0" w:line="285" w:lineRule="auto"/>
        <w:tabs>
          <w:tab w:leader="none" w:pos="458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29" w:lineRule="exact"/>
        <w:rPr>
          <w:rFonts w:ascii="Arial" w:cs="Arial" w:eastAsia="Arial" w:hAnsi="Arial"/>
          <w:sz w:val="16"/>
          <w:szCs w:val="16"/>
          <w:color w:val="auto"/>
        </w:rPr>
      </w:pPr>
    </w:p>
    <w:p>
      <w:pPr>
        <w:ind w:left="4340" w:firstLine="4"/>
        <w:spacing w:after="0" w:line="286" w:lineRule="auto"/>
        <w:tabs>
          <w:tab w:leader="none" w:pos="458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40"/>
        <w:spacing w:after="0" w:line="252" w:lineRule="auto"/>
        <w:rPr>
          <w:sz w:val="20"/>
          <w:szCs w:val="20"/>
          <w:color w:val="auto"/>
        </w:rPr>
      </w:pPr>
      <w:r>
        <w:rPr>
          <w:rFonts w:ascii="Arial" w:cs="Arial" w:eastAsia="Arial" w:hAnsi="Arial"/>
          <w:sz w:val="18"/>
          <w:szCs w:val="18"/>
          <w:color w:val="auto"/>
        </w:rPr>
        <w:t>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70" w:lineRule="exact"/>
        <w:rPr>
          <w:sz w:val="20"/>
          <w:szCs w:val="20"/>
          <w:color w:val="auto"/>
        </w:rPr>
      </w:pPr>
    </w:p>
    <w:p>
      <w:pPr>
        <w:jc w:val="both"/>
        <w:ind w:left="4340" w:right="440"/>
        <w:spacing w:after="0" w:line="259" w:lineRule="auto"/>
        <w:rPr>
          <w:sz w:val="20"/>
          <w:szCs w:val="20"/>
          <w:color w:val="auto"/>
        </w:rPr>
      </w:pPr>
      <w:r>
        <w:rPr>
          <w:rFonts w:ascii="Arial" w:cs="Arial" w:eastAsia="Arial" w:hAnsi="Arial"/>
          <w:sz w:val="18"/>
          <w:szCs w:val="18"/>
          <w:color w:val="auto"/>
        </w:rPr>
        <w:t>(4) we, together with our subsidiaries, will maintain an Unencumbered Total Asset Value in an amount not less than 150% of the aggregate outstanding principal amount of all of our and our subsidiaries’ unsecured Debt.</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notes are redeemable at any time at our option, in whole or in part, at a redemption price equal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to the greater of (1) 100% of the principal amount of the notes being redeemed, or (2) the sum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present values of the remaining scheduled payments of principal and interest thereon, discounted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redemption date on a semi-annual basis at the Adjusted Treasury Rate plus 50 basis points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(0.50%), plus, in each case, accrued interest thereon to the redemption date. A detailed description 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“Description of Notes — Optional Redemption.”</w:t>
      </w:r>
    </w:p>
    <w:p>
      <w:pPr>
        <w:spacing w:after="0" w:line="15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Material U.S. federal income tax considerations</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U.S. Federal Income Tax Considerations” and in the accompanying prospectus under “Material Federal Income Tax Considerations.”</w:t>
      </w:r>
    </w:p>
    <w:p>
      <w:pPr>
        <w:spacing w:after="0" w:line="13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309" w:lineRule="auto"/>
        <w:rPr>
          <w:sz w:val="20"/>
          <w:szCs w:val="20"/>
          <w:color w:val="auto"/>
        </w:rPr>
      </w:pPr>
      <w:r>
        <w:rPr>
          <w:rFonts w:ascii="Arial" w:cs="Arial" w:eastAsia="Arial" w:hAnsi="Arial"/>
          <w:sz w:val="15"/>
          <w:szCs w:val="15"/>
          <w:color w:val="auto"/>
        </w:rPr>
        <w:t>Investing in the notes involves risks. Please review the risk factors discussed beginning on page S-5 of this prospectus supplement, on page 2 of the accompanying prospectus and in our Annual Report on Form 10-K for the year ended December 31, 2008, filed with the SEC on February 26, 2009, as amended June 25, 2009, and the other information contained or incorporated by reference in this prospectus supplement and the accompanying prospectus for a discussion of factors you should consider before deciding to invest in the notes. You may obtain a copy of our Annual Report on Form 10-K, as amended, and the other documents incorporated by reference in this prospectus supplement and the accompanying prospectus by following the procedures described under “Where You Can Find More Information” on page 55 of the accompanying prospectus.</w:t>
      </w:r>
    </w:p>
    <w:p>
      <w:pPr>
        <w:spacing w:after="0" w:line="9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571"/>
        <w:spacing w:after="0" w:line="314" w:lineRule="auto"/>
        <w:rPr>
          <w:sz w:val="20"/>
          <w:szCs w:val="20"/>
          <w:color w:val="auto"/>
        </w:rPr>
      </w:pPr>
      <w:r>
        <w:rPr>
          <w:rFonts w:ascii="Arial" w:cs="Arial" w:eastAsia="Arial" w:hAnsi="Arial"/>
          <w:sz w:val="15"/>
          <w:szCs w:val="15"/>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2 of the accompanying prospectus and the risk factors included in our Annual Report on Form 10-K filed with the SEC on February 26, 2009, and amended on June 25, 2009,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8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83"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2009, after giving effect to this offering, and to the issuance of the notes and the application of the net proceeds of this offering, our subsidiaries had approximately $301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8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2009, after giving effect to this offering and the application of the net proceeds of this offering, we had approximately $545 million (excluding net unamortized discount) of secured debt outstanding, all of which was effectively senior to the notes to the extent of the value of the securing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8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7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85"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120" w:firstLine="571"/>
        <w:spacing w:after="0" w:line="318" w:lineRule="auto"/>
        <w:rPr>
          <w:sz w:val="20"/>
          <w:szCs w:val="20"/>
          <w:color w:val="auto"/>
        </w:rPr>
      </w:pPr>
      <w:r>
        <w:rPr>
          <w:rFonts w:ascii="Arial" w:cs="Arial" w:eastAsia="Arial" w:hAnsi="Arial"/>
          <w:sz w:val="15"/>
          <w:szCs w:val="15"/>
          <w:color w:val="auto"/>
        </w:rPr>
        <w:t>The net proceeds to us from the sale of the notes offered by this prospectus supplement are estimated to be approximately $147.7 million after deducting the underwriting discount and other estimated expenses of this offering payable by us. We intend to use these net proceeds to fund potential acquisition opportunities, fund our redevelopment pipeline, reduce amounts outstanding under our $372 million term loan, and/or for general corporate purposes. Our $372 million term loan bears interest at LIBOR, subject to a 1.50% floor, plus 300 basis points and matures on July 27, 2011. Affiliates of certain of the underwriters are lenders under our term loan and will receive a pro rata portion of any proceeds used to reduce amounts outstanding under the term loan.</w:t>
      </w:r>
    </w:p>
    <w:p>
      <w:pPr>
        <w:spacing w:after="0" w:line="8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Six Months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Ended June 30,</w:t>
            </w:r>
          </w:p>
        </w:tc>
        <w:tc>
          <w:tcPr>
            <w:tcW w:w="380" w:type="dxa"/>
            <w:vAlign w:val="bottom"/>
          </w:tcPr>
          <w:p>
            <w:pPr>
              <w:spacing w:after="0"/>
              <w:rPr>
                <w:sz w:val="14"/>
                <w:szCs w:val="14"/>
                <w:color w:val="auto"/>
              </w:rPr>
            </w:pPr>
          </w:p>
        </w:tc>
        <w:tc>
          <w:tcPr>
            <w:tcW w:w="2100" w:type="dxa"/>
            <w:vAlign w:val="bottom"/>
            <w:gridSpan w:val="7"/>
          </w:tcPr>
          <w:p>
            <w:pPr>
              <w:jc w:val="center"/>
              <w:ind w:left="12"/>
              <w:spacing w:after="0"/>
              <w:rPr>
                <w:sz w:val="20"/>
                <w:szCs w:val="20"/>
                <w:color w:val="auto"/>
              </w:rPr>
            </w:pPr>
            <w:r>
              <w:rPr>
                <w:rFonts w:ascii="Arial" w:cs="Arial" w:eastAsia="Arial" w:hAnsi="Arial"/>
                <w:sz w:val="14"/>
                <w:szCs w:val="14"/>
                <w:b w:val="1"/>
                <w:bCs w:val="1"/>
                <w:color w:val="auto"/>
                <w:w w:val="87"/>
              </w:rPr>
              <w:t>For the Years Ended December 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vMerge w:val="continue"/>
          </w:tcPr>
          <w:p>
            <w:pPr>
              <w:spacing w:after="0"/>
              <w:rPr>
                <w:sz w:val="18"/>
                <w:szCs w:val="18"/>
                <w:color w:val="auto"/>
              </w:rPr>
            </w:pPr>
          </w:p>
        </w:tc>
        <w:tc>
          <w:tcPr>
            <w:tcW w:w="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8"/>
              </w:rPr>
              <w:t>1.7x</w:t>
            </w:r>
          </w:p>
        </w:tc>
        <w:tc>
          <w:tcPr>
            <w:tcW w:w="2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2.0x</w:t>
            </w: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2.1x</w:t>
            </w:r>
          </w:p>
        </w:tc>
        <w:tc>
          <w:tcPr>
            <w:tcW w:w="2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1.7x</w:t>
            </w:r>
          </w:p>
        </w:tc>
        <w:tc>
          <w:tcPr>
            <w:tcW w:w="220" w:type="dxa"/>
            <w:vAlign w:val="bottom"/>
          </w:tcPr>
          <w:p>
            <w:pPr>
              <w:spacing w:after="0"/>
              <w:rPr>
                <w:sz w:val="18"/>
                <w:szCs w:val="18"/>
                <w:color w:val="auto"/>
              </w:rPr>
            </w:pPr>
          </w:p>
        </w:tc>
        <w:tc>
          <w:tcPr>
            <w:tcW w:w="400" w:type="dxa"/>
            <w:vAlign w:val="bottom"/>
            <w:tcBorders>
              <w:top w:val="single" w:sz="8" w:color="auto"/>
            </w:tcBorders>
          </w:tcPr>
          <w:p>
            <w:pPr>
              <w:jc w:val="center"/>
              <w:ind w:left="22"/>
              <w:spacing w:after="0"/>
              <w:rPr>
                <w:sz w:val="20"/>
                <w:szCs w:val="20"/>
                <w:color w:val="auto"/>
              </w:rPr>
            </w:pPr>
            <w:r>
              <w:rPr>
                <w:rFonts w:ascii="Arial" w:cs="Arial" w:eastAsia="Arial" w:hAnsi="Arial"/>
                <w:sz w:val="18"/>
                <w:szCs w:val="18"/>
                <w:color w:val="auto"/>
                <w:w w:val="88"/>
              </w:rPr>
              <w:t>1.9x</w:t>
            </w:r>
          </w:p>
        </w:tc>
        <w:tc>
          <w:tcPr>
            <w:tcW w:w="2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1.9x</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offering $150 million of our 5.95% notes maturing on August 15, 2014, which may be redeemed prior to that date in accordance with their terms.</w:t>
      </w:r>
    </w:p>
    <w:p>
      <w:pPr>
        <w:spacing w:after="0" w:line="181"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We will pay interest on the notes semi-annually in arrears on February 15 and August 15 of each year, beginning February 15, 2010, to the registered holders of the notes on the preceding February 1 and August 1.</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81"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$545 million (excluding net unamortized discount) of secured indebtedness collateralized by all or parts of 22 properties (of which approximately $289 million was issued by our subsidiaries), approximately $12 million of unsecured indebtedness issued by our subsidiaries (which will be senior to the notes) and approximately $1,425 million of other unsecured indebtedness (excluding net unamortized premium) ranking equally with the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50 basis points (0.50%), plus, in each case, accrued interest thereon to the redemption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xml:space="preserve"> means, with respect to any redemption date, the rate per year equal to the semi-annual equivalent yield to maturity of the Comparable Treasury Issue, assuming a price for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Comparable Treasury Issue (expressed as a percentage of its principal amount) equal to the Comparable Treasury Price for such redemption date.</w:t>
      </w:r>
    </w:p>
    <w:p>
      <w:pPr>
        <w:spacing w:after="0" w:line="181" w:lineRule="exact"/>
        <w:rPr>
          <w:sz w:val="20"/>
          <w:szCs w:val="20"/>
          <w:color w:val="auto"/>
        </w:rPr>
      </w:pPr>
    </w:p>
    <w:p>
      <w:pPr>
        <w:ind w:right="30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jc w:val="both"/>
        <w:ind w:right="6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xml:space="preserve"> means, with respect to any redemption date, (1) the average of the Reference Treasury Dealer Quotations for such redemption date, after excluding the highest and lowest of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xml:space="preserve"> means the Reference Treasury Dealer appointed by us.</w:t>
      </w:r>
    </w:p>
    <w:p>
      <w:pPr>
        <w:spacing w:after="0" w:line="158" w:lineRule="exact"/>
        <w:rPr>
          <w:sz w:val="20"/>
          <w:szCs w:val="20"/>
          <w:color w:val="auto"/>
        </w:rPr>
      </w:pPr>
    </w:p>
    <w:p>
      <w:pPr>
        <w:ind w:right="60" w:firstLine="57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Treasury Dealer”</w:t>
      </w:r>
      <w:r>
        <w:rPr>
          <w:rFonts w:ascii="Arial" w:cs="Arial" w:eastAsia="Arial" w:hAnsi="Arial"/>
          <w:sz w:val="15"/>
          <w:szCs w:val="15"/>
          <w:color w:val="auto"/>
        </w:rPr>
        <w:t xml:space="preserve"> means (1) J.P. Morgan Securities Inc. and a Primary Treasury Dealer (as defined below) selected by Wells Fargo Securities, LLC, and their respective successors;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either of the Reference Treasury Dealers ceases to be a primary U.S. Government securities dealer, or a Primary Treasury Dealer, we will substitute therefor another Primary Treasury Dealer; and (2) any other Primary Treasury Dealer selected by us.</w:t>
      </w:r>
    </w:p>
    <w:p>
      <w:pPr>
        <w:spacing w:after="0" w:line="75"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xml:space="preserve">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9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i w:val="1"/>
          <w:iCs w:val="1"/>
          <w:color w:val="auto"/>
        </w:rPr>
        <w:t xml:space="preserve">Limitations on Incurrence of Debt.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 xml:space="preserve">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for purposes of this limitation, the amount of obligations under capital leases shown as a liability on our consolidated balance sheet shall be deducted from Debt and from Total Assets.</w:t>
      </w:r>
    </w:p>
    <w:p>
      <w:pPr>
        <w:spacing w:after="0" w:line="92"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i w:val="1"/>
          <w:iCs w:val="1"/>
          <w:color w:val="auto"/>
        </w:rPr>
        <w:t xml:space="preserve">Maintenance of Unencumbered Total Asset Value. </w:t>
      </w:r>
      <w:r>
        <w:rPr>
          <w:rFonts w:ascii="Arial" w:cs="Arial" w:eastAsia="Arial" w:hAnsi="Arial"/>
          <w:sz w:val="15"/>
          <w:szCs w:val="15"/>
          <w:color w:val="auto"/>
        </w:rPr>
        <w:t>The notes will provide that we, together with our subsidiaries, will at all times maintain an</w:t>
      </w:r>
      <w:r>
        <w:rPr>
          <w:rFonts w:ascii="Arial" w:cs="Arial" w:eastAsia="Arial" w:hAnsi="Arial"/>
          <w:sz w:val="15"/>
          <w:szCs w:val="15"/>
          <w:i w:val="1"/>
          <w:iCs w:val="1"/>
          <w:color w:val="auto"/>
        </w:rPr>
        <w:t xml:space="preserve"> </w:t>
      </w:r>
      <w:r>
        <w:rPr>
          <w:rFonts w:ascii="Arial" w:cs="Arial" w:eastAsia="Arial" w:hAnsi="Arial"/>
          <w:sz w:val="15"/>
          <w:szCs w:val="15"/>
          <w:color w:val="auto"/>
        </w:rPr>
        <w:t>Unencumbered Total Asset Value in an amount not less than 150% of the aggregate outstanding principal amount of all our and our subsidiaries’ unsecured Debt.</w:t>
      </w:r>
    </w:p>
    <w:p>
      <w:pPr>
        <w:spacing w:after="0" w:line="49"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dated as of July 28, 2006)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xml:space="preserve">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xml:space="preserve">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xml:space="preserve"> for any period means our and our subsidiaries’ Funds from Operations plus amounts which have been deducted for interest on our and our subsidiaries’ Debt.</w:t>
      </w:r>
    </w:p>
    <w:p>
      <w:pPr>
        <w:spacing w:after="0" w:line="118"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1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99"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xml:space="preserve"> for any period means income available to common shareholders before depreciation and amortization of real estate assets and before extraordinary items less gain on sale of real estate.</w:t>
      </w:r>
    </w:p>
    <w:p>
      <w:pPr>
        <w:spacing w:after="0" w:line="118"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xml:space="preserve"> as of any date means the sum of (1) our and all of our subsidiaries’ Undepreciated Real Estate Assets and (2) all of our other assets determined in accordance with generally accepted accounting principles (but excluding goodwill).</w:t>
      </w:r>
    </w:p>
    <w:p>
      <w:pPr>
        <w:spacing w:after="0" w:line="118"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xml:space="preserve">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ind w:right="300" w:firstLine="571"/>
        <w:spacing w:after="0" w:line="375" w:lineRule="auto"/>
        <w:rPr>
          <w:sz w:val="20"/>
          <w:szCs w:val="20"/>
          <w:color w:val="auto"/>
        </w:rPr>
      </w:pPr>
      <w:r>
        <w:rPr>
          <w:rFonts w:ascii="Arial" w:cs="Arial" w:eastAsia="Arial" w:hAnsi="Arial"/>
          <w:sz w:val="18"/>
          <w:szCs w:val="18"/>
          <w:color w:val="auto"/>
        </w:rPr>
        <w:t xml:space="preserve">See “Description of Debt Securities — 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29"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05"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0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owned by a number of its Direct Participants and by the New York Stock Exchange, Inc. and the Financial Industry Regulatory Authority.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09"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05"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02"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7" w:lineRule="exact"/>
        <w:rPr>
          <w:sz w:val="20"/>
          <w:szCs w:val="20"/>
          <w:color w:val="auto"/>
        </w:rPr>
      </w:pPr>
    </w:p>
    <w:p>
      <w:pPr>
        <w:ind w:right="220" w:firstLine="571"/>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5"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99"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18" w:lineRule="exact"/>
        <w:rPr>
          <w:sz w:val="20"/>
          <w:szCs w:val="20"/>
          <w:color w:val="auto"/>
        </w:rPr>
      </w:pPr>
    </w:p>
    <w:p>
      <w:pPr>
        <w:ind w:right="300" w:firstLine="571"/>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MATERIAL U.S. FEDERAL INCOME TAX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571"/>
        <w:spacing w:after="0" w:line="284"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36 of the accompanying prospectus. The following is a summary of the additional material U.S. federal income tax considerations pertaining to the acquisition, ownership and disposition of the notes and should be read in conjunction with the referenced sections in the accompanying prospectus. This discussion applies only to initial holders of notes that acquire their notes pursuant to this offering and hold the notes as capital assets (generally property held for investment) within the meaning of Section 1221 of the Code. This discussion is based on the Code, income tax regulations promulgated thereunder, judicial positions, published positions of the Internal Revenue Service, or the IRS, and other applicable authorities, all as in effect as of the date hereof and all of which are subject to change, possibly with retroactive effect. This discussion of additional considerations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of additional considerations is based on current law and does not purport to deal with all aspects of U.S. federal income taxation that may be relevant to a prospective holder of the notes in light of its particular circumstances or to certain types of holders subject to special treatment under the U.S. federal income tax laws,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that acquire their notes in connection with employment or other performance of personal services, persons subject to the alternative minimum tax, persons that are, or that hold their notes through, partnerships or other pass-through entities, U.S. holders whose functional currency is not the U.S. dollar, or persons that hold notes as part of a straddle, hedge, conversion, synthetic security or constructive sale transaction for U.S. federal income tax purposes. We have not requested and will not request a ruling from the IRS with respect to any of the U.S. federal income tax issues discussed below or in the accompanying prospectus. Prospective investors are urged to consult their own tax advisors regarding the U.S. federal, state, local, foreign and other tax consequences of the acquisition, ownership and disposition of the notes.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used herein, the term “U.S. Holder” means a beneficial owner of a note that for U.S. federal income tax purposes is</w:t>
      </w:r>
    </w:p>
    <w:p>
      <w:pPr>
        <w:spacing w:after="0" w:line="7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of its states or the District of Columbia;</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the trust has a valid election in effect to be treated as a U.S. person.</w:t>
      </w:r>
    </w:p>
    <w:p>
      <w:pPr>
        <w:spacing w:after="0" w:line="72"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color w:val="auto"/>
        </w:rPr>
        <w:t>A “Non-U.S. Holder” means a beneficial owner of a note that is not a U.S. Holder and that is not a partnership or an entity or arrangement treated as a partnership for U.S. federal income tax purposes.</w:t>
      </w:r>
    </w:p>
    <w:p>
      <w:pPr>
        <w:spacing w:after="0" w:line="118"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a note, the treatment of a partner in the partnership will generally depend on the status of the partner and the activities of the partnership. Holders that are partnerships holding notes (and partners in such partnerships) are encouraged to consult their tax advisors.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 Holder generally will be required to include stated interest on the notes as ordinary income when received or accrued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accordance with the U.S. Holder’s regular method of tax accounting to the extent such stated interest is “qualified stated interest.” Stated interest is qualified stated interest if it is unconditionally payable in cash at least annually. The stated interest on the notes is qualified stated interest.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OID and Issue Price of the Notes.</w:t>
      </w:r>
    </w:p>
    <w:p>
      <w:pPr>
        <w:spacing w:after="0" w:line="77"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 xml:space="preserve">A debt instrument generally has original issue discount, or OID, if its “stated redemption price at maturity” exceeds its “issue price” by an amount that is equal to or greater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99"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05"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are encouraged to consult their own tax advisors regarding the determination of the issue price of the notes and the possible application of the OID rules.</w:t>
      </w:r>
    </w:p>
    <w:p>
      <w:pPr>
        <w:spacing w:after="0" w:line="127" w:lineRule="exact"/>
        <w:rPr>
          <w:sz w:val="20"/>
          <w:szCs w:val="20"/>
          <w:color w:val="auto"/>
        </w:rPr>
      </w:pPr>
    </w:p>
    <w:p>
      <w:pPr>
        <w:ind w:right="20" w:firstLine="571"/>
        <w:spacing w:after="0" w:line="312" w:lineRule="auto"/>
        <w:rPr>
          <w:sz w:val="20"/>
          <w:szCs w:val="20"/>
          <w:color w:val="auto"/>
        </w:rPr>
      </w:pPr>
      <w:r>
        <w:rPr>
          <w:rFonts w:ascii="Arial" w:cs="Arial" w:eastAsia="Arial" w:hAnsi="Arial"/>
          <w:sz w:val="15"/>
          <w:szCs w:val="15"/>
          <w:b w:val="1"/>
          <w:bCs w:val="1"/>
          <w:i w:val="1"/>
          <w:iCs w:val="1"/>
          <w:color w:val="auto"/>
        </w:rPr>
        <w:t xml:space="preserve">Sale, Exchange, Redemption or Retirement of the Notes. </w:t>
      </w:r>
      <w:r>
        <w:rPr>
          <w:rFonts w:ascii="Arial" w:cs="Arial" w:eastAsia="Arial" w:hAnsi="Arial"/>
          <w:sz w:val="15"/>
          <w:szCs w:val="15"/>
          <w:color w:val="auto"/>
        </w:rPr>
        <w:t>Unless a non-recognition provision applies, upon the sale, exchange, redemption, retirement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taxable disposition of a note, a U.S. Holder will generally recognize capital gain or loss equal to the difference (if any) between the amount realized (other than amounts attributable to accrued but unpaid stated interest, which amounts will be treated as interest, taxable to the U.S. Holder in accordance with its regular method of accounting, as described above) and such U.S. Holder’s adjusted tax basis in the note. The U.S. Holder’s adjusted tax basis in a note generally will be the purchase price for the note, reduced by the amount of any payments previously received by the U.S. Holder (other than qualified stated interest). Such gain or loss shall be treated as long-term capital gain or loss if the notes are held for more than one year at the time of disposition. Long-term capital gain of a non-corporate U.S. Holder is generally subject to preferential rates of taxation. The ability of U.S. Holders to deduct capital losses is subject to limitations.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are encouraged to consult with their tax advisors to determine the impact of U.S. federal, state, local and non-U.S. tax laws with regard to the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tax on payments of interest (including OID) on a note, provided that:</w:t>
      </w:r>
    </w:p>
    <w:p>
      <w:pPr>
        <w:spacing w:after="0" w:line="37" w:lineRule="exact"/>
        <w:rPr>
          <w:sz w:val="20"/>
          <w:szCs w:val="20"/>
          <w:color w:val="auto"/>
        </w:rPr>
      </w:pPr>
    </w:p>
    <w:p>
      <w:pPr>
        <w:jc w:val="both"/>
        <w:ind w:left="900" w:right="4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26"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0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or</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8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appropriate IRS form (generally, IRS Form W-8ECI). To claim the benefit of an income tax treaty, the Non-U.S. Holder must timely provide the appropriate, properly executed IRS forms (generally, IRS Form W-8BEN). These forms may be required to be periodically updated.</w:t>
      </w:r>
    </w:p>
    <w:p>
      <w:pPr>
        <w:spacing w:after="0" w:line="105" w:lineRule="exact"/>
        <w:rPr>
          <w:sz w:val="20"/>
          <w:szCs w:val="20"/>
          <w:color w:val="auto"/>
        </w:rPr>
      </w:pPr>
    </w:p>
    <w:p>
      <w:pPr>
        <w:ind w:right="120" w:firstLine="571"/>
        <w:spacing w:after="0" w:line="325" w:lineRule="auto"/>
        <w:rPr>
          <w:sz w:val="20"/>
          <w:szCs w:val="20"/>
          <w:color w:val="auto"/>
        </w:rPr>
      </w:pPr>
      <w:r>
        <w:rPr>
          <w:rFonts w:ascii="Arial" w:cs="Arial" w:eastAsia="Arial" w:hAnsi="Arial"/>
          <w:sz w:val="16"/>
          <w:szCs w:val="16"/>
          <w:b w:val="1"/>
          <w:bCs w:val="1"/>
          <w:i w:val="1"/>
          <w:iCs w:val="1"/>
          <w:color w:val="auto"/>
        </w:rPr>
        <w:t xml:space="preserve">Sale, Exchange, Redemption or Retirement of the Notes. </w:t>
      </w:r>
      <w:r>
        <w:rPr>
          <w:rFonts w:ascii="Arial" w:cs="Arial" w:eastAsia="Arial" w:hAnsi="Arial"/>
          <w:sz w:val="16"/>
          <w:szCs w:val="16"/>
          <w:color w:val="auto"/>
        </w:rPr>
        <w:t>Subject to the discussion on backup withholding below, a Non-U.S. Holder generally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subject to U.S. federal income or withholding tax on gain from the sale, exchange, redemption, retirement or other disposition of a note unless:</w:t>
      </w:r>
    </w:p>
    <w:p>
      <w:pPr>
        <w:spacing w:after="0" w:line="1" w:lineRule="exact"/>
        <w:rPr>
          <w:sz w:val="20"/>
          <w:szCs w:val="20"/>
          <w:color w:val="auto"/>
        </w:rPr>
      </w:pPr>
    </w:p>
    <w:p>
      <w:pPr>
        <w:ind w:left="900" w:right="300" w:hanging="325"/>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w:t>
      </w:r>
    </w:p>
    <w:p>
      <w:pPr>
        <w:spacing w:after="0" w:line="1"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3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or exemption under an applicable tax treaty) on the amount by which capital gains from U.S. sources (including gains from the sale or other disposition of the notes) exceed certain capital losses allocable to U.S. sources. Any amount attributable to accrued but unpaid interest on the notes will be treated in the same manner as payments of interest made to such Non-U.S. Holder, as described above under “—Interest on the Notes.” Non-U.S. Holders are encouraged to consult their own tax advisors on the treatment of any accrued but unpaid interest on the notes.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60" w:firstLine="571"/>
        <w:spacing w:after="0" w:line="294" w:lineRule="auto"/>
        <w:rPr>
          <w:sz w:val="20"/>
          <w:szCs w:val="20"/>
          <w:color w:val="auto"/>
        </w:rPr>
      </w:pPr>
      <w:r>
        <w:rPr>
          <w:rFonts w:ascii="Arial" w:cs="Arial" w:eastAsia="Arial" w:hAnsi="Arial"/>
          <w:sz w:val="16"/>
          <w:szCs w:val="16"/>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(currently at 28%) may apply.</w:t>
      </w:r>
    </w:p>
    <w:p>
      <w:pPr>
        <w:spacing w:after="0" w:line="102"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general, information reporting on IRS Form 1099 and backup withholding will not apply to payments of principal, interest and any premium made by us or a paying agent to a Non-U.S. Holder on the notes if the certification described above under “—Interest on the Notes” is received, provided that the payor does not have actual knowledge or reason to know that the Non-U.S. Holder is a U.S. person. However, interest generally will be reported annually to the IRS and the Non-U.S. Holder on IRS Form 1042-S. Copies of these information returns may also be made available under the provisions of a specific treaty or agreement to the tax authorities of the country in which the payee resides.</w:t>
      </w:r>
    </w:p>
    <w:p>
      <w:pPr>
        <w:spacing w:after="0" w:line="129"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Payments of the proceeds from a sale by a Non-U.S. Holder made to or through a foreign office of a broker generally will not be subject to information reporting or backup withholding. Information reporting may apply to such payments, however, if the broker is a U.S. person, a controlled foreign corporation for U.S. tax purposes, the U.S. branch of a foreign bank or a foreign insurance company, a foreign partnership controlled by U.S. persons or engaged in a U.S. trade or business, or a foreign person 50% or more of whose gross income is effectively connected with a U.S. trade or business for a specified three-year period. Payments of the proceeds from the sale of notes through the U.S. office of a broker is subject to information reporting and backup withholding unless the Non-U.S. Holder certifies as to its non-U.S. status or otherwise establishes an exemption from information reporting and backup withholding.</w:t>
      </w:r>
    </w:p>
    <w:p>
      <w:pPr>
        <w:spacing w:after="0" w:line="107"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Backup withholding does not represent an additional income tax, and any amounts deducted and withheld pursuant to the backup withholding rules should generally be allowed as a credit against the recipient’s U.S. federal income tax liability or as a refund, provided the required information is timely furnished to the IRS. Certain penalties may be imposed by the IRS on a recipient of payments that is required to supply information but that does not do so in the proper manner.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We intend to offer the notes through the underwriters. J.P. Morgan Securities Inc. and Wells Fargo Securities, LLC are acting as representatives of the underwriters named below.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9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Amount of</w:t>
            </w:r>
          </w:p>
        </w:tc>
      </w:tr>
      <w:tr>
        <w:trPr>
          <w:trHeight w:val="229"/>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Notes</w:t>
            </w:r>
          </w:p>
        </w:tc>
      </w:tr>
      <w:tr>
        <w:trPr>
          <w:trHeight w:val="202"/>
        </w:trPr>
        <w:tc>
          <w:tcPr>
            <w:tcW w:w="9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6"/>
              </w:rPr>
              <w:t>J.P. Morgan</w:t>
            </w:r>
          </w:p>
        </w:tc>
        <w:tc>
          <w:tcPr>
            <w:tcW w:w="9320" w:type="dxa"/>
            <w:vAlign w:val="bottom"/>
          </w:tcPr>
          <w:p>
            <w:pPr>
              <w:spacing w:after="0" w:line="202" w:lineRule="exact"/>
              <w:rPr>
                <w:sz w:val="20"/>
                <w:szCs w:val="20"/>
                <w:color w:val="auto"/>
              </w:rPr>
            </w:pPr>
            <w:r>
              <w:rPr>
                <w:rFonts w:ascii="Arial" w:cs="Arial" w:eastAsia="Arial" w:hAnsi="Arial"/>
                <w:sz w:val="18"/>
                <w:szCs w:val="18"/>
                <w:color w:val="auto"/>
              </w:rPr>
              <w:t>Securities Inc.</w:t>
            </w: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52,500,000</w:t>
            </w:r>
          </w:p>
        </w:tc>
        <w:tc>
          <w:tcPr>
            <w:tcW w:w="20" w:type="dxa"/>
            <w:vAlign w:val="bottom"/>
          </w:tcPr>
          <w:p>
            <w:pPr>
              <w:spacing w:after="0"/>
              <w:rPr>
                <w:sz w:val="17"/>
                <w:szCs w:val="17"/>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11,250,000</w:t>
            </w: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11,250,000</w:t>
            </w: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Morgan Keegan &amp; Company,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7,500,000</w:t>
            </w: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7,500,000</w:t>
            </w: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Capital One Southcoast,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3,000,000</w:t>
            </w:r>
          </w:p>
        </w:tc>
      </w:tr>
      <w:tr>
        <w:trPr>
          <w:trHeight w:val="224"/>
        </w:trPr>
        <w:tc>
          <w:tcPr>
            <w:tcW w:w="10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150,000,000</w:t>
            </w:r>
          </w:p>
        </w:tc>
      </w:tr>
      <w:tr>
        <w:trPr>
          <w:trHeight w:val="20"/>
        </w:trPr>
        <w:tc>
          <w:tcPr>
            <w:tcW w:w="96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jc w:val="both"/>
        <w:ind w:right="280" w:firstLine="571"/>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83"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0.35% of the principal amount of the notes. The underwriters may allow, and the dealers may reallow, a discount not in excess of 0.25% of the principal amount of the notes on sales to other dealers. After the initial offering, the public offering price and concession to dealers may be changed.</w:t>
      </w:r>
    </w:p>
    <w:p>
      <w:pPr>
        <w:spacing w:after="0" w:line="130"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261"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Paid by 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2"/>
        </w:trPr>
        <w:tc>
          <w:tcPr>
            <w:tcW w:w="10400" w:type="dxa"/>
            <w:vAlign w:val="bottom"/>
          </w:tcPr>
          <w:p>
            <w:pPr>
              <w:spacing w:after="0" w:line="202" w:lineRule="exact"/>
              <w:rPr>
                <w:sz w:val="20"/>
                <w:szCs w:val="20"/>
                <w:color w:val="auto"/>
              </w:rPr>
            </w:pPr>
            <w:r>
              <w:rPr>
                <w:rFonts w:ascii="Arial" w:cs="Arial" w:eastAsia="Arial" w:hAnsi="Arial"/>
                <w:sz w:val="18"/>
                <w:szCs w:val="18"/>
                <w:color w:val="auto"/>
              </w:rPr>
              <w:t>Per note</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0.60%</w:t>
            </w:r>
          </w:p>
        </w:tc>
      </w:tr>
    </w:tbl>
    <w:p>
      <w:pPr>
        <w:spacing w:after="0" w:line="129"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2"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$150,000.</w:t>
      </w:r>
    </w:p>
    <w:p>
      <w:pPr>
        <w:spacing w:after="0" w:line="15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underwriters have performed investment banking, and other commercial services for us from time to time for which they have received customary fees and expenses. The underwriters may, from time to time, engage in transactions with and perform services for us in the ordinary course of their business. Affiliates of certain of the underwriters are lenders under our $372 million term loan maturing on July 27, 2011 and will receive a pro rata portion of any proceeds used to reduce amounts outstanding under the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83"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right="200" w:firstLine="571"/>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2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2"/>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6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Shares of Beneficial Interest</w:t>
              </w:r>
            </w:hyperlink>
          </w:p>
        </w:tc>
        <w:tc>
          <w:tcPr>
            <w:tcW w:w="8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8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240" w:type="dxa"/>
            <w:vAlign w:val="bottom"/>
            <w:gridSpan w:val="13"/>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86" w:lineRule="exact"/>
        <w:rPr>
          <w:sz w:val="20"/>
          <w:szCs w:val="20"/>
          <w:color w:val="auto"/>
        </w:rPr>
      </w:pPr>
    </w:p>
    <w:p>
      <w:pPr>
        <w:ind w:left="900" w:right="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235"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188"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4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 take similar action) as promptly as practicable. If such a meeting is not held on or prior to the 60</w:t>
      </w:r>
      <w:r>
        <w:rPr>
          <w:rFonts w:ascii="Arial" w:cs="Arial" w:eastAsia="Arial" w:hAnsi="Arial"/>
          <w:sz w:val="10"/>
          <w:szCs w:val="10"/>
          <w:color w:val="auto"/>
        </w:rPr>
        <w:t>th</w:t>
      </w:r>
      <w:r>
        <w:rPr>
          <w:rFonts w:ascii="Arial" w:cs="Arial" w:eastAsia="Arial" w:hAnsi="Arial"/>
          <w:sz w:val="16"/>
          <w:szCs w:val="16"/>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6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72" w:lineRule="exact"/>
        <w:rPr>
          <w:sz w:val="20"/>
          <w:szCs w:val="20"/>
          <w:color w:val="auto"/>
        </w:rPr>
      </w:pPr>
    </w:p>
    <w:p>
      <w:pPr>
        <w:ind w:left="900" w:right="20" w:hanging="446"/>
        <w:spacing w:after="0" w:line="318"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80"/>
        <w:spacing w:after="0"/>
        <w:rPr>
          <w:sz w:val="20"/>
          <w:szCs w:val="20"/>
          <w:color w:val="auto"/>
        </w:rPr>
      </w:pPr>
      <w:r>
        <w:rPr>
          <w:rFonts w:ascii="Arial" w:cs="Arial" w:eastAsia="Arial" w:hAnsi="Arial"/>
          <w:sz w:val="32"/>
          <w:szCs w:val="32"/>
          <w:b w:val="1"/>
          <w:bCs w:val="1"/>
          <w:color w:val="auto"/>
        </w:rPr>
        <w:t>5.95%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212725</wp:posOffset>
            </wp:positionV>
            <wp:extent cx="2280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109220</wp:posOffset>
            </wp:positionV>
            <wp:extent cx="22809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jc w:val="center"/>
        <w:ind w:right="-1200"/>
        <w:spacing w:after="0" w:line="237" w:lineRule="auto"/>
        <w:rPr>
          <w:sz w:val="20"/>
          <w:szCs w:val="20"/>
          <w:color w:val="auto"/>
        </w:rPr>
      </w:pPr>
      <w:r>
        <w:rPr>
          <w:rFonts w:ascii="Arial" w:cs="Arial" w:eastAsia="Arial" w:hAnsi="Arial"/>
          <w:sz w:val="32"/>
          <w:szCs w:val="32"/>
          <w:b w:val="1"/>
          <w:bCs w:val="1"/>
          <w:color w:val="auto"/>
        </w:rPr>
        <w:t>Citi</w:t>
      </w:r>
    </w:p>
    <w:p>
      <w:pPr>
        <w:jc w:val="center"/>
        <w:ind w:right="-1200"/>
        <w:spacing w:after="0" w:line="238" w:lineRule="auto"/>
        <w:rPr>
          <w:sz w:val="20"/>
          <w:szCs w:val="20"/>
          <w:color w:val="auto"/>
        </w:rPr>
      </w:pPr>
      <w:r>
        <w:rPr>
          <w:rFonts w:ascii="Arial" w:cs="Arial" w:eastAsia="Arial" w:hAnsi="Arial"/>
          <w:sz w:val="32"/>
          <w:szCs w:val="32"/>
          <w:b w:val="1"/>
          <w:bCs w:val="1"/>
          <w:color w:val="auto"/>
        </w:rPr>
        <w:t>PNC Capital Markets LLC</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Morgan Keegan &amp; Company, Inc.</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SunTrust Robinson Humphrey</w:t>
      </w:r>
    </w:p>
    <w:p>
      <w:pPr>
        <w:jc w:val="center"/>
        <w:ind w:right="-1200"/>
        <w:spacing w:after="0" w:line="237" w:lineRule="auto"/>
        <w:rPr>
          <w:sz w:val="20"/>
          <w:szCs w:val="20"/>
          <w:color w:val="auto"/>
        </w:rPr>
      </w:pPr>
      <w:r>
        <w:rPr>
          <w:rFonts w:ascii="Arial" w:cs="Arial" w:eastAsia="Arial" w:hAnsi="Arial"/>
          <w:sz w:val="32"/>
          <w:szCs w:val="32"/>
          <w:b w:val="1"/>
          <w:bCs w:val="1"/>
          <w:color w:val="auto"/>
        </w:rPr>
        <w:t>Capital One Southcoast</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U.S. Bancorp Investments, Inc.</w:t>
      </w:r>
    </w:p>
    <w:p>
      <w:pPr>
        <w:spacing w:after="0" w:line="13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August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1)"/>
      <w:numFmt w:val="decimal"/>
      <w:start w:val="1"/>
    </w:lvl>
  </w:abstractNum>
  <w:abstractNum w:abstractNumId="2">
    <w:nsid w:val="6A2342EC"/>
    <w:multiLevelType w:val="hybridMultilevel"/>
    <w:lvl w:ilvl="0">
      <w:lvlJc w:val="left"/>
      <w:lvlText w:val="•"/>
      <w:numFmt w:val="bullet"/>
      <w:start w:val="1"/>
    </w:lvl>
    <w:lvl w:ilvl="1">
      <w:lvlJc w:val="left"/>
      <w:lvlText w:val="•"/>
      <w:numFmt w:val="bullet"/>
      <w:start w:val="1"/>
    </w:lvl>
  </w:abstractNum>
  <w:abstractNum w:abstractNumId="3">
    <w:nsid w:val="2A487CB0"/>
    <w:multiLevelType w:val="hybridMultilevel"/>
    <w:lvl w:ilvl="0">
      <w:lvlJc w:val="left"/>
      <w:lvlText w:val="(%1)"/>
      <w:numFmt w:val="decimal"/>
      <w:start w:val="2"/>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30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lvl w:ilvl="1">
      <w:lvlJc w:val="left"/>
      <w:lvlText w:val="•"/>
      <w:numFmt w:val="bullet"/>
      <w:start w:val="1"/>
    </w:lvl>
  </w:abstractNum>
  <w:abstractNum w:abstractNumId="25">
    <w:nsid w:val="374A3FE6"/>
    <w:multiLevelType w:val="hybridMultilevel"/>
    <w:lvl w:ilvl="0">
      <w:lvlJc w:val="left"/>
      <w:lvlText w:val="•"/>
      <w:numFmt w:val="bullet"/>
      <w:start w:val="1"/>
    </w:lvl>
    <w:lvl w:ilvl="1">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2"/>
    </w:lvl>
    <w:lvl w:ilvl="1">
      <w:lvlJc w:val="left"/>
      <w:lvlText w:val="(%2)"/>
      <w:numFmt w:val="lowerLetter"/>
      <w:start w:val="1"/>
    </w:lvl>
  </w:abstractNum>
  <w:abstractNum w:abstractNumId="32">
    <w:nsid w:val="180115BE"/>
    <w:multiLevelType w:val="hybridMultilevel"/>
    <w:lvl w:ilvl="0">
      <w:lvlJc w:val="left"/>
      <w:lvlText w:val="%1."/>
      <w:numFmt w:val="decimal"/>
      <w:start w:val="7"/>
    </w:lvl>
    <w:lvl w:ilvl="1">
      <w:lvlJc w:val="left"/>
      <w:lvlText w:val="(%2)"/>
      <w:numFmt w:val="lowerLetter"/>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lvl w:ilvl="1">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lvl w:ilvl="1">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lvl w:ilvl="1">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lowerRoman"/>
      <w:start w:val="3"/>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lvl w:ilvl="1">
      <w:lvlJc w:val="left"/>
      <w:lvlText w:val="•"/>
      <w:numFmt w:val="bullet"/>
      <w:start w:val="1"/>
    </w:lvl>
  </w:abstractNum>
  <w:abstractNum w:abstractNumId="73">
    <w:nsid w:val="A0382C5"/>
    <w:multiLevelType w:val="hybridMultilevel"/>
    <w:lvl w:ilvl="0">
      <w:lvlJc w:val="left"/>
      <w:lvlText w:val="(%1)"/>
      <w:numFmt w:val="lowerRoman"/>
      <w:start w:val="2"/>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4"/>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2019-12-09T23:03:41Z</dcterms:created>
  <dcterms:modified xsi:type="dcterms:W3CDTF">2019-12-09T23:03:41Z</dcterms:modified>
</cp:coreProperties>
</file>