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940"/>
        <w:spacing w:after="0"/>
        <w:rPr>
          <w:sz w:val="20"/>
          <w:szCs w:val="20"/>
          <w:color w:val="auto"/>
        </w:rPr>
      </w:pPr>
      <w:r>
        <w:rPr>
          <w:rFonts w:ascii="Arial" w:cs="Arial" w:eastAsia="Arial" w:hAnsi="Arial"/>
          <w:sz w:val="22"/>
          <w:szCs w:val="22"/>
          <w:b w:val="1"/>
          <w:bCs w:val="1"/>
          <w:color w:val="auto"/>
        </w:rPr>
        <w:t>Date of Report (Date of earliest event reported) May 4,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46" w:lineRule="exact"/>
        <w:rPr>
          <w:sz w:val="24"/>
          <w:szCs w:val="24"/>
          <w:color w:val="auto"/>
        </w:rPr>
      </w:pPr>
    </w:p>
    <w:p>
      <w:pPr>
        <w:sectPr>
          <w:pgSz w:w="11900" w:h="16838" w:orient="portrait"/>
          <w:cols w:equalWidth="0" w:num="3">
            <w:col w:w="4820" w:space="720"/>
            <w:col w:w="2920" w:space="720"/>
            <w:col w:w="1840"/>
          </w:cols>
          <w:pgMar w:left="240" w:top="314" w:right="63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ind w:left="108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56" w:lineRule="exact"/>
        <w:rPr>
          <w:sz w:val="24"/>
          <w:szCs w:val="24"/>
          <w:color w:val="auto"/>
        </w:rPr>
      </w:pPr>
    </w:p>
    <w:p>
      <w:pPr>
        <w:sectPr>
          <w:pgSz w:w="11900" w:h="16838" w:orient="portrait"/>
          <w:cols w:equalWidth="0" w:num="2">
            <w:col w:w="7540" w:space="720"/>
            <w:col w:w="2760"/>
          </w:cols>
          <w:pgMar w:left="240" w:top="314"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314" w:right="639" w:bottom="1440" w:gutter="0" w:footer="0" w:header="0"/>
          <w:type w:val="continuous"/>
        </w:sectPr>
      </w:pPr>
    </w:p>
    <w:p>
      <w:pPr>
        <w:ind w:left="326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ind w:left="1040" w:right="48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45"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On May 4, 2010, the shareholders of Federal Realty Investment Trust (the “Trust”) approved the Trust’s 2010 Performance Incentive Plan, as amended (the “2010 Plan”). The 2010 Plan provides for the issuance of up to 2,450,000 shares to be issued to our Trustees, executive officers, employees and others for a period of ten years. The 2010 Plan expires March 10, 2020. A brief summary of the 2010 Plan is included as part of Proposal 3 of the Trust’s Definitive Proxy Statement filed with the Securities and Exchange Commission (the “Commission”) on March 24, 2010, as supplemented by the Trust’s Proxy Supplement filed with the Commission on April 22, 2010. The summary of the 2010 Plan is qualified in its entirety by the text of the 2010 Plan and the Amendment to the 2010 Plan, which were each filed as Appendix A to the Trust’s Definitive Proxy Statement and Proxy Supplement, respectively, and are incorporated herein by reference.</w:t>
      </w:r>
    </w:p>
    <w:p>
      <w:pPr>
        <w:spacing w:after="0" w:line="105"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In addition, upon approval of the 2010 Plan, no new awards may be issued under the Trust’s existing Amended and Restated 2001 Long-Term Incentive Plan (the “2001 Plan”). Shares will continue to be issued under the 2001 Plan with respect to the exercise or settlement of previously outstanding awards.</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annual meeting of shareholders of the Trust was held on May 4, 2010 in Rockville, Maryland. The following table sets forth the matters presented for a vote by the shareholders and the votes cast for and against such matters: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7180" w:type="dxa"/>
            <w:vAlign w:val="bottom"/>
            <w:vMerge w:val="restart"/>
          </w:tcPr>
          <w:p>
            <w:pPr>
              <w:ind w:left="3380"/>
              <w:spacing w:after="0"/>
              <w:rPr>
                <w:sz w:val="20"/>
                <w:szCs w:val="20"/>
                <w:color w:val="auto"/>
              </w:rPr>
            </w:pPr>
            <w:r>
              <w:rPr>
                <w:rFonts w:ascii="Arial" w:cs="Arial" w:eastAsia="Arial" w:hAnsi="Arial"/>
                <w:sz w:val="14"/>
                <w:szCs w:val="14"/>
                <w:b w:val="1"/>
                <w:bCs w:val="1"/>
                <w:color w:val="auto"/>
              </w:rPr>
              <w:t>Matter</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400"/>
              <w:spacing w:after="0"/>
              <w:rPr>
                <w:sz w:val="20"/>
                <w:szCs w:val="20"/>
                <w:color w:val="auto"/>
              </w:rPr>
            </w:pPr>
            <w:r>
              <w:rPr>
                <w:rFonts w:ascii="Arial" w:cs="Arial" w:eastAsia="Arial" w:hAnsi="Arial"/>
                <w:sz w:val="14"/>
                <w:szCs w:val="14"/>
                <w:b w:val="1"/>
                <w:bCs w:val="1"/>
                <w:color w:val="auto"/>
              </w:rPr>
              <w:t>Votes</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61"/>
        </w:trPr>
        <w:tc>
          <w:tcPr>
            <w:tcW w:w="340" w:type="dxa"/>
            <w:vAlign w:val="bottom"/>
          </w:tcPr>
          <w:p>
            <w:pPr>
              <w:spacing w:after="0"/>
              <w:rPr>
                <w:sz w:val="14"/>
                <w:szCs w:val="14"/>
                <w:color w:val="auto"/>
              </w:rPr>
            </w:pPr>
          </w:p>
        </w:tc>
        <w:tc>
          <w:tcPr>
            <w:tcW w:w="71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Votes For</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Withheld/Against</w:t>
            </w:r>
          </w:p>
        </w:tc>
        <w:tc>
          <w:tcPr>
            <w:tcW w:w="100" w:type="dxa"/>
            <w:vAlign w:val="bottom"/>
          </w:tcPr>
          <w:p>
            <w:pPr>
              <w:spacing w:after="0"/>
              <w:rPr>
                <w:sz w:val="14"/>
                <w:szCs w:val="14"/>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6"/>
              </w:rPr>
              <w:t>Abstentions</w:t>
            </w:r>
          </w:p>
        </w:tc>
        <w:tc>
          <w:tcPr>
            <w:tcW w:w="12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Non-Votes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0"/>
              </w:rPr>
              <w:t>(1)</w:t>
            </w: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w w:val="88"/>
              </w:rPr>
              <w:t>Election of Jon E. Bortz as an Independent Trustee with a term serving until the 2011 Annual Meeting</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47,848,896</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612,046</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3,469,831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90"/>
              </w:rPr>
              <w:t>(2)</w:t>
            </w:r>
          </w:p>
        </w:tc>
        <w:tc>
          <w:tcPr>
            <w:tcW w:w="7180" w:type="dxa"/>
            <w:vAlign w:val="bottom"/>
          </w:tcPr>
          <w:p>
            <w:pPr>
              <w:spacing w:after="0"/>
              <w:rPr>
                <w:sz w:val="20"/>
                <w:szCs w:val="20"/>
                <w:color w:val="auto"/>
              </w:rPr>
            </w:pPr>
            <w:r>
              <w:rPr>
                <w:rFonts w:ascii="Arial" w:cs="Arial" w:eastAsia="Arial" w:hAnsi="Arial"/>
                <w:sz w:val="18"/>
                <w:szCs w:val="18"/>
                <w:color w:val="auto"/>
                <w:w w:val="92"/>
              </w:rPr>
              <w:t>Election of David W. Faeder as an Independent Trustee with a term serving until the 2011 Annual</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Meeting</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47,788,417</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672,525</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3,469,831</w:t>
            </w:r>
          </w:p>
        </w:tc>
        <w:tc>
          <w:tcPr>
            <w:tcW w:w="0" w:type="dxa"/>
            <w:vAlign w:val="bottom"/>
          </w:tcPr>
          <w:p>
            <w:pPr>
              <w:spacing w:after="0"/>
              <w:rPr>
                <w:sz w:val="1"/>
                <w:szCs w:val="1"/>
                <w:color w:val="auto"/>
              </w:rPr>
            </w:pPr>
          </w:p>
        </w:tc>
      </w:tr>
      <w:tr>
        <w:trPr>
          <w:trHeight w:val="210"/>
        </w:trPr>
        <w:tc>
          <w:tcPr>
            <w:tcW w:w="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0"/>
              </w:rPr>
              <w:t>(3)</w:t>
            </w: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w w:val="94"/>
              </w:rPr>
              <w:t>Election of Kristin Gamble as an Independent Trustee with a term serving until the 2011 Annual</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0" w:type="dxa"/>
            <w:vAlign w:val="bottom"/>
            <w:shd w:val="clear" w:color="auto" w:fill="CCEEFF"/>
          </w:tcPr>
          <w:p>
            <w:pPr>
              <w:spacing w:after="0"/>
              <w:rPr>
                <w:sz w:val="19"/>
                <w:szCs w:val="19"/>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Meeting</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47,001,869</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1,459,073</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3,469,831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90"/>
              </w:rPr>
              <w:t>(4)</w:t>
            </w:r>
          </w:p>
        </w:tc>
        <w:tc>
          <w:tcPr>
            <w:tcW w:w="7180" w:type="dxa"/>
            <w:vAlign w:val="bottom"/>
          </w:tcPr>
          <w:p>
            <w:pPr>
              <w:spacing w:after="0"/>
              <w:rPr>
                <w:sz w:val="20"/>
                <w:szCs w:val="20"/>
                <w:color w:val="auto"/>
              </w:rPr>
            </w:pPr>
            <w:r>
              <w:rPr>
                <w:rFonts w:ascii="Arial" w:cs="Arial" w:eastAsia="Arial" w:hAnsi="Arial"/>
                <w:sz w:val="18"/>
                <w:szCs w:val="18"/>
                <w:color w:val="auto"/>
                <w:w w:val="94"/>
              </w:rPr>
              <w:t>The ratification of the appointment of Grant Thornton LLP as the Trust’s independent registered</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public accounting firm for the year ending December 31, 2010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51,575,764</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297,342</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57,665</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0"/>
              </w:rPr>
              <w:t>(5)</w:t>
            </w: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w w:val="93"/>
              </w:rPr>
              <w:t>The approval of the Trust’s 2010 Performance Incentive Plan to provide for the issuance of up to</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w w:val="87"/>
              </w:rPr>
              <w:t>2,450,000 shares to be issued to our Trustees, executive officers, employees and others for a period of</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0" w:type="dxa"/>
            <w:vAlign w:val="bottom"/>
            <w:shd w:val="clear" w:color="auto" w:fill="CCEEFF"/>
          </w:tcPr>
          <w:p>
            <w:pPr>
              <w:spacing w:after="0"/>
              <w:rPr>
                <w:sz w:val="19"/>
                <w:szCs w:val="19"/>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ten years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42,364,068</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5,995,046</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101,822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3,469,836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90"/>
              </w:rPr>
              <w:t>(6)</w:t>
            </w:r>
          </w:p>
        </w:tc>
        <w:tc>
          <w:tcPr>
            <w:tcW w:w="7180" w:type="dxa"/>
            <w:vAlign w:val="bottom"/>
          </w:tcPr>
          <w:p>
            <w:pPr>
              <w:spacing w:after="0"/>
              <w:rPr>
                <w:sz w:val="20"/>
                <w:szCs w:val="20"/>
                <w:color w:val="auto"/>
              </w:rPr>
            </w:pPr>
            <w:r>
              <w:rPr>
                <w:rFonts w:ascii="Arial" w:cs="Arial" w:eastAsia="Arial" w:hAnsi="Arial"/>
                <w:sz w:val="18"/>
                <w:szCs w:val="18"/>
                <w:color w:val="auto"/>
                <w:w w:val="95"/>
              </w:rPr>
              <w:t>The consideration of a shareholder proposal requesting that our Board of Trustees prepare by</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w w:val="95"/>
              </w:rPr>
              <w:t>December 2010 a social and environmental sustainability report in accordance with guidelines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established by the Global Reporting Initiative</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17,328,391</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21,497,225</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9,635,319</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3,469,837</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terms of office of the following Trustees continued after the meeting: Gail P. Steinel, Warren M. Thompson, Joseph S. Vassalluzzo and Donald C. Wood.</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60" w:type="dxa"/>
            <w:vAlign w:val="bottom"/>
          </w:tcPr>
          <w:p>
            <w:pPr>
              <w:spacing w:after="0"/>
              <w:rPr>
                <w:sz w:val="15"/>
                <w:szCs w:val="15"/>
                <w:color w:val="auto"/>
              </w:rPr>
            </w:pPr>
          </w:p>
        </w:tc>
        <w:tc>
          <w:tcPr>
            <w:tcW w:w="9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720" w:type="dxa"/>
            <w:vAlign w:val="bottom"/>
          </w:tcPr>
          <w:p>
            <w:pPr>
              <w:spacing w:after="0" w:line="201" w:lineRule="exact"/>
              <w:rPr>
                <w:sz w:val="20"/>
                <w:szCs w:val="20"/>
                <w:color w:val="auto"/>
              </w:rPr>
            </w:pPr>
            <w:r>
              <w:rPr>
                <w:rFonts w:ascii="Arial" w:cs="Arial" w:eastAsia="Arial" w:hAnsi="Arial"/>
                <w:sz w:val="18"/>
                <w:szCs w:val="18"/>
                <w:color w:val="auto"/>
              </w:rPr>
              <w:t>10.1</w:t>
            </w:r>
          </w:p>
        </w:tc>
        <w:tc>
          <w:tcPr>
            <w:tcW w:w="760" w:type="dxa"/>
            <w:vAlign w:val="bottom"/>
          </w:tcPr>
          <w:p>
            <w:pPr>
              <w:spacing w:after="0"/>
              <w:rPr>
                <w:sz w:val="17"/>
                <w:szCs w:val="17"/>
                <w:color w:val="auto"/>
              </w:rPr>
            </w:pPr>
          </w:p>
        </w:tc>
        <w:tc>
          <w:tcPr>
            <w:tcW w:w="9940" w:type="dxa"/>
            <w:vAlign w:val="bottom"/>
          </w:tcPr>
          <w:p>
            <w:pPr>
              <w:spacing w:after="0" w:line="201" w:lineRule="exact"/>
              <w:rPr>
                <w:sz w:val="20"/>
                <w:szCs w:val="20"/>
                <w:color w:val="auto"/>
              </w:rPr>
            </w:pPr>
            <w:r>
              <w:rPr>
                <w:rFonts w:ascii="Arial" w:cs="Arial" w:eastAsia="Arial" w:hAnsi="Arial"/>
                <w:sz w:val="18"/>
                <w:szCs w:val="18"/>
                <w:color w:val="auto"/>
                <w:w w:val="89"/>
              </w:rPr>
              <w:t>Federal Realty Investment Trust 2010 Performance Incentive Plan (previously filed as Appendix A to the Trust’s Definitive Proxy Statement</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for the 2010 Annual Meeting of Shareholders and incorporated herein by reference)</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10.2</w:t>
            </w:r>
          </w:p>
        </w:tc>
        <w:tc>
          <w:tcPr>
            <w:tcW w:w="7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3"/>
              </w:rPr>
              <w:t>Amendment to Federal Realty Investment Trust 2010 Performance Incentive Plan (previously filed as Appendix A to the Trust’s Proxy</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Supplement for the 2010 Annual Meeting of Shareholders and incorporated herein by reference)</w:t>
            </w:r>
          </w:p>
        </w:tc>
      </w:tr>
    </w:tbl>
    <w:p>
      <w:pPr>
        <w:sectPr>
          <w:pgSz w:w="11900" w:h="16838" w:orient="portrait"/>
          <w:cols w:equalWidth="0" w:num="1">
            <w:col w:w="11420"/>
          </w:cols>
          <w:pgMar w:left="240" w:top="280" w:right="2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May 10, 2010</w:t>
      </w:r>
      <w:r>
        <w:rPr>
          <w:sz w:val="20"/>
          <w:szCs w:val="20"/>
          <w:color w:val="auto"/>
        </w:rPr>
        <w:tab/>
      </w:r>
      <w:r>
        <w:rPr>
          <w:rFonts w:ascii="Arial" w:cs="Arial" w:eastAsia="Arial" w:hAnsi="Arial"/>
          <w:sz w:val="16"/>
          <w:szCs w:val="16"/>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3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Executive Vice President-General Counsel and Secretary</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2019-12-09T23:14:58Z</dcterms:created>
  <dcterms:modified xsi:type="dcterms:W3CDTF">2019-12-09T23:14:58Z</dcterms:modified>
</cp:coreProperties>
</file>