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As filed with the Securities and Exchange Commission on May 12, 2015</w:t>
      </w:r>
    </w:p>
    <w:p>
      <w:pPr>
        <w:spacing w:after="0" w:line="27" w:lineRule="exact"/>
        <w:rPr>
          <w:sz w:val="24"/>
          <w:szCs w:val="24"/>
          <w:color w:val="auto"/>
        </w:rPr>
      </w:pPr>
    </w:p>
    <w:p>
      <w:pPr>
        <w:ind w:left="92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REGISTRATION STATEMENT</w:t>
      </w:r>
    </w:p>
    <w:p>
      <w:pPr>
        <w:jc w:val="center"/>
        <w:ind w:right="-3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4000" w:type="dxa"/>
            <w:vAlign w:val="bottom"/>
          </w:tcPr>
          <w:p>
            <w:pPr>
              <w:jc w:val="center"/>
              <w:ind w:right="2062"/>
              <w:spacing w:after="0"/>
              <w:rPr>
                <w:sz w:val="20"/>
                <w:szCs w:val="20"/>
                <w:color w:val="auto"/>
              </w:rPr>
            </w:pPr>
            <w:r>
              <w:rPr>
                <w:rFonts w:ascii="Arial" w:cs="Arial" w:eastAsia="Arial" w:hAnsi="Arial"/>
                <w:sz w:val="18"/>
                <w:szCs w:val="18"/>
                <w:b w:val="1"/>
                <w:bCs w:val="1"/>
                <w:color w:val="auto"/>
                <w:w w:val="98"/>
              </w:rPr>
              <w:t>Maryland</w:t>
            </w:r>
          </w:p>
        </w:tc>
        <w:tc>
          <w:tcPr>
            <w:tcW w:w="3260" w:type="dxa"/>
            <w:vAlign w:val="bottom"/>
          </w:tcPr>
          <w:p>
            <w:pPr>
              <w:jc w:val="center"/>
              <w:ind w:left="2042"/>
              <w:spacing w:after="0"/>
              <w:rPr>
                <w:sz w:val="20"/>
                <w:szCs w:val="20"/>
                <w:color w:val="auto"/>
              </w:rPr>
            </w:pPr>
            <w:r>
              <w:rPr>
                <w:rFonts w:ascii="Arial" w:cs="Arial" w:eastAsia="Arial" w:hAnsi="Arial"/>
                <w:sz w:val="18"/>
                <w:szCs w:val="18"/>
                <w:b w:val="1"/>
                <w:bCs w:val="1"/>
                <w:color w:val="auto"/>
                <w:w w:val="89"/>
              </w:rPr>
              <w:t>52-0782497</w:t>
            </w:r>
          </w:p>
        </w:tc>
      </w:tr>
      <w:tr>
        <w:trPr>
          <w:trHeight w:val="149"/>
        </w:trPr>
        <w:tc>
          <w:tcPr>
            <w:tcW w:w="4000" w:type="dxa"/>
            <w:vAlign w:val="bottom"/>
          </w:tcPr>
          <w:p>
            <w:pPr>
              <w:jc w:val="center"/>
              <w:ind w:right="20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60" w:type="dxa"/>
            <w:vAlign w:val="bottom"/>
          </w:tcPr>
          <w:p>
            <w:pPr>
              <w:jc w:val="center"/>
              <w:ind w:left="20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00" w:type="dxa"/>
            <w:vAlign w:val="bottom"/>
          </w:tcPr>
          <w:p>
            <w:pPr>
              <w:jc w:val="center"/>
              <w:ind w:right="2042"/>
              <w:spacing w:after="0"/>
              <w:rPr>
                <w:sz w:val="20"/>
                <w:szCs w:val="20"/>
                <w:color w:val="auto"/>
              </w:rPr>
            </w:pPr>
            <w:r>
              <w:rPr>
                <w:rFonts w:ascii="Arial" w:cs="Arial" w:eastAsia="Arial" w:hAnsi="Arial"/>
                <w:sz w:val="14"/>
                <w:szCs w:val="14"/>
                <w:b w:val="1"/>
                <w:bCs w:val="1"/>
                <w:color w:val="auto"/>
                <w:w w:val="94"/>
              </w:rPr>
              <w:t>incorporation or organization)</w:t>
            </w:r>
          </w:p>
        </w:tc>
        <w:tc>
          <w:tcPr>
            <w:tcW w:w="3260" w:type="dxa"/>
            <w:vAlign w:val="bottom"/>
          </w:tcPr>
          <w:p>
            <w:pPr>
              <w:jc w:val="center"/>
              <w:ind w:left="20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1626 East Jefferson Street</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Rockville, Maryland 20852</w:t>
      </w:r>
    </w:p>
    <w:p>
      <w:pPr>
        <w:spacing w:after="0" w:line="9"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Telephone: (301) 998-8100</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Dawn M. Becker, Executive Vice President, General Counsel and Secretary</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Federal Realty Investment Trust</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1626 East Jefferson Street</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Rockville, Maryland 20852</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Telephone: (301) 998-8100</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Justin J. Bintrim, Esq.</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Pillsbury Winthrop Shaw Pittman LLP</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1200 Seventeenth Street N.W.</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20036</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(202) 663-8000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Approximate date of commencement of proposed sale of the securities to the public:</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From time to time following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right="300" w:firstLine="456"/>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firstLine="456"/>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firstLine="456"/>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220" w:firstLine="456"/>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400" w:firstLine="456"/>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380"/>
          </w:cols>
          <w:pgMar w:left="240" w:top="230" w:right="279" w:bottom="125" w:gutter="0" w:footer="0" w:header="0"/>
        </w:sectPr>
      </w:pPr>
    </w:p>
    <w:bookmarkStart w:id="1" w:name="page2"/>
    <w:bookmarkEnd w:id="1"/>
    <w:p>
      <w:pPr>
        <w:ind w:right="160" w:firstLine="456"/>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120" w:type="dxa"/>
            <w:vAlign w:val="bottom"/>
            <w:gridSpan w:val="2"/>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140" w:type="dxa"/>
            <w:vAlign w:val="bottom"/>
          </w:tcPr>
          <w:p>
            <w:pPr>
              <w:ind w:left="19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120" w:type="dxa"/>
            <w:vAlign w:val="bottom"/>
            <w:gridSpan w:val="2"/>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4140" w:type="dxa"/>
            <w:vAlign w:val="bottom"/>
          </w:tcPr>
          <w:p>
            <w:pPr>
              <w:ind w:left="19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1"/>
        </w:trPr>
        <w:tc>
          <w:tcPr>
            <w:tcW w:w="17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14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0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0" w:type="dxa"/>
            <w:vAlign w:val="bottom"/>
            <w:tcBorders>
              <w:right w:val="single" w:sz="8" w:color="auto"/>
            </w:tcBorders>
          </w:tcPr>
          <w:p>
            <w:pPr>
              <w:jc w:val="center"/>
              <w:ind w:left="26"/>
              <w:spacing w:after="0" w:line="106" w:lineRule="exact"/>
              <w:rPr>
                <w:sz w:val="20"/>
                <w:szCs w:val="20"/>
                <w:color w:val="auto"/>
              </w:rPr>
            </w:pPr>
            <w:r>
              <w:rPr>
                <w:rFonts w:ascii="Arial" w:cs="Arial" w:eastAsia="Arial" w:hAnsi="Arial"/>
                <w:sz w:val="12"/>
                <w:szCs w:val="12"/>
                <w:b w:val="1"/>
                <w:bCs w:val="1"/>
                <w:color w:val="auto"/>
              </w:rPr>
              <w:t>Proposed</w:t>
            </w:r>
          </w:p>
        </w:tc>
        <w:tc>
          <w:tcPr>
            <w:tcW w:w="1600" w:type="dxa"/>
            <w:vAlign w:val="bottom"/>
            <w:tcBorders>
              <w:right w:val="single" w:sz="8" w:color="auto"/>
            </w:tcBorders>
          </w:tcPr>
          <w:p>
            <w:pPr>
              <w:jc w:val="center"/>
              <w:ind w:left="26"/>
              <w:spacing w:after="0" w:line="106" w:lineRule="exact"/>
              <w:rPr>
                <w:sz w:val="20"/>
                <w:szCs w:val="20"/>
                <w:color w:val="auto"/>
              </w:rPr>
            </w:pPr>
            <w:r>
              <w:rPr>
                <w:rFonts w:ascii="Arial" w:cs="Arial" w:eastAsia="Arial" w:hAnsi="Arial"/>
                <w:sz w:val="12"/>
                <w:szCs w:val="12"/>
                <w:b w:val="1"/>
                <w:bCs w:val="1"/>
                <w:color w:val="auto"/>
              </w:rPr>
              <w:t>Proposed</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9"/>
              </w:rPr>
              <w:t>Maximum</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9"/>
              </w:rPr>
              <w:t>Maximum</w:t>
            </w: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0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3"/>
              </w:rPr>
              <w:t>Title of Each Class of</w:t>
            </w:r>
          </w:p>
        </w:tc>
        <w:tc>
          <w:tcPr>
            <w:tcW w:w="16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to be</w:t>
            </w:r>
          </w:p>
        </w:tc>
        <w:tc>
          <w:tcPr>
            <w:tcW w:w="1600" w:type="dxa"/>
            <w:vAlign w:val="bottom"/>
            <w:tcBorders>
              <w:right w:val="single" w:sz="8" w:color="auto"/>
            </w:tcBorders>
          </w:tcPr>
          <w:p>
            <w:pPr>
              <w:jc w:val="center"/>
              <w:ind w:left="6"/>
              <w:spacing w:after="0" w:line="158" w:lineRule="exact"/>
              <w:rPr>
                <w:sz w:val="20"/>
                <w:szCs w:val="20"/>
                <w:color w:val="auto"/>
              </w:rPr>
            </w:pPr>
            <w:r>
              <w:rPr>
                <w:rFonts w:ascii="Arial" w:cs="Arial" w:eastAsia="Arial" w:hAnsi="Arial"/>
                <w:sz w:val="14"/>
                <w:szCs w:val="14"/>
                <w:b w:val="1"/>
                <w:bCs w:val="1"/>
                <w:color w:val="auto"/>
                <w:w w:val="94"/>
              </w:rPr>
              <w:t>Offering Price</w:t>
            </w:r>
          </w:p>
        </w:tc>
        <w:tc>
          <w:tcPr>
            <w:tcW w:w="1600" w:type="dxa"/>
            <w:vAlign w:val="bottom"/>
            <w:tcBorders>
              <w:right w:val="single" w:sz="8" w:color="auto"/>
            </w:tcBorders>
          </w:tcPr>
          <w:p>
            <w:pPr>
              <w:jc w:val="center"/>
              <w:ind w:left="6"/>
              <w:spacing w:after="0" w:line="158" w:lineRule="exact"/>
              <w:rPr>
                <w:sz w:val="20"/>
                <w:szCs w:val="20"/>
                <w:color w:val="auto"/>
              </w:rPr>
            </w:pPr>
            <w:r>
              <w:rPr>
                <w:rFonts w:ascii="Arial" w:cs="Arial" w:eastAsia="Arial" w:hAnsi="Arial"/>
                <w:sz w:val="14"/>
                <w:szCs w:val="14"/>
                <w:b w:val="1"/>
                <w:bCs w:val="1"/>
                <w:color w:val="auto"/>
                <w:w w:val="92"/>
              </w:rPr>
              <w:t>Aggregate</w:t>
            </w:r>
          </w:p>
        </w:tc>
        <w:tc>
          <w:tcPr>
            <w:tcW w:w="1560" w:type="dxa"/>
            <w:vAlign w:val="bottom"/>
          </w:tcPr>
          <w:p>
            <w:pPr>
              <w:jc w:val="center"/>
              <w:ind w:left="22"/>
              <w:spacing w:after="0" w:line="158"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95"/>
              </w:rPr>
              <w:t>Per Unit(1)</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94"/>
              </w:rPr>
              <w:t>Offering Price(1)</w:t>
            </w:r>
          </w:p>
        </w:tc>
        <w:tc>
          <w:tcPr>
            <w:tcW w:w="156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w w:val="93"/>
              </w:rPr>
              <w:t>Registration Fee(2)</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Shares of Beneficial Interest, $0.01 par value</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917,598</w:t>
            </w:r>
          </w:p>
        </w:tc>
        <w:tc>
          <w:tcPr>
            <w:tcW w:w="1600" w:type="dxa"/>
            <w:vAlign w:val="bottom"/>
            <w:tcBorders>
              <w:bottom w:val="single" w:sz="8" w:color="auto"/>
              <w:right w:val="single" w:sz="8" w:color="auto"/>
            </w:tcBorders>
          </w:tcPr>
          <w:p>
            <w:pPr>
              <w:jc w:val="center"/>
              <w:ind w:left="26"/>
              <w:spacing w:after="0"/>
              <w:rPr>
                <w:sz w:val="20"/>
                <w:szCs w:val="20"/>
                <w:color w:val="auto"/>
              </w:rPr>
            </w:pPr>
            <w:r>
              <w:rPr>
                <w:rFonts w:ascii="Arial" w:cs="Arial" w:eastAsia="Arial" w:hAnsi="Arial"/>
                <w:sz w:val="18"/>
                <w:szCs w:val="18"/>
                <w:color w:val="auto"/>
                <w:w w:val="89"/>
              </w:rPr>
              <w:t>$135.07</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8"/>
                <w:szCs w:val="18"/>
                <w:color w:val="auto"/>
                <w:w w:val="90"/>
              </w:rPr>
              <w:t>$123,939,962</w:t>
            </w:r>
          </w:p>
        </w:tc>
        <w:tc>
          <w:tcPr>
            <w:tcW w:w="1560" w:type="dxa"/>
            <w:vAlign w:val="bottom"/>
            <w:tcBorders>
              <w:bottom w:val="single" w:sz="8" w:color="auto"/>
            </w:tcBorders>
          </w:tcPr>
          <w:p>
            <w:pPr>
              <w:jc w:val="center"/>
              <w:ind w:left="22"/>
              <w:spacing w:after="0"/>
              <w:rPr>
                <w:sz w:val="20"/>
                <w:szCs w:val="20"/>
                <w:color w:val="auto"/>
              </w:rPr>
            </w:pPr>
            <w:r>
              <w:rPr>
                <w:rFonts w:ascii="Arial" w:cs="Arial" w:eastAsia="Arial" w:hAnsi="Arial"/>
                <w:sz w:val="18"/>
                <w:szCs w:val="18"/>
                <w:color w:val="auto"/>
                <w:w w:val="89"/>
              </w:rPr>
              <w:t>$14,402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right="300" w:hanging="452"/>
        <w:spacing w:after="0" w:line="258"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457(c), based upon the average of the high and low prices of the common shares as reported on the New York Stock Exchange on May 8, 2015.</w:t>
      </w:r>
    </w:p>
    <w:p>
      <w:pPr>
        <w:ind w:left="460" w:right="60" w:hanging="452"/>
        <w:spacing w:after="0" w:line="252"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common shares of beneficial interest being registered pursuant to this registration statement consist, in part, of unsold common shares of beneficial interest that were previously registered on automatic shelf registration statements on Form S-3 (File Nos. 333-187882 and 333-199850), filed with the Securities and Exchange Commission on April 12, 2013 and November 4, 2014, respectively (the “Prior Registration Statements”). Pursuant to Rule 415(a)(6) under the Securities Act of 1933, as amended, the aggregate filing fees of $12,946 paid by the registrant in connection with the Prior Registration Statements (or credited with respect thereto) shall be applied to the 819,126 common shares of beneficial interest that were previously registered and unsold under the Prior Registration Statements. Accordingly, an incremental registration fee of $1,456 shall be paid by the registrant in connection with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488950</wp:posOffset>
            </wp:positionV>
            <wp:extent cx="2341245" cy="900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41245"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917,598 Common Shares of Beneficial Interest</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prospectus relates to the offer and sale from time to time by the selling shareholders named in this prospectus or their pledgees of up to 917,598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our common shares of beneficial interest, par value $0.01 per share, which we refer to as our common shares, comprised of (i) common shares issuable upon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conversion of our 5.417% Series 1 Cumulative Convertible Preferred Shares of Beneficial Interest, par value $0.01 per share and liquidation preference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$25.00 per share, which we refer to as our preferred shares, if and to the extent that selling shareholders tender preferred shares for conversion and offer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sell any of the common shares issued in respect thereof and (ii) common shares issuable upon redemption of units of (A) NVI-Avenue, LLC, a Maryland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limited liability company, (B) Route 35 Shrewsbury Limited Partnership, a New Jersey limited partnership, (C) Shrewsbury Commons L.P., a Washington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limited partnership, (D) Sea Girt Limited Partnership, a Washington limited partnership, (E) 35 West, LLC, a Washington limited liability company, and</w:t>
      </w:r>
    </w:p>
    <w:p>
      <w:pPr>
        <w:spacing w:after="0" w:line="21" w:lineRule="exact"/>
        <w:rPr>
          <w:sz w:val="20"/>
          <w:szCs w:val="20"/>
          <w:color w:val="auto"/>
        </w:rPr>
      </w:pPr>
    </w:p>
    <w:p>
      <w:pPr>
        <w:ind w:right="100" w:firstLine="8"/>
        <w:spacing w:after="0" w:line="281" w:lineRule="auto"/>
        <w:tabs>
          <w:tab w:leader="none" w:pos="265" w:val="left"/>
        </w:tabs>
        <w:numPr>
          <w:ilvl w:val="0"/>
          <w:numId w:val="2"/>
        </w:numPr>
        <w:rPr>
          <w:rFonts w:ascii="Arial" w:cs="Arial" w:eastAsia="Arial" w:hAnsi="Arial"/>
          <w:sz w:val="16"/>
          <w:szCs w:val="16"/>
          <w:color w:val="auto"/>
        </w:rPr>
      </w:pPr>
      <w:r>
        <w:rPr>
          <w:rFonts w:ascii="Arial" w:cs="Arial" w:eastAsia="Arial" w:hAnsi="Arial"/>
          <w:sz w:val="16"/>
          <w:szCs w:val="16"/>
          <w:color w:val="auto"/>
        </w:rPr>
        <w:t>Federal Realty Partners L.P., a Delaware limited partnership, if and to the extent that redeeming unitholders tender such units for redemption, receive common shares for such redemption and offer or sell any of the common shares issued in respect thereof. We refer to the entities named in items (A) through</w:t>
      </w:r>
    </w:p>
    <w:p>
      <w:pPr>
        <w:spacing w:after="0" w:line="1" w:lineRule="exact"/>
        <w:rPr>
          <w:rFonts w:ascii="Arial" w:cs="Arial" w:eastAsia="Arial" w:hAnsi="Arial"/>
          <w:sz w:val="16"/>
          <w:szCs w:val="16"/>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above as the downREIT entities and the units therein as downREIT units.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receive any proceeds from the sale of common shares by the selling shareholders or their pledgees.</w:t>
      </w:r>
    </w:p>
    <w:p>
      <w:pPr>
        <w:spacing w:after="0" w:line="22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holders of preferred shares may convert their outstanding preferred shares into a number of common shares determined by dividing (i) the product obtained by multiplying (A) the number of preferred shares being converted by (B) the liquidation price of $25.00 per preferred share; by (ii) the optional conversion price (which conversion price is calculated as provided for in the Articles Supplementary Establishing and Fixing the Rights and Preferences of the preferred shares, which we refer to as the Articles Supplementary) as in effect immediately prior to the close of business on the date of conversion. Holder conversions are subject to (a) limitations on real estate investment trust share ownership, (b) a minimum conversion amount, (c) conversion frequency limits and (d) black-out periods after public offerings of the registrant. At any time at which the trailing 200 consecutive trading day average closing price of the common shares as reported on the New York Stock Exchange is greater than the mandatory conversion trigger price (which price is calculated as provided for in the Articles Supplementary), the registrant may convert all or any outstanding preferred shares into a number of fully paid and nonassessable common shares determined by dividing (i) the product obtained by multiplying (A) the number of preferred shares being converted by (B) the liquidation price of $25.00 per preferred share; by (ii) the optional conversion price (which conversion price is calculated as provided for in the Articles Supplementary) as in effect immediately prior to the close of business on the conversion date set by the registrant in accordance with the Articles Supplementary.</w:t>
      </w:r>
    </w:p>
    <w:p>
      <w:pPr>
        <w:spacing w:after="0" w:line="173"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Each holder of downREIT units has the right to require the applicable downREIT entity to redeem his, her or its downREIT units for cash. At the registrant’s election, the downREIT units tendered for redemption may be redeemed for common shares instead of cash.</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are registering the common shares being offered by this prospectus pursuant to contractual obligations under registration rights agreements in order to permit the selling shareholders or their permissible transferees to offer or sell such shares without restriction, in the open market or otherwise. However, the registration of such common shares does not necessarily mean that any of the preferred shares will be tendered for conversion, that any of the downREIT units will be tendered for redemption, that any common shares will be issued upon redemption of downREIT units, or that the selling shareholders or their permissible transferees will offer or sell any common shares.</w:t>
      </w:r>
    </w:p>
    <w:p>
      <w:pPr>
        <w:spacing w:after="0" w:line="188"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We will pay all expenses incident to the registration of the common shares offered herein (other than brokerage fees and sales commissions, fees and disbursements of the selling shareholders’ counsel, accountants and other advisors and transfer taxes, if any, relating to the sale or disposition of the offered shares).</w:t>
      </w:r>
    </w:p>
    <w:p>
      <w:pPr>
        <w:spacing w:after="0" w:line="181"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Our common shares are listed on the New York Stock Exchange under the symbol “FRT.” On May 11, 2015, the last reported sales price of our common shares, as reported on the New York Stock Exchange, was $132.28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right="360" w:firstLine="456"/>
        <w:spacing w:after="0" w:line="301" w:lineRule="auto"/>
        <w:rPr>
          <w:rFonts w:ascii="Arial" w:cs="Arial" w:eastAsia="Arial" w:hAnsi="Arial"/>
          <w:sz w:val="19"/>
          <w:szCs w:val="19"/>
          <w:b w:val="1"/>
          <w:bCs w:val="1"/>
          <w:color w:val="auto"/>
        </w:rPr>
      </w:pPr>
      <w:r>
        <w:rPr>
          <w:rFonts w:ascii="Arial" w:cs="Arial" w:eastAsia="Arial" w:hAnsi="Arial"/>
          <w:sz w:val="19"/>
          <w:szCs w:val="19"/>
          <w:b w:val="1"/>
          <w:bCs w:val="1"/>
          <w:color w:val="auto"/>
        </w:rPr>
        <w:t>Please read this prospectus and any supplement hereto carefully before you invest. Investing in our common shares involves risks. See “</w:t>
      </w:r>
      <w:hyperlink w:anchor="page7">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beginning on page 7 of our Annual Report on Form 10-K for the fiscal year ended December 31, 2014, and on page 2 of this prospectus, for risks relating to an investment in our common shares.</w:t>
      </w:r>
    </w:p>
    <w:p>
      <w:pPr>
        <w:spacing w:after="0" w:line="132" w:lineRule="exact"/>
        <w:rPr>
          <w:sz w:val="20"/>
          <w:szCs w:val="20"/>
          <w:color w:val="auto"/>
        </w:rPr>
      </w:pPr>
    </w:p>
    <w:p>
      <w:pPr>
        <w:ind w:right="50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complete or accurate.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185420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00"/>
          </w:cols>
          <w:pgMar w:left="240" w:top="459" w:right="259" w:bottom="154"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The date of this prospectus is May 12, 2015</w:t>
      </w:r>
    </w:p>
    <w:p>
      <w:pPr>
        <w:sectPr>
          <w:pgSz w:w="11900" w:h="16838" w:orient="portrait"/>
          <w:cols w:equalWidth="0" w:num="1">
            <w:col w:w="11400"/>
          </w:cols>
          <w:pgMar w:left="240" w:top="459" w:right="259" w:bottom="154"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360" w:type="dxa"/>
            <w:vAlign w:val="bottom"/>
            <w:gridSpan w:val="3"/>
          </w:tcPr>
          <w:p>
            <w:pPr>
              <w:jc w:val="right"/>
              <w:ind w:right="466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500"/>
        </w:trPr>
        <w:tc>
          <w:tcPr>
            <w:tcW w:w="3980" w:type="dxa"/>
            <w:vAlign w:val="bottom"/>
            <w:gridSpan w:val="11"/>
            <w:vMerge w:val="restart"/>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About this Prospectus</w:t>
              </w:r>
            </w:hyperlink>
          </w:p>
        </w:tc>
        <w:tc>
          <w:tcPr>
            <w:tcW w:w="70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3980" w:type="dxa"/>
            <w:vAlign w:val="bottom"/>
            <w:gridSpan w:val="11"/>
            <w:vMerge w:val="continue"/>
          </w:tcPr>
          <w:p>
            <w:pPr>
              <w:spacing w:after="0"/>
              <w:rPr>
                <w:sz w:val="14"/>
                <w:szCs w:val="14"/>
                <w:color w:val="auto"/>
              </w:rPr>
            </w:pPr>
          </w:p>
        </w:tc>
        <w:tc>
          <w:tcPr>
            <w:tcW w:w="7040" w:type="dxa"/>
            <w:vAlign w:val="bottom"/>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200" w:type="dxa"/>
            <w:vAlign w:val="bottom"/>
            <w:tcBorders>
              <w:bottom w:val="single" w:sz="8" w:color="0000EE"/>
            </w:tcBorders>
            <w:gridSpan w:val="8"/>
          </w:tcPr>
          <w:p>
            <w:pPr>
              <w:spacing w:after="0"/>
              <w:rPr>
                <w:rFonts w:ascii="Arial" w:cs="Arial" w:eastAsia="Arial" w:hAnsi="Arial"/>
                <w:sz w:val="18"/>
                <w:szCs w:val="18"/>
                <w:color w:val="0000EE"/>
                <w:w w:val="94"/>
              </w:rPr>
            </w:pPr>
            <w:hyperlink w:anchor="page6">
              <w:r>
                <w:rPr>
                  <w:rFonts w:ascii="Arial" w:cs="Arial" w:eastAsia="Arial" w:hAnsi="Arial"/>
                  <w:sz w:val="18"/>
                  <w:szCs w:val="18"/>
                  <w:color w:val="0000EE"/>
                  <w:w w:val="94"/>
                </w:rPr>
                <w:t>Forward-Looking Information</w:t>
              </w:r>
            </w:hyperlink>
          </w:p>
        </w:tc>
        <w:tc>
          <w:tcPr>
            <w:tcW w:w="1780" w:type="dxa"/>
            <w:vAlign w:val="bottom"/>
            <w:gridSpan w:val="3"/>
          </w:tcPr>
          <w:p>
            <w:pPr>
              <w:spacing w:after="0"/>
              <w:rPr>
                <w:sz w:val="24"/>
                <w:szCs w:val="24"/>
                <w:color w:val="auto"/>
              </w:rPr>
            </w:pPr>
          </w:p>
        </w:tc>
        <w:tc>
          <w:tcPr>
            <w:tcW w:w="736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Risk Factors</w:t>
              </w:r>
            </w:hyperlink>
          </w:p>
        </w:tc>
        <w:tc>
          <w:tcPr>
            <w:tcW w:w="3060" w:type="dxa"/>
            <w:vAlign w:val="bottom"/>
            <w:gridSpan w:val="8"/>
          </w:tcPr>
          <w:p>
            <w:pPr>
              <w:spacing w:after="0"/>
              <w:rPr>
                <w:sz w:val="24"/>
                <w:szCs w:val="24"/>
                <w:color w:val="auto"/>
              </w:rPr>
            </w:pPr>
          </w:p>
        </w:tc>
        <w:tc>
          <w:tcPr>
            <w:tcW w:w="736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3980" w:type="dxa"/>
            <w:vAlign w:val="bottom"/>
            <w:gridSpan w:val="1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The Trust</w:t>
              </w:r>
            </w:hyperlink>
          </w:p>
        </w:tc>
        <w:tc>
          <w:tcPr>
            <w:tcW w:w="736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8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8">
              <w:r>
                <w:rPr>
                  <w:rFonts w:ascii="Arial" w:cs="Arial" w:eastAsia="Arial" w:hAnsi="Arial"/>
                  <w:sz w:val="18"/>
                  <w:szCs w:val="18"/>
                  <w:color w:val="0000EE"/>
                  <w:w w:val="87"/>
                </w:rPr>
                <w:t>Use of Proceeds</w:t>
              </w:r>
            </w:hyperlink>
          </w:p>
        </w:tc>
        <w:tc>
          <w:tcPr>
            <w:tcW w:w="2800" w:type="dxa"/>
            <w:vAlign w:val="bottom"/>
            <w:gridSpan w:val="6"/>
          </w:tcPr>
          <w:p>
            <w:pPr>
              <w:spacing w:after="0"/>
              <w:rPr>
                <w:sz w:val="24"/>
                <w:szCs w:val="24"/>
                <w:color w:val="auto"/>
              </w:rPr>
            </w:pPr>
          </w:p>
        </w:tc>
        <w:tc>
          <w:tcPr>
            <w:tcW w:w="736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3980" w:type="dxa"/>
            <w:vAlign w:val="bottom"/>
            <w:gridSpan w:val="11"/>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Selling Shareholders</w:t>
              </w:r>
            </w:hyperlink>
          </w:p>
        </w:tc>
        <w:tc>
          <w:tcPr>
            <w:tcW w:w="736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980" w:type="dxa"/>
            <w:vAlign w:val="bottom"/>
            <w:gridSpan w:val="11"/>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Material Federal Income Tax Considerations</w:t>
              </w:r>
            </w:hyperlink>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5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6"/>
              </w:rPr>
            </w:pPr>
            <w:hyperlink w:anchor="page37">
              <w:r>
                <w:rPr>
                  <w:rFonts w:ascii="Arial" w:cs="Arial" w:eastAsia="Arial" w:hAnsi="Arial"/>
                  <w:sz w:val="18"/>
                  <w:szCs w:val="18"/>
                  <w:color w:val="0000EE"/>
                  <w:w w:val="96"/>
                </w:rPr>
                <w:t>Plan of Distribution</w:t>
              </w:r>
            </w:hyperlink>
          </w:p>
        </w:tc>
        <w:tc>
          <w:tcPr>
            <w:tcW w:w="1720" w:type="dxa"/>
            <w:vAlign w:val="bottom"/>
            <w:tcBorders>
              <w:top w:val="single" w:sz="8" w:color="0000EE"/>
            </w:tcBorders>
            <w:gridSpan w:val="4"/>
          </w:tcPr>
          <w:p>
            <w:pPr>
              <w:spacing w:after="0"/>
              <w:rPr>
                <w:sz w:val="24"/>
                <w:szCs w:val="24"/>
                <w:color w:val="auto"/>
              </w:rPr>
            </w:pPr>
          </w:p>
        </w:tc>
        <w:tc>
          <w:tcPr>
            <w:tcW w:w="760" w:type="dxa"/>
            <w:vAlign w:val="bottom"/>
          </w:tcPr>
          <w:p>
            <w:pPr>
              <w:spacing w:after="0"/>
              <w:rPr>
                <w:sz w:val="24"/>
                <w:szCs w:val="24"/>
                <w:color w:val="auto"/>
              </w:rPr>
            </w:pP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tcBorders>
              <w:bottom w:val="single" w:sz="8" w:color="0000EE"/>
            </w:tcBorders>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Experts</w:t>
              </w:r>
            </w:hyperlink>
          </w:p>
        </w:tc>
        <w:tc>
          <w:tcPr>
            <w:tcW w:w="3420" w:type="dxa"/>
            <w:vAlign w:val="bottom"/>
            <w:gridSpan w:val="10"/>
          </w:tcPr>
          <w:p>
            <w:pPr>
              <w:spacing w:after="0"/>
              <w:rPr>
                <w:sz w:val="24"/>
                <w:szCs w:val="24"/>
                <w:color w:val="auto"/>
              </w:rPr>
            </w:pP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2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Legal Matters</w:t>
              </w:r>
            </w:hyperlink>
          </w:p>
        </w:tc>
        <w:tc>
          <w:tcPr>
            <w:tcW w:w="2960" w:type="dxa"/>
            <w:vAlign w:val="bottom"/>
            <w:gridSpan w:val="7"/>
          </w:tcPr>
          <w:p>
            <w:pPr>
              <w:spacing w:after="0"/>
              <w:rPr>
                <w:sz w:val="24"/>
                <w:szCs w:val="24"/>
                <w:color w:val="auto"/>
              </w:rPr>
            </w:pP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88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Where You Can Find More Information</w:t>
              </w:r>
            </w:hyperlink>
          </w:p>
        </w:tc>
        <w:tc>
          <w:tcPr>
            <w:tcW w:w="1100" w:type="dxa"/>
            <w:vAlign w:val="bottom"/>
            <w:gridSpan w:val="2"/>
          </w:tcPr>
          <w:p>
            <w:pPr>
              <w:spacing w:after="0"/>
              <w:rPr>
                <w:sz w:val="24"/>
                <w:szCs w:val="24"/>
                <w:color w:val="auto"/>
              </w:rPr>
            </w:pP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 process. Under this shelf process, selling shareholders or their pledgees may sell the securities described in this prospectus either separately or in units, in one or more offerings. Our prospectus provides you with a general description of these securities. This prospectus does not contain all of the information included in the registration statement. For further information, we refer you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16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You should read this prospectus together with any additional information you may need to make your investment decision. You should also read and carefully consider the information in the documents we have referred you to in “Where to Find Additional Information” below. Information incorporated by reference after the date of this prospectus may add, update or change information contained in this prospectus. Any information in such subsequent filings that is inconsistent with this prospectus will supersede the information in this prospectus or any earlier prospectus supplement.</w:t>
      </w:r>
    </w:p>
    <w:p>
      <w:pPr>
        <w:spacing w:after="0" w:line="171" w:lineRule="exact"/>
        <w:rPr>
          <w:sz w:val="20"/>
          <w:szCs w:val="20"/>
          <w:color w:val="auto"/>
        </w:rPr>
      </w:pPr>
    </w:p>
    <w:p>
      <w:pPr>
        <w:ind w:right="720" w:firstLine="456"/>
        <w:spacing w:after="0" w:line="308" w:lineRule="auto"/>
        <w:rPr>
          <w:sz w:val="20"/>
          <w:szCs w:val="20"/>
          <w:color w:val="auto"/>
        </w:rPr>
      </w:pPr>
      <w:r>
        <w:rPr>
          <w:rFonts w:ascii="Arial" w:cs="Arial" w:eastAsia="Arial" w:hAnsi="Arial"/>
          <w:sz w:val="17"/>
          <w:szCs w:val="17"/>
          <w:color w:val="auto"/>
        </w:rPr>
        <w:t>References to “we,” “us” or “our” refer to Federal Realty Investment Trust and its directly or indirectly owned subsidiaries, unless the context otherwise requires. References to the “Trust” refer to Federal Realty Investment Trust. The term “you” refers to a prospective investor.</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This prospectus contains forward-looking statements within the meaning of Section 27A of the Securities Act of 1933, as amended, or the Securities Act, Section 21E of the Securities Exchange Act of 1934, as amended, or the Exchange Act, and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incorporated by reference in this prospectus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information, or to publicly release the results if we revise any of them.</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Investing in our securities involves risks. Before making an investment decision, please consider the risks described under the caption “Risk Factors” in our Annual Report on Form 10-K for the fiscal year ended December 31, 2014,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TRUST</w:t>
      </w:r>
    </w:p>
    <w:p>
      <w:pPr>
        <w:spacing w:after="0" w:line="229"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Federal Realty Investment Trust is an equity real estate investment trust, or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March 31, 2015, we owned or had a majority interest in community and neighborhood shopping centers and mixed-use properties which are operated as 90 predominantly retail real estate projects comprising approximately 20.7 million square feet. In total, the real estate projects were 95.4% leased and 94.5% occupied at March 31, 2015. A joint venture in which we own a 30% interest owned six retail real estate projects totaling approximately 0.8 million square feet as of March 31, 2015. In total, the joint venture properties in which we own an interest were 85.8% leased and 85.4% occupied at March 31, 2015. We have paid quarterly dividends to our shareholders continuously since our founding in 1962 and have increased our dividends per common share for 47 consecutive years.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operate in a manner intended to enable us to qualify as a REIT pursuant to provisions of the Internal Revenue Code of 1986, as amended, 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21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We were founded in 1962 as a REIT under the laws of the District of Columbia and re-formed as a real estate investment trust in the state of Maryland in 1999. Our principal executive offices are located at 1626 East Jefferson Street, Rockville, Maryland 20852. Our telephone number is (301) 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and is not incorporated herein by reference.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will not receive any proceeds from the sale of the common shares by the selling shareholders or their pledgees. We will pay all costs and expenses incident to the registration of the offered shares, other than brokerage fees and sales commissions, fees and disbursements of the selling shareholders’ counsel, accountants and other advisors, and share transfer and other taxes attributable the sale of the offered shares, which will be paid by the selling shareholders. See “Selling Shareholders.”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SHAREHOLDERS</w:t>
      </w:r>
    </w:p>
    <w:p>
      <w:pPr>
        <w:spacing w:after="0" w:line="229"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The selling shareholders hold an aggregate of 399,896 preferred shares and 822,108 downREIT units, which they acquired in exchange for their interests in certain entities owning real properties. We may issue the common shares to the selling shareholders or their pledgees in exchange for (i) the preferred shares if and to the extent that the selling shareholders or their pledgees tender their preferred shares for conversion or (ii) the downREIT units if and to the extent that the selling shareholders or their pledgees tender their downREIT units for redemption and the registrant elects to issue common shares in exchange for such downREIT units. The common shares offered by this prospectus may be offered from time to time by the selling shareholders named below and by any additional selling shareholders who may be named in a supplement to this prospectus. In addition, the common shares covered by this prospectus may be sold by any permissible transferees or pledgees who receive common shares, preferred shares or downREIT units from the selling shareholders listed below. The following table sets forth the name of each selling shareholder and the number of our common shares that may be offered by each selling shareholder. The selling shareholders may pledge common shares, preferred shares or downREIT units to secure financing or for other purposes. As a result, pledgees of the selling shareholders may use this registration statement to sell common shares issued to them in connection with such pledges in the event the selling shareholder defaults.</w:t>
      </w:r>
    </w:p>
    <w:p>
      <w:pPr>
        <w:spacing w:after="0" w:line="18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None of the selling shareholders has had any position, office or other material relationship with us, or any of our predecessors or affiliates, during the past three years. Since the selling shareholders may sell all, some or none of the common shares covered by this prospectus, no estimate can be made of the number of common shares that will be sold by the selling shareholders pursuant to this prospectus or that will be owned by the selling shareholders upon completion of the offering. Assuming the conversion (upon the election of the preferred shareholders) of all outstanding preferred shares and the redemption (upon the election of the holders of downREIT units to tender their downREIT units for redemption and the election of the registrant to issue common shares in exchange for all such tendered downREIT units) of all outstanding downREIT units owned by all of the selling shareholders as of the date hereof, no selling shareholder would hold 1% or more of the total number of our common shares outstanding as of May 11, 2015.</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Number of</w:t>
            </w:r>
          </w:p>
        </w:tc>
        <w:tc>
          <w:tcPr>
            <w:tcW w:w="15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Number of</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5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15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0" w:type="dxa"/>
            <w:vAlign w:val="bottom"/>
          </w:tcPr>
          <w:p>
            <w:pPr>
              <w:spacing w:after="0"/>
              <w:rPr>
                <w:sz w:val="1"/>
                <w:szCs w:val="1"/>
                <w:color w:val="auto"/>
              </w:rPr>
            </w:pPr>
          </w:p>
        </w:tc>
      </w:tr>
      <w:tr>
        <w:trPr>
          <w:trHeight w:val="149"/>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Selling Shareholder</w:t>
            </w:r>
          </w:p>
        </w:tc>
        <w:tc>
          <w:tcPr>
            <w:tcW w:w="2160" w:type="dxa"/>
            <w:vAlign w:val="bottom"/>
            <w:vMerge w:val="restart"/>
          </w:tcPr>
          <w:p>
            <w:pPr>
              <w:spacing w:after="0"/>
              <w:rPr>
                <w:sz w:val="12"/>
                <w:szCs w:val="12"/>
                <w:color w:val="auto"/>
              </w:rPr>
            </w:pPr>
          </w:p>
        </w:tc>
        <w:tc>
          <w:tcPr>
            <w:tcW w:w="2880" w:type="dxa"/>
            <w:vAlign w:val="bottom"/>
          </w:tcPr>
          <w:p>
            <w:pPr>
              <w:spacing w:after="0"/>
              <w:rPr>
                <w:sz w:val="12"/>
                <w:szCs w:val="12"/>
                <w:color w:val="auto"/>
              </w:rPr>
            </w:pPr>
          </w:p>
        </w:tc>
        <w:tc>
          <w:tcPr>
            <w:tcW w:w="15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Beneficially Owned</w:t>
            </w:r>
          </w:p>
        </w:tc>
        <w:tc>
          <w:tcPr>
            <w:tcW w:w="15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Being</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Beneficially Owned</w:t>
            </w:r>
          </w:p>
        </w:tc>
        <w:tc>
          <w:tcPr>
            <w:tcW w:w="0" w:type="dxa"/>
            <w:vAlign w:val="bottom"/>
          </w:tcPr>
          <w:p>
            <w:pPr>
              <w:spacing w:after="0"/>
              <w:rPr>
                <w:sz w:val="1"/>
                <w:szCs w:val="1"/>
                <w:color w:val="auto"/>
              </w:rPr>
            </w:pPr>
          </w:p>
        </w:tc>
      </w:tr>
      <w:tr>
        <w:trPr>
          <w:trHeight w:val="176"/>
        </w:trPr>
        <w:tc>
          <w:tcPr>
            <w:tcW w:w="1780" w:type="dxa"/>
            <w:vAlign w:val="bottom"/>
            <w:tcBorders>
              <w:bottom w:val="single" w:sz="8" w:color="auto"/>
            </w:tcBorders>
            <w:vMerge w:val="continue"/>
          </w:tcPr>
          <w:p>
            <w:pPr>
              <w:spacing w:after="0"/>
              <w:rPr>
                <w:sz w:val="15"/>
                <w:szCs w:val="15"/>
                <w:color w:val="auto"/>
              </w:rPr>
            </w:pPr>
          </w:p>
        </w:tc>
        <w:tc>
          <w:tcPr>
            <w:tcW w:w="2160" w:type="dxa"/>
            <w:vAlign w:val="bottom"/>
            <w:tcBorders>
              <w:bottom w:val="single" w:sz="8" w:color="CCEEFF"/>
            </w:tcBorders>
            <w:vMerge w:val="continue"/>
          </w:tcPr>
          <w:p>
            <w:pPr>
              <w:spacing w:after="0"/>
              <w:rPr>
                <w:sz w:val="15"/>
                <w:szCs w:val="15"/>
                <w:color w:val="auto"/>
              </w:rPr>
            </w:pPr>
          </w:p>
        </w:tc>
        <w:tc>
          <w:tcPr>
            <w:tcW w:w="288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Prior to Offering (1)</w:t>
            </w:r>
          </w:p>
        </w:tc>
        <w:tc>
          <w:tcPr>
            <w:tcW w:w="2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Offered (2)</w:t>
            </w:r>
          </w:p>
        </w:tc>
        <w:tc>
          <w:tcPr>
            <w:tcW w:w="56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After the Offering (3)</w:t>
            </w:r>
          </w:p>
        </w:tc>
        <w:tc>
          <w:tcPr>
            <w:tcW w:w="0" w:type="dxa"/>
            <w:vAlign w:val="bottom"/>
          </w:tcPr>
          <w:p>
            <w:pPr>
              <w:spacing w:after="0"/>
              <w:rPr>
                <w:sz w:val="1"/>
                <w:szCs w:val="1"/>
                <w:color w:val="auto"/>
              </w:rPr>
            </w:pPr>
          </w:p>
        </w:tc>
      </w:tr>
      <w:tr>
        <w:trPr>
          <w:trHeight w:val="210"/>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A. Thomas Campbell</w:t>
            </w:r>
          </w:p>
        </w:tc>
        <w:tc>
          <w:tcPr>
            <w:tcW w:w="216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5,306(4)</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Bruce S. Campbell, III</w:t>
            </w:r>
          </w:p>
        </w:tc>
        <w:tc>
          <w:tcPr>
            <w:tcW w:w="4440" w:type="dxa"/>
            <w:vAlign w:val="bottom"/>
            <w:gridSpan w:val="3"/>
          </w:tcPr>
          <w:p>
            <w:pPr>
              <w:jc w:val="right"/>
              <w:ind w:right="200"/>
              <w:spacing w:after="0"/>
              <w:rPr>
                <w:sz w:val="20"/>
                <w:szCs w:val="20"/>
                <w:color w:val="auto"/>
              </w:rPr>
            </w:pPr>
            <w:r>
              <w:rPr>
                <w:rFonts w:ascii="Arial" w:cs="Arial" w:eastAsia="Arial" w:hAnsi="Arial"/>
                <w:sz w:val="18"/>
                <w:szCs w:val="18"/>
                <w:color w:val="auto"/>
              </w:rPr>
              <w:t>0</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16,780(5)</w:t>
            </w:r>
          </w:p>
        </w:tc>
        <w:tc>
          <w:tcPr>
            <w:tcW w:w="14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S. Campbell, IV</w:t>
            </w:r>
          </w:p>
        </w:tc>
        <w:tc>
          <w:tcPr>
            <w:tcW w:w="4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1,025(6)</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Carol C. Haislip</w:t>
            </w:r>
          </w:p>
        </w:tc>
        <w:tc>
          <w:tcPr>
            <w:tcW w:w="4440" w:type="dxa"/>
            <w:vAlign w:val="bottom"/>
            <w:gridSpan w:val="3"/>
          </w:tcPr>
          <w:p>
            <w:pPr>
              <w:jc w:val="right"/>
              <w:ind w:right="200"/>
              <w:spacing w:after="0"/>
              <w:rPr>
                <w:sz w:val="20"/>
                <w:szCs w:val="20"/>
                <w:color w:val="auto"/>
              </w:rPr>
            </w:pPr>
            <w:r>
              <w:rPr>
                <w:rFonts w:ascii="Arial" w:cs="Arial" w:eastAsia="Arial" w:hAnsi="Arial"/>
                <w:sz w:val="18"/>
                <w:szCs w:val="18"/>
                <w:color w:val="auto"/>
              </w:rPr>
              <w:t>0</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5,306(7)</w:t>
            </w:r>
          </w:p>
        </w:tc>
        <w:tc>
          <w:tcPr>
            <w:tcW w:w="14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Caroline Campbell Hill</w:t>
            </w:r>
          </w:p>
        </w:tc>
        <w:tc>
          <w:tcPr>
            <w:tcW w:w="4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656(8)</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Carolyn C. Beall</w:t>
            </w:r>
          </w:p>
        </w:tc>
        <w:tc>
          <w:tcPr>
            <w:tcW w:w="4440" w:type="dxa"/>
            <w:vAlign w:val="bottom"/>
            <w:gridSpan w:val="3"/>
          </w:tcPr>
          <w:p>
            <w:pPr>
              <w:jc w:val="right"/>
              <w:ind w:right="200"/>
              <w:spacing w:after="0"/>
              <w:rPr>
                <w:sz w:val="20"/>
                <w:szCs w:val="20"/>
                <w:color w:val="auto"/>
              </w:rPr>
            </w:pPr>
            <w:r>
              <w:rPr>
                <w:rFonts w:ascii="Arial" w:cs="Arial" w:eastAsia="Arial" w:hAnsi="Arial"/>
                <w:sz w:val="18"/>
                <w:szCs w:val="18"/>
                <w:color w:val="auto"/>
              </w:rPr>
              <w:t>1,672</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7,332(9)</w:t>
            </w:r>
          </w:p>
        </w:tc>
        <w:tc>
          <w:tcPr>
            <w:tcW w:w="1460" w:type="dxa"/>
            <w:vAlign w:val="bottom"/>
          </w:tcPr>
          <w:p>
            <w:pPr>
              <w:jc w:val="right"/>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Charlton G. Campbell Hughes</w:t>
            </w:r>
          </w:p>
        </w:tc>
        <w:tc>
          <w:tcPr>
            <w:tcW w:w="4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33,585(10)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Douglas Franklin Campbell</w:t>
            </w:r>
          </w:p>
        </w:tc>
        <w:tc>
          <w:tcPr>
            <w:tcW w:w="4440" w:type="dxa"/>
            <w:vAlign w:val="bottom"/>
            <w:gridSpan w:val="3"/>
          </w:tcPr>
          <w:p>
            <w:pPr>
              <w:jc w:val="right"/>
              <w:ind w:right="200"/>
              <w:spacing w:after="0"/>
              <w:rPr>
                <w:sz w:val="20"/>
                <w:szCs w:val="20"/>
                <w:color w:val="auto"/>
              </w:rPr>
            </w:pPr>
            <w:r>
              <w:rPr>
                <w:rFonts w:ascii="Arial" w:cs="Arial" w:eastAsia="Arial" w:hAnsi="Arial"/>
                <w:sz w:val="18"/>
                <w:szCs w:val="18"/>
                <w:color w:val="auto"/>
              </w:rPr>
              <w:t>1,101</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6,020(11)</w:t>
            </w:r>
          </w:p>
        </w:tc>
        <w:tc>
          <w:tcPr>
            <w:tcW w:w="1460" w:type="dxa"/>
            <w:vAlign w:val="bottom"/>
          </w:tcPr>
          <w:p>
            <w:pPr>
              <w:jc w:val="right"/>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Gregg T. Campbell</w:t>
            </w:r>
          </w:p>
        </w:tc>
        <w:tc>
          <w:tcPr>
            <w:tcW w:w="4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3,008</w:t>
            </w: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36,515(12)</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Judith F. Campbell</w:t>
            </w:r>
          </w:p>
        </w:tc>
        <w:tc>
          <w:tcPr>
            <w:tcW w:w="4440" w:type="dxa"/>
            <w:vAlign w:val="bottom"/>
            <w:gridSpan w:val="3"/>
          </w:tcPr>
          <w:p>
            <w:pPr>
              <w:jc w:val="right"/>
              <w:ind w:right="200"/>
              <w:spacing w:after="0"/>
              <w:rPr>
                <w:sz w:val="20"/>
                <w:szCs w:val="20"/>
                <w:color w:val="auto"/>
              </w:rPr>
            </w:pPr>
            <w:r>
              <w:rPr>
                <w:rFonts w:ascii="Arial" w:cs="Arial" w:eastAsia="Arial" w:hAnsi="Arial"/>
                <w:sz w:val="18"/>
                <w:szCs w:val="18"/>
                <w:color w:val="auto"/>
              </w:rPr>
              <w:t>0</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232(13)</w:t>
            </w:r>
          </w:p>
        </w:tc>
        <w:tc>
          <w:tcPr>
            <w:tcW w:w="14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Kathleen Campbell Ackerman</w:t>
            </w:r>
          </w:p>
        </w:tc>
        <w:tc>
          <w:tcPr>
            <w:tcW w:w="4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656(14)</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65"/>
        </w:trPr>
        <w:tc>
          <w:tcPr>
            <w:tcW w:w="17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880" w:type="dxa"/>
            <w:vAlign w:val="bottom"/>
          </w:tcPr>
          <w:p>
            <w:pPr>
              <w:jc w:val="right"/>
              <w:ind w:right="970"/>
              <w:spacing w:after="0"/>
              <w:rPr>
                <w:sz w:val="20"/>
                <w:szCs w:val="20"/>
                <w:color w:val="auto"/>
              </w:rPr>
            </w:pPr>
            <w:r>
              <w:rPr>
                <w:rFonts w:ascii="Arial" w:cs="Arial" w:eastAsia="Arial" w:hAnsi="Arial"/>
                <w:sz w:val="18"/>
                <w:szCs w:val="18"/>
                <w:color w:val="auto"/>
              </w:rPr>
              <w:t>3</w:t>
            </w: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7500" w:type="dxa"/>
            <w:vAlign w:val="bottom"/>
            <w:gridSpan w:val="3"/>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16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6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Madeline C. Modica</w:t>
            </w:r>
          </w:p>
        </w:tc>
        <w:tc>
          <w:tcPr>
            <w:tcW w:w="16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90</w:t>
            </w: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7,679(15)</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Marcie C. McHale</w:t>
            </w:r>
          </w:p>
        </w:tc>
        <w:tc>
          <w:tcPr>
            <w:tcW w:w="1680" w:type="dxa"/>
            <w:vAlign w:val="bottom"/>
          </w:tcPr>
          <w:p>
            <w:pPr>
              <w:jc w:val="right"/>
              <w:ind w:right="210"/>
              <w:spacing w:after="0"/>
              <w:rPr>
                <w:sz w:val="20"/>
                <w:szCs w:val="20"/>
                <w:color w:val="auto"/>
              </w:rPr>
            </w:pPr>
            <w:r>
              <w:rPr>
                <w:rFonts w:ascii="Arial" w:cs="Arial" w:eastAsia="Arial" w:hAnsi="Arial"/>
                <w:sz w:val="18"/>
                <w:szCs w:val="18"/>
                <w:color w:val="auto"/>
              </w:rPr>
              <w:t>1,090</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6,020(16)</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Bruce Campbell</w:t>
            </w:r>
          </w:p>
        </w:tc>
        <w:tc>
          <w:tcPr>
            <w:tcW w:w="16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7,177(17)</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Russell Tyler Campbell</w:t>
            </w:r>
          </w:p>
        </w:tc>
        <w:tc>
          <w:tcPr>
            <w:tcW w:w="1680" w:type="dxa"/>
            <w:vAlign w:val="bottom"/>
          </w:tcPr>
          <w:p>
            <w:pPr>
              <w:jc w:val="right"/>
              <w:ind w:right="210"/>
              <w:spacing w:after="0"/>
              <w:rPr>
                <w:sz w:val="20"/>
                <w:szCs w:val="20"/>
                <w:color w:val="auto"/>
              </w:rPr>
            </w:pPr>
            <w:r>
              <w:rPr>
                <w:rFonts w:ascii="Arial" w:cs="Arial" w:eastAsia="Arial" w:hAnsi="Arial"/>
                <w:sz w:val="18"/>
                <w:szCs w:val="18"/>
                <w:color w:val="auto"/>
              </w:rPr>
              <w:t>818</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6,020(18)</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James Campbell, Jr.</w:t>
            </w:r>
          </w:p>
        </w:tc>
        <w:tc>
          <w:tcPr>
            <w:tcW w:w="16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404</w:t>
            </w: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5,306(19)</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Sarah T. Campbell</w:t>
            </w:r>
          </w:p>
        </w:tc>
        <w:tc>
          <w:tcPr>
            <w:tcW w:w="168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1,025(20)</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Taber C. Hook</w:t>
            </w:r>
          </w:p>
        </w:tc>
        <w:tc>
          <w:tcPr>
            <w:tcW w:w="16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9,007(21)</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Thomas M. Campbell</w:t>
            </w:r>
          </w:p>
        </w:tc>
        <w:tc>
          <w:tcPr>
            <w:tcW w:w="168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20,822(22)</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Trustee of the Richard L. Campbell, Jr. Residuary Trust</w:t>
            </w:r>
          </w:p>
        </w:tc>
        <w:tc>
          <w:tcPr>
            <w:tcW w:w="16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2,566(23)</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Trustees of the Generation Skipping Transfer Tax Exempt Trust u/w of S. James Campbell</w:t>
            </w:r>
          </w:p>
        </w:tc>
        <w:tc>
          <w:tcPr>
            <w:tcW w:w="168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9,550(24)</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Trustees of the Laurence Thomsen Trust u/a 10/16/67</w:t>
            </w:r>
          </w:p>
        </w:tc>
        <w:tc>
          <w:tcPr>
            <w:tcW w:w="16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25,467(25)</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Paul D. Dollenberg, Jr.</w:t>
            </w:r>
          </w:p>
        </w:tc>
        <w:tc>
          <w:tcPr>
            <w:tcW w:w="168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1,500(26)</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Trustees of Trust No. 2 u/w Michael T. Campbell</w:t>
            </w:r>
          </w:p>
        </w:tc>
        <w:tc>
          <w:tcPr>
            <w:tcW w:w="16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10,806(27)</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Jamie N. Campbell</w:t>
            </w:r>
          </w:p>
        </w:tc>
        <w:tc>
          <w:tcPr>
            <w:tcW w:w="168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1,542(28)</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Virginia T. Campbell</w:t>
            </w:r>
          </w:p>
        </w:tc>
        <w:tc>
          <w:tcPr>
            <w:tcW w:w="16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6,136(29)</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Kathleen B. Dollenberg</w:t>
            </w:r>
          </w:p>
        </w:tc>
        <w:tc>
          <w:tcPr>
            <w:tcW w:w="168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1,201(30)</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Brett Campbell Alcarese</w:t>
            </w:r>
          </w:p>
        </w:tc>
        <w:tc>
          <w:tcPr>
            <w:tcW w:w="16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1,756(31)</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Kristin D. Chottiner</w:t>
            </w:r>
          </w:p>
        </w:tc>
        <w:tc>
          <w:tcPr>
            <w:tcW w:w="168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3,548(32)</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F. Campbell, Custodian for Connor M. Campbell under OR-UGMA</w:t>
            </w:r>
          </w:p>
        </w:tc>
        <w:tc>
          <w:tcPr>
            <w:tcW w:w="16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386(33)</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Douglas F. Campbell, Custodian for Mitchell W. Campbell under OR-UGMA</w:t>
            </w:r>
          </w:p>
        </w:tc>
        <w:tc>
          <w:tcPr>
            <w:tcW w:w="168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386(34)</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F. Campbell, Custodian for Sarah A. Campbell under OR-UGMA</w:t>
            </w:r>
          </w:p>
        </w:tc>
        <w:tc>
          <w:tcPr>
            <w:tcW w:w="16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386(35)</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E. Mills Dancy</w:t>
            </w:r>
          </w:p>
        </w:tc>
        <w:tc>
          <w:tcPr>
            <w:tcW w:w="168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348(36)</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Beall</w:t>
            </w:r>
          </w:p>
        </w:tc>
        <w:tc>
          <w:tcPr>
            <w:tcW w:w="16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174(37)</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James C. Alban, IV</w:t>
            </w:r>
          </w:p>
        </w:tc>
        <w:tc>
          <w:tcPr>
            <w:tcW w:w="168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348(38)</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Jesse R. Modica</w:t>
            </w:r>
          </w:p>
        </w:tc>
        <w:tc>
          <w:tcPr>
            <w:tcW w:w="16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348(39)</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Jessica C. Hughes</w:t>
            </w:r>
          </w:p>
        </w:tc>
        <w:tc>
          <w:tcPr>
            <w:tcW w:w="168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9,647(40)</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50"/>
        </w:trPr>
        <w:tc>
          <w:tcPr>
            <w:tcW w:w="7500" w:type="dxa"/>
            <w:vAlign w:val="bottom"/>
            <w:gridSpan w:val="3"/>
          </w:tcPr>
          <w:p>
            <w:pPr>
              <w:jc w:val="right"/>
              <w:ind w:right="1740"/>
              <w:spacing w:after="0"/>
              <w:rPr>
                <w:sz w:val="20"/>
                <w:szCs w:val="20"/>
                <w:color w:val="auto"/>
              </w:rPr>
            </w:pPr>
            <w:r>
              <w:rPr>
                <w:rFonts w:ascii="Arial" w:cs="Arial" w:eastAsia="Arial" w:hAnsi="Arial"/>
                <w:sz w:val="18"/>
                <w:szCs w:val="18"/>
                <w:color w:val="auto"/>
              </w:rPr>
              <w:t>4</w:t>
            </w:r>
          </w:p>
        </w:tc>
        <w:tc>
          <w:tcPr>
            <w:tcW w:w="1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6" w:right="23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5600" w:type="dxa"/>
            <w:vAlign w:val="bottom"/>
            <w:gridSpan w:val="3"/>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3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42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Marcie C. McHale, Custodian for Claire J. McHale under WA-UGMA</w:t>
            </w:r>
          </w:p>
        </w:tc>
        <w:tc>
          <w:tcPr>
            <w:tcW w:w="3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8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386(41)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w w:val="97"/>
              </w:rPr>
              <w:t>Marcie C. McHale, Custodian for Madeline C. McHale under WA-UGMA</w:t>
            </w:r>
          </w:p>
        </w:tc>
        <w:tc>
          <w:tcPr>
            <w:tcW w:w="314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800" w:type="dxa"/>
            <w:vAlign w:val="bottom"/>
          </w:tcPr>
          <w:p>
            <w:pPr>
              <w:jc w:val="right"/>
              <w:ind w:right="690"/>
              <w:spacing w:after="0"/>
              <w:rPr>
                <w:sz w:val="20"/>
                <w:szCs w:val="20"/>
                <w:color w:val="auto"/>
              </w:rPr>
            </w:pPr>
            <w:r>
              <w:rPr>
                <w:rFonts w:ascii="Arial" w:cs="Arial" w:eastAsia="Arial" w:hAnsi="Arial"/>
                <w:sz w:val="18"/>
                <w:szCs w:val="18"/>
                <w:color w:val="auto"/>
              </w:rPr>
              <w:t>386(42)</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Marcie C. McHale, Custodian for Samuel H. McHale under WA-UGMA</w:t>
            </w:r>
          </w:p>
        </w:tc>
        <w:tc>
          <w:tcPr>
            <w:tcW w:w="3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8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386(43)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Meredith McLean Alcarese</w:t>
            </w:r>
          </w:p>
        </w:tc>
        <w:tc>
          <w:tcPr>
            <w:tcW w:w="314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800" w:type="dxa"/>
            <w:vAlign w:val="bottom"/>
          </w:tcPr>
          <w:p>
            <w:pPr>
              <w:jc w:val="right"/>
              <w:ind w:right="690"/>
              <w:spacing w:after="0"/>
              <w:rPr>
                <w:sz w:val="20"/>
                <w:szCs w:val="20"/>
                <w:color w:val="auto"/>
              </w:rPr>
            </w:pPr>
            <w:r>
              <w:rPr>
                <w:rFonts w:ascii="Arial" w:cs="Arial" w:eastAsia="Arial" w:hAnsi="Arial"/>
                <w:sz w:val="18"/>
                <w:szCs w:val="18"/>
                <w:color w:val="auto"/>
              </w:rPr>
              <w:t>1,756(44)</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Mitchell W. Hook</w:t>
            </w:r>
          </w:p>
        </w:tc>
        <w:tc>
          <w:tcPr>
            <w:tcW w:w="3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8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348(45)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Natal Modica</w:t>
            </w:r>
          </w:p>
        </w:tc>
        <w:tc>
          <w:tcPr>
            <w:tcW w:w="314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800" w:type="dxa"/>
            <w:vAlign w:val="bottom"/>
          </w:tcPr>
          <w:p>
            <w:pPr>
              <w:jc w:val="right"/>
              <w:ind w:right="690"/>
              <w:spacing w:after="0"/>
              <w:rPr>
                <w:sz w:val="20"/>
                <w:szCs w:val="20"/>
                <w:color w:val="auto"/>
              </w:rPr>
            </w:pPr>
            <w:r>
              <w:rPr>
                <w:rFonts w:ascii="Arial" w:cs="Arial" w:eastAsia="Arial" w:hAnsi="Arial"/>
                <w:sz w:val="18"/>
                <w:szCs w:val="18"/>
                <w:color w:val="auto"/>
              </w:rPr>
              <w:t>348(46)</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 White Marsh, Inc.</w:t>
            </w:r>
          </w:p>
        </w:tc>
        <w:tc>
          <w:tcPr>
            <w:tcW w:w="3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8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20(47)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Richard E. Hook, IV</w:t>
            </w:r>
          </w:p>
        </w:tc>
        <w:tc>
          <w:tcPr>
            <w:tcW w:w="314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800" w:type="dxa"/>
            <w:vAlign w:val="bottom"/>
          </w:tcPr>
          <w:p>
            <w:pPr>
              <w:jc w:val="right"/>
              <w:ind w:right="690"/>
              <w:spacing w:after="0"/>
              <w:rPr>
                <w:sz w:val="20"/>
                <w:szCs w:val="20"/>
                <w:color w:val="auto"/>
              </w:rPr>
            </w:pPr>
            <w:r>
              <w:rPr>
                <w:rFonts w:ascii="Arial" w:cs="Arial" w:eastAsia="Arial" w:hAnsi="Arial"/>
                <w:sz w:val="18"/>
                <w:szCs w:val="18"/>
                <w:color w:val="auto"/>
              </w:rPr>
              <w:t>174(48)</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Russell T. Campbell, Custodian for Jessica J. Campbell under OR-UGMA</w:t>
            </w:r>
          </w:p>
        </w:tc>
        <w:tc>
          <w:tcPr>
            <w:tcW w:w="3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8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290(49)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w w:val="95"/>
              </w:rPr>
              <w:t>Russell T. Campbell, Custodian for Kelsey N. Campbell under OR-UGMA</w:t>
            </w:r>
          </w:p>
        </w:tc>
        <w:tc>
          <w:tcPr>
            <w:tcW w:w="314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800" w:type="dxa"/>
            <w:vAlign w:val="bottom"/>
          </w:tcPr>
          <w:p>
            <w:pPr>
              <w:jc w:val="right"/>
              <w:ind w:right="690"/>
              <w:spacing w:after="0"/>
              <w:rPr>
                <w:sz w:val="20"/>
                <w:szCs w:val="20"/>
                <w:color w:val="auto"/>
              </w:rPr>
            </w:pPr>
            <w:r>
              <w:rPr>
                <w:rFonts w:ascii="Arial" w:cs="Arial" w:eastAsia="Arial" w:hAnsi="Arial"/>
                <w:sz w:val="18"/>
                <w:szCs w:val="18"/>
                <w:color w:val="auto"/>
              </w:rPr>
              <w:t>290(50)</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Russell T. Campbell, Custodian for Lindsey M. Campbell under OR-UGMA</w:t>
            </w:r>
          </w:p>
        </w:tc>
        <w:tc>
          <w:tcPr>
            <w:tcW w:w="3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8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290(51)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w w:val="96"/>
              </w:rPr>
              <w:t>Russell T. Campbell, Custodian for Tyler W. Campbell under OR-UGMA</w:t>
            </w:r>
          </w:p>
        </w:tc>
        <w:tc>
          <w:tcPr>
            <w:tcW w:w="314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800" w:type="dxa"/>
            <w:vAlign w:val="bottom"/>
          </w:tcPr>
          <w:p>
            <w:pPr>
              <w:jc w:val="right"/>
              <w:ind w:right="690"/>
              <w:spacing w:after="0"/>
              <w:rPr>
                <w:sz w:val="20"/>
                <w:szCs w:val="20"/>
                <w:color w:val="auto"/>
              </w:rPr>
            </w:pPr>
            <w:r>
              <w:rPr>
                <w:rFonts w:ascii="Arial" w:cs="Arial" w:eastAsia="Arial" w:hAnsi="Arial"/>
                <w:sz w:val="18"/>
                <w:szCs w:val="18"/>
                <w:color w:val="auto"/>
              </w:rPr>
              <w:t>290(52)</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Trustees of Trust u/w Michael T. Campbell f/b/o Jamie N. Campbell</w:t>
            </w:r>
          </w:p>
        </w:tc>
        <w:tc>
          <w:tcPr>
            <w:tcW w:w="3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8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8,991(53)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Trustees u/a dated 4/23/85 (Richard E. Hook, IV, Grantor)</w:t>
            </w:r>
          </w:p>
        </w:tc>
        <w:tc>
          <w:tcPr>
            <w:tcW w:w="314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800" w:type="dxa"/>
            <w:vAlign w:val="bottom"/>
          </w:tcPr>
          <w:p>
            <w:pPr>
              <w:jc w:val="right"/>
              <w:ind w:right="690"/>
              <w:spacing w:after="0"/>
              <w:rPr>
                <w:sz w:val="20"/>
                <w:szCs w:val="20"/>
                <w:color w:val="auto"/>
              </w:rPr>
            </w:pPr>
            <w:r>
              <w:rPr>
                <w:rFonts w:ascii="Arial" w:cs="Arial" w:eastAsia="Arial" w:hAnsi="Arial"/>
                <w:sz w:val="18"/>
                <w:szCs w:val="18"/>
                <w:color w:val="auto"/>
              </w:rPr>
              <w:t>348(54)</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Taber A. Frederick</w:t>
            </w:r>
          </w:p>
        </w:tc>
        <w:tc>
          <w:tcPr>
            <w:tcW w:w="3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8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348(55)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P. Douglas Dollenberg, Sr.</w:t>
            </w:r>
          </w:p>
        </w:tc>
        <w:tc>
          <w:tcPr>
            <w:tcW w:w="314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800" w:type="dxa"/>
            <w:vAlign w:val="bottom"/>
          </w:tcPr>
          <w:p>
            <w:pPr>
              <w:jc w:val="right"/>
              <w:ind w:right="690"/>
              <w:spacing w:after="0"/>
              <w:rPr>
                <w:sz w:val="20"/>
                <w:szCs w:val="20"/>
                <w:color w:val="auto"/>
              </w:rPr>
            </w:pPr>
            <w:r>
              <w:rPr>
                <w:rFonts w:ascii="Arial" w:cs="Arial" w:eastAsia="Arial" w:hAnsi="Arial"/>
                <w:sz w:val="18"/>
                <w:szCs w:val="18"/>
                <w:color w:val="auto"/>
              </w:rPr>
              <w:t>1,200(56)</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Merritt &amp; Pamela Sher Living Trust (Merritt &amp; Pamela Sher, Trustees)</w:t>
            </w:r>
          </w:p>
        </w:tc>
        <w:tc>
          <w:tcPr>
            <w:tcW w:w="3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8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178,885(57)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Ronald Sher</w:t>
            </w:r>
          </w:p>
        </w:tc>
        <w:tc>
          <w:tcPr>
            <w:tcW w:w="314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800" w:type="dxa"/>
            <w:vAlign w:val="bottom"/>
          </w:tcPr>
          <w:p>
            <w:pPr>
              <w:jc w:val="right"/>
              <w:ind w:right="690"/>
              <w:spacing w:after="0"/>
              <w:rPr>
                <w:sz w:val="20"/>
                <w:szCs w:val="20"/>
                <w:color w:val="auto"/>
              </w:rPr>
            </w:pPr>
            <w:r>
              <w:rPr>
                <w:rFonts w:ascii="Arial" w:cs="Arial" w:eastAsia="Arial" w:hAnsi="Arial"/>
                <w:sz w:val="18"/>
                <w:szCs w:val="18"/>
                <w:color w:val="auto"/>
              </w:rPr>
              <w:t>146,373(58)</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Harvey Diamond</w:t>
            </w:r>
          </w:p>
        </w:tc>
        <w:tc>
          <w:tcPr>
            <w:tcW w:w="3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8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39,612(59)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Ralph and Eliana Kuhn Family Trust (Ralph Kuhn, Trustee)</w:t>
            </w:r>
          </w:p>
        </w:tc>
        <w:tc>
          <w:tcPr>
            <w:tcW w:w="314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800" w:type="dxa"/>
            <w:vAlign w:val="bottom"/>
          </w:tcPr>
          <w:p>
            <w:pPr>
              <w:jc w:val="right"/>
              <w:ind w:right="690"/>
              <w:spacing w:after="0"/>
              <w:rPr>
                <w:sz w:val="20"/>
                <w:szCs w:val="20"/>
                <w:color w:val="auto"/>
              </w:rPr>
            </w:pPr>
            <w:r>
              <w:rPr>
                <w:rFonts w:ascii="Arial" w:cs="Arial" w:eastAsia="Arial" w:hAnsi="Arial"/>
                <w:sz w:val="18"/>
                <w:szCs w:val="18"/>
                <w:color w:val="auto"/>
              </w:rPr>
              <w:t>79,223(60)</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B. Kabat</w:t>
            </w:r>
          </w:p>
        </w:tc>
        <w:tc>
          <w:tcPr>
            <w:tcW w:w="3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8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48,398(61)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VT Trust (J. Victor Fandel, Trustee)</w:t>
            </w:r>
          </w:p>
        </w:tc>
        <w:tc>
          <w:tcPr>
            <w:tcW w:w="314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800" w:type="dxa"/>
            <w:vAlign w:val="bottom"/>
          </w:tcPr>
          <w:p>
            <w:pPr>
              <w:jc w:val="right"/>
              <w:ind w:right="690"/>
              <w:spacing w:after="0"/>
              <w:rPr>
                <w:sz w:val="20"/>
                <w:szCs w:val="20"/>
                <w:color w:val="auto"/>
              </w:rPr>
            </w:pPr>
            <w:r>
              <w:rPr>
                <w:rFonts w:ascii="Arial" w:cs="Arial" w:eastAsia="Arial" w:hAnsi="Arial"/>
                <w:sz w:val="18"/>
                <w:szCs w:val="18"/>
                <w:color w:val="auto"/>
              </w:rPr>
              <w:t>13,711(62)</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Terranomics</w:t>
            </w:r>
          </w:p>
        </w:tc>
        <w:tc>
          <w:tcPr>
            <w:tcW w:w="3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8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8,850(63)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40" w:type="dxa"/>
            <w:vAlign w:val="bottom"/>
          </w:tcPr>
          <w:p>
            <w:pPr>
              <w:jc w:val="right"/>
              <w:ind w:right="2890"/>
              <w:spacing w:after="0"/>
              <w:rPr>
                <w:sz w:val="20"/>
                <w:szCs w:val="20"/>
                <w:color w:val="auto"/>
              </w:rPr>
            </w:pPr>
            <w:r>
              <w:rPr>
                <w:rFonts w:ascii="Arial" w:cs="Arial" w:eastAsia="Arial" w:hAnsi="Arial"/>
                <w:sz w:val="18"/>
                <w:szCs w:val="18"/>
                <w:color w:val="auto"/>
              </w:rPr>
              <w:t>5</w:t>
            </w:r>
          </w:p>
        </w:tc>
        <w:tc>
          <w:tcPr>
            <w:tcW w:w="1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6" w:right="23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5600" w:type="dxa"/>
            <w:vAlign w:val="bottom"/>
            <w:gridSpan w:val="3"/>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31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42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Circe Sher</w:t>
            </w:r>
          </w:p>
        </w:tc>
        <w:tc>
          <w:tcPr>
            <w:tcW w:w="3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w:t>
            </w:r>
          </w:p>
        </w:tc>
        <w:tc>
          <w:tcPr>
            <w:tcW w:w="17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8,060(64)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Lacey Sher</w:t>
            </w:r>
          </w:p>
        </w:tc>
        <w:tc>
          <w:tcPr>
            <w:tcW w:w="314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1740" w:type="dxa"/>
            <w:vAlign w:val="bottom"/>
          </w:tcPr>
          <w:p>
            <w:pPr>
              <w:jc w:val="right"/>
              <w:ind w:right="750"/>
              <w:spacing w:after="0"/>
              <w:rPr>
                <w:sz w:val="20"/>
                <w:szCs w:val="20"/>
                <w:color w:val="auto"/>
              </w:rPr>
            </w:pPr>
            <w:r>
              <w:rPr>
                <w:rFonts w:ascii="Arial" w:cs="Arial" w:eastAsia="Arial" w:hAnsi="Arial"/>
                <w:sz w:val="18"/>
                <w:szCs w:val="18"/>
                <w:color w:val="auto"/>
              </w:rPr>
              <w:t>8,060(65)</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Justin Sher</w:t>
            </w:r>
          </w:p>
        </w:tc>
        <w:tc>
          <w:tcPr>
            <w:tcW w:w="3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w:t>
            </w:r>
          </w:p>
        </w:tc>
        <w:tc>
          <w:tcPr>
            <w:tcW w:w="17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8,060(66)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Rebecca Wellington</w:t>
            </w:r>
          </w:p>
        </w:tc>
        <w:tc>
          <w:tcPr>
            <w:tcW w:w="314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1740" w:type="dxa"/>
            <w:vAlign w:val="bottom"/>
          </w:tcPr>
          <w:p>
            <w:pPr>
              <w:jc w:val="right"/>
              <w:ind w:right="750"/>
              <w:spacing w:after="0"/>
              <w:rPr>
                <w:sz w:val="20"/>
                <w:szCs w:val="20"/>
                <w:color w:val="auto"/>
              </w:rPr>
            </w:pPr>
            <w:r>
              <w:rPr>
                <w:rFonts w:ascii="Arial" w:cs="Arial" w:eastAsia="Arial" w:hAnsi="Arial"/>
                <w:sz w:val="18"/>
                <w:szCs w:val="18"/>
                <w:color w:val="auto"/>
              </w:rPr>
              <w:t>6,048(67)</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Rachel Sher</w:t>
            </w:r>
          </w:p>
        </w:tc>
        <w:tc>
          <w:tcPr>
            <w:tcW w:w="3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w:t>
            </w:r>
          </w:p>
        </w:tc>
        <w:tc>
          <w:tcPr>
            <w:tcW w:w="17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6,048(68)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Nigel Sher</w:t>
            </w:r>
          </w:p>
        </w:tc>
        <w:tc>
          <w:tcPr>
            <w:tcW w:w="314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1740" w:type="dxa"/>
            <w:vAlign w:val="bottom"/>
          </w:tcPr>
          <w:p>
            <w:pPr>
              <w:jc w:val="right"/>
              <w:ind w:right="750"/>
              <w:spacing w:after="0"/>
              <w:rPr>
                <w:sz w:val="20"/>
                <w:szCs w:val="20"/>
                <w:color w:val="auto"/>
              </w:rPr>
            </w:pPr>
            <w:r>
              <w:rPr>
                <w:rFonts w:ascii="Arial" w:cs="Arial" w:eastAsia="Arial" w:hAnsi="Arial"/>
                <w:sz w:val="18"/>
                <w:szCs w:val="18"/>
                <w:color w:val="auto"/>
              </w:rPr>
              <w:t>5,286(69)</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Morse</w:t>
            </w:r>
          </w:p>
        </w:tc>
        <w:tc>
          <w:tcPr>
            <w:tcW w:w="3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w:t>
            </w:r>
          </w:p>
        </w:tc>
        <w:tc>
          <w:tcPr>
            <w:tcW w:w="17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4,810(70)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Kenneth A. Bloch</w:t>
            </w:r>
          </w:p>
        </w:tc>
        <w:tc>
          <w:tcPr>
            <w:tcW w:w="314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1740" w:type="dxa"/>
            <w:vAlign w:val="bottom"/>
          </w:tcPr>
          <w:p>
            <w:pPr>
              <w:jc w:val="right"/>
              <w:ind w:right="750"/>
              <w:spacing w:after="0"/>
              <w:rPr>
                <w:sz w:val="20"/>
                <w:szCs w:val="20"/>
                <w:color w:val="auto"/>
              </w:rPr>
            </w:pPr>
            <w:r>
              <w:rPr>
                <w:rFonts w:ascii="Arial" w:cs="Arial" w:eastAsia="Arial" w:hAnsi="Arial"/>
                <w:sz w:val="18"/>
                <w:szCs w:val="18"/>
                <w:color w:val="auto"/>
              </w:rPr>
              <w:t>4,360(71)</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Sandra Williamson</w:t>
            </w:r>
          </w:p>
        </w:tc>
        <w:tc>
          <w:tcPr>
            <w:tcW w:w="3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w:t>
            </w:r>
          </w:p>
        </w:tc>
        <w:tc>
          <w:tcPr>
            <w:tcW w:w="17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3,749(72)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James C. Castillo</w:t>
            </w:r>
          </w:p>
        </w:tc>
        <w:tc>
          <w:tcPr>
            <w:tcW w:w="314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1740" w:type="dxa"/>
            <w:vAlign w:val="bottom"/>
          </w:tcPr>
          <w:p>
            <w:pPr>
              <w:jc w:val="right"/>
              <w:ind w:right="750"/>
              <w:spacing w:after="0"/>
              <w:rPr>
                <w:sz w:val="20"/>
                <w:szCs w:val="20"/>
                <w:color w:val="auto"/>
              </w:rPr>
            </w:pPr>
            <w:r>
              <w:rPr>
                <w:rFonts w:ascii="Arial" w:cs="Arial" w:eastAsia="Arial" w:hAnsi="Arial"/>
                <w:sz w:val="18"/>
                <w:szCs w:val="18"/>
                <w:color w:val="auto"/>
              </w:rPr>
              <w:t>2,569(73)</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Sher GP, Inc.</w:t>
            </w:r>
          </w:p>
        </w:tc>
        <w:tc>
          <w:tcPr>
            <w:tcW w:w="3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w:t>
            </w:r>
          </w:p>
        </w:tc>
        <w:tc>
          <w:tcPr>
            <w:tcW w:w="17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2,442(74)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Cori Linn</w:t>
            </w:r>
          </w:p>
        </w:tc>
        <w:tc>
          <w:tcPr>
            <w:tcW w:w="314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1740" w:type="dxa"/>
            <w:vAlign w:val="bottom"/>
          </w:tcPr>
          <w:p>
            <w:pPr>
              <w:jc w:val="right"/>
              <w:ind w:right="750"/>
              <w:spacing w:after="0"/>
              <w:rPr>
                <w:sz w:val="20"/>
                <w:szCs w:val="20"/>
                <w:color w:val="auto"/>
              </w:rPr>
            </w:pPr>
            <w:r>
              <w:rPr>
                <w:rFonts w:ascii="Arial" w:cs="Arial" w:eastAsia="Arial" w:hAnsi="Arial"/>
                <w:sz w:val="18"/>
                <w:szCs w:val="18"/>
                <w:color w:val="auto"/>
              </w:rPr>
              <w:t>2,377(75)</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Beckerman</w:t>
            </w:r>
          </w:p>
        </w:tc>
        <w:tc>
          <w:tcPr>
            <w:tcW w:w="3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w:t>
            </w:r>
          </w:p>
        </w:tc>
        <w:tc>
          <w:tcPr>
            <w:tcW w:w="17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1,066(76)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w w:val="91"/>
              </w:rPr>
              <w:t>W &amp; P Steuart Trust dated 9/13/11 (William &amp; Pamela Steuart, Co-Trustees)</w:t>
            </w:r>
          </w:p>
        </w:tc>
        <w:tc>
          <w:tcPr>
            <w:tcW w:w="314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1740" w:type="dxa"/>
            <w:vAlign w:val="bottom"/>
          </w:tcPr>
          <w:p>
            <w:pPr>
              <w:jc w:val="right"/>
              <w:ind w:right="750"/>
              <w:spacing w:after="0"/>
              <w:rPr>
                <w:sz w:val="20"/>
                <w:szCs w:val="20"/>
                <w:color w:val="auto"/>
              </w:rPr>
            </w:pPr>
            <w:r>
              <w:rPr>
                <w:rFonts w:ascii="Arial" w:cs="Arial" w:eastAsia="Arial" w:hAnsi="Arial"/>
                <w:sz w:val="18"/>
                <w:szCs w:val="18"/>
                <w:color w:val="auto"/>
              </w:rPr>
              <w:t>1,836(77)</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Palevich</w:t>
            </w:r>
          </w:p>
        </w:tc>
        <w:tc>
          <w:tcPr>
            <w:tcW w:w="3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w:t>
            </w:r>
          </w:p>
        </w:tc>
        <w:tc>
          <w:tcPr>
            <w:tcW w:w="17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1,473(78)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Joseph D. Blum</w:t>
            </w:r>
          </w:p>
        </w:tc>
        <w:tc>
          <w:tcPr>
            <w:tcW w:w="314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1740" w:type="dxa"/>
            <w:vAlign w:val="bottom"/>
          </w:tcPr>
          <w:p>
            <w:pPr>
              <w:jc w:val="right"/>
              <w:ind w:right="750"/>
              <w:spacing w:after="0"/>
              <w:rPr>
                <w:sz w:val="20"/>
                <w:szCs w:val="20"/>
                <w:color w:val="auto"/>
              </w:rPr>
            </w:pPr>
            <w:r>
              <w:rPr>
                <w:rFonts w:ascii="Arial" w:cs="Arial" w:eastAsia="Arial" w:hAnsi="Arial"/>
                <w:sz w:val="18"/>
                <w:szCs w:val="18"/>
                <w:color w:val="auto"/>
              </w:rPr>
              <w:t>864(79)</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Bomar</w:t>
            </w:r>
          </w:p>
        </w:tc>
        <w:tc>
          <w:tcPr>
            <w:tcW w:w="3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w:t>
            </w:r>
          </w:p>
        </w:tc>
        <w:tc>
          <w:tcPr>
            <w:tcW w:w="17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864(80)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Cohen Family Trust (George Cohen, Trustee)</w:t>
            </w:r>
          </w:p>
        </w:tc>
        <w:tc>
          <w:tcPr>
            <w:tcW w:w="314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1740" w:type="dxa"/>
            <w:vAlign w:val="bottom"/>
          </w:tcPr>
          <w:p>
            <w:pPr>
              <w:jc w:val="right"/>
              <w:ind w:right="750"/>
              <w:spacing w:after="0"/>
              <w:rPr>
                <w:sz w:val="20"/>
                <w:szCs w:val="20"/>
                <w:color w:val="auto"/>
              </w:rPr>
            </w:pPr>
            <w:r>
              <w:rPr>
                <w:rFonts w:ascii="Arial" w:cs="Arial" w:eastAsia="Arial" w:hAnsi="Arial"/>
                <w:sz w:val="18"/>
                <w:szCs w:val="18"/>
                <w:color w:val="auto"/>
              </w:rPr>
              <w:t>864(81)</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 Culbertson Revocable Trust (B.L. Culbertson, Trustee)</w:t>
            </w:r>
          </w:p>
        </w:tc>
        <w:tc>
          <w:tcPr>
            <w:tcW w:w="3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w:t>
            </w:r>
          </w:p>
        </w:tc>
        <w:tc>
          <w:tcPr>
            <w:tcW w:w="17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864(82)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The Fazekas Living Trust (Thomas Fazekas, Trustee)</w:t>
            </w:r>
          </w:p>
        </w:tc>
        <w:tc>
          <w:tcPr>
            <w:tcW w:w="314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1740" w:type="dxa"/>
            <w:vAlign w:val="bottom"/>
          </w:tcPr>
          <w:p>
            <w:pPr>
              <w:jc w:val="right"/>
              <w:ind w:right="750"/>
              <w:spacing w:after="0"/>
              <w:rPr>
                <w:sz w:val="20"/>
                <w:szCs w:val="20"/>
                <w:color w:val="auto"/>
              </w:rPr>
            </w:pPr>
            <w:r>
              <w:rPr>
                <w:rFonts w:ascii="Arial" w:cs="Arial" w:eastAsia="Arial" w:hAnsi="Arial"/>
                <w:sz w:val="18"/>
                <w:szCs w:val="18"/>
                <w:color w:val="auto"/>
              </w:rPr>
              <w:t>864(83)</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 &amp; S.M. Javaras Trust (A.N. Javaras, Trustee)</w:t>
            </w:r>
          </w:p>
        </w:tc>
        <w:tc>
          <w:tcPr>
            <w:tcW w:w="3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w:t>
            </w:r>
          </w:p>
        </w:tc>
        <w:tc>
          <w:tcPr>
            <w:tcW w:w="17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864(84)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L.H. &amp; M.R. Miller Trust (Lindley H. Miller, Trustee)</w:t>
            </w:r>
          </w:p>
        </w:tc>
        <w:tc>
          <w:tcPr>
            <w:tcW w:w="314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1740" w:type="dxa"/>
            <w:vAlign w:val="bottom"/>
          </w:tcPr>
          <w:p>
            <w:pPr>
              <w:jc w:val="right"/>
              <w:ind w:right="750"/>
              <w:spacing w:after="0"/>
              <w:rPr>
                <w:sz w:val="20"/>
                <w:szCs w:val="20"/>
                <w:color w:val="auto"/>
              </w:rPr>
            </w:pPr>
            <w:r>
              <w:rPr>
                <w:rFonts w:ascii="Arial" w:cs="Arial" w:eastAsia="Arial" w:hAnsi="Arial"/>
                <w:sz w:val="18"/>
                <w:szCs w:val="18"/>
                <w:color w:val="auto"/>
              </w:rPr>
              <w:t>864(85)</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Naggar</w:t>
            </w:r>
          </w:p>
        </w:tc>
        <w:tc>
          <w:tcPr>
            <w:tcW w:w="3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w:t>
            </w:r>
          </w:p>
        </w:tc>
        <w:tc>
          <w:tcPr>
            <w:tcW w:w="17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864(86)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Bruce C. Spikell Trust, UDT 9/13/10 (Bruce C. Spikell, Trustee)</w:t>
            </w:r>
          </w:p>
        </w:tc>
        <w:tc>
          <w:tcPr>
            <w:tcW w:w="314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1740" w:type="dxa"/>
            <w:vAlign w:val="bottom"/>
          </w:tcPr>
          <w:p>
            <w:pPr>
              <w:jc w:val="right"/>
              <w:ind w:right="750"/>
              <w:spacing w:after="0"/>
              <w:rPr>
                <w:sz w:val="20"/>
                <w:szCs w:val="20"/>
                <w:color w:val="auto"/>
              </w:rPr>
            </w:pPr>
            <w:r>
              <w:rPr>
                <w:rFonts w:ascii="Arial" w:cs="Arial" w:eastAsia="Arial" w:hAnsi="Arial"/>
                <w:sz w:val="18"/>
                <w:szCs w:val="18"/>
                <w:color w:val="auto"/>
              </w:rPr>
              <w:t>864(87)</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L. Seiler</w:t>
            </w:r>
          </w:p>
        </w:tc>
        <w:tc>
          <w:tcPr>
            <w:tcW w:w="3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w:t>
            </w:r>
          </w:p>
        </w:tc>
        <w:tc>
          <w:tcPr>
            <w:tcW w:w="17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718(88)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Seiler Family Revocable Trust</w:t>
            </w:r>
          </w:p>
        </w:tc>
        <w:tc>
          <w:tcPr>
            <w:tcW w:w="314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1740" w:type="dxa"/>
            <w:vAlign w:val="bottom"/>
          </w:tcPr>
          <w:p>
            <w:pPr>
              <w:jc w:val="right"/>
              <w:ind w:right="750"/>
              <w:spacing w:after="0"/>
              <w:rPr>
                <w:sz w:val="20"/>
                <w:szCs w:val="20"/>
                <w:color w:val="auto"/>
              </w:rPr>
            </w:pPr>
            <w:r>
              <w:rPr>
                <w:rFonts w:ascii="Arial" w:cs="Arial" w:eastAsia="Arial" w:hAnsi="Arial"/>
                <w:sz w:val="18"/>
                <w:szCs w:val="18"/>
                <w:color w:val="auto"/>
              </w:rPr>
              <w:t>718(89)</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40" w:type="dxa"/>
            <w:vAlign w:val="bottom"/>
          </w:tcPr>
          <w:p>
            <w:pPr>
              <w:jc w:val="right"/>
              <w:ind w:right="2890"/>
              <w:spacing w:after="0"/>
              <w:rPr>
                <w:sz w:val="20"/>
                <w:szCs w:val="20"/>
                <w:color w:val="auto"/>
              </w:rPr>
            </w:pPr>
            <w:r>
              <w:rPr>
                <w:rFonts w:ascii="Arial" w:cs="Arial" w:eastAsia="Arial" w:hAnsi="Arial"/>
                <w:sz w:val="18"/>
                <w:szCs w:val="18"/>
                <w:color w:val="auto"/>
              </w:rPr>
              <w:t>6</w:t>
            </w:r>
          </w:p>
        </w:tc>
        <w:tc>
          <w:tcPr>
            <w:tcW w:w="1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6" w:right="23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6180" w:type="dxa"/>
            <w:vAlign w:val="bottom"/>
            <w:gridSpan w:val="3"/>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26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48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Offel Trust Agreement (Mignon Offel, Trustee)</w:t>
            </w:r>
          </w:p>
        </w:tc>
        <w:tc>
          <w:tcPr>
            <w:tcW w:w="2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17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648(90)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Lynne Bremer</w:t>
            </w:r>
          </w:p>
        </w:tc>
        <w:tc>
          <w:tcPr>
            <w:tcW w:w="2640" w:type="dxa"/>
            <w:vAlign w:val="bottom"/>
          </w:tcPr>
          <w:p>
            <w:pPr>
              <w:jc w:val="right"/>
              <w:ind w:right="50"/>
              <w:spacing w:after="0"/>
              <w:rPr>
                <w:sz w:val="20"/>
                <w:szCs w:val="20"/>
                <w:color w:val="auto"/>
              </w:rPr>
            </w:pPr>
            <w:r>
              <w:rPr>
                <w:rFonts w:ascii="Arial" w:cs="Arial" w:eastAsia="Arial" w:hAnsi="Arial"/>
                <w:sz w:val="18"/>
                <w:szCs w:val="18"/>
                <w:color w:val="auto"/>
              </w:rPr>
              <w:t>0</w:t>
            </w:r>
          </w:p>
        </w:tc>
        <w:tc>
          <w:tcPr>
            <w:tcW w:w="1720" w:type="dxa"/>
            <w:vAlign w:val="bottom"/>
          </w:tcPr>
          <w:p>
            <w:pPr>
              <w:jc w:val="right"/>
              <w:ind w:right="710"/>
              <w:spacing w:after="0"/>
              <w:rPr>
                <w:sz w:val="20"/>
                <w:szCs w:val="20"/>
                <w:color w:val="auto"/>
              </w:rPr>
            </w:pPr>
            <w:r>
              <w:rPr>
                <w:rFonts w:ascii="Arial" w:cs="Arial" w:eastAsia="Arial" w:hAnsi="Arial"/>
                <w:sz w:val="18"/>
                <w:szCs w:val="18"/>
                <w:color w:val="auto"/>
              </w:rPr>
              <w:t>216(91)</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 Antonio Center, LLC</w:t>
            </w:r>
          </w:p>
        </w:tc>
        <w:tc>
          <w:tcPr>
            <w:tcW w:w="2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17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48,459(92)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Alexander R. Buck</w:t>
            </w:r>
          </w:p>
        </w:tc>
        <w:tc>
          <w:tcPr>
            <w:tcW w:w="2640" w:type="dxa"/>
            <w:vAlign w:val="bottom"/>
          </w:tcPr>
          <w:p>
            <w:pPr>
              <w:jc w:val="right"/>
              <w:ind w:right="50"/>
              <w:spacing w:after="0"/>
              <w:rPr>
                <w:sz w:val="20"/>
                <w:szCs w:val="20"/>
                <w:color w:val="auto"/>
              </w:rPr>
            </w:pPr>
            <w:r>
              <w:rPr>
                <w:rFonts w:ascii="Arial" w:cs="Arial" w:eastAsia="Arial" w:hAnsi="Arial"/>
                <w:sz w:val="18"/>
                <w:szCs w:val="18"/>
                <w:color w:val="auto"/>
              </w:rPr>
              <w:t>0</w:t>
            </w:r>
          </w:p>
        </w:tc>
        <w:tc>
          <w:tcPr>
            <w:tcW w:w="1720" w:type="dxa"/>
            <w:vAlign w:val="bottom"/>
          </w:tcPr>
          <w:p>
            <w:pPr>
              <w:jc w:val="right"/>
              <w:ind w:right="710"/>
              <w:spacing w:after="0"/>
              <w:rPr>
                <w:sz w:val="20"/>
                <w:szCs w:val="20"/>
                <w:color w:val="auto"/>
              </w:rPr>
            </w:pPr>
            <w:r>
              <w:rPr>
                <w:rFonts w:ascii="Arial" w:cs="Arial" w:eastAsia="Arial" w:hAnsi="Arial"/>
                <w:sz w:val="18"/>
                <w:szCs w:val="18"/>
                <w:color w:val="auto"/>
              </w:rPr>
              <w:t>8,403(93)</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Jeremy Buck</w:t>
            </w:r>
          </w:p>
        </w:tc>
        <w:tc>
          <w:tcPr>
            <w:tcW w:w="2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17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200(94)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Lindsay Buck</w:t>
            </w:r>
          </w:p>
        </w:tc>
        <w:tc>
          <w:tcPr>
            <w:tcW w:w="2640" w:type="dxa"/>
            <w:vAlign w:val="bottom"/>
          </w:tcPr>
          <w:p>
            <w:pPr>
              <w:jc w:val="right"/>
              <w:ind w:right="50"/>
              <w:spacing w:after="0"/>
              <w:rPr>
                <w:sz w:val="20"/>
                <w:szCs w:val="20"/>
                <w:color w:val="auto"/>
              </w:rPr>
            </w:pPr>
            <w:r>
              <w:rPr>
                <w:rFonts w:ascii="Arial" w:cs="Arial" w:eastAsia="Arial" w:hAnsi="Arial"/>
                <w:sz w:val="18"/>
                <w:szCs w:val="18"/>
                <w:color w:val="auto"/>
              </w:rPr>
              <w:t>0</w:t>
            </w:r>
          </w:p>
        </w:tc>
        <w:tc>
          <w:tcPr>
            <w:tcW w:w="1720" w:type="dxa"/>
            <w:vAlign w:val="bottom"/>
          </w:tcPr>
          <w:p>
            <w:pPr>
              <w:jc w:val="right"/>
              <w:ind w:right="710"/>
              <w:spacing w:after="0"/>
              <w:rPr>
                <w:sz w:val="20"/>
                <w:szCs w:val="20"/>
                <w:color w:val="auto"/>
              </w:rPr>
            </w:pPr>
            <w:r>
              <w:rPr>
                <w:rFonts w:ascii="Arial" w:cs="Arial" w:eastAsia="Arial" w:hAnsi="Arial"/>
                <w:sz w:val="18"/>
                <w:szCs w:val="18"/>
                <w:color w:val="auto"/>
              </w:rPr>
              <w:t>749(95)</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right="20" w:hanging="452"/>
        <w:spacing w:after="0" w:line="288"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information set forth in this column is partially based on information in the records of the transfer agent and registrar for the common shares on or about May 11, 2015 with respect to the common shares held of record by certain of the selling shareholders. The amount of common shares beneficially owned by each selling shareholder is unknown and not reasonably available, and obtaining such information would require unreasonable effort.</w:t>
      </w:r>
    </w:p>
    <w:p>
      <w:pPr>
        <w:ind w:left="460" w:right="4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the common shares issuable upon (i) conversion (upon the election of the preferred shareholders) as of the date hereof of all outstanding preferred shares and (ii) redemption (upon the election of the downREIT holders and the election of the registrant to acquire all tendered downREIT units in exchange for common shares) as of the date hereof of all outstanding downREIT units, at the conversion price and redemption price in effect as of the date hereof.</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Assuming the sale of all of the common shares being offered under this registration statement.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5,306 downREIT units of NVI-Avenue, LLC.</w:t>
      </w:r>
    </w:p>
    <w:p>
      <w:pPr>
        <w:spacing w:after="0" w:line="9"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9,757 common shares that are issuable to the selling shareholder upon conversion of 40,860 preferred shares, and 7,023 common shares that are issuable to the selling shareholder upon redemption of 7,023 downREIT units of NVI-Avenue, LLC.</w:t>
      </w:r>
    </w:p>
    <w:p>
      <w:pPr>
        <w:ind w:left="460" w:right="12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369 common shares that are issuable to the selling shareholder upon conversion of 1,547 preferred shares, and 656 common shares that are issuable to the selling shareholder upon redemption of 656 downREIT units of NVI-Avenue, LLC.</w:t>
      </w: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5,306 downREIT units of NVI-Avenue, LLC.</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46"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656 downREIT units of NVI-Avenue, LLC.</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7,332 downREIT units of NVI-Avenue, LLC.</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conversion of 140,644 preferred shares.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6,020 downREIT units of NVI-Avenue, LLC.</w:t>
      </w:r>
    </w:p>
    <w:p>
      <w:pPr>
        <w:spacing w:after="0" w:line="20" w:lineRule="exact"/>
        <w:rPr>
          <w:rFonts w:ascii="Arial" w:cs="Arial" w:eastAsia="Arial" w:hAnsi="Arial"/>
          <w:sz w:val="17"/>
          <w:szCs w:val="17"/>
          <w:color w:val="auto"/>
        </w:rPr>
      </w:pPr>
    </w:p>
    <w:p>
      <w:pPr>
        <w:ind w:left="46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26,868 common shares that are issuable to the selling shareholder upon conversion of 112,515 preferred shares, and 9,647 common shares that are issuable to the selling shareholder upon redemption of 9,647 downREIT units of NVI-Avenue, LLC.</w:t>
      </w: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232 downREIT units of NVI-Avenue, LLC.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656 downREIT units of NVI-Avenue, LLC.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7,679 downREIT units of NVI-Avenue, LLC.</w:t>
      </w:r>
    </w:p>
    <w:p>
      <w:pPr>
        <w:spacing w:after="0" w:line="15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240" w:top="459" w:right="4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6,020 downREIT units of NVI-Avenue, LLC.</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7,177 downREIT units of NVI-Avenue, LLC.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6,020 downREIT units of NVI-Avenue, LLC.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5,306 downREIT units of NVI-Avenue, LLC.</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369 common shares that are issuable to the selling shareholder upon conversion of 1,547 preferred shares, and 656 common shares that are issuable to the selling shareholder upon redemption of 656 downREIT units of NVI-Avenue, LLC.</w:t>
      </w:r>
    </w:p>
    <w:p>
      <w:pPr>
        <w:ind w:left="46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1,675 common shares that are issuable to the selling shareholder upon conversion of 7,018 preferred shares, and 7,332 common shares that are issuable to the selling shareholder upon redemption of 7,332 downREIT units of NVI-Avenue, LLC.</w:t>
      </w:r>
    </w:p>
    <w:p>
      <w:pPr>
        <w:ind w:left="460" w:right="14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11,175 common shares that are issuable to the selling shareholder upon conversion of 46,800 preferred shares, and 9,647 common shares that are issuable to the selling shareholder upon redemption of 9,647 downREIT units of NVI-Avenue, LLC.</w:t>
      </w: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2,566 downREIT units of NVI-Avenue, LLC.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9,550 downREIT units of NVI-Avenue, LLC.</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00"/>
          </w:cols>
          <w:pgMar w:left="240" w:top="459" w:right="3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25,467 downREIT units of NVI-Avenue, LLC.</w:t>
      </w:r>
    </w:p>
    <w:p>
      <w:pPr>
        <w:spacing w:after="0" w:line="34" w:lineRule="exact"/>
        <w:rPr>
          <w:rFonts w:ascii="Arial" w:cs="Arial" w:eastAsia="Arial" w:hAnsi="Arial"/>
          <w:sz w:val="17"/>
          <w:szCs w:val="17"/>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1,500 downREIT units of NVI-Avenue, LLC.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conversion of 45,253 preferred shares.</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886 common shares that are issuable to the selling shareholder upon conversion of 3,712 preferred shares, and 656 common shares that are issuable to the selling shareholder upon redemption of 656 downREIT units of NVI-Avenue, LLC.</w:t>
      </w: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6,136 downREIT units of NVI-Avenue, LLC.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1,201 downREIT units of NVI-Avenue, LLC.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1,756 downREIT units of NVI-Avenue, LLC.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3,548 downREIT units of NVI-Avenue, LLC.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386 downREIT units of NVI-Avenue, LLC.</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00"/>
          </w:cols>
          <w:pgMar w:left="240" w:top="459" w:right="3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386 downREIT units of NVI-Avenue, LLC.</w:t>
      </w:r>
    </w:p>
    <w:p>
      <w:pPr>
        <w:spacing w:after="0" w:line="46" w:lineRule="exact"/>
        <w:rPr>
          <w:rFonts w:ascii="Arial" w:cs="Arial" w:eastAsia="Arial" w:hAnsi="Arial"/>
          <w:sz w:val="16"/>
          <w:szCs w:val="16"/>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386 downREIT units of NVI-Avenue, LLC.</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348 downREIT units of NVI-Avenue, LLC.</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174 downREIT units of NVI-Avenue, LLC.</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348 downREIT units of NVI-Avenue, LLC.</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348 downREIT units of NVI-Avenue, LLC.</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9,647 downREIT units of NVI-Avenue, LLC.</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386 downREIT units of NVI-Avenue, LLC.</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386 downREIT units of NVI-Avenue, LLC.</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80"/>
          </w:cols>
          <w:pgMar w:left="240" w:top="459" w:right="13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386 downREIT units of NVI-Avenue, LLC.</w:t>
      </w:r>
    </w:p>
    <w:p>
      <w:pPr>
        <w:spacing w:after="0" w:line="46" w:lineRule="exact"/>
        <w:rPr>
          <w:rFonts w:ascii="Arial" w:cs="Arial" w:eastAsia="Arial" w:hAnsi="Arial"/>
          <w:sz w:val="16"/>
          <w:szCs w:val="16"/>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1,756 downREIT units of NVI-Avenue, LLC.</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348 downREIT units of NVI-Avenue, LLC.</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348 downREIT units of NVI-Avenue, LLC.</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20 downREIT units of NVI-Avenue, LLC.</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174 downREIT units of NVI-Avenue, LLC.</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290 downREIT units of NVI-Avenue, LLC.</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290 downREIT units of NVI-Avenue, LLC.</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290 downREIT units of NVI-Avenue, LLC.</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80"/>
          </w:cols>
          <w:pgMar w:left="240" w:top="459" w:right="13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290 downREIT units of NVI-Avenue, LLC.</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8,991 downREIT units of NVI-Avenue, LLC.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348 downREIT units of NVI-Avenue, LLC.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348 downREIT units of NVI-Avenue, LLC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1,200 downREIT units of NVI-Avenue, LLC.</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92,173 downREIT units of Route 35 Shrewsbury Limited Partnership, (ii) 16,238 downREIT units of Shrewsbury Commons L.P., (iii) 68,238 downREIT units of Sea Girt Limited Partnership and (iv) 2,236 downREIT units of 35 West, LLC.</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65,433 downREIT units of Route 35 Shrewsbury Limited Partnership, (ii) 11,663 downREIT units of Shrewsbury Commons L.P., (iii) 64,309 downREIT units of Sea Girt Limited Partnership and (iv) 4,968 downREIT units of 35 West, LLC.</w:t>
      </w:r>
    </w:p>
    <w:p>
      <w:pPr>
        <w:spacing w:after="0" w:line="1"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39,612 downREIT units of Route 35 Shrewsbury Limited Partnership.</w:t>
      </w:r>
    </w:p>
    <w:p>
      <w:pPr>
        <w:ind w:left="460" w:right="22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79,223 downREIT units of Route 35 Shrewsbury Limited Partnership.</w:t>
      </w:r>
    </w:p>
    <w:p>
      <w:pPr>
        <w:ind w:left="460" w:right="22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49,398 downREIT units of Route 35 Shrewsbury Limited Partnership.</w:t>
      </w:r>
    </w:p>
    <w:p>
      <w:pPr>
        <w:ind w:left="460" w:right="220" w:hanging="452"/>
        <w:spacing w:after="0" w:line="261"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13,711 downREIT units of Route 35 Shrewsbury Limited Partnership.</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hanging="452"/>
        <w:spacing w:after="0" w:line="256"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5,653 downREIT units of Route 35 Shrewsbury Limited Partnership, (ii) 239 downREIT units of Shrewsbury Commons L.P., (iii) 1,964 downREIT units of Sea Girt Limited Partnership and (iv) 994 downREIT units of 35 West, LLC.</w:t>
      </w:r>
    </w:p>
    <w:p>
      <w:pPr>
        <w:ind w:left="460" w:right="4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897 downREIT units of Shrewsbury Commons L.P., (ii) 3,437 downREIT units of Sea Girt Limited Partnership and (iii) 3,726 downREIT units of 35 West, LLC.</w:t>
      </w:r>
    </w:p>
    <w:p>
      <w:pPr>
        <w:ind w:left="460" w:right="4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897 downREIT units of Shrewsbury Commons L.P., (ii) 3,437 downREIT units of Sea Girt Limited Partnership and (iii) 3,726 downREIT units of 35 West, LLC.</w:t>
      </w:r>
    </w:p>
    <w:p>
      <w:pPr>
        <w:ind w:left="460" w:right="4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897 downREIT units of Shrewsbury Commons L.P., (ii) 3,437 downREIT units of Sea Girt Limited Partnership and (iii) 3,726 downREIT units of 35 West, LLC.</w:t>
      </w:r>
    </w:p>
    <w:p>
      <w:pPr>
        <w:ind w:left="460" w:right="4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359 downREIT units of Shrewsbury Commons L.P., (ii) 4,199 downREIT units of Sea Girt Limited Partnership and (iii) 1,490 downREIT units of 35 West, LLC.</w:t>
      </w:r>
    </w:p>
    <w:p>
      <w:pPr>
        <w:ind w:left="460" w:right="4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359 downREIT units of Shrewsbury Commons L.P., (ii) 4,199 downREIT units of Sea Girt Limited Partnership and (iii) 1,490 downREIT units of 35 West, LLC.</w:t>
      </w:r>
    </w:p>
    <w:p>
      <w:pPr>
        <w:ind w:left="460" w:right="4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359 downREIT units of Shrewsbury Commons L.P., (ii) 3,437 downREIT units of Sea Girt Limited Partnership and (iii) 1,490 downREIT units of 35 West, LLC.</w:t>
      </w:r>
    </w:p>
    <w:p>
      <w:pPr>
        <w:ind w:left="460" w:right="20" w:hanging="452"/>
        <w:spacing w:after="0" w:line="265"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(i) 1,728 downREIT units of Route 35 Shrewsbury Limited Partnership, (ii) 1,964 downREIT units of Sea Girt Limited Partnership and (iii) 1,118 downREIT units of 35 West, LLC.</w:t>
      </w:r>
    </w:p>
    <w:p>
      <w:pPr>
        <w:ind w:left="460" w:right="16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432 downREIT units of Route 35 Shrewsbury Limited Partnership, and (ii) 3,928 downREIT units of Sea Girt Limited Partnership.</w:t>
      </w:r>
    </w:p>
    <w:p>
      <w:pPr>
        <w:ind w:left="460" w:right="16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432 downREIT units of Route 35 Shrewsbury Limited Partnership, (ii) 359 downREIT units of Shrewsbury Commons L.P., (iii) 1,964 downREIT units of Sea Girt Limited Partnership and (iv) 994 downREIT units of 35 West, LLC.</w:t>
      </w:r>
    </w:p>
    <w:p>
      <w:pPr>
        <w:spacing w:after="0" w:line="1" w:lineRule="exact"/>
        <w:rPr>
          <w:rFonts w:ascii="Arial" w:cs="Arial" w:eastAsia="Arial" w:hAnsi="Arial"/>
          <w:sz w:val="18"/>
          <w:szCs w:val="18"/>
          <w:color w:val="auto"/>
        </w:rPr>
      </w:pPr>
    </w:p>
    <w:p>
      <w:pPr>
        <w:ind w:left="460" w:right="24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2,569 downREIT units of Route 35 Shrewsbury Limited Partnership.</w:t>
      </w:r>
    </w:p>
    <w:p>
      <w:pPr>
        <w:ind w:left="46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478 downREIT units of Shrewsbury Commons L.P., and (ii) 1,964 downREIT units of Sea Girt Limited Partnership.</w:t>
      </w:r>
    </w:p>
    <w:p>
      <w:pPr>
        <w:ind w:left="460" w:right="240" w:hanging="452"/>
        <w:spacing w:after="0" w:line="261"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2,377 downREIT units of Route 35 Shrewsbury Limited Partnership.</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80"/>
          </w:cols>
          <w:pgMar w:left="240" w:top="459" w:right="3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line="25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269 downREIT units of Shrewsbury Commons L.P., and (ii) 797 downREIT units of Sea Girt Limited Partnership.</w:t>
      </w:r>
    </w:p>
    <w:p>
      <w:pPr>
        <w:spacing w:after="0" w:line="1" w:lineRule="exact"/>
        <w:rPr>
          <w:rFonts w:ascii="Arial" w:cs="Arial" w:eastAsia="Arial" w:hAnsi="Arial"/>
          <w:sz w:val="18"/>
          <w:szCs w:val="18"/>
          <w:color w:val="auto"/>
        </w:rPr>
      </w:pPr>
    </w:p>
    <w:p>
      <w:pPr>
        <w:ind w:left="460" w:right="24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1,836 downREIT units of Route 35 Shrewsbury Limited Partnership.</w:t>
      </w: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1,473 downREIT units of Sea Girt Limited Partnership.</w:t>
      </w:r>
    </w:p>
    <w:p>
      <w:pPr>
        <w:spacing w:after="0" w:line="32" w:lineRule="exact"/>
        <w:rPr>
          <w:rFonts w:ascii="Arial" w:cs="Arial" w:eastAsia="Arial" w:hAnsi="Arial"/>
          <w:sz w:val="16"/>
          <w:szCs w:val="16"/>
          <w:color w:val="auto"/>
        </w:rPr>
      </w:pPr>
    </w:p>
    <w:p>
      <w:pPr>
        <w:ind w:left="460" w:right="3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864 downREIT units of Route 35 Shrewsbury Limited Partnership.</w:t>
      </w:r>
    </w:p>
    <w:p>
      <w:pPr>
        <w:ind w:left="460" w:right="3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864 downREIT units of Route 35 Shrewsbury Limited Partnership.</w:t>
      </w:r>
    </w:p>
    <w:p>
      <w:pPr>
        <w:ind w:left="460" w:right="3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864 downREIT units of Route 35 Shrewsbury Limited Partnership.</w:t>
      </w:r>
    </w:p>
    <w:p>
      <w:pPr>
        <w:ind w:left="460" w:right="3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864 downREIT units of Route 35 Shrewsbury Limited Partnership.</w:t>
      </w:r>
    </w:p>
    <w:p>
      <w:pPr>
        <w:ind w:left="460" w:right="3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864 downREIT units of Route 35 Shrewsbury Limited Partnership.</w:t>
      </w:r>
    </w:p>
    <w:p>
      <w:pPr>
        <w:ind w:left="460" w:right="3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864 downREIT units of Route 35 Shrewsbury Limited Partnership.</w:t>
      </w:r>
    </w:p>
    <w:p>
      <w:pPr>
        <w:ind w:left="460" w:right="3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864 downREIT units of Route 35 Shrewsbury Limited Partnership.</w:t>
      </w:r>
    </w:p>
    <w:p>
      <w:pPr>
        <w:ind w:left="460" w:right="3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864 downREIT units of Route 35 Shrewsbury Limited Partnership.</w:t>
      </w:r>
    </w:p>
    <w:p>
      <w:pPr>
        <w:ind w:left="460" w:right="3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864 downREIT units of Route 35 Shrewsbury Limited Partnership.</w:t>
      </w:r>
    </w:p>
    <w:p>
      <w:pPr>
        <w:ind w:left="460" w:hanging="452"/>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718 downREIT units of Shrewsbury Commons L.P.</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718 downREIT units of Shrewsbury Commons L.P.</w:t>
      </w:r>
    </w:p>
    <w:p>
      <w:pPr>
        <w:spacing w:after="0" w:line="15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80"/>
          </w:cols>
          <w:pgMar w:left="240" w:top="459" w:right="3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0" w:hanging="452"/>
        <w:spacing w:after="0" w:line="25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648 downREIT units of Route 35 Shrewsbury Limited Partnership.</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216 downREIT units of Route 35 Shrewsbury Limited Partnership.</w:t>
      </w: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48,459 downREIT units of Federal Realty Partners L.P.</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8,403 downREIT units of Federal Realty Partners L.P.</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200 downREIT units of Federal Realty Partners L.P.</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749 downREIT units of Federal Realty Partners L.P.</w:t>
      </w:r>
    </w:p>
    <w:p>
      <w:pPr>
        <w:spacing w:after="0" w:line="16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240" w:top="459" w:right="6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22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following section summarizes the material federal income tax issues that you may consider relevant relating to our taxation as a REIT under the Code, and the acquisition, ownership, and disposition of our common shares. Because this section is a summary, it does not address all of the tax issues that may be important to you. For example, the discussion of the tax treatment of our shareholders addresses only common shares held as capital assets (generally property held for investment) within the meaning of Section 1221 of the Code. This discussion is based on current law and does not purport to deal with all aspects of U.S. federal income taxation that may be relevant to a prospective shareholder in light of its particular circumstances.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persons that are, or that hold their shares through, partnerships or other pass-through entities, persons whose functional currency is not the U.S. dollar, persons that hold shares as part of a straddle, hedge, conversion, synthetic security or constructive sale transaction for U.S. federal income tax purposes, persons that purchase or sell shares as part of a wash sale for tax purposes, or non-U.S. individuals and foreign corporations (except to the extent discussed in “— Taxation of Non-U.S. Shareholders” below). In addition, this discussion is general in nature and is not exhaustive of all possible tax considerations, nor does it address any aspect of state, local or foreign taxation or any U.S. federal tax other than the income tax and, only to the extent specifically provided herein, certain excise taxes potentially applicable to REITs.</w:t>
      </w:r>
    </w:p>
    <w:p>
      <w:pPr>
        <w:spacing w:after="0" w:line="169" w:lineRule="exact"/>
        <w:rPr>
          <w:sz w:val="20"/>
          <w:szCs w:val="20"/>
          <w:color w:val="auto"/>
        </w:rPr>
      </w:pPr>
    </w:p>
    <w:p>
      <w:pPr>
        <w:ind w:right="540" w:firstLine="456"/>
        <w:spacing w:after="0" w:line="308" w:lineRule="auto"/>
        <w:rPr>
          <w:sz w:val="20"/>
          <w:szCs w:val="20"/>
          <w:color w:val="auto"/>
        </w:rPr>
      </w:pPr>
      <w:r>
        <w:rPr>
          <w:rFonts w:ascii="Arial" w:cs="Arial" w:eastAsia="Arial" w:hAnsi="Arial"/>
          <w:sz w:val="17"/>
          <w:szCs w:val="17"/>
          <w:color w:val="auto"/>
        </w:rPr>
        <w:t>This summary is based upon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14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 partnership, including an entity or arrangement that is treated as a partnership for U.S. federal income tax purposes, is a beneficial owner of our shares, the treatment of the partnership, and partners in the partnership, will generally depend on the status of the partner and the activities of the partnership. Partnerships holding shares, and partners in such partnerships, should consult their tax advisors with regard to the U.S. federal income tax treatment of an investment in our shares.</w:t>
      </w:r>
    </w:p>
    <w:p>
      <w:pPr>
        <w:spacing w:after="0" w:line="187" w:lineRule="exact"/>
        <w:rPr>
          <w:sz w:val="20"/>
          <w:szCs w:val="20"/>
          <w:color w:val="auto"/>
        </w:rPr>
      </w:pPr>
    </w:p>
    <w:p>
      <w:pPr>
        <w:jc w:val="both"/>
        <w:ind w:right="660" w:firstLine="456"/>
        <w:spacing w:after="0" w:line="286" w:lineRule="auto"/>
        <w:rPr>
          <w:sz w:val="20"/>
          <w:szCs w:val="20"/>
          <w:color w:val="auto"/>
        </w:rPr>
      </w:pPr>
      <w:r>
        <w:rPr>
          <w:rFonts w:ascii="Arial" w:cs="Arial" w:eastAsia="Arial" w:hAnsi="Arial"/>
          <w:sz w:val="17"/>
          <w:szCs w:val="17"/>
          <w:color w:val="auto"/>
        </w:rPr>
        <w:t>PROSPECTIVE INVESTORS SHOULD CONSULT THEIR TAX ADVISORS REGARDING THE SPECIFIC FEDERAL, STATE, LOCAL, FOREIGN AND OTHER TAX CONSEQUENCES TO THEM OF THE ACQUISITION, OWNERSHIP AND DISPOSITION OF OUR COMMON SHARES, OUR ELECTION TO BE TAXED AS A REIT AND THE EFFECT OF POTENTIAL CHANGES IN APPLICABLE TAX LAWS.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121"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124"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We elected to be taxed as a REIT under the federal income tax laws when we filed our 1962 federal income tax return. We have been organized and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81"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In the opinion of our tax counsel, Pillsbury Winthrop Shaw Pittman LLP, (i) we qualified as a REIT under Sections 856 through 860 of the Code with respect to each of our taxable years ended through December 31, 2014;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diversity of share ownership, business, properties and operations. We may not, however, have met or continue to meet such requirements. You 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87" w:lineRule="exact"/>
        <w:rPr>
          <w:sz w:val="20"/>
          <w:szCs w:val="20"/>
          <w:color w:val="auto"/>
        </w:rPr>
      </w:pPr>
    </w:p>
    <w:p>
      <w:pPr>
        <w:ind w:left="900" w:right="34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may be subject to the “alternative minimum tax” on any items of tax preference that we do not distribute or allocate to our shareholders;</w:t>
      </w:r>
    </w:p>
    <w:p>
      <w:pPr>
        <w:spacing w:after="0" w:line="142" w:lineRule="exact"/>
        <w:rPr>
          <w:rFonts w:ascii="Arial" w:cs="Arial" w:eastAsia="Arial" w:hAnsi="Arial"/>
          <w:sz w:val="17"/>
          <w:szCs w:val="17"/>
          <w:color w:val="auto"/>
        </w:rPr>
      </w:pPr>
    </w:p>
    <w:p>
      <w:pPr>
        <w:jc w:val="both"/>
        <w:ind w:left="900" w:right="60" w:hanging="446"/>
        <w:spacing w:after="0" w:line="264"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86"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subsidiaries that are C corporations, including our “taxable REIT subsidiaries,” generally will be required to pay federal corporate income tax on their earnings;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will pay a 100% excise tax on transactions with a taxable REIT subsidiary that are not conducted on an arm’s-length basis;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“—Requirements for REIT Qualification</w:t>
      </w:r>
    </w:p>
    <w:p>
      <w:pPr>
        <w:spacing w:after="0" w:line="46" w:lineRule="exact"/>
        <w:rPr>
          <w:rFonts w:ascii="Arial" w:cs="Arial" w:eastAsia="Arial" w:hAnsi="Arial"/>
          <w:sz w:val="16"/>
          <w:szCs w:val="16"/>
          <w:color w:val="auto"/>
        </w:rPr>
      </w:pPr>
    </w:p>
    <w:p>
      <w:pPr>
        <w:ind w:left="90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95" w:lineRule="exact"/>
        <w:rPr>
          <w:rFonts w:ascii="Arial" w:cs="Arial" w:eastAsia="Arial" w:hAnsi="Arial"/>
          <w:sz w:val="16"/>
          <w:szCs w:val="16"/>
          <w:color w:val="auto"/>
        </w:rPr>
      </w:pPr>
    </w:p>
    <w:p>
      <w:pPr>
        <w:ind w:left="900" w:right="4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if we fail, in more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92" w:lineRule="exact"/>
        <w:rPr>
          <w:rFonts w:ascii="Arial" w:cs="Arial" w:eastAsia="Arial" w:hAnsi="Arial"/>
          <w:sz w:val="18"/>
          <w:szCs w:val="18"/>
          <w:color w:val="auto"/>
        </w:rPr>
      </w:pPr>
    </w:p>
    <w:p>
      <w:pPr>
        <w:ind w:left="900" w:right="160" w:hanging="446"/>
        <w:spacing w:after="0" w:line="286" w:lineRule="auto"/>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70" w:lineRule="exact"/>
        <w:rPr>
          <w:rFonts w:ascii="Arial" w:cs="Arial" w:eastAsia="Arial" w:hAnsi="Arial"/>
          <w:sz w:val="17"/>
          <w:szCs w:val="17"/>
          <w:color w:val="auto"/>
        </w:rPr>
      </w:pPr>
    </w:p>
    <w:p>
      <w:pPr>
        <w:ind w:left="900" w:right="2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92"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130" w:lineRule="exact"/>
        <w:rPr>
          <w:rFonts w:ascii="Arial" w:cs="Arial" w:eastAsia="Arial" w:hAnsi="Arial"/>
          <w:sz w:val="18"/>
          <w:szCs w:val="18"/>
          <w:color w:val="auto"/>
        </w:rPr>
      </w:pPr>
    </w:p>
    <w:p>
      <w:pPr>
        <w:ind w:left="900" w:right="20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10-year period after we acquire such</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40"/>
        <w:spacing w:after="0" w:line="342" w:lineRule="auto"/>
        <w:rPr>
          <w:sz w:val="20"/>
          <w:szCs w:val="20"/>
          <w:color w:val="auto"/>
        </w:rPr>
      </w:pPr>
      <w:r>
        <w:rPr>
          <w:rFonts w:ascii="Arial" w:cs="Arial" w:eastAsia="Arial" w:hAnsi="Arial"/>
          <w:sz w:val="16"/>
          <w:szCs w:val="16"/>
          <w:color w:val="auto"/>
        </w:rPr>
        <w:t>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131"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75" w:lineRule="exact"/>
        <w:rPr>
          <w:rFonts w:ascii="Arial" w:cs="Arial" w:eastAsia="Arial" w:hAnsi="Arial"/>
          <w:sz w:val="18"/>
          <w:szCs w:val="18"/>
          <w:color w:val="auto"/>
        </w:rPr>
      </w:pPr>
    </w:p>
    <w:p>
      <w:pPr>
        <w:ind w:left="900" w:right="860" w:hanging="446"/>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 and the amount of our distributions to shareholders.</w:t>
      </w:r>
    </w:p>
    <w:p>
      <w:pPr>
        <w:spacing w:after="0" w:line="17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67" w:lineRule="exact"/>
        <w:rPr>
          <w:sz w:val="20"/>
          <w:szCs w:val="20"/>
          <w:color w:val="auto"/>
        </w:rPr>
      </w:pPr>
    </w:p>
    <w:p>
      <w:pPr>
        <w:ind w:right="380" w:firstLine="456"/>
        <w:spacing w:after="0" w:line="302" w:lineRule="auto"/>
        <w:rPr>
          <w:sz w:val="20"/>
          <w:szCs w:val="20"/>
          <w:color w:val="auto"/>
        </w:rPr>
      </w:pPr>
      <w:r>
        <w:rPr>
          <w:rFonts w:ascii="Arial" w:cs="Arial" w:eastAsia="Arial" w:hAnsi="Arial"/>
          <w:sz w:val="16"/>
          <w:szCs w:val="16"/>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our Annual Report on Form 10-K for the fiscal year ended December 31, 2014 under the caption “Risk Factors — To maintain our status as a REIT, we limit the amount of shares any one shareholder can own.”</w:t>
      </w:r>
    </w:p>
    <w:p>
      <w:pPr>
        <w:spacing w:after="0" w:line="15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20"/>
          </w:cols>
          <w:pgMar w:left="240" w:top="45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all of our direct corporate subsidiaries are qualified REIT subsidiaries, except for those that would qualify as taxable REIT subsidiaries or subsidiary REITs. Accordingly, our qualified REIT subsidiaries are not subject to federal corporate income taxation, though they may be subject to state and local taxation.</w:t>
      </w:r>
    </w:p>
    <w:p>
      <w:pPr>
        <w:spacing w:after="0" w:line="188"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An unincorporated domestic entity, such as a partnership or limited liability company, that has a single beneficial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owner. An unincorporated domestic entity, such as a partnership or a limited liability company, with two or more beneficial owners is generally treated as a partnership for federal income tax purposes. A REIT is treated as owning its proportionate share of the assets of any partnership (which includes any limited liability company treated as a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 subject to special rules relating to the 10% asset test described below.</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Tests</w:t>
      </w:r>
      <w:r>
        <w:rPr>
          <w:rFonts w:ascii="Arial" w:cs="Arial" w:eastAsia="Arial" w:hAnsi="Arial"/>
          <w:sz w:val="18"/>
          <w:szCs w:val="18"/>
          <w:color w:val="auto"/>
        </w:rPr>
        <w:t>. We must satisfy two gross income tests annually to maintain our qualification as a REIT:</w:t>
      </w:r>
    </w:p>
    <w:p>
      <w:pPr>
        <w:spacing w:after="0" w:line="131" w:lineRule="exact"/>
        <w:rPr>
          <w:sz w:val="20"/>
          <w:szCs w:val="20"/>
          <w:color w:val="auto"/>
        </w:rPr>
      </w:pPr>
    </w:p>
    <w:p>
      <w:pPr>
        <w:ind w:left="900" w:right="100" w:hanging="446"/>
        <w:spacing w:after="0" w:line="293"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and dividends or other distributions on and gain from the sale of shares in other REITs; and</w:t>
      </w:r>
    </w:p>
    <w:p>
      <w:pPr>
        <w:spacing w:after="0" w:line="70" w:lineRule="exact"/>
        <w:rPr>
          <w:rFonts w:ascii="Arial" w:cs="Arial" w:eastAsia="Arial" w:hAnsi="Arial"/>
          <w:sz w:val="16"/>
          <w:szCs w:val="16"/>
          <w:color w:val="auto"/>
        </w:rPr>
      </w:pPr>
    </w:p>
    <w:p>
      <w:pPr>
        <w:ind w:left="900" w:right="120" w:hanging="446"/>
        <w:spacing w:after="0" w:line="279"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Our primary source of income derives from leasing properties. There are various limitations on whether rent that we receive from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that we own and lease to tenants will qualify as “rents from real property” (which is qualifying income for purposes of the 75% and 95% gross income tests) under the REIT tax rules:</w:t>
      </w:r>
    </w:p>
    <w:p>
      <w:pPr>
        <w:spacing w:after="0" w:line="87" w:lineRule="exact"/>
        <w:rPr>
          <w:sz w:val="20"/>
          <w:szCs w:val="20"/>
          <w:color w:val="auto"/>
        </w:rPr>
      </w:pPr>
    </w:p>
    <w:p>
      <w:pPr>
        <w:ind w:left="900" w:hanging="446"/>
        <w:spacing w:after="0" w:line="297"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the rent is based, in whole or in part, on the income or profits of any person although, generally, rent may be based on a fixed percentage or percentages of receipts or sales, the rent will not qualify as “rents from real property.” Our leases provide for either fixed rent, sometimes with scheduled escalations, or a fixed minimum rent and a percentage of gross receipts in excess of some threshold. We have not entered into any lease based in whole or part on the net income of any person and on an ongoing basis will use our best efforts to avoid entering into such arrangements unless, in either instance, we have determined or we determine in our discretion that such arrangements will not jeopardize our status as a REIT;</w:t>
      </w:r>
    </w:p>
    <w:p>
      <w:pPr>
        <w:spacing w:after="0" w:line="63" w:lineRule="exact"/>
        <w:rPr>
          <w:rFonts w:ascii="Arial" w:cs="Arial" w:eastAsia="Arial" w:hAnsi="Arial"/>
          <w:sz w:val="16"/>
          <w:szCs w:val="16"/>
          <w:color w:val="auto"/>
        </w:rPr>
      </w:pPr>
    </w:p>
    <w:p>
      <w:pPr>
        <w:ind w:left="900" w:right="20" w:hanging="446"/>
        <w:spacing w:after="0" w:line="270" w:lineRule="auto"/>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we have not leased property to any related party tenant, except where we may rent to certain taxable REIT subsidiaries as described below, or where we have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00"/>
        <w:spacing w:after="0" w:line="259" w:lineRule="auto"/>
        <w:rPr>
          <w:sz w:val="20"/>
          <w:szCs w:val="20"/>
          <w:color w:val="auto"/>
        </w:rPr>
      </w:pPr>
      <w:r>
        <w:rPr>
          <w:rFonts w:ascii="Arial" w:cs="Arial" w:eastAsia="Arial" w:hAnsi="Arial"/>
          <w:sz w:val="18"/>
          <w:szCs w:val="18"/>
          <w:color w:val="auto"/>
        </w:rPr>
        <w:t>determined in our discretion that the rent received from such related party tenant is not material and will not jeopardize our status as a REIT. On an ongoing basis, we will use our best efforts not to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92" w:lineRule="exact"/>
        <w:rPr>
          <w:sz w:val="20"/>
          <w:szCs w:val="20"/>
          <w:color w:val="auto"/>
        </w:rPr>
      </w:pPr>
    </w:p>
    <w:p>
      <w:pPr>
        <w:ind w:left="900" w:right="60" w:hanging="446"/>
        <w:spacing w:after="0" w:line="273"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On an ongoing basis we use and will use our best efforts to ensure that all space leased to our taxable REIT subsidiaries meets these conditions, unless we determine in our discretion that the related party rent received from a taxable REIT subsidiary will not jeopardize our status as a REIT;</w:t>
      </w:r>
    </w:p>
    <w:p>
      <w:pPr>
        <w:spacing w:after="0" w:line="83" w:lineRule="exact"/>
        <w:rPr>
          <w:rFonts w:ascii="Arial" w:cs="Arial" w:eastAsia="Arial" w:hAnsi="Arial"/>
          <w:sz w:val="17"/>
          <w:szCs w:val="17"/>
          <w:color w:val="auto"/>
        </w:rPr>
      </w:pPr>
    </w:p>
    <w:p>
      <w:pPr>
        <w:ind w:left="900" w:right="20" w:hanging="446"/>
        <w:spacing w:after="0" w:line="272"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In general, we have not leased a significant amount of personal property under our current leases. If any incidental personal property has been leased, we believe that rent under each lease from the personal property has been no more than 15% of total rent from that lease, and on an ongoing basis we will use our best efforts to avoid leasing personal property in connection with a future lease except where rent from the personal property is no more than 15% of total rent from that lease, unless, in either instance, we have determined or we determine in our discretion that the amount of disqualified rent attributable to the personal property will not jeopardize our status as a REIT; and</w:t>
      </w:r>
    </w:p>
    <w:p>
      <w:pPr>
        <w:spacing w:after="0" w:line="83" w:lineRule="exact"/>
        <w:rPr>
          <w:rFonts w:ascii="Arial" w:cs="Arial" w:eastAsia="Arial" w:hAnsi="Arial"/>
          <w:sz w:val="17"/>
          <w:szCs w:val="17"/>
          <w:color w:val="auto"/>
        </w:rPr>
      </w:pPr>
    </w:p>
    <w:p>
      <w:pPr>
        <w:ind w:left="900" w:right="100" w:hanging="446"/>
        <w:spacing w:after="0" w:line="270"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We may provide services directly, if the services are “usually or customarily rendered” in connection with the rental of space for occupancy only and are not otherwise considered to be provided for the tenant’s convenience. In addition, we may render directly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amount of “non-customary” services to the tenants of a property without disqualifying the income as “rents from real property,” as long as our income from the services does not exceed 1% of our income from the related property. We believe that we have not provided services to leased properties that have caused rents to be disqualified as rents from real property, and on an ongoing basis in the future, we will use our best efforts to determine in our discretion that any services provided will not cause rents to be disqualified as rents from real property, unless, in either instance, we have determined or we determine in our discretion that the amount of disqualified rent resulting from such services will not jeopardize our status as a REIT.</w:t>
      </w:r>
    </w:p>
    <w:p>
      <w:pPr>
        <w:spacing w:after="0" w:line="17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i w:val="1"/>
          <w:iCs w:val="1"/>
          <w:color w:val="auto"/>
        </w:rPr>
        <w:t xml:space="preserve">Interest. </w:t>
      </w:r>
      <w:r>
        <w:rPr>
          <w:rFonts w:ascii="Arial" w:cs="Arial" w:eastAsia="Arial" w:hAnsi="Arial"/>
          <w:sz w:val="17"/>
          <w:szCs w:val="17"/>
          <w:color w:val="auto"/>
        </w:rPr>
        <w:t>For purposes of the gross income tests, the term “interest” generally does not include any amount received or accrued, directly or indirectly, if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7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However, in the case of acquisition of an existing loan, if the loan is secured by real property and other property and the highest principal amount of the loan outstanding during a taxable year exceeds the fair market value of the real property securing the loan as of the date we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property—that is, the amount by which the loan principal exceeds the value of the real estate that is security for the loan as of the date we agreed to acquire the loan.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0" w:firstLine="456"/>
        <w:spacing w:after="0" w:line="286" w:lineRule="auto"/>
        <w:rPr>
          <w:sz w:val="20"/>
          <w:szCs w:val="20"/>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Our share of any dividends received from any corporation (including any taxable REIT subsidiary, but excluding any REIT) in which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own an equity interest will qualify for purposes of the 95% gross income test but not for purposes of the 75% gross income test. Our share of any dividends received from any other REIT in which we own an equity interest will be qualifying income for purposes of both gross income tests.</w:t>
      </w:r>
    </w:p>
    <w:p>
      <w:pPr>
        <w:spacing w:after="0" w:line="166"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b w:val="1"/>
          <w:bCs w:val="1"/>
          <w:i w:val="1"/>
          <w:iCs w:val="1"/>
          <w:color w:val="auto"/>
        </w:rPr>
        <w:t>Tax on Income From Property Acquired in Foreclosure</w:t>
      </w:r>
      <w:r>
        <w:rPr>
          <w:rFonts w:ascii="Arial" w:cs="Arial" w:eastAsia="Arial" w:hAnsi="Arial"/>
          <w:sz w:val="17"/>
          <w:szCs w:val="17"/>
          <w:color w:val="auto"/>
        </w:rPr>
        <w:t>. We will be subject to tax at the maximum corporate rate on any income from foreclosure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property (other than income that would be qualifying income for purposes of the 75% gross income test), less expenses directly connected to the production of such income. However, gross income from foreclosure property will qualify under the 75% and 95% gross income tests. “Foreclosure property” is any real property (including interests in real property) and any personal property incident to such real property:</w:t>
      </w:r>
    </w:p>
    <w:p>
      <w:pPr>
        <w:spacing w:after="0" w:line="77" w:lineRule="exact"/>
        <w:rPr>
          <w:sz w:val="20"/>
          <w:szCs w:val="20"/>
          <w:color w:val="auto"/>
        </w:rPr>
      </w:pPr>
    </w:p>
    <w:p>
      <w:pPr>
        <w:ind w:left="900" w:right="160" w:hanging="446"/>
        <w:spacing w:after="0" w:line="308" w:lineRule="auto"/>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225"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87" w:lineRule="exact"/>
        <w:rPr>
          <w:sz w:val="20"/>
          <w:szCs w:val="20"/>
          <w:color w:val="auto"/>
        </w:rPr>
      </w:pPr>
    </w:p>
    <w:p>
      <w:pPr>
        <w:ind w:left="900" w:right="20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75" w:lineRule="exact"/>
        <w:rPr>
          <w:rFonts w:ascii="Arial" w:cs="Arial" w:eastAsia="Arial" w:hAnsi="Arial"/>
          <w:sz w:val="18"/>
          <w:szCs w:val="18"/>
          <w:color w:val="auto"/>
        </w:rPr>
      </w:pPr>
    </w:p>
    <w:p>
      <w:pPr>
        <w:jc w:val="both"/>
        <w:ind w:left="900" w:right="220" w:hanging="446"/>
        <w:spacing w:after="0" w:line="264"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86" w:lineRule="exact"/>
        <w:rPr>
          <w:rFonts w:ascii="Arial" w:cs="Arial" w:eastAsia="Arial" w:hAnsi="Arial"/>
          <w:sz w:val="18"/>
          <w:szCs w:val="18"/>
          <w:color w:val="auto"/>
        </w:rPr>
      </w:pPr>
    </w:p>
    <w:p>
      <w:pPr>
        <w:ind w:left="900" w:right="60" w:hanging="446"/>
        <w:spacing w:after="0" w:line="308" w:lineRule="auto"/>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51" w:lineRule="exact"/>
        <w:rPr>
          <w:rFonts w:ascii="Arial" w:cs="Arial" w:eastAsia="Arial" w:hAnsi="Arial"/>
          <w:sz w:val="17"/>
          <w:szCs w:val="17"/>
          <w:color w:val="auto"/>
        </w:rPr>
      </w:pPr>
    </w:p>
    <w:p>
      <w:pPr>
        <w:ind w:left="900" w:right="140" w:hanging="446"/>
        <w:spacing w:after="0" w:line="264"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Tax on Prohibited Transactions</w:t>
      </w:r>
      <w:r>
        <w:rPr>
          <w:rFonts w:ascii="Arial" w:cs="Arial" w:eastAsia="Arial" w:hAnsi="Arial"/>
          <w:sz w:val="18"/>
          <w:szCs w:val="18"/>
          <w:color w:val="auto"/>
        </w:rPr>
        <w:t>. A REIT will incur a 100% tax on net income (taking into account foreign currency gains and losses) derived from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8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Code provides a safe harbor that, if met by us,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If the 7 sale limitation in (iii) above is not satisfied, substantially all of the marketing and development expenditures with respect to the property must be made through an independent contractor from whom we do not derive or receive any income. We believe we have complied with the terms of the safe harbor provision and we will attempt to comply with the terms of the safe harbor in the future, except where we determine in our discretion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that a particular transaction will avoid prohibited transaction treatment regardless of the safe harbor. We may fail to comply with the safe harbor provision and may sell or dispose of property that could be characterized as property held “primarily for sale to customers in the ordinary course of a trade or business.”</w:t>
      </w:r>
    </w:p>
    <w:p>
      <w:pPr>
        <w:spacing w:after="0" w:line="124"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b w:val="1"/>
          <w:bCs w:val="1"/>
          <w:i w:val="1"/>
          <w:iCs w:val="1"/>
          <w:color w:val="auto"/>
        </w:rPr>
        <w:t xml:space="preserve">Tax and Deduction Limits on Certain Transactions with Taxable REIT Subsidiaries. </w:t>
      </w:r>
      <w:r>
        <w:rPr>
          <w:rFonts w:ascii="Arial" w:cs="Arial" w:eastAsia="Arial" w:hAnsi="Arial"/>
          <w:sz w:val="16"/>
          <w:szCs w:val="16"/>
          <w:color w:val="auto"/>
        </w:rPr>
        <w:t>A REIT will incur a 100% tax on certain transactions between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15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Hedging Transactions. </w:t>
      </w:r>
      <w:r>
        <w:rPr>
          <w:rFonts w:ascii="Arial" w:cs="Arial" w:eastAsia="Arial" w:hAnsi="Arial"/>
          <w:sz w:val="18"/>
          <w:szCs w:val="18"/>
          <w:color w:val="auto"/>
        </w:rPr>
        <w:t>Except to the extent provided by Treasury regulations, any income we derive from a hedging transaction (which may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entering into interest rate swaps, caps, and floors, options to purchase these items, and futures and forward contracts) which is clearly identified as such as specified in the Code and Treasury regulations, including gain from the sale or disposition of such a transaction, will not constitute gross income for purposes of either the 75% or 95% gross income test, and therefore will be exempt from these tests, but only to the extent that the transaction hedges indebtedness incurred or to be incurred by us to acquire or carry real estate assets or is entered into primarily to manage the risk of foreign currency fluctuations with respect to qualifying income under the 75% or 95% gross income test. Income from any hedging transaction not described above will likely be treated as nonqualifying for both the 75% and 95% gross income tests.</w:t>
      </w:r>
    </w:p>
    <w:p>
      <w:pPr>
        <w:spacing w:after="0" w:line="18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Like-Kind Exchanges. </w:t>
      </w:r>
      <w:r>
        <w:rPr>
          <w:rFonts w:ascii="Arial" w:cs="Arial" w:eastAsia="Arial" w:hAnsi="Arial"/>
          <w:sz w:val="18"/>
          <w:szCs w:val="18"/>
          <w:color w:val="auto"/>
        </w:rPr>
        <w:t>We may dispose of properties in transactions intended to qualify as like-kind exchanges under the Code. Such like-kind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exchanges 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w:t>
      </w:r>
    </w:p>
    <w:p>
      <w:pPr>
        <w:spacing w:after="0" w:line="187"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 taxable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w:t>
      </w:r>
    </w:p>
    <w:p>
      <w:pPr>
        <w:spacing w:after="0" w:line="2"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Asset Tests</w:t>
      </w:r>
      <w:r>
        <w:rPr>
          <w:rFonts w:ascii="Arial" w:cs="Arial" w:eastAsia="Arial" w:hAnsi="Arial"/>
          <w:sz w:val="16"/>
          <w:szCs w:val="16"/>
          <w:color w:val="auto"/>
        </w:rPr>
        <w:t>. To maintain our qualification as a REIT, we also must satisfy the following asset tests at the close of each quarter of each taxable year:</w:t>
      </w:r>
    </w:p>
    <w:p>
      <w:pPr>
        <w:spacing w:after="0" w:line="154" w:lineRule="exact"/>
        <w:rPr>
          <w:sz w:val="20"/>
          <w:szCs w:val="20"/>
          <w:color w:val="auto"/>
        </w:rPr>
      </w:pPr>
    </w:p>
    <w:p>
      <w:pPr>
        <w:ind w:left="900" w:right="420" w:hanging="446"/>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and money market funds), U.S. government securities, “real estate assets,” or qualifying temporary investments (the “75% asset test”).</w:t>
      </w:r>
    </w:p>
    <w:p>
      <w:pPr>
        <w:spacing w:after="0" w:line="75" w:lineRule="exact"/>
        <w:rPr>
          <w:rFonts w:ascii="Arial" w:cs="Arial" w:eastAsia="Arial" w:hAnsi="Arial"/>
          <w:sz w:val="18"/>
          <w:szCs w:val="18"/>
          <w:color w:val="auto"/>
        </w:rPr>
      </w:pPr>
    </w:p>
    <w:p>
      <w:pPr>
        <w:ind w:left="1460" w:right="280" w:hanging="547"/>
        <w:spacing w:after="0" w:line="277" w:lineRule="auto"/>
        <w:tabs>
          <w:tab w:leader="none" w:pos="14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stock in other REITs. We believe that our properties qualify as real estate assets.</w:t>
      </w:r>
    </w:p>
    <w:p>
      <w:pPr>
        <w:spacing w:after="0" w:line="75" w:lineRule="exact"/>
        <w:rPr>
          <w:rFonts w:ascii="Arial" w:cs="Arial" w:eastAsia="Arial" w:hAnsi="Arial"/>
          <w:sz w:val="18"/>
          <w:szCs w:val="18"/>
          <w:color w:val="auto"/>
        </w:rPr>
      </w:pPr>
    </w:p>
    <w:p>
      <w:pPr>
        <w:jc w:val="both"/>
        <w:ind w:left="1460" w:right="100" w:hanging="547"/>
        <w:spacing w:after="0" w:line="264" w:lineRule="auto"/>
        <w:tabs>
          <w:tab w:leader="none" w:pos="14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86" w:lineRule="exact"/>
        <w:rPr>
          <w:rFonts w:ascii="Arial" w:cs="Arial" w:eastAsia="Arial" w:hAnsi="Arial"/>
          <w:sz w:val="18"/>
          <w:szCs w:val="18"/>
          <w:color w:val="auto"/>
        </w:rPr>
      </w:pPr>
    </w:p>
    <w:p>
      <w:pPr>
        <w:ind w:left="1460" w:right="200" w:hanging="547"/>
        <w:spacing w:after="0" w:line="277" w:lineRule="auto"/>
        <w:tabs>
          <w:tab w:leader="none" w:pos="14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75" w:lineRule="exact"/>
        <w:rPr>
          <w:rFonts w:ascii="Arial" w:cs="Arial" w:eastAsia="Arial" w:hAnsi="Arial"/>
          <w:sz w:val="18"/>
          <w:szCs w:val="18"/>
          <w:color w:val="auto"/>
        </w:rPr>
      </w:pPr>
    </w:p>
    <w:p>
      <w:pPr>
        <w:ind w:left="900" w:right="20" w:hanging="446"/>
        <w:spacing w:after="0" w:line="270" w:lineRule="auto"/>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For investments not included in the 75% asset test, (A) the value of our interest in any one issuer’s securities (which does not include our equity ownership of other REITs,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any taxable REIT subsidiary, or any qualified REIT subsidiary) (the “10% asset test”), (C) the value of our securities in one or more taxable REIT subsidiaries may not exceed 25% of the value of our total assets, and (D) no more than 25% of the value of our total assets may consist of the securities of taxable REIT subsidiaries and our assets that are not qualifying assets for purposes of the 75% asset test.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200"/>
        <w:spacing w:after="0" w:line="312" w:lineRule="auto"/>
        <w:rPr>
          <w:sz w:val="20"/>
          <w:szCs w:val="20"/>
          <w:color w:val="auto"/>
        </w:rPr>
      </w:pPr>
      <w:r>
        <w:rPr>
          <w:rFonts w:ascii="Arial" w:cs="Arial" w:eastAsia="Arial" w:hAnsi="Arial"/>
          <w:sz w:val="16"/>
          <w:szCs w:val="16"/>
          <w:color w:val="auto"/>
        </w:rPr>
        <w:t>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225"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As described above, we may from time to time hold mortgage debt. Mortgage loans will generally qualify as real estate assets for purposes of the 75% asset test to the extent that they are secured by real property. However, if a loan is secured by real property and other property and the highest principal amount of a loan outstanding during a taxable year exceeds the fair market value of the real property securing the loan as of the date we agreed to acquire the loan, then a portion of such loan likely will not be a qualifying real estate asset. Under current law, it is not clear how to determine what portion of such a loan will be treated as a real estate asset. Under recently issued guidance, the IRS has stated that it will not challenge a REIT’s treatment of a loan as being, in part, a real estate asset for purposes of the 75% asset test if the REIT treats the loan as being a qualifying real estate asset in an amount equal to the lesser of (i) the greater of (a) the current fair market value of the real property securing the loan or (b) the fair market value of such property on the date the REIT acquires the loan, or (ii) the fair market value of the loan.</w:t>
      </w:r>
    </w:p>
    <w:p>
      <w:pPr>
        <w:spacing w:after="0" w:line="179" w:lineRule="exact"/>
        <w:rPr>
          <w:sz w:val="20"/>
          <w:szCs w:val="20"/>
          <w:color w:val="auto"/>
        </w:rPr>
      </w:pPr>
    </w:p>
    <w:p>
      <w:pPr>
        <w:jc w:val="both"/>
        <w:ind w:right="80" w:firstLine="456"/>
        <w:spacing w:after="0" w:line="288" w:lineRule="auto"/>
        <w:rPr>
          <w:sz w:val="20"/>
          <w:szCs w:val="20"/>
          <w:color w:val="auto"/>
        </w:rPr>
      </w:pPr>
      <w:r>
        <w:rPr>
          <w:rFonts w:ascii="Arial" w:cs="Arial" w:eastAsia="Arial" w:hAnsi="Arial"/>
          <w:sz w:val="16"/>
          <w:szCs w:val="16"/>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w:t>
      </w:r>
    </w:p>
    <w:p>
      <w:pPr>
        <w:ind w:right="300" w:firstLine="8"/>
        <w:spacing w:after="0" w:line="261" w:lineRule="auto"/>
        <w:tabs>
          <w:tab w:leader="none" w:pos="2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of the preceding sentence, we still could avoid disqualification as a REIT by eliminating any discrepancy within 30 days after the close of the calendar quarter in which the discrepancy arose.</w:t>
      </w:r>
    </w:p>
    <w:p>
      <w:pPr>
        <w:spacing w:after="0" w:line="18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Asset Tests. </w:t>
      </w:r>
      <w:r>
        <w:rPr>
          <w:rFonts w:ascii="Arial" w:cs="Arial" w:eastAsia="Arial" w:hAnsi="Arial"/>
          <w:sz w:val="16"/>
          <w:szCs w:val="16"/>
          <w:color w:val="auto"/>
        </w:rPr>
        <w:t>If we fail to satisfy one or more of the asset tests for any quarter of a taxable year,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 (ii) 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6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8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7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preferred shares or additional common shares to raise the cash necessary to make required distributions or, if possible, pay taxable dividends of our shares or debt securities.</w:t>
      </w:r>
    </w:p>
    <w:p>
      <w:pPr>
        <w:spacing w:after="0" w:line="16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may satisfy the 90% distribution requirement with taxable distributions of our shares or debt securities. The IRS has issued private letter rulings to other REITs treating certain distributions that are paid partly in cash and partly in shares as dividends that would satisfy the REIT annual distribution requirement and qualify for the dividends paid deduction for federal income tax purposes. Those rulings may be relied upon only by taxpayers to whom they were issued, but we could request a similar ruling from the IRS. In addition, the IRS previously issued a revenue procedure authorizing publicly traded REITs to make elective cash/share dividends, but that revenue procedure’s effectiveness has expired and does not apply to our current and future taxable years. Accordingly, it is unclear whether and to what extent we will be able to make taxable dividends payable in cash and shares. We have no current intention to make a taxable dividend payable in our shares or debt securities.</w:t>
      </w:r>
    </w:p>
    <w:p>
      <w:pPr>
        <w:spacing w:after="0" w:line="178"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b w:val="1"/>
          <w:bCs w:val="1"/>
          <w:i w:val="1"/>
          <w:iCs w:val="1"/>
          <w:color w:val="auto"/>
        </w:rPr>
        <w:t>Record Keeping Requirements</w:t>
      </w:r>
      <w:r>
        <w:rPr>
          <w:rFonts w:ascii="Arial" w:cs="Arial" w:eastAsia="Arial" w:hAnsi="Arial"/>
          <w:sz w:val="18"/>
          <w:szCs w:val="18"/>
          <w:color w:val="auto"/>
        </w:rPr>
        <w:t>. We must maintain certain records in order to qualify as a REIT. In addition, to avoid a monetary penalty, we must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 on an annual basis certain information from our shareholders designed to disclose the actual ownership of our outstanding shares. We have complied, and intend to continue to comply, with such requirements.</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8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b w:val="1"/>
          <w:bCs w:val="1"/>
          <w:i w:val="1"/>
          <w:iCs w:val="1"/>
          <w:color w:val="auto"/>
        </w:rPr>
        <w:t xml:space="preserve">Failure to Qualify. </w:t>
      </w:r>
      <w:r>
        <w:rPr>
          <w:rFonts w:ascii="Arial" w:cs="Arial" w:eastAsia="Arial" w:hAnsi="Arial"/>
          <w:sz w:val="17"/>
          <w:szCs w:val="17"/>
          <w:color w:val="auto"/>
        </w:rPr>
        <w:t>If we fail to qualify as a REIT in any taxable year, and no relief provision applied, we would be subject to federal income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any applicable alternative minimum tax) 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See “— Taxation of Taxable U.S. Shareholders —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used herein, the term “taxable U.S. shareholder” means a taxable beneficial owner of our common shares that for U.S. federal income tax purposes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is:</w:t>
      </w:r>
    </w:p>
    <w:p>
      <w:pPr>
        <w:spacing w:after="0" w:line="116"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20" w:hanging="446"/>
        <w:spacing w:after="0" w:line="308"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147" w:lineRule="exact"/>
        <w:rPr>
          <w:sz w:val="20"/>
          <w:szCs w:val="20"/>
          <w:color w:val="auto"/>
        </w:rPr>
      </w:pPr>
    </w:p>
    <w:p>
      <w:pPr>
        <w:ind w:right="380" w:firstLine="456"/>
        <w:spacing w:after="0" w:line="257" w:lineRule="auto"/>
        <w:rPr>
          <w:sz w:val="20"/>
          <w:szCs w:val="20"/>
          <w:color w:val="auto"/>
        </w:rPr>
      </w:pPr>
      <w:r>
        <w:rPr>
          <w:rFonts w:ascii="Arial" w:cs="Arial" w:eastAsia="Arial" w:hAnsi="Arial"/>
          <w:sz w:val="18"/>
          <w:szCs w:val="18"/>
          <w:b w:val="1"/>
          <w:bCs w:val="1"/>
          <w:i w:val="1"/>
          <w:iCs w:val="1"/>
          <w:color w:val="auto"/>
        </w:rPr>
        <w:t xml:space="preserve">Dividends and Other Taxable U.S. Shareholder Distributions. </w:t>
      </w:r>
      <w:r>
        <w:rPr>
          <w:rFonts w:ascii="Arial" w:cs="Arial" w:eastAsia="Arial" w:hAnsi="Arial"/>
          <w:sz w:val="18"/>
          <w:szCs w:val="18"/>
          <w:color w:val="auto"/>
        </w:rPr>
        <w:t>As long as we qualify as a REIT, a taxable U.S. shareholder must take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on our common shares out of our current and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maximum 20% tax rate for “qualified dividend income.”</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determining the extent to which a distribution constitutes a dividend for U.S.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78"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common shares. See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8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8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shares. Instead, such distribution in excess of earnings and profits will reduce the adjusted basis of such common shares. To the extent a distribution exceeds both our current and accumulated earnings and profits and the taxable U.S. shareholder’s adjusted basis in its common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6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b w:val="1"/>
          <w:bCs w:val="1"/>
          <w:i w:val="1"/>
          <w:iCs w:val="1"/>
          <w:color w:val="auto"/>
        </w:rPr>
        <w:t xml:space="preserve">Taxation of Taxable U.S. Shareholders on the Disposition of Our Shares. </w:t>
      </w:r>
      <w:r>
        <w:rPr>
          <w:rFonts w:ascii="Arial" w:cs="Arial" w:eastAsia="Arial" w:hAnsi="Arial"/>
          <w:sz w:val="17"/>
          <w:szCs w:val="17"/>
          <w:color w:val="auto"/>
        </w:rPr>
        <w:t>In general, a taxable U.S. shareholder must treat any gain or loss realized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upon a taxable disposition of our common shares as long-term capital gain or loss if the taxable U.S. shareholder has held the shares for more than one year and otherwise as short-term capital gain or loss. In general, a taxable U.S. shareholder will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 increased by the excess of net capital gains deemed distributed to the taxable U.S. shareholder (discussed above) less tax deemed paid on such gains and reduced by any returns of capital. However, a taxable U.S. shareholder must treat any loss upon a sale or exchange of common shares held by such shareholder for six months or less (after applying certain holding period rules) as a long-term capital loss to the extent of capital gain dividends and other distributions from us that such taxable U.S. shareholder treats as long-term capital gain.</w:t>
      </w:r>
    </w:p>
    <w:p>
      <w:pPr>
        <w:spacing w:after="0" w:line="182"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b w:val="1"/>
          <w:bCs w:val="1"/>
          <w:i w:val="1"/>
          <w:iCs w:val="1"/>
          <w:color w:val="auto"/>
        </w:rPr>
        <w:t xml:space="preserve">Capital Gains and Losses. </w:t>
      </w:r>
      <w:r>
        <w:rPr>
          <w:rFonts w:ascii="Arial" w:cs="Arial" w:eastAsia="Arial" w:hAnsi="Arial"/>
          <w:sz w:val="18"/>
          <w:szCs w:val="18"/>
          <w:color w:val="auto"/>
        </w:rPr>
        <w:t>A taxpayer generally must hold a capital asset for more than one year for gain or loss derived from its sale or exchange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treated as long-term capital gain or loss. The highest marginal individual income tax rate on ordinary income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 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88" w:lineRule="exact"/>
        <w:rPr>
          <w:sz w:val="20"/>
          <w:szCs w:val="20"/>
          <w:color w:val="auto"/>
        </w:rPr>
      </w:pPr>
    </w:p>
    <w:p>
      <w:pPr>
        <w:jc w:val="both"/>
        <w:ind w:right="20" w:firstLine="456"/>
        <w:spacing w:after="0" w:line="279" w:lineRule="auto"/>
        <w:rPr>
          <w:sz w:val="20"/>
          <w:szCs w:val="20"/>
          <w:color w:val="auto"/>
        </w:rPr>
      </w:pPr>
      <w:r>
        <w:rPr>
          <w:rFonts w:ascii="Arial" w:cs="Arial" w:eastAsia="Arial" w:hAnsi="Arial"/>
          <w:sz w:val="17"/>
          <w:szCs w:val="17"/>
          <w:b w:val="1"/>
          <w:bCs w:val="1"/>
          <w:i w:val="1"/>
          <w:iCs w:val="1"/>
          <w:color w:val="auto"/>
        </w:rPr>
        <w:t xml:space="preserve">Passive Activity and Investment Income Limitations. </w:t>
      </w:r>
      <w:r>
        <w:rPr>
          <w:rFonts w:ascii="Arial" w:cs="Arial" w:eastAsia="Arial" w:hAnsi="Arial"/>
          <w:sz w:val="17"/>
          <w:szCs w:val="17"/>
          <w:color w:val="auto"/>
        </w:rPr>
        <w:t>Distributions from us and gain from the disposition of our common shares will not be treated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shares generally will be treated as investment income for purposes of the investment income limitation.</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Medicare Tax on Unearned Income. </w:t>
      </w:r>
      <w:r>
        <w:rPr>
          <w:rFonts w:ascii="Arial" w:cs="Arial" w:eastAsia="Arial" w:hAnsi="Arial"/>
          <w:sz w:val="18"/>
          <w:szCs w:val="18"/>
          <w:color w:val="auto"/>
        </w:rPr>
        <w:t>Certain taxable U.S. shareholders who are individuals, estates or trusts are subject to a 3.8% Medicare tax on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 portion of their “net investment income,” which may include all or a portion of their dividends on our common shares and net gains from the taxable disposition of their shares. Taxable U.S. shareholders that are individuals, estates or trusts should consult their tax advisors regarding the applicability of the Medicare tax to any of their income or gains in respect of our common shares.</w:t>
      </w:r>
    </w:p>
    <w:p>
      <w:pPr>
        <w:spacing w:after="0" w:line="18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Current Tax Rates. </w:t>
      </w:r>
      <w:r>
        <w:rPr>
          <w:rFonts w:ascii="Arial" w:cs="Arial" w:eastAsia="Arial" w:hAnsi="Arial"/>
          <w:sz w:val="18"/>
          <w:szCs w:val="18"/>
          <w:color w:val="auto"/>
        </w:rPr>
        <w:t>The maximum tax rate on the long-term capital gains of domestic non-corporate taxpayers is 20%. The maximum tax rate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“qualified dividend income” is the same as the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with respect to non-corporate taxpayers, the lower qualified dividend income/capital gains tax rate (at a maximum of 20%) does generally apply to:</w:t>
      </w:r>
    </w:p>
    <w:p>
      <w:pPr>
        <w:spacing w:after="0" w:line="99"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70"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b w:val="1"/>
          <w:bCs w:val="1"/>
          <w:i w:val="1"/>
          <w:iCs w:val="1"/>
          <w:color w:val="auto"/>
        </w:rPr>
        <w:t xml:space="preserve">Information Reporting and Backup Withholding. </w:t>
      </w:r>
      <w:r>
        <w:rPr>
          <w:rFonts w:ascii="Arial" w:cs="Arial" w:eastAsia="Arial" w:hAnsi="Arial"/>
          <w:sz w:val="17"/>
          <w:szCs w:val="17"/>
          <w:color w:val="auto"/>
        </w:rPr>
        <w:t>Taxable U.S. shareholders that are “exempt recipients” (such as corporations) generally will not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subject to U.S. backup withholding and related information reporting on payments of dividends on, and the proceeds from the disposition of, our common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28%)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 provided that the shareholder provides the required information to the IRS in a timely manner.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121"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77"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75" w:lineRule="exact"/>
        <w:rPr>
          <w:rFonts w:ascii="Arial" w:cs="Arial" w:eastAsia="Arial" w:hAnsi="Arial"/>
          <w:sz w:val="18"/>
          <w:szCs w:val="18"/>
          <w:color w:val="auto"/>
        </w:rPr>
      </w:pPr>
    </w:p>
    <w:p>
      <w:pPr>
        <w:ind w:left="900" w:right="280" w:hanging="446"/>
        <w:spacing w:after="0" w:line="308" w:lineRule="auto"/>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14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rules governing U.S. federal income taxation of non-U.S. shareholders (defined below) are complex. This section is only a summary of such rules. We urge non-U.S. shareholders to consult their tax advisors to determine the impact of the U.S. federal, state, and local income tax laws on ownership of our common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18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b w:val="1"/>
          <w:bCs w:val="1"/>
          <w:i w:val="1"/>
          <w:iCs w:val="1"/>
          <w:color w:val="auto"/>
        </w:rPr>
        <w:t>Ordinary Dividends</w:t>
      </w:r>
      <w:r>
        <w:rPr>
          <w:rFonts w:ascii="Arial" w:cs="Arial" w:eastAsia="Arial" w:hAnsi="Arial"/>
          <w:sz w:val="17"/>
          <w:szCs w:val="17"/>
          <w:color w:val="auto"/>
        </w:rPr>
        <w:t>. A non-U.S. shareholder that receives a distribution that is not attributable to gain from our sale or exchange of “U.S. real property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interests” (as defined below) and that we do not designate as a capital gain dividend or retained capital gain will recognize ordinary income to the extent that we pay such distribution out of our current and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 shareholder’s conduct of a U.S. trade or business (and, if required by an applicable income tax treaty, attributable to a U.S. permanent establishment maintained by the non-U.S. shareholder),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tax is reduced or eliminated by an applicable income tax treaty). We plan to withhold U.S. income tax at the rate of 30% on the gross amount of any</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such distribution paid to a non-U.S. shareholder unless (i) a lower treaty rate applies and the non-U.S. shareholder timely provides an IRS Form W-8BEN or W-8BEN-E to us evidencing eligibility for that reduced rate, or (ii) the non-U.S. shareholder timely provides an IRS Form W-8ECI to us claiming that the distribution is effectively connected income.</w:t>
      </w:r>
    </w:p>
    <w:p>
      <w:pPr>
        <w:spacing w:after="0" w:line="18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b w:val="1"/>
          <w:bCs w:val="1"/>
          <w:i w:val="1"/>
          <w:iCs w:val="1"/>
          <w:color w:val="auto"/>
        </w:rPr>
        <w:t>Return of Capital</w:t>
      </w:r>
      <w:r>
        <w:rPr>
          <w:rFonts w:ascii="Arial" w:cs="Arial" w:eastAsia="Arial" w:hAnsi="Arial"/>
          <w:sz w:val="17"/>
          <w:szCs w:val="17"/>
          <w:color w:val="auto"/>
        </w:rPr>
        <w:t>. A non-U.S. shareholder will not incur tax on a distribution to the extent it exceeds our current and accumulated earnings and profits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such distribution does not exceed the adjusted basis of its common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79"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If we are treated as a “United States real property holding corporation,” we will be required to withhold 10% of any distribution that exceeds our current and accumulated earnings and profits. Consequently, although we intend to withhold at a rate of 30% on the entire amount of any distribution, to the extent we do not do so, we may withhold at a rate of 10% on any portion of a distribution not subject to withholding at a rate of 30%.</w:t>
      </w:r>
    </w:p>
    <w:p>
      <w:pPr>
        <w:spacing w:after="0" w:line="166"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b w:val="1"/>
          <w:bCs w:val="1"/>
          <w:i w:val="1"/>
          <w:iCs w:val="1"/>
          <w:color w:val="auto"/>
        </w:rPr>
        <w:t>Capital Gain Dividends</w:t>
      </w:r>
      <w:r>
        <w:rPr>
          <w:rFonts w:ascii="Arial" w:cs="Arial" w:eastAsia="Arial" w:hAnsi="Arial"/>
          <w:sz w:val="17"/>
          <w:szCs w:val="17"/>
          <w:color w:val="auto"/>
        </w:rPr>
        <w:t>. Provided that a particular class of our shares is “regularly traded” on an established securities market in the United States,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non-U.S. shareholder does not own more than 5%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7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If the foregoing exception does not apply, for example, because the non-U.S. shareholder owns more than 5% of the relevant class of our shares, or because our shares are not regularly traded on an established securities market, the non-U.S. shareholder will incur tax on distributions that are attributable to gain from our sale or exchange of U.S. real property interests under the provisions of the Foreign Investment in 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may also be subject to the 30% branch profits tax unless the tax is reduced or eliminated by an applicable income tax treaty.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17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i w:val="1"/>
          <w:iCs w:val="1"/>
          <w:color w:val="auto"/>
        </w:rPr>
        <w:t xml:space="preserve">Retention of Net Capital Gains. </w:t>
      </w:r>
      <w:r>
        <w:rPr>
          <w:rFonts w:ascii="Arial" w:cs="Arial" w:eastAsia="Arial" w:hAnsi="Arial"/>
          <w:sz w:val="17"/>
          <w:szCs w:val="17"/>
          <w:color w:val="auto"/>
        </w:rPr>
        <w:t>Although the law is not clear on the matter, it appears that amounts we designate as retained capital gains in respect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of the non-U.S. shareholder’s proportionate share of such tax paid by us exceeds its actual U.S. federal income tax liability, provided 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78"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b w:val="1"/>
          <w:bCs w:val="1"/>
          <w:i w:val="1"/>
          <w:iCs w:val="1"/>
          <w:color w:val="auto"/>
        </w:rPr>
        <w:t>Sale of Shares</w:t>
      </w:r>
      <w:r>
        <w:rPr>
          <w:rFonts w:ascii="Arial" w:cs="Arial" w:eastAsia="Arial" w:hAnsi="Arial"/>
          <w:sz w:val="18"/>
          <w:szCs w:val="18"/>
          <w:color w:val="auto"/>
        </w:rPr>
        <w:t>. A non-U.S. shareholder generally will not incur tax under FIRPTA on gain from the sale of its common shares as long as we are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“domestically controlled REIT.” A “domestically controlled” REIT is a REIT in which at all times during a</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specified testing period non-U.S. persons held, directly or indirectly, less than 50% in value of our shares. We anticipate that we will continue to be a domestically controlled REIT, but there is no assurance that we will continue to be so. However, even if we are not, or cease to be, a domestically controlled REIT, a non-U.S. shareholder that owns, actually or constructively, 5% or less of a class of our of outstanding shares at all times during a specified testing period will not incur tax under FIRPTA on a sale of such shares if shares of such class are “regularly traded” on an established securities market. If neither of these exceptions were to apply, the gain on the sale of the common shares would be taxed under FIRPTA, in which case a non-U.S. shareholder would be required to file a U.S. federal income tax return and would be taxed in generally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10% of the purchase price.</w:t>
      </w:r>
    </w:p>
    <w:p>
      <w:pPr>
        <w:spacing w:after="0" w:line="18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(and, if required by an applicable income tax treaty, is attributable to a U.S. permanent establishment maintained by the non-U.S. shareholder),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6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Wash Sales. </w:t>
      </w:r>
      <w:r>
        <w:rPr>
          <w:rFonts w:ascii="Arial" w:cs="Arial" w:eastAsia="Arial" w:hAnsi="Arial"/>
          <w:sz w:val="18"/>
          <w:szCs w:val="18"/>
          <w:color w:val="auto"/>
        </w:rPr>
        <w:t>In general, special wash sale rules apply if a shareholder owning more than 5% of our common shares avoids a taxable distribution of gain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Information Reporting and Backup Withholding</w:t>
      </w:r>
      <w:r>
        <w:rPr>
          <w:rFonts w:ascii="Arial" w:cs="Arial" w:eastAsia="Arial" w:hAnsi="Arial"/>
          <w:sz w:val="18"/>
          <w:szCs w:val="18"/>
          <w:color w:val="auto"/>
        </w:rPr>
        <w:t>. We must report annually to the IRS and to each non-U.S. shareholder the amount of distributions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paid 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87"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Backup withholding (currently at the rate of 28%) and additional information reporting will generally not apply to distributions 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U.S. person that is not an exempt recipient. As a general matter, backup withholding and information reporting will not apply to a payment of the proceeds of a sale of common shares effected at a foreign office of a foreign broker. Information reporting (but not backup withholding) will apply, however, to a payment of the proceeds of a sale of common shares by a foreign office of a broker that:</w:t>
      </w:r>
    </w:p>
    <w:p>
      <w:pPr>
        <w:spacing w:after="0" w:line="84"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130"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7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unless the broker has documentary evidence in its records that the holder or beneficial owner is a non-U.S. shareholder and certain other conditions are met, or the shareholder otherwise establishes an exemption. Payment of the proceeds of a sale of common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timely supplied to the IRS.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87" w:lineRule="auto"/>
        <w:rPr>
          <w:sz w:val="20"/>
          <w:szCs w:val="20"/>
          <w:color w:val="auto"/>
        </w:rPr>
      </w:pPr>
      <w:r>
        <w:rPr>
          <w:rFonts w:ascii="Arial" w:cs="Arial" w:eastAsia="Arial" w:hAnsi="Arial"/>
          <w:sz w:val="16"/>
          <w:szCs w:val="16"/>
          <w:b w:val="1"/>
          <w:bCs w:val="1"/>
          <w:i w:val="1"/>
          <w:iCs w:val="1"/>
          <w:color w:val="auto"/>
        </w:rPr>
        <w:t xml:space="preserve">Reporting and Withholding on Foreign Financial Accounts. </w:t>
      </w:r>
      <w:r>
        <w:rPr>
          <w:rFonts w:ascii="Arial" w:cs="Arial" w:eastAsia="Arial" w:hAnsi="Arial"/>
          <w:sz w:val="16"/>
          <w:szCs w:val="16"/>
          <w:color w:val="auto"/>
        </w:rPr>
        <w:t>Certain foreign financial institutions and non-financial foreign entities are subject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30% U.S. federal withholding tax on dividends on our common shares unless (i) in the case of a foreign financial institution (which term generally includes investment funds), such institution enters into an agreement with the U.S. government (unless alternative procedures apply pursuant to an applicable intergovernmental agreement between the United States and the relevant foreign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and to withhold on certain payments, and (ii) in the case of a non-financial foreign entity, such entity provides the withholding agent with a certification identifying any direct and indirect U.S. owners of the entity. In addition, if such disclosure requirements are not satisfied, withholding at a 30% rate on gross proceeds from the sale or other disposition of our common shares by such foreign financial institutions and non-financial foreign entities will generally begin after December 31, 2016 (or such other date as may be specified in guidance issued by the U.S. Treasury Department). Under certain circumstances, a non-U.S. shareholder might be eligible for refunds or credits of such taxes. Prospective investors should consult their tax advisors regarding the possible implications of these withholding provisions on the acquisition, ownership and disposition of our common shares. We will not pay any additional amounts in respect of any amounts withheld.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b w:val="1"/>
          <w:bCs w:val="1"/>
          <w:i w:val="1"/>
          <w:iCs w:val="1"/>
          <w:color w:val="auto"/>
        </w:rPr>
        <w:t>State and Local Taxes</w:t>
      </w:r>
      <w:r>
        <w:rPr>
          <w:rFonts w:ascii="Arial" w:cs="Arial" w:eastAsia="Arial" w:hAnsi="Arial"/>
          <w:sz w:val="16"/>
          <w:szCs w:val="16"/>
          <w:color w:val="auto"/>
        </w:rPr>
        <w:t>. We and/or you may be subject to state and local tax in various states and localities, including those states and localities in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or you transact business, own property or reside. The state and local tax treatment in such jurisdictions may differ from the federal income tax treatment described above. Consequently, you should consult your tax advisors regarding the effect of state and local tax laws upon an investment in our securities.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receive any of the proceeds from the sale of the common shares covered by this prospectus.</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sale or distribution of all or any portion of the common shares covered by this prospectus may be effected from time to time by the selling shareholders, or any of their permissible transferees or pledgees (including, but not limited to, Morgan Stanley Private Bank, National Association). The sales may be made directly, indirectly through brokers or dealers, or in a distribution by one or more underwriters on a firm commitment or best efforts basis, in the over-the-counter market, on any national securities exchange or automated quotation system on which the common shares covered by this prospectus may be listed or traded, in privately negotiated transactions, to or through a market maker, or through any other legally available means. In addition, the sales may be made at market prices prevailing at the time of sale, at prices related to such prevailing market prices or at negotiated prices.</w:t>
      </w:r>
    </w:p>
    <w:p>
      <w:pPr>
        <w:spacing w:after="0" w:line="178"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The selling shareholders or their successors in interest may from time to time pledge or grant a security interest in some or all of the common shares, preferred shares or downREIT units, and, if the selling shareholders default in the performance of their secured obligations, the pledgees or secured parties may offer and sell the applicable common shares from time to time under this prospectus; however, in the event of a pledge or the default on the performance of a secured obligation by a selling shareholder, in order for the common shares to be sold under this registration statement, unless permitted by law, we must file an amendment to this registration statement under applicable provisions of the Securities Act amending the list of selling shareholders to include the pledgee, transferee, secured party or other successors in interest as a selling shareholder under this prospectus.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methods by which the common shares covered by this prospectus may be sold or distributed include any one or more of the following:</w:t>
      </w:r>
    </w:p>
    <w:p>
      <w:pPr>
        <w:spacing w:after="0" w:line="142" w:lineRule="exact"/>
        <w:rPr>
          <w:sz w:val="20"/>
          <w:szCs w:val="20"/>
          <w:color w:val="auto"/>
        </w:rPr>
      </w:pPr>
    </w:p>
    <w:p>
      <w:pPr>
        <w:ind w:left="900" w:right="52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broker or dealer so engaged will attempt to sell the common shares covered by this prospectus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purchases by a broker or dealer as principal and resale by such broker or dealer for its account pursuant to this prospectus;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 rata distributions as part of the liquidation and winding up of the affairs of the selling shareholders or successor in interest that is an entity;</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pledges to a lender as collateral to secure loans, credit or other financing arrangements and any subsequent foreclosure thereunder; or</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225"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In effecting sales, brokers or dealers engaged by the selling shareholders may arrange for other brokers or dealers to participate. Any public offering price and any discount, concession or commission allowed or reallowed or paid to dealers may be changed from time to time and, as to any particular underwriter, broker, dealer or agent, may be in excess of those customary in the types of transactions involved.</w:t>
      </w:r>
    </w:p>
    <w:p>
      <w:pPr>
        <w:spacing w:after="0" w:line="181"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The selling shareholders may from time to time sell all or a portion of the common shares covered by this prospectus short and deliver those securities to cover the short sale or sales, or may deliver the common shares covered by this prospectus upon the exercise, settlement or closing of a call equivalent position or a put equivalent position. The selling shareholders also may enter into hedging transactions with brokers, dealers or other financial institutions, which may in turn engage in short sales of the common shares covered by this prospectus in the course of hedging the positions they assume.</w:t>
      </w:r>
    </w:p>
    <w:p>
      <w:pPr>
        <w:spacing w:after="0" w:line="154"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selling shareholders and the brokers or dealers participating in the distribution of the common shares covered by this prospectus may be deemed “underwriters” within the meaning of the Securities Act. Any profit on the sale of the common shares covered by this prospectus by the selling shareholders and any discounts, concessions or commissions received by any such brokers or dealers may be regarded as underwriting commissions under the Securities Act.</w:t>
      </w:r>
    </w:p>
    <w:p>
      <w:pPr>
        <w:spacing w:after="0" w:line="187"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In connection with the sale or distribution of the common shares covered by this prospectus, the rules of the SEC permit any underwriter to engage in certain transactions that stabilize the price of the common shares covered by this prospectus. These transactions may consist of bids or purchases for the purpose of pegging, fixing or maintaining the price of the common shares covered by this prospectus.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Underwriters, brokers, dealers or agents may be entitled, under agreements with us, to indemnification against the contribution toward certain civil liabilities, including liabilities under the Securities Act.</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will pay all expenses in connection with the registration of the common shares covered by this prospectus. The selling shareholders will pay for any brokerage or underwriting commissions and taxes of any kind (including, without limitation, transfer taxes) with respect to any disposition, sale or transfer of the common shares covered by this prospectus.</w:t>
      </w:r>
    </w:p>
    <w:p>
      <w:pPr>
        <w:spacing w:after="0" w:line="181"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common shares covered by this prospectus not sold pursuant to the registration statement on Form S-3 of which this prospectus is a part may be subject to certain restrictions under the Securities Act and could be sold, if at all, only pursuant to Rule 144 or another exemption from the registration requirements of the Securities Act. In general, under Rule 144, a person who is not, and has not been within the preceding three months, an affiliate of ours and also has satisfied a six-month holding period may, under certain circumstances, sell the common shares covered by this prospectus. Therefore, both during and after the effectiveness of the registration statement, the selling shareholders may sell the common shares covered by this prospectus pursuant to Rule 144.</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The audited consolidated financial statements, schedules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validity of the offered common shares and the accuracy of the discussion under “Material Federal Income Tax Considerations” will be passed upon for us by Pillsbury Winthrop Shaw Pittman LLP, Washington, D.C.</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 xml:space="preserve">We file annual, quarterly and special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located at 20 Broad Street, New York, NY 10005.</w:t>
      </w:r>
    </w:p>
    <w:p>
      <w:pPr>
        <w:spacing w:after="0" w:line="18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SEC allows us to “incorporate by reference” the information we file with them, which means we can disclose important information to you by referring you to those documents. The information we incorporate by reference is an important part of our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(to the extent deemed filed and not furnished) as well as any future filings made with the SEC under Sections 13(a), 13(c), 14, or 15(d) of the Exchange Act (Exchange Act File No. 1-07533) made from the date of this prospectus until the selling shareholders sell all of the securities under this prospectus as supplemented or until the earlier termination of the offering described herein.</w:t>
      </w:r>
    </w:p>
    <w:p>
      <w:pPr>
        <w:spacing w:after="0" w:line="72"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2014;</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Definitive Proxy Statement for our 2015 Annual Meeting of Shareholders, filed with the SEC on March 27, 2015;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2015;</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February 10, 2015 (disclosing matters under Item 5.02), March 17, 2015, May 11, 2015 and May 12, 2015;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Description of our common shares contained in the Registration Statement on Form 8-A/A, filed June 6, 2002.</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 xml:space="preserve">Copies of our SEC filings are available at no cost at our website, </w:t>
      </w:r>
      <w:r>
        <w:rPr>
          <w:rFonts w:ascii="Arial" w:cs="Arial" w:eastAsia="Arial" w:hAnsi="Arial"/>
          <w:sz w:val="17"/>
          <w:szCs w:val="17"/>
          <w:i w:val="1"/>
          <w:iCs w:val="1"/>
          <w:color w:val="auto"/>
        </w:rPr>
        <w:t>www.federalrealty.com</w:t>
      </w:r>
      <w:r>
        <w:rPr>
          <w:rFonts w:ascii="Arial" w:cs="Arial" w:eastAsia="Arial" w:hAnsi="Arial"/>
          <w:sz w:val="17"/>
          <w:szCs w:val="17"/>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998-8100</w:t>
      </w:r>
    </w:p>
    <w:p>
      <w:pPr>
        <w:spacing w:after="0" w:line="21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Our prospectus does not contain all of the information included in the registration statement. We have omitted certain parts of the registration statement in accordance with the rules and regulations of the SEC. For further information, we refer you to the registration statement, including its exhibits and schedules. Statements contained in our prospectus and any accompanying prospectus supplement about the provisions or contents of any contract, agreement or any other document referred to are not necessarily complete. Please refer to the actual exhibit for a more complete description of the matters involved. You may get copies of the exhibits by contacting the person named above.</w:t>
      </w:r>
    </w:p>
    <w:p>
      <w:pPr>
        <w:spacing w:after="0" w:line="17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where the offer is prohibited by law. You should not assume that the information in this prospectus, any prospectus supplement or any incorporated document is accurate as of any date other than the date of the document.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657860</wp:posOffset>
            </wp:positionV>
            <wp:extent cx="2341245" cy="900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341245" cy="90043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917,598 Common Shares of Beneficial Interest</w:t>
      </w:r>
    </w:p>
    <w:p>
      <w:pPr>
        <w:spacing w:after="0" w:line="72"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388620</wp:posOffset>
            </wp:positionV>
            <wp:extent cx="15176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May 12,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24662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Set forth below are the amounts of fees and expenses (other than underwriting discounts and commissions) we will pay in connection with the offering of our securities.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Printing and Duplicating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10,000*</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0"/>
              </w:rPr>
              <w:t>10,000*</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23"/>
        </w:trPr>
        <w:tc>
          <w:tcPr>
            <w:tcW w:w="706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27,456</w:t>
            </w:r>
          </w:p>
        </w:tc>
        <w:tc>
          <w:tcPr>
            <w:tcW w:w="100" w:type="dxa"/>
            <w:vAlign w:val="bottom"/>
          </w:tcPr>
          <w:p>
            <w:pPr>
              <w:jc w:val="right"/>
              <w:spacing w:after="0"/>
              <w:rPr>
                <w:sz w:val="20"/>
                <w:szCs w:val="20"/>
                <w:color w:val="auto"/>
              </w:rPr>
            </w:pPr>
            <w:r>
              <w:rPr>
                <w:rFonts w:ascii="Arial" w:cs="Arial" w:eastAsia="Arial" w:hAnsi="Arial"/>
                <w:sz w:val="18"/>
                <w:szCs w:val="18"/>
                <w:color w:val="auto"/>
                <w:w w:val="8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Estimated</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Indemnification of Trustees and Officers</w:t>
      </w:r>
    </w:p>
    <w:p>
      <w:pPr>
        <w:spacing w:after="0" w:line="12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registrant’s declaration of trust authorizes the registrant, to the maximum extent permitted by Maryland law, to obligate itself to indemnify and to pay or reimburse reasonable expenses in advance of final disposition of a proceeding to (i) any individual who is a present or former shareholder, trustee or officer of the registrant or (ii) any individual who, while a trustee of the registrant and at the request of the registrant, serves or has served as a director, officer, partner, trustee, employee or agent of another corporation, real estate investment trust, partnership, joint venture, trust, employee benefit plan or any other enterprise from and against any claim or liability to which such person may become subject or which such person may incur by reason of his or her status. The registrant’s declaration of trust also permits the registrant, with approval of the registrant’s Board of Trustees, to indemnify and advance expenses to any person who served a predecessor of the registrant in any of the capacities described above and to any employee or agent of the registrant or a predecessor of the registrant.</w:t>
      </w:r>
    </w:p>
    <w:p>
      <w:pPr>
        <w:spacing w:after="0" w:line="19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registrant’s bylaws obligate it, to the maximum extent permitted by Maryland law, to indemnify (a) any trustee, officer or shareholder or any former trustee, officer or shareholder, including any individual who, while a trustee, officer or shareholder and at the express request of the registrant, serves or has served another real estate investment trust, corporation, partnership, limited liability company, joint venture, trust, employee benefit plan or any other enterprise as a director, officer, shareholder, manager, member, partner or trustee of such real estate investment trust, corporation, partnership, limited liability company, joint venture, trust, employee benefit plan or other enterprise, who has been successful, on the merits or otherwise, in the defense of a proceeding to which he was made a party by reason of service in such capacity, against reasonable expenses incurred by him in connection with the proceeding, (b) any trustee or officer or any former trustee or officer against any claim or liability to which he may become subject by reason of such status unless it is established that (i) his act or omission was material to the matter giving rise to the proceeding and was committed in bad faith or was the result of active and deliberate dishonesty, (ii) he actually received an improper personal benefit in money, property or services or (iii) in the case of a criminal proceeding, he had reasonable cause to believe that his act or omission was unlawful and (c) each shareholder or former shareholder against any claim or liability to which he may become subject by reason of such status. In addition, the registrant’s bylaws obligate it, without requiring a preliminary determination of the ultimate entitlement</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to indemnification, to pay or reimburse, in advance of final disposition of a proceeding, reasonable expenses incurred by a trustee, officer or shareholder or former trustee, officer or shareholder made a party to a proceeding by reason of such status, provided that, in the case of a trustee or officer, the registrant must have received from such trustee or officer (i) a written affirmation by the trustee or officer of his good faith belief that he has met the applicable standard of conduct necessary for indemnification by the registrant and (ii) a written undertaking by or on his behalf to repay the amount paid or reimbursed by the registrant if it shall ultimately be determined that the applicable standard of conduct was not met. The registrant may, with the approval of its trustees, provide such indemnification or payment or reimbursement of expenses to any trustee, officer or shareholder or any former trustee, officer or shareholder who served a predecessor of the Trust and to any employee or agent of the registrant or a predecessor of the registrant. Any indemnification or payment or reimbursement of the expenses permitted by the registrant’s bylaws will be furnished in accordance with the procedures provided for indemnification or payment or reimbursement of expenses, as the case may be, under Section 2-418 of the Maryland General Corporation Law, or the MGCL, for directors of Maryland corporations. The registrant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17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Title 8 of the Corporations and Associations Code of the State of Maryland, as amended, provides that a shareholder or trustee of a Maryland real estate investment trust is not personally liable for the obligations of the real estate investment trust, except that a trustee will be liable in any case in which a trustee otherwise would be liable and the trustee’s act constitutes bad faith, willful misfeasance, gross negligence or reckless disregard of the trustee’s duties. Title 8 further provides that a Maryland real estate investment trust may indemnify or advance expenses to trustees, officers, employees, and agents of the trust to the same extent as is permitted for directors, officers, employees, and agents of a Maryland corporation. Title 2 of the Corporations and Associations Code of the State of Maryland, as amended, permits a Maryland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certain related capacities unless it is established that (a) the act or omission of the director or officer was material to the matter giving rise to the proceeding and (i) was committed in bad faith or (ii)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a Maryland corporation may not indemnify a director or officer in a suit by or in the right of the trust if such director or officer has been adjudged to be liable to the corporation.</w:t>
      </w:r>
    </w:p>
    <w:p>
      <w:pPr>
        <w:spacing w:after="0" w:line="16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trustees, officers or persons controlling the registrant pursuant to the foregoing provisions, the registrant has been informed that in the opinion of the Securities and Exchange Commission such indemnification is against public policy as expressed in the Securities Act and is therefore unenforceable.</w:t>
      </w:r>
    </w:p>
    <w:p>
      <w:pPr>
        <w:spacing w:after="0" w:line="32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i w:val="1"/>
          <w:iCs w:val="1"/>
          <w:color w:val="auto"/>
        </w:rPr>
        <w:t>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as noted, are filed herewith, previously have been filed, or will be filed by amendment.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20" w:type="dxa"/>
            <w:vAlign w:val="bottom"/>
          </w:tcPr>
          <w:p>
            <w:pPr>
              <w:spacing w:after="0"/>
              <w:rPr>
                <w:sz w:val="14"/>
                <w:szCs w:val="14"/>
                <w:color w:val="auto"/>
              </w:rPr>
            </w:pPr>
          </w:p>
        </w:tc>
      </w:tr>
      <w:tr>
        <w:trPr>
          <w:trHeight w:val="185"/>
        </w:trPr>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No.</w:t>
            </w:r>
          </w:p>
        </w:tc>
        <w:tc>
          <w:tcPr>
            <w:tcW w:w="10940" w:type="dxa"/>
            <w:vAlign w:val="bottom"/>
            <w:gridSpan w:val="3"/>
          </w:tcPr>
          <w:p>
            <w:pPr>
              <w:ind w:left="540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4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r>
        <w:trPr>
          <w:trHeight w:val="277"/>
        </w:trPr>
        <w:tc>
          <w:tcPr>
            <w:tcW w:w="460" w:type="dxa"/>
            <w:vAlign w:val="bottom"/>
          </w:tcPr>
          <w:p>
            <w:pPr>
              <w:jc w:val="right"/>
              <w:ind w:right="59"/>
              <w:spacing w:after="0"/>
              <w:rPr>
                <w:sz w:val="20"/>
                <w:szCs w:val="20"/>
                <w:color w:val="auto"/>
              </w:rPr>
            </w:pPr>
            <w:r>
              <w:rPr>
                <w:rFonts w:ascii="Arial" w:cs="Arial" w:eastAsia="Arial" w:hAnsi="Arial"/>
                <w:sz w:val="18"/>
                <w:szCs w:val="18"/>
                <w:color w:val="auto"/>
              </w:rPr>
              <w:t>3.1</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2"/>
              </w:rPr>
              <w:t>Declaration of Trust of Federal Realty Investment Trust dated May 5, 1999 as amended by the Articles of Amendment of Declaration of Trust</w:t>
            </w:r>
          </w:p>
        </w:tc>
      </w:tr>
      <w:tr>
        <w:trPr>
          <w:trHeight w:val="216"/>
        </w:trPr>
        <w:tc>
          <w:tcPr>
            <w:tcW w:w="460" w:type="dxa"/>
            <w:vAlign w:val="bottom"/>
          </w:tcPr>
          <w:p>
            <w:pPr>
              <w:spacing w:after="0"/>
              <w:rPr>
                <w:sz w:val="18"/>
                <w:szCs w:val="18"/>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1"/>
              </w:rPr>
              <w:t>of Federal Realty Investment Trust dated May 6, 2004, as corrected by the Certificate of Correction of Articles of Amendment of Declaration of</w:t>
            </w:r>
          </w:p>
        </w:tc>
      </w:tr>
      <w:tr>
        <w:trPr>
          <w:trHeight w:val="216"/>
        </w:trPr>
        <w:tc>
          <w:tcPr>
            <w:tcW w:w="460" w:type="dxa"/>
            <w:vAlign w:val="bottom"/>
          </w:tcPr>
          <w:p>
            <w:pPr>
              <w:spacing w:after="0"/>
              <w:rPr>
                <w:sz w:val="18"/>
                <w:szCs w:val="18"/>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3"/>
              </w:rPr>
              <w:t>Trust of Federal Realty Investment Trust dated June 17, 2004, as amended by the Articles of Amendment of Declaration of Trust of Federal</w:t>
            </w:r>
          </w:p>
        </w:tc>
      </w:tr>
      <w:tr>
        <w:trPr>
          <w:trHeight w:val="216"/>
        </w:trPr>
        <w:tc>
          <w:tcPr>
            <w:tcW w:w="460" w:type="dxa"/>
            <w:vAlign w:val="bottom"/>
          </w:tcPr>
          <w:p>
            <w:pPr>
              <w:spacing w:after="0"/>
              <w:rPr>
                <w:sz w:val="18"/>
                <w:szCs w:val="18"/>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1"/>
              </w:rPr>
              <w:t>Realty Investment Trust dated May 6, 2009 (previously filed as Exhibit 3.1 to the Trust’s Registration Statement on Form S-3, filed on June 16,</w:t>
            </w: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2009 (File No. 333-160009) and incorporated herein by reference)</w:t>
            </w:r>
          </w:p>
        </w:tc>
      </w:tr>
      <w:tr>
        <w:trPr>
          <w:trHeight w:val="310"/>
        </w:trPr>
        <w:tc>
          <w:tcPr>
            <w:tcW w:w="460" w:type="dxa"/>
            <w:vAlign w:val="bottom"/>
          </w:tcPr>
          <w:p>
            <w:pPr>
              <w:jc w:val="right"/>
              <w:ind w:right="59"/>
              <w:spacing w:after="0"/>
              <w:rPr>
                <w:sz w:val="20"/>
                <w:szCs w:val="20"/>
                <w:color w:val="auto"/>
              </w:rPr>
            </w:pPr>
            <w:r>
              <w:rPr>
                <w:rFonts w:ascii="Arial" w:cs="Arial" w:eastAsia="Arial" w:hAnsi="Arial"/>
                <w:sz w:val="18"/>
                <w:szCs w:val="18"/>
                <w:color w:val="auto"/>
              </w:rPr>
              <w:t>3.2</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4"/>
              </w:rPr>
              <w:t>Amended and Restated Bylaws of Federal Realty Investment Trust dated February 12, 2003, as amended October 29, 2003, May 5, 2004,</w:t>
            </w:r>
          </w:p>
        </w:tc>
      </w:tr>
      <w:tr>
        <w:trPr>
          <w:trHeight w:val="216"/>
        </w:trPr>
        <w:tc>
          <w:tcPr>
            <w:tcW w:w="460" w:type="dxa"/>
            <w:vAlign w:val="bottom"/>
          </w:tcPr>
          <w:p>
            <w:pPr>
              <w:spacing w:after="0"/>
              <w:rPr>
                <w:sz w:val="18"/>
                <w:szCs w:val="18"/>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2"/>
              </w:rPr>
              <w:t>February 17, 2006 and May 6, 2009 (previously filed as Exhibit 3.2 to the Trust’s Registration Statement on Form S-3, filed on June 16, 2009</w:t>
            </w: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(File No. 333-160009) and incorporated herein by reference)</w:t>
            </w:r>
          </w:p>
        </w:tc>
      </w:tr>
    </w:tbl>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Specimen Common Share certificate (previously filed as Exhibit 4(i) to the Trust’s Annual Report on Form 10-K for the year ended December 31,</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1999 (File No. 1-07533) and incorporated herein by reference)</w:t>
      </w:r>
    </w:p>
    <w:p>
      <w:pPr>
        <w:spacing w:after="0" w:line="103"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Pillsbury Winthrop Shaw Pittman LLP regarding the legality of the securities being registered</w:t>
      </w:r>
    </w:p>
    <w:p>
      <w:pPr>
        <w:spacing w:after="0" w:line="117"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Opinion of Pillsbury Winthrop Shaw Pittman LLP regarding certain federal income tax matters</w:t>
      </w:r>
    </w:p>
    <w:p>
      <w:pPr>
        <w:spacing w:after="0" w:line="11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Grant Thornton LLP</w:t>
      </w:r>
    </w:p>
    <w:p>
      <w:pPr>
        <w:spacing w:after="0" w:line="11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Pillsbury Winthrop Shaw Pittman LLP (included in Exhibits 5.1 and 8.1)</w:t>
      </w:r>
    </w:p>
    <w:p>
      <w:pPr>
        <w:spacing w:after="0" w:line="11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Included with this filing.</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121" w:lineRule="exact"/>
        <w:rPr>
          <w:sz w:val="20"/>
          <w:szCs w:val="20"/>
          <w:color w:val="auto"/>
        </w:rPr>
      </w:pPr>
    </w:p>
    <w:p>
      <w:pPr>
        <w:ind w:left="700" w:hanging="23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560" w:hanging="219"/>
        <w:spacing w:after="0"/>
        <w:tabs>
          <w:tab w:leader="none" w:pos="1560" w:val="left"/>
        </w:tabs>
        <w:numPr>
          <w:ilvl w:val="2"/>
          <w:numId w:val="3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w:t>
      </w:r>
    </w:p>
    <w:p>
      <w:pPr>
        <w:spacing w:after="0" w:line="117" w:lineRule="exact"/>
        <w:rPr>
          <w:rFonts w:ascii="Arial" w:cs="Arial" w:eastAsia="Arial" w:hAnsi="Arial"/>
          <w:sz w:val="18"/>
          <w:szCs w:val="18"/>
          <w:color w:val="auto"/>
        </w:rPr>
      </w:pPr>
    </w:p>
    <w:p>
      <w:pPr>
        <w:ind w:left="920" w:firstLine="421"/>
        <w:spacing w:after="0" w:line="255" w:lineRule="auto"/>
        <w:tabs>
          <w:tab w:leader="none" w:pos="1605" w:val="left"/>
        </w:tabs>
        <w:numPr>
          <w:ilvl w:val="2"/>
          <w:numId w:val="32"/>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81" w:lineRule="exact"/>
        <w:rPr>
          <w:rFonts w:ascii="Arial" w:cs="Arial" w:eastAsia="Arial" w:hAnsi="Arial"/>
          <w:sz w:val="18"/>
          <w:szCs w:val="18"/>
          <w:color w:val="auto"/>
        </w:rPr>
      </w:pPr>
    </w:p>
    <w:p>
      <w:pPr>
        <w:ind w:left="920" w:right="60" w:firstLine="421"/>
        <w:spacing w:after="0" w:line="277" w:lineRule="auto"/>
        <w:tabs>
          <w:tab w:leader="none" w:pos="1655" w:val="left"/>
        </w:tabs>
        <w:numPr>
          <w:ilvl w:val="2"/>
          <w:numId w:val="3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provided, however, that paragraphs (a)(1)(i), (a)(1)(ii) and (a)(1)(iii) herein do not apply if the information required to be included in a post-effective amendment by those 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60" w:firstLine="443"/>
        <w:spacing w:after="0" w:line="264" w:lineRule="auto"/>
        <w:tabs>
          <w:tab w:leader="none" w:pos="1153"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73" w:lineRule="exact"/>
        <w:rPr>
          <w:rFonts w:ascii="Arial" w:cs="Arial" w:eastAsia="Arial" w:hAnsi="Arial"/>
          <w:sz w:val="18"/>
          <w:szCs w:val="18"/>
          <w:color w:val="auto"/>
        </w:rPr>
      </w:pPr>
    </w:p>
    <w:p>
      <w:pPr>
        <w:ind w:left="460" w:right="580" w:firstLine="443"/>
        <w:spacing w:after="0" w:line="277" w:lineRule="auto"/>
        <w:tabs>
          <w:tab w:leader="none" w:pos="115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as amended, to any purchaser:</w:t>
      </w:r>
    </w:p>
    <w:p>
      <w:pPr>
        <w:spacing w:after="0" w:line="117" w:lineRule="exact"/>
        <w:rPr>
          <w:rFonts w:ascii="Arial" w:cs="Arial" w:eastAsia="Arial" w:hAnsi="Arial"/>
          <w:sz w:val="18"/>
          <w:szCs w:val="18"/>
          <w:color w:val="auto"/>
        </w:rPr>
      </w:pPr>
    </w:p>
    <w:p>
      <w:pPr>
        <w:ind w:left="920" w:right="180" w:firstLine="421"/>
        <w:spacing w:after="0" w:line="277" w:lineRule="auto"/>
        <w:tabs>
          <w:tab w:leader="none" w:pos="1555" w:val="left"/>
        </w:tabs>
        <w:numPr>
          <w:ilvl w:val="1"/>
          <w:numId w:val="33"/>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left="920" w:right="260" w:firstLine="421"/>
        <w:spacing w:after="0" w:line="274" w:lineRule="auto"/>
        <w:tabs>
          <w:tab w:leader="none" w:pos="1605" w:val="left"/>
        </w:tabs>
        <w:numPr>
          <w:ilvl w:val="1"/>
          <w:numId w:val="33"/>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w:t>
      </w:r>
    </w:p>
    <w:p>
      <w:pPr>
        <w:ind w:left="920" w:right="60"/>
        <w:spacing w:after="0" w:line="287" w:lineRule="auto"/>
        <w:rPr>
          <w:rFonts w:ascii="Arial" w:cs="Arial" w:eastAsia="Arial" w:hAnsi="Arial"/>
          <w:sz w:val="17"/>
          <w:szCs w:val="17"/>
          <w:color w:val="auto"/>
        </w:rPr>
      </w:pPr>
      <w:r>
        <w:rPr>
          <w:rFonts w:ascii="Arial" w:cs="Arial" w:eastAsia="Arial" w:hAnsi="Arial"/>
          <w:sz w:val="16"/>
          <w:szCs w:val="16"/>
          <w:color w:val="auto"/>
        </w:rPr>
        <w:t xml:space="preserve">Section 10(a) of the Securities Act of 1933, as amended,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58" w:lineRule="exact"/>
        <w:rPr>
          <w:rFonts w:ascii="Arial" w:cs="Arial" w:eastAsia="Arial" w:hAnsi="Arial"/>
          <w:sz w:val="17"/>
          <w:szCs w:val="17"/>
          <w:color w:val="auto"/>
        </w:rPr>
      </w:pPr>
    </w:p>
    <w:p>
      <w:pPr>
        <w:ind w:left="460" w:right="340" w:firstLine="443"/>
        <w:spacing w:after="0" w:line="277" w:lineRule="auto"/>
        <w:tabs>
          <w:tab w:leader="none" w:pos="115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as amended, to any purchaser in the initial distribution of the securities:</w:t>
      </w:r>
    </w:p>
    <w:p>
      <w:pPr>
        <w:spacing w:after="0" w:line="170"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39" w:lineRule="exact"/>
        <w:rPr>
          <w:sz w:val="20"/>
          <w:szCs w:val="20"/>
          <w:color w:val="auto"/>
        </w:rPr>
      </w:pPr>
    </w:p>
    <w:p>
      <w:pPr>
        <w:ind w:left="1560" w:hanging="219"/>
        <w:spacing w:after="0"/>
        <w:tabs>
          <w:tab w:leader="none" w:pos="15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40" w:lineRule="exact"/>
        <w:rPr>
          <w:rFonts w:ascii="Arial" w:cs="Arial" w:eastAsia="Arial" w:hAnsi="Arial"/>
          <w:sz w:val="16"/>
          <w:szCs w:val="16"/>
          <w:color w:val="auto"/>
        </w:rPr>
      </w:pPr>
    </w:p>
    <w:p>
      <w:pPr>
        <w:ind w:left="920" w:right="200" w:firstLine="421"/>
        <w:spacing w:after="0" w:line="277" w:lineRule="auto"/>
        <w:tabs>
          <w:tab w:leader="none" w:pos="1605"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ind w:left="920" w:firstLine="421"/>
        <w:spacing w:after="0" w:line="277" w:lineRule="auto"/>
        <w:tabs>
          <w:tab w:leader="none" w:pos="1655"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1640" w:hanging="299"/>
        <w:spacing w:after="0"/>
        <w:tabs>
          <w:tab w:leader="none" w:pos="16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right="40" w:firstLine="464"/>
        <w:spacing w:after="0" w:line="257" w:lineRule="auto"/>
        <w:tabs>
          <w:tab w:leader="none" w:pos="711"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as amended,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8" w:lineRule="exact"/>
        <w:rPr>
          <w:rFonts w:ascii="Arial" w:cs="Arial" w:eastAsia="Arial" w:hAnsi="Arial"/>
          <w:sz w:val="18"/>
          <w:szCs w:val="18"/>
          <w:color w:val="auto"/>
        </w:rPr>
      </w:pPr>
    </w:p>
    <w:p>
      <w:pPr>
        <w:ind w:right="20" w:firstLine="464"/>
        <w:spacing w:after="0" w:line="271" w:lineRule="auto"/>
        <w:tabs>
          <w:tab w:leader="none" w:pos="701"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as amended,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as amended, and is, therefore, unenforceable. In the event that a claim for indemnification against such liabilities (other than for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as amended, and will be governed by the final adjudication of such issue.</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Rockville, State of Maryland, on May 12, 2015.</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Executive Vice President-General Counsel</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and Secretary</w:t>
      </w:r>
    </w:p>
    <w:p>
      <w:pPr>
        <w:spacing w:after="0" w:line="22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80" w:type="dxa"/>
            <w:vAlign w:val="bottom"/>
          </w:tcPr>
          <w:p>
            <w:pPr>
              <w:ind w:left="20"/>
              <w:spacing w:after="0"/>
              <w:rPr>
                <w:sz w:val="20"/>
                <w:szCs w:val="20"/>
                <w:color w:val="auto"/>
              </w:rPr>
            </w:pPr>
            <w:r>
              <w:rPr>
                <w:rFonts w:ascii="Arial" w:cs="Arial" w:eastAsia="Arial" w:hAnsi="Arial"/>
                <w:sz w:val="14"/>
                <w:szCs w:val="14"/>
                <w:b w:val="1"/>
                <w:bCs w:val="1"/>
                <w:color w:val="auto"/>
              </w:rPr>
              <w:t>SIGNATURE</w:t>
            </w:r>
          </w:p>
        </w:tc>
        <w:tc>
          <w:tcPr>
            <w:tcW w:w="17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44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spacing w:after="0"/>
              <w:rPr>
                <w:sz w:val="16"/>
                <w:szCs w:val="16"/>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DATE</w:t>
            </w: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12"/>
        </w:trPr>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Donald C. Wood</w:t>
            </w:r>
          </w:p>
        </w:tc>
        <w:tc>
          <w:tcPr>
            <w:tcW w:w="8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420" w:type="dxa"/>
            <w:vAlign w:val="bottom"/>
          </w:tcPr>
          <w:p>
            <w:pPr>
              <w:ind w:left="100"/>
              <w:spacing w:after="0"/>
              <w:rPr>
                <w:sz w:val="20"/>
                <w:szCs w:val="20"/>
                <w:color w:val="auto"/>
              </w:rPr>
            </w:pPr>
            <w:r>
              <w:rPr>
                <w:rFonts w:ascii="Arial" w:cs="Arial" w:eastAsia="Arial" w:hAnsi="Arial"/>
                <w:sz w:val="18"/>
                <w:szCs w:val="18"/>
                <w:color w:val="auto"/>
              </w:rPr>
              <w:t>President, Chief Executive</w:t>
            </w:r>
          </w:p>
        </w:tc>
        <w:tc>
          <w:tcPr>
            <w:tcW w:w="4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920" w:type="dxa"/>
            <w:vAlign w:val="bottom"/>
            <w:gridSpan w:val="3"/>
          </w:tcPr>
          <w:p>
            <w:pPr>
              <w:jc w:val="center"/>
              <w:ind w:left="810"/>
              <w:spacing w:after="0"/>
              <w:rPr>
                <w:sz w:val="20"/>
                <w:szCs w:val="20"/>
                <w:color w:val="auto"/>
              </w:rPr>
            </w:pPr>
            <w:r>
              <w:rPr>
                <w:rFonts w:ascii="Arial" w:cs="Arial" w:eastAsia="Arial" w:hAnsi="Arial"/>
                <w:sz w:val="18"/>
                <w:szCs w:val="18"/>
                <w:color w:val="auto"/>
                <w:w w:val="93"/>
              </w:rPr>
              <w:t>May 12, 2015</w:t>
            </w:r>
          </w:p>
        </w:tc>
      </w:tr>
      <w:tr>
        <w:trPr>
          <w:trHeight w:val="224"/>
        </w:trPr>
        <w:tc>
          <w:tcPr>
            <w:tcW w:w="2580" w:type="dxa"/>
            <w:vAlign w:val="bottom"/>
            <w:gridSpan w:val="3"/>
          </w:tcPr>
          <w:p>
            <w:pPr>
              <w:spacing w:after="0"/>
              <w:rPr>
                <w:sz w:val="20"/>
                <w:szCs w:val="20"/>
                <w:color w:val="auto"/>
              </w:rPr>
            </w:pPr>
            <w:r>
              <w:rPr>
                <w:rFonts w:ascii="Arial" w:cs="Arial" w:eastAsia="Arial" w:hAnsi="Arial"/>
                <w:sz w:val="18"/>
                <w:szCs w:val="18"/>
                <w:color w:val="auto"/>
              </w:rPr>
              <w:t>Donald C. Wood</w:t>
            </w:r>
          </w:p>
        </w:tc>
        <w:tc>
          <w:tcPr>
            <w:tcW w:w="1700" w:type="dxa"/>
            <w:vAlign w:val="bottom"/>
          </w:tcPr>
          <w:p>
            <w:pPr>
              <w:spacing w:after="0"/>
              <w:rPr>
                <w:sz w:val="19"/>
                <w:szCs w:val="19"/>
                <w:color w:val="auto"/>
              </w:rPr>
            </w:pPr>
          </w:p>
        </w:tc>
        <w:tc>
          <w:tcPr>
            <w:tcW w:w="4860" w:type="dxa"/>
            <w:vAlign w:val="bottom"/>
            <w:gridSpan w:val="3"/>
          </w:tcPr>
          <w:p>
            <w:pPr>
              <w:ind w:left="100"/>
              <w:spacing w:after="0"/>
              <w:rPr>
                <w:sz w:val="20"/>
                <w:szCs w:val="20"/>
                <w:color w:val="auto"/>
              </w:rPr>
            </w:pPr>
            <w:r>
              <w:rPr>
                <w:rFonts w:ascii="Arial" w:cs="Arial" w:eastAsia="Arial" w:hAnsi="Arial"/>
                <w:sz w:val="18"/>
                <w:szCs w:val="18"/>
                <w:color w:val="auto"/>
              </w:rPr>
              <w:t>Officer and Trustee (principal executive officer)</w:t>
            </w: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31"/>
        </w:trPr>
        <w:tc>
          <w:tcPr>
            <w:tcW w:w="2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James M. Taylor, Jr.</w:t>
            </w:r>
          </w:p>
        </w:tc>
        <w:tc>
          <w:tcPr>
            <w:tcW w:w="1700" w:type="dxa"/>
            <w:vAlign w:val="bottom"/>
            <w:tcBorders>
              <w:bottom w:val="single" w:sz="8" w:color="auto"/>
            </w:tcBorders>
          </w:tcPr>
          <w:p>
            <w:pPr>
              <w:spacing w:after="0"/>
              <w:rPr>
                <w:sz w:val="24"/>
                <w:szCs w:val="24"/>
                <w:color w:val="auto"/>
              </w:rPr>
            </w:pPr>
          </w:p>
        </w:tc>
        <w:tc>
          <w:tcPr>
            <w:tcW w:w="4860" w:type="dxa"/>
            <w:vAlign w:val="bottom"/>
            <w:gridSpan w:val="3"/>
          </w:tcPr>
          <w:p>
            <w:pPr>
              <w:ind w:left="100"/>
              <w:spacing w:after="0"/>
              <w:rPr>
                <w:sz w:val="20"/>
                <w:szCs w:val="20"/>
                <w:color w:val="auto"/>
              </w:rPr>
            </w:pPr>
            <w:r>
              <w:rPr>
                <w:rFonts w:ascii="Arial" w:cs="Arial" w:eastAsia="Arial" w:hAnsi="Arial"/>
                <w:sz w:val="18"/>
                <w:szCs w:val="18"/>
                <w:color w:val="auto"/>
              </w:rPr>
              <w:t>Executive Vice President-Chief Financial Officer and</w:t>
            </w:r>
          </w:p>
        </w:tc>
        <w:tc>
          <w:tcPr>
            <w:tcW w:w="1920" w:type="dxa"/>
            <w:vAlign w:val="bottom"/>
            <w:gridSpan w:val="3"/>
          </w:tcPr>
          <w:p>
            <w:pPr>
              <w:jc w:val="center"/>
              <w:ind w:left="810"/>
              <w:spacing w:after="0"/>
              <w:rPr>
                <w:sz w:val="20"/>
                <w:szCs w:val="20"/>
                <w:color w:val="auto"/>
              </w:rPr>
            </w:pPr>
            <w:r>
              <w:rPr>
                <w:rFonts w:ascii="Arial" w:cs="Arial" w:eastAsia="Arial" w:hAnsi="Arial"/>
                <w:sz w:val="18"/>
                <w:szCs w:val="18"/>
                <w:color w:val="auto"/>
                <w:w w:val="93"/>
              </w:rPr>
              <w:t>May 12, 2015</w:t>
            </w:r>
          </w:p>
        </w:tc>
      </w:tr>
      <w:tr>
        <w:trPr>
          <w:trHeight w:val="224"/>
        </w:trPr>
        <w:tc>
          <w:tcPr>
            <w:tcW w:w="2580" w:type="dxa"/>
            <w:vAlign w:val="bottom"/>
            <w:gridSpan w:val="3"/>
          </w:tcPr>
          <w:p>
            <w:pPr>
              <w:spacing w:after="0"/>
              <w:rPr>
                <w:sz w:val="20"/>
                <w:szCs w:val="20"/>
                <w:color w:val="auto"/>
              </w:rPr>
            </w:pPr>
            <w:r>
              <w:rPr>
                <w:rFonts w:ascii="Arial" w:cs="Arial" w:eastAsia="Arial" w:hAnsi="Arial"/>
                <w:sz w:val="18"/>
                <w:szCs w:val="18"/>
                <w:color w:val="auto"/>
              </w:rPr>
              <w:t>James M. Taylor, Jr.</w:t>
            </w:r>
          </w:p>
        </w:tc>
        <w:tc>
          <w:tcPr>
            <w:tcW w:w="1700" w:type="dxa"/>
            <w:vAlign w:val="bottom"/>
          </w:tcPr>
          <w:p>
            <w:pPr>
              <w:spacing w:after="0"/>
              <w:rPr>
                <w:sz w:val="19"/>
                <w:szCs w:val="19"/>
                <w:color w:val="auto"/>
              </w:rPr>
            </w:pPr>
          </w:p>
        </w:tc>
        <w:tc>
          <w:tcPr>
            <w:tcW w:w="4860" w:type="dxa"/>
            <w:vAlign w:val="bottom"/>
            <w:gridSpan w:val="3"/>
          </w:tcPr>
          <w:p>
            <w:pPr>
              <w:ind w:left="100"/>
              <w:spacing w:after="0"/>
              <w:rPr>
                <w:sz w:val="20"/>
                <w:szCs w:val="20"/>
                <w:color w:val="auto"/>
              </w:rPr>
            </w:pPr>
            <w:r>
              <w:rPr>
                <w:rFonts w:ascii="Arial" w:cs="Arial" w:eastAsia="Arial" w:hAnsi="Arial"/>
                <w:sz w:val="18"/>
                <w:szCs w:val="18"/>
                <w:color w:val="auto"/>
              </w:rPr>
              <w:t>Treasurer (principal financial and accounting officer)</w:t>
            </w: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31"/>
        </w:trPr>
        <w:tc>
          <w:tcPr>
            <w:tcW w:w="2580" w:type="dxa"/>
            <w:vAlign w:val="bottom"/>
            <w:gridSpan w:val="3"/>
          </w:tcPr>
          <w:p>
            <w:pPr>
              <w:ind w:left="210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4"/>
                <w:szCs w:val="24"/>
                <w:color w:val="auto"/>
              </w:rPr>
            </w:pPr>
          </w:p>
        </w:tc>
        <w:tc>
          <w:tcPr>
            <w:tcW w:w="4860" w:type="dxa"/>
            <w:vAlign w:val="bottom"/>
            <w:gridSpan w:val="3"/>
          </w:tcPr>
          <w:p>
            <w:pPr>
              <w:ind w:left="100"/>
              <w:spacing w:after="0"/>
              <w:rPr>
                <w:sz w:val="20"/>
                <w:szCs w:val="20"/>
                <w:color w:val="auto"/>
              </w:rPr>
            </w:pPr>
            <w:r>
              <w:rPr>
                <w:rFonts w:ascii="Arial" w:cs="Arial" w:eastAsia="Arial" w:hAnsi="Arial"/>
                <w:sz w:val="18"/>
                <w:szCs w:val="18"/>
                <w:color w:val="auto"/>
              </w:rPr>
              <w:t>Non-Executive Chairman</w:t>
            </w:r>
          </w:p>
        </w:tc>
        <w:tc>
          <w:tcPr>
            <w:tcW w:w="1920" w:type="dxa"/>
            <w:vAlign w:val="bottom"/>
            <w:gridSpan w:val="3"/>
          </w:tcPr>
          <w:p>
            <w:pPr>
              <w:jc w:val="center"/>
              <w:ind w:left="810"/>
              <w:spacing w:after="0"/>
              <w:rPr>
                <w:sz w:val="20"/>
                <w:szCs w:val="20"/>
                <w:color w:val="auto"/>
              </w:rPr>
            </w:pPr>
            <w:r>
              <w:rPr>
                <w:rFonts w:ascii="Arial" w:cs="Arial" w:eastAsia="Arial" w:hAnsi="Arial"/>
                <w:sz w:val="18"/>
                <w:szCs w:val="18"/>
                <w:color w:val="auto"/>
                <w:w w:val="93"/>
              </w:rPr>
              <w:t>May 12, 2015</w:t>
            </w:r>
          </w:p>
        </w:tc>
      </w:tr>
      <w:tr>
        <w:trPr>
          <w:trHeight w:val="224"/>
        </w:trPr>
        <w:tc>
          <w:tcPr>
            <w:tcW w:w="20" w:type="dxa"/>
            <w:vAlign w:val="bottom"/>
          </w:tcPr>
          <w:p>
            <w:pPr>
              <w:spacing w:after="0"/>
              <w:rPr>
                <w:sz w:val="19"/>
                <w:szCs w:val="19"/>
                <w:color w:val="auto"/>
              </w:rPr>
            </w:pPr>
          </w:p>
        </w:tc>
        <w:tc>
          <w:tcPr>
            <w:tcW w:w="2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Joseph S. Vassalluzzo</w:t>
            </w:r>
          </w:p>
        </w:tc>
        <w:tc>
          <w:tcPr>
            <w:tcW w:w="1700" w:type="dxa"/>
            <w:vAlign w:val="bottom"/>
            <w:tcBorders>
              <w:top w:val="single" w:sz="8" w:color="auto"/>
            </w:tcBorders>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31"/>
        </w:trPr>
        <w:tc>
          <w:tcPr>
            <w:tcW w:w="2580" w:type="dxa"/>
            <w:vAlign w:val="bottom"/>
            <w:gridSpan w:val="3"/>
          </w:tcPr>
          <w:p>
            <w:pPr>
              <w:ind w:left="210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4"/>
                <w:szCs w:val="24"/>
                <w:color w:val="auto"/>
              </w:rPr>
            </w:pPr>
          </w:p>
        </w:tc>
        <w:tc>
          <w:tcPr>
            <w:tcW w:w="4860" w:type="dxa"/>
            <w:vAlign w:val="bottom"/>
            <w:gridSpan w:val="3"/>
          </w:tcPr>
          <w:p>
            <w:pPr>
              <w:ind w:left="100"/>
              <w:spacing w:after="0"/>
              <w:rPr>
                <w:sz w:val="20"/>
                <w:szCs w:val="20"/>
                <w:color w:val="auto"/>
              </w:rPr>
            </w:pPr>
            <w:r>
              <w:rPr>
                <w:rFonts w:ascii="Arial" w:cs="Arial" w:eastAsia="Arial" w:hAnsi="Arial"/>
                <w:sz w:val="18"/>
                <w:szCs w:val="18"/>
                <w:color w:val="auto"/>
              </w:rPr>
              <w:t>Trustee</w:t>
            </w:r>
          </w:p>
        </w:tc>
        <w:tc>
          <w:tcPr>
            <w:tcW w:w="1920" w:type="dxa"/>
            <w:vAlign w:val="bottom"/>
            <w:gridSpan w:val="3"/>
          </w:tcPr>
          <w:p>
            <w:pPr>
              <w:jc w:val="center"/>
              <w:ind w:left="810"/>
              <w:spacing w:after="0"/>
              <w:rPr>
                <w:sz w:val="20"/>
                <w:szCs w:val="20"/>
                <w:color w:val="auto"/>
              </w:rPr>
            </w:pPr>
            <w:r>
              <w:rPr>
                <w:rFonts w:ascii="Arial" w:cs="Arial" w:eastAsia="Arial" w:hAnsi="Arial"/>
                <w:sz w:val="18"/>
                <w:szCs w:val="18"/>
                <w:color w:val="auto"/>
                <w:w w:val="93"/>
              </w:rPr>
              <w:t>May 12, 2015</w:t>
            </w:r>
          </w:p>
        </w:tc>
      </w:tr>
      <w:tr>
        <w:trPr>
          <w:trHeight w:val="224"/>
        </w:trPr>
        <w:tc>
          <w:tcPr>
            <w:tcW w:w="20" w:type="dxa"/>
            <w:vAlign w:val="bottom"/>
          </w:tcPr>
          <w:p>
            <w:pPr>
              <w:spacing w:after="0"/>
              <w:rPr>
                <w:sz w:val="19"/>
                <w:szCs w:val="19"/>
                <w:color w:val="auto"/>
              </w:rPr>
            </w:pPr>
          </w:p>
        </w:tc>
        <w:tc>
          <w:tcPr>
            <w:tcW w:w="2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Jon E. Bortz</w:t>
            </w:r>
          </w:p>
        </w:tc>
        <w:tc>
          <w:tcPr>
            <w:tcW w:w="1700" w:type="dxa"/>
            <w:vAlign w:val="bottom"/>
            <w:tcBorders>
              <w:top w:val="single" w:sz="8" w:color="auto"/>
            </w:tcBorders>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31"/>
        </w:trPr>
        <w:tc>
          <w:tcPr>
            <w:tcW w:w="2580" w:type="dxa"/>
            <w:vAlign w:val="bottom"/>
            <w:gridSpan w:val="3"/>
          </w:tcPr>
          <w:p>
            <w:pPr>
              <w:ind w:left="210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4"/>
                <w:szCs w:val="24"/>
                <w:color w:val="auto"/>
              </w:rPr>
            </w:pPr>
          </w:p>
        </w:tc>
        <w:tc>
          <w:tcPr>
            <w:tcW w:w="4860" w:type="dxa"/>
            <w:vAlign w:val="bottom"/>
            <w:gridSpan w:val="3"/>
          </w:tcPr>
          <w:p>
            <w:pPr>
              <w:ind w:left="100"/>
              <w:spacing w:after="0"/>
              <w:rPr>
                <w:sz w:val="20"/>
                <w:szCs w:val="20"/>
                <w:color w:val="auto"/>
              </w:rPr>
            </w:pPr>
            <w:r>
              <w:rPr>
                <w:rFonts w:ascii="Arial" w:cs="Arial" w:eastAsia="Arial" w:hAnsi="Arial"/>
                <w:sz w:val="18"/>
                <w:szCs w:val="18"/>
                <w:color w:val="auto"/>
              </w:rPr>
              <w:t>Trustee</w:t>
            </w:r>
          </w:p>
        </w:tc>
        <w:tc>
          <w:tcPr>
            <w:tcW w:w="1920" w:type="dxa"/>
            <w:vAlign w:val="bottom"/>
            <w:gridSpan w:val="3"/>
          </w:tcPr>
          <w:p>
            <w:pPr>
              <w:jc w:val="center"/>
              <w:ind w:left="810"/>
              <w:spacing w:after="0"/>
              <w:rPr>
                <w:sz w:val="20"/>
                <w:szCs w:val="20"/>
                <w:color w:val="auto"/>
              </w:rPr>
            </w:pPr>
            <w:r>
              <w:rPr>
                <w:rFonts w:ascii="Arial" w:cs="Arial" w:eastAsia="Arial" w:hAnsi="Arial"/>
                <w:sz w:val="18"/>
                <w:szCs w:val="18"/>
                <w:color w:val="auto"/>
                <w:w w:val="93"/>
              </w:rPr>
              <w:t>May 12, 2015</w:t>
            </w:r>
          </w:p>
        </w:tc>
      </w:tr>
      <w:tr>
        <w:trPr>
          <w:trHeight w:val="224"/>
        </w:trPr>
        <w:tc>
          <w:tcPr>
            <w:tcW w:w="20" w:type="dxa"/>
            <w:vAlign w:val="bottom"/>
          </w:tcPr>
          <w:p>
            <w:pPr>
              <w:spacing w:after="0"/>
              <w:rPr>
                <w:sz w:val="19"/>
                <w:szCs w:val="19"/>
                <w:color w:val="auto"/>
              </w:rPr>
            </w:pPr>
          </w:p>
        </w:tc>
        <w:tc>
          <w:tcPr>
            <w:tcW w:w="2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David W. Faeder</w:t>
            </w:r>
          </w:p>
        </w:tc>
        <w:tc>
          <w:tcPr>
            <w:tcW w:w="1700" w:type="dxa"/>
            <w:vAlign w:val="bottom"/>
            <w:tcBorders>
              <w:top w:val="single" w:sz="8" w:color="auto"/>
            </w:tcBorders>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r>
    </w:tbl>
    <w:p>
      <w:pPr>
        <w:sectPr>
          <w:pgSz w:w="11900" w:h="16838" w:orient="portrait"/>
          <w:cols w:equalWidth="0" w:num="1">
            <w:col w:w="11340"/>
          </w:cols>
          <w:pgMar w:left="240" w:top="459" w:right="3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gridSpan w:val="2"/>
          </w:tcPr>
          <w:p>
            <w:pPr>
              <w:jc w:val="right"/>
              <w:ind w:right="2010"/>
              <w:spacing w:after="0"/>
              <w:rPr>
                <w:sz w:val="20"/>
                <w:szCs w:val="20"/>
                <w:color w:val="auto"/>
              </w:rPr>
            </w:pPr>
            <w:r>
              <w:rPr>
                <w:rFonts w:ascii="Arial" w:cs="Arial" w:eastAsia="Arial" w:hAnsi="Arial"/>
                <w:sz w:val="18"/>
                <w:szCs w:val="18"/>
                <w:color w:val="auto"/>
              </w:rPr>
              <w:t>*</w:t>
            </w:r>
          </w:p>
        </w:tc>
        <w:tc>
          <w:tcPr>
            <w:tcW w:w="3200" w:type="dxa"/>
            <w:vAlign w:val="bottom"/>
          </w:tcPr>
          <w:p>
            <w:pPr>
              <w:ind w:left="100"/>
              <w:spacing w:after="0"/>
              <w:rPr>
                <w:sz w:val="20"/>
                <w:szCs w:val="20"/>
                <w:color w:val="auto"/>
              </w:rPr>
            </w:pPr>
            <w:r>
              <w:rPr>
                <w:rFonts w:ascii="Arial" w:cs="Arial" w:eastAsia="Arial" w:hAnsi="Arial"/>
                <w:sz w:val="18"/>
                <w:szCs w:val="18"/>
                <w:color w:val="auto"/>
              </w:rPr>
              <w:t>Trustee</w:t>
            </w:r>
          </w:p>
        </w:tc>
        <w:tc>
          <w:tcPr>
            <w:tcW w:w="3580" w:type="dxa"/>
            <w:vAlign w:val="bottom"/>
          </w:tcPr>
          <w:p>
            <w:pPr>
              <w:ind w:left="2560"/>
              <w:spacing w:after="0"/>
              <w:rPr>
                <w:sz w:val="20"/>
                <w:szCs w:val="20"/>
                <w:color w:val="auto"/>
              </w:rPr>
            </w:pPr>
            <w:r>
              <w:rPr>
                <w:rFonts w:ascii="Arial" w:cs="Arial" w:eastAsia="Arial" w:hAnsi="Arial"/>
                <w:sz w:val="18"/>
                <w:szCs w:val="18"/>
                <w:color w:val="auto"/>
                <w:w w:val="91"/>
              </w:rPr>
              <w:t>May 12, 2015</w:t>
            </w:r>
          </w:p>
        </w:tc>
      </w:tr>
      <w:tr>
        <w:trPr>
          <w:trHeight w:val="224"/>
        </w:trPr>
        <w:tc>
          <w:tcPr>
            <w:tcW w:w="20" w:type="dxa"/>
            <w:vAlign w:val="bottom"/>
          </w:tcPr>
          <w:p>
            <w:pPr>
              <w:spacing w:after="0"/>
              <w:rPr>
                <w:sz w:val="19"/>
                <w:szCs w:val="19"/>
                <w:color w:val="auto"/>
              </w:rPr>
            </w:pPr>
          </w:p>
        </w:tc>
        <w:tc>
          <w:tcPr>
            <w:tcW w:w="4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Kristin Gamble</w:t>
            </w:r>
          </w:p>
        </w:tc>
        <w:tc>
          <w:tcPr>
            <w:tcW w:w="320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431"/>
        </w:trPr>
        <w:tc>
          <w:tcPr>
            <w:tcW w:w="4280" w:type="dxa"/>
            <w:vAlign w:val="bottom"/>
            <w:gridSpan w:val="2"/>
          </w:tcPr>
          <w:p>
            <w:pPr>
              <w:jc w:val="right"/>
              <w:ind w:right="2010"/>
              <w:spacing w:after="0"/>
              <w:rPr>
                <w:sz w:val="20"/>
                <w:szCs w:val="20"/>
                <w:color w:val="auto"/>
              </w:rPr>
            </w:pPr>
            <w:r>
              <w:rPr>
                <w:rFonts w:ascii="Arial" w:cs="Arial" w:eastAsia="Arial" w:hAnsi="Arial"/>
                <w:sz w:val="18"/>
                <w:szCs w:val="18"/>
                <w:color w:val="auto"/>
              </w:rPr>
              <w:t>*</w:t>
            </w:r>
          </w:p>
        </w:tc>
        <w:tc>
          <w:tcPr>
            <w:tcW w:w="3200" w:type="dxa"/>
            <w:vAlign w:val="bottom"/>
          </w:tcPr>
          <w:p>
            <w:pPr>
              <w:ind w:left="100"/>
              <w:spacing w:after="0"/>
              <w:rPr>
                <w:sz w:val="20"/>
                <w:szCs w:val="20"/>
                <w:color w:val="auto"/>
              </w:rPr>
            </w:pPr>
            <w:r>
              <w:rPr>
                <w:rFonts w:ascii="Arial" w:cs="Arial" w:eastAsia="Arial" w:hAnsi="Arial"/>
                <w:sz w:val="18"/>
                <w:szCs w:val="18"/>
                <w:color w:val="auto"/>
              </w:rPr>
              <w:t>Trustee</w:t>
            </w:r>
          </w:p>
        </w:tc>
        <w:tc>
          <w:tcPr>
            <w:tcW w:w="3580" w:type="dxa"/>
            <w:vAlign w:val="bottom"/>
          </w:tcPr>
          <w:p>
            <w:pPr>
              <w:ind w:left="2560"/>
              <w:spacing w:after="0"/>
              <w:rPr>
                <w:sz w:val="20"/>
                <w:szCs w:val="20"/>
                <w:color w:val="auto"/>
              </w:rPr>
            </w:pPr>
            <w:r>
              <w:rPr>
                <w:rFonts w:ascii="Arial" w:cs="Arial" w:eastAsia="Arial" w:hAnsi="Arial"/>
                <w:sz w:val="18"/>
                <w:szCs w:val="18"/>
                <w:color w:val="auto"/>
                <w:w w:val="91"/>
              </w:rPr>
              <w:t>May 12, 2015</w:t>
            </w:r>
          </w:p>
        </w:tc>
      </w:tr>
      <w:tr>
        <w:trPr>
          <w:trHeight w:val="224"/>
        </w:trPr>
        <w:tc>
          <w:tcPr>
            <w:tcW w:w="20" w:type="dxa"/>
            <w:vAlign w:val="bottom"/>
          </w:tcPr>
          <w:p>
            <w:pPr>
              <w:spacing w:after="0"/>
              <w:rPr>
                <w:sz w:val="19"/>
                <w:szCs w:val="19"/>
                <w:color w:val="auto"/>
              </w:rPr>
            </w:pPr>
          </w:p>
        </w:tc>
        <w:tc>
          <w:tcPr>
            <w:tcW w:w="4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Gail P. Steinel</w:t>
            </w:r>
          </w:p>
        </w:tc>
        <w:tc>
          <w:tcPr>
            <w:tcW w:w="320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431"/>
        </w:trPr>
        <w:tc>
          <w:tcPr>
            <w:tcW w:w="4280" w:type="dxa"/>
            <w:vAlign w:val="bottom"/>
            <w:gridSpan w:val="2"/>
          </w:tcPr>
          <w:p>
            <w:pPr>
              <w:jc w:val="right"/>
              <w:ind w:right="2010"/>
              <w:spacing w:after="0"/>
              <w:rPr>
                <w:sz w:val="20"/>
                <w:szCs w:val="20"/>
                <w:color w:val="auto"/>
              </w:rPr>
            </w:pPr>
            <w:r>
              <w:rPr>
                <w:rFonts w:ascii="Arial" w:cs="Arial" w:eastAsia="Arial" w:hAnsi="Arial"/>
                <w:sz w:val="18"/>
                <w:szCs w:val="18"/>
                <w:color w:val="auto"/>
              </w:rPr>
              <w:t>*</w:t>
            </w:r>
          </w:p>
        </w:tc>
        <w:tc>
          <w:tcPr>
            <w:tcW w:w="3200" w:type="dxa"/>
            <w:vAlign w:val="bottom"/>
          </w:tcPr>
          <w:p>
            <w:pPr>
              <w:ind w:left="100"/>
              <w:spacing w:after="0"/>
              <w:rPr>
                <w:sz w:val="20"/>
                <w:szCs w:val="20"/>
                <w:color w:val="auto"/>
              </w:rPr>
            </w:pPr>
            <w:r>
              <w:rPr>
                <w:rFonts w:ascii="Arial" w:cs="Arial" w:eastAsia="Arial" w:hAnsi="Arial"/>
                <w:sz w:val="18"/>
                <w:szCs w:val="18"/>
                <w:color w:val="auto"/>
              </w:rPr>
              <w:t>Trustee</w:t>
            </w:r>
          </w:p>
        </w:tc>
        <w:tc>
          <w:tcPr>
            <w:tcW w:w="3580" w:type="dxa"/>
            <w:vAlign w:val="bottom"/>
          </w:tcPr>
          <w:p>
            <w:pPr>
              <w:ind w:left="2560"/>
              <w:spacing w:after="0"/>
              <w:rPr>
                <w:sz w:val="20"/>
                <w:szCs w:val="20"/>
                <w:color w:val="auto"/>
              </w:rPr>
            </w:pPr>
            <w:r>
              <w:rPr>
                <w:rFonts w:ascii="Arial" w:cs="Arial" w:eastAsia="Arial" w:hAnsi="Arial"/>
                <w:sz w:val="18"/>
                <w:szCs w:val="18"/>
                <w:color w:val="auto"/>
                <w:w w:val="91"/>
              </w:rPr>
              <w:t>May 12, 2015</w:t>
            </w:r>
          </w:p>
        </w:tc>
      </w:tr>
      <w:tr>
        <w:trPr>
          <w:trHeight w:val="224"/>
        </w:trPr>
        <w:tc>
          <w:tcPr>
            <w:tcW w:w="20" w:type="dxa"/>
            <w:vAlign w:val="bottom"/>
          </w:tcPr>
          <w:p>
            <w:pPr>
              <w:spacing w:after="0"/>
              <w:rPr>
                <w:sz w:val="19"/>
                <w:szCs w:val="19"/>
                <w:color w:val="auto"/>
              </w:rPr>
            </w:pPr>
          </w:p>
        </w:tc>
        <w:tc>
          <w:tcPr>
            <w:tcW w:w="4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Warren M. Thompson</w:t>
            </w:r>
          </w:p>
        </w:tc>
        <w:tc>
          <w:tcPr>
            <w:tcW w:w="3200" w:type="dxa"/>
            <w:vAlign w:val="bottom"/>
          </w:tcPr>
          <w:p>
            <w:pPr>
              <w:spacing w:after="0"/>
              <w:rPr>
                <w:sz w:val="19"/>
                <w:szCs w:val="19"/>
                <w:color w:val="auto"/>
              </w:rPr>
            </w:pPr>
          </w:p>
        </w:tc>
        <w:tc>
          <w:tcPr>
            <w:tcW w:w="3580" w:type="dxa"/>
            <w:vAlign w:val="bottom"/>
          </w:tcPr>
          <w:p>
            <w:pPr>
              <w:spacing w:after="0"/>
              <w:rPr>
                <w:sz w:val="19"/>
                <w:szCs w:val="19"/>
                <w:color w:val="auto"/>
              </w:rPr>
            </w:pPr>
          </w:p>
        </w:tc>
      </w:tr>
    </w:tbl>
    <w:p>
      <w:pPr>
        <w:spacing w:after="0" w:line="228"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Attorney-in-fact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May 12, 2015</w:t>
      </w:r>
    </w:p>
    <w:p>
      <w:pPr>
        <w:sectPr>
          <w:pgSz w:w="11900" w:h="16838" w:orient="portrait"/>
          <w:cols w:equalWidth="0" w:num="1">
            <w:col w:w="11060"/>
          </w:cols>
          <w:pgMar w:left="240" w:top="459" w:right="5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400"/>
          </w:cols>
          <w:pgMar w:left="240" w:top="459" w:right="259"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Exhibit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2914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10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Description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Declaration of Trust of Federal Realty Investment Trust dated May 5, 1999 as amended by the Articles of Amendment of Declaration of Trust of Federal Realty Investment Trust dated May 6, 2004, as corrected by the Certificate of Correction of Articles of Amendment of Declaration of Trust of Federal Realty Investment Trust dated June 17, 2004, as amended by the Articles of Amendment of Declaration of Trust of Federal Realty Investment Trust dated May 6, 2009 (previously filed as Exhibit 3.1 to the Trust’s Registration Statement on Form S-3, filed on June 16, 2009 (File No. 333-160009) and incorporated herein by reference)</w:t>
      </w:r>
    </w:p>
    <w:p>
      <w:pPr>
        <w:spacing w:after="0" w:line="80" w:lineRule="exact"/>
        <w:rPr>
          <w:sz w:val="20"/>
          <w:szCs w:val="20"/>
          <w:color w:val="auto"/>
        </w:rPr>
      </w:pPr>
    </w:p>
    <w:p>
      <w:pPr>
        <w:sectPr>
          <w:pgSz w:w="11900" w:h="16838" w:orient="portrait"/>
          <w:cols w:equalWidth="0" w:num="2">
            <w:col w:w="460" w:space="560"/>
            <w:col w:w="10380"/>
          </w:cols>
          <w:pgMar w:left="240" w:top="459"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720" w:type="dxa"/>
            <w:vAlign w:val="bottom"/>
          </w:tcPr>
          <w:p>
            <w:pPr>
              <w:jc w:val="right"/>
              <w:ind w:right="310"/>
              <w:spacing w:after="0"/>
              <w:rPr>
                <w:sz w:val="20"/>
                <w:szCs w:val="20"/>
                <w:color w:val="auto"/>
              </w:rPr>
            </w:pPr>
            <w:r>
              <w:rPr>
                <w:rFonts w:ascii="Arial" w:cs="Arial" w:eastAsia="Arial" w:hAnsi="Arial"/>
                <w:sz w:val="18"/>
                <w:szCs w:val="18"/>
                <w:color w:val="auto"/>
              </w:rPr>
              <w:t>3.2</w:t>
            </w:r>
          </w:p>
        </w:tc>
        <w:tc>
          <w:tcPr>
            <w:tcW w:w="10500" w:type="dxa"/>
            <w:vAlign w:val="bottom"/>
          </w:tcPr>
          <w:p>
            <w:pPr>
              <w:ind w:left="300"/>
              <w:spacing w:after="0"/>
              <w:rPr>
                <w:sz w:val="20"/>
                <w:szCs w:val="20"/>
                <w:color w:val="auto"/>
              </w:rPr>
            </w:pPr>
            <w:r>
              <w:rPr>
                <w:rFonts w:ascii="Arial" w:cs="Arial" w:eastAsia="Arial" w:hAnsi="Arial"/>
                <w:sz w:val="18"/>
                <w:szCs w:val="18"/>
                <w:color w:val="auto"/>
                <w:w w:val="92"/>
              </w:rPr>
              <w:t>Amended and Restated Bylaws of Federal Realty Investment Trust dated February 12, 2003, as amended October 29, 2003, May 5, 2004,</w:t>
            </w:r>
          </w:p>
        </w:tc>
      </w:tr>
      <w:tr>
        <w:trPr>
          <w:trHeight w:val="216"/>
        </w:trPr>
        <w:tc>
          <w:tcPr>
            <w:tcW w:w="720" w:type="dxa"/>
            <w:vAlign w:val="bottom"/>
          </w:tcPr>
          <w:p>
            <w:pPr>
              <w:spacing w:after="0"/>
              <w:rPr>
                <w:sz w:val="18"/>
                <w:szCs w:val="18"/>
                <w:color w:val="auto"/>
              </w:rPr>
            </w:pPr>
          </w:p>
        </w:tc>
        <w:tc>
          <w:tcPr>
            <w:tcW w:w="10500" w:type="dxa"/>
            <w:vAlign w:val="bottom"/>
          </w:tcPr>
          <w:p>
            <w:pPr>
              <w:ind w:left="300"/>
              <w:spacing w:after="0"/>
              <w:rPr>
                <w:sz w:val="20"/>
                <w:szCs w:val="20"/>
                <w:color w:val="auto"/>
              </w:rPr>
            </w:pPr>
            <w:r>
              <w:rPr>
                <w:rFonts w:ascii="Arial" w:cs="Arial" w:eastAsia="Arial" w:hAnsi="Arial"/>
                <w:sz w:val="18"/>
                <w:szCs w:val="18"/>
                <w:color w:val="auto"/>
                <w:w w:val="91"/>
              </w:rPr>
              <w:t>February 17, 2006 and May 6, 2009 (previously filed as Exhibit 3.2 to the Trust’s Registration Statement on Form S-3, filed on June 16, 2009</w:t>
            </w:r>
          </w:p>
        </w:tc>
      </w:tr>
      <w:tr>
        <w:trPr>
          <w:trHeight w:val="230"/>
        </w:trPr>
        <w:tc>
          <w:tcPr>
            <w:tcW w:w="720" w:type="dxa"/>
            <w:vAlign w:val="bottom"/>
          </w:tcPr>
          <w:p>
            <w:pPr>
              <w:spacing w:after="0"/>
              <w:rPr>
                <w:sz w:val="20"/>
                <w:szCs w:val="20"/>
                <w:color w:val="auto"/>
              </w:rPr>
            </w:pPr>
          </w:p>
        </w:tc>
        <w:tc>
          <w:tcPr>
            <w:tcW w:w="10500" w:type="dxa"/>
            <w:vAlign w:val="bottom"/>
          </w:tcPr>
          <w:p>
            <w:pPr>
              <w:ind w:left="300"/>
              <w:spacing w:after="0"/>
              <w:rPr>
                <w:sz w:val="20"/>
                <w:szCs w:val="20"/>
                <w:color w:val="auto"/>
              </w:rPr>
            </w:pPr>
            <w:r>
              <w:rPr>
                <w:rFonts w:ascii="Arial" w:cs="Arial" w:eastAsia="Arial" w:hAnsi="Arial"/>
                <w:sz w:val="18"/>
                <w:szCs w:val="18"/>
                <w:color w:val="auto"/>
              </w:rPr>
              <w:t>(File No. 333-160009) and incorporated herein by reference)</w:t>
            </w:r>
          </w:p>
        </w:tc>
      </w:tr>
      <w:tr>
        <w:trPr>
          <w:trHeight w:val="310"/>
        </w:trPr>
        <w:tc>
          <w:tcPr>
            <w:tcW w:w="720" w:type="dxa"/>
            <w:vAlign w:val="bottom"/>
          </w:tcPr>
          <w:p>
            <w:pPr>
              <w:jc w:val="right"/>
              <w:ind w:right="310"/>
              <w:spacing w:after="0"/>
              <w:rPr>
                <w:sz w:val="20"/>
                <w:szCs w:val="20"/>
                <w:color w:val="auto"/>
              </w:rPr>
            </w:pPr>
            <w:r>
              <w:rPr>
                <w:rFonts w:ascii="Arial" w:cs="Arial" w:eastAsia="Arial" w:hAnsi="Arial"/>
                <w:sz w:val="18"/>
                <w:szCs w:val="18"/>
                <w:color w:val="auto"/>
              </w:rPr>
              <w:t>4.1</w:t>
            </w:r>
          </w:p>
        </w:tc>
        <w:tc>
          <w:tcPr>
            <w:tcW w:w="10500" w:type="dxa"/>
            <w:vAlign w:val="bottom"/>
          </w:tcPr>
          <w:p>
            <w:pPr>
              <w:ind w:left="300"/>
              <w:spacing w:after="0"/>
              <w:rPr>
                <w:sz w:val="20"/>
                <w:szCs w:val="20"/>
                <w:color w:val="auto"/>
              </w:rPr>
            </w:pPr>
            <w:r>
              <w:rPr>
                <w:rFonts w:ascii="Arial" w:cs="Arial" w:eastAsia="Arial" w:hAnsi="Arial"/>
                <w:sz w:val="18"/>
                <w:szCs w:val="18"/>
                <w:color w:val="auto"/>
                <w:w w:val="98"/>
              </w:rPr>
              <w:t>Specimen Common Share certificate (previously filed as Exhibit 4(i) to the Trust’s Annual Report on Form 10-K for the year ended</w:t>
            </w:r>
          </w:p>
        </w:tc>
      </w:tr>
      <w:tr>
        <w:trPr>
          <w:trHeight w:val="230"/>
        </w:trPr>
        <w:tc>
          <w:tcPr>
            <w:tcW w:w="720" w:type="dxa"/>
            <w:vAlign w:val="bottom"/>
          </w:tcPr>
          <w:p>
            <w:pPr>
              <w:spacing w:after="0"/>
              <w:rPr>
                <w:sz w:val="20"/>
                <w:szCs w:val="20"/>
                <w:color w:val="auto"/>
              </w:rPr>
            </w:pPr>
          </w:p>
        </w:tc>
        <w:tc>
          <w:tcPr>
            <w:tcW w:w="10500" w:type="dxa"/>
            <w:vAlign w:val="bottom"/>
          </w:tcPr>
          <w:p>
            <w:pPr>
              <w:ind w:left="300"/>
              <w:spacing w:after="0"/>
              <w:rPr>
                <w:sz w:val="20"/>
                <w:szCs w:val="20"/>
                <w:color w:val="auto"/>
              </w:rPr>
            </w:pPr>
            <w:r>
              <w:rPr>
                <w:rFonts w:ascii="Arial" w:cs="Arial" w:eastAsia="Arial" w:hAnsi="Arial"/>
                <w:sz w:val="18"/>
                <w:szCs w:val="18"/>
                <w:color w:val="auto"/>
              </w:rPr>
              <w:t>December 31, 1999 (File No. 1-07533) and incorporated herein by reference)</w:t>
            </w:r>
          </w:p>
        </w:tc>
      </w:tr>
      <w:tr>
        <w:trPr>
          <w:trHeight w:val="324"/>
        </w:trPr>
        <w:tc>
          <w:tcPr>
            <w:tcW w:w="720" w:type="dxa"/>
            <w:vAlign w:val="bottom"/>
          </w:tcPr>
          <w:p>
            <w:pPr>
              <w:jc w:val="right"/>
              <w:ind w:right="210"/>
              <w:spacing w:after="0"/>
              <w:rPr>
                <w:sz w:val="20"/>
                <w:szCs w:val="20"/>
                <w:color w:val="auto"/>
              </w:rPr>
            </w:pPr>
            <w:r>
              <w:rPr>
                <w:rFonts w:ascii="Arial" w:cs="Arial" w:eastAsia="Arial" w:hAnsi="Arial"/>
                <w:sz w:val="18"/>
                <w:szCs w:val="18"/>
                <w:color w:val="auto"/>
              </w:rPr>
              <w:t>5.1*</w:t>
            </w:r>
          </w:p>
        </w:tc>
        <w:tc>
          <w:tcPr>
            <w:tcW w:w="10500" w:type="dxa"/>
            <w:vAlign w:val="bottom"/>
          </w:tcPr>
          <w:p>
            <w:pPr>
              <w:ind w:left="300"/>
              <w:spacing w:after="0"/>
              <w:rPr>
                <w:sz w:val="20"/>
                <w:szCs w:val="20"/>
                <w:color w:val="auto"/>
              </w:rPr>
            </w:pPr>
            <w:r>
              <w:rPr>
                <w:rFonts w:ascii="Arial" w:cs="Arial" w:eastAsia="Arial" w:hAnsi="Arial"/>
                <w:sz w:val="18"/>
                <w:szCs w:val="18"/>
                <w:color w:val="auto"/>
              </w:rPr>
              <w:t>Opinion of Pillsbury Winthrop Shaw Pittman LLP regarding the legality of the securities being registered</w:t>
            </w:r>
          </w:p>
        </w:tc>
      </w:tr>
      <w:tr>
        <w:trPr>
          <w:trHeight w:val="324"/>
        </w:trPr>
        <w:tc>
          <w:tcPr>
            <w:tcW w:w="720" w:type="dxa"/>
            <w:vAlign w:val="bottom"/>
          </w:tcPr>
          <w:p>
            <w:pPr>
              <w:jc w:val="right"/>
              <w:ind w:right="210"/>
              <w:spacing w:after="0"/>
              <w:rPr>
                <w:sz w:val="20"/>
                <w:szCs w:val="20"/>
                <w:color w:val="auto"/>
              </w:rPr>
            </w:pPr>
            <w:r>
              <w:rPr>
                <w:rFonts w:ascii="Arial" w:cs="Arial" w:eastAsia="Arial" w:hAnsi="Arial"/>
                <w:sz w:val="18"/>
                <w:szCs w:val="18"/>
                <w:color w:val="auto"/>
              </w:rPr>
              <w:t>8.1*</w:t>
            </w:r>
          </w:p>
        </w:tc>
        <w:tc>
          <w:tcPr>
            <w:tcW w:w="10500" w:type="dxa"/>
            <w:vAlign w:val="bottom"/>
          </w:tcPr>
          <w:p>
            <w:pPr>
              <w:ind w:left="300"/>
              <w:spacing w:after="0"/>
              <w:rPr>
                <w:sz w:val="20"/>
                <w:szCs w:val="20"/>
                <w:color w:val="auto"/>
              </w:rPr>
            </w:pPr>
            <w:r>
              <w:rPr>
                <w:rFonts w:ascii="Arial" w:cs="Arial" w:eastAsia="Arial" w:hAnsi="Arial"/>
                <w:sz w:val="18"/>
                <w:szCs w:val="18"/>
                <w:color w:val="auto"/>
              </w:rPr>
              <w:t>Opinion of Pillsbury Winthrop Shaw Pittman LLP regarding certain federal income tax matters</w:t>
            </w:r>
          </w:p>
        </w:tc>
      </w:tr>
      <w:tr>
        <w:trPr>
          <w:trHeight w:val="324"/>
        </w:trPr>
        <w:tc>
          <w:tcPr>
            <w:tcW w:w="720" w:type="dxa"/>
            <w:vAlign w:val="bottom"/>
          </w:tcPr>
          <w:p>
            <w:pPr>
              <w:jc w:val="right"/>
              <w:ind w:right="210"/>
              <w:spacing w:after="0"/>
              <w:rPr>
                <w:sz w:val="20"/>
                <w:szCs w:val="20"/>
                <w:color w:val="auto"/>
              </w:rPr>
            </w:pPr>
            <w:r>
              <w:rPr>
                <w:rFonts w:ascii="Arial" w:cs="Arial" w:eastAsia="Arial" w:hAnsi="Arial"/>
                <w:sz w:val="18"/>
                <w:szCs w:val="18"/>
                <w:color w:val="auto"/>
                <w:w w:val="95"/>
              </w:rPr>
              <w:t>23.1*</w:t>
            </w:r>
          </w:p>
        </w:tc>
        <w:tc>
          <w:tcPr>
            <w:tcW w:w="10500" w:type="dxa"/>
            <w:vAlign w:val="bottom"/>
          </w:tcPr>
          <w:p>
            <w:pPr>
              <w:ind w:left="300"/>
              <w:spacing w:after="0"/>
              <w:rPr>
                <w:sz w:val="20"/>
                <w:szCs w:val="20"/>
                <w:color w:val="auto"/>
              </w:rPr>
            </w:pPr>
            <w:r>
              <w:rPr>
                <w:rFonts w:ascii="Arial" w:cs="Arial" w:eastAsia="Arial" w:hAnsi="Arial"/>
                <w:sz w:val="18"/>
                <w:szCs w:val="18"/>
                <w:color w:val="auto"/>
              </w:rPr>
              <w:t>Consent of Grant Thornton LLP</w:t>
            </w:r>
          </w:p>
        </w:tc>
      </w:tr>
      <w:tr>
        <w:trPr>
          <w:trHeight w:val="324"/>
        </w:trPr>
        <w:tc>
          <w:tcPr>
            <w:tcW w:w="720" w:type="dxa"/>
            <w:vAlign w:val="bottom"/>
          </w:tcPr>
          <w:p>
            <w:pPr>
              <w:jc w:val="right"/>
              <w:ind w:right="210"/>
              <w:spacing w:after="0"/>
              <w:rPr>
                <w:sz w:val="20"/>
                <w:szCs w:val="20"/>
                <w:color w:val="auto"/>
              </w:rPr>
            </w:pPr>
            <w:r>
              <w:rPr>
                <w:rFonts w:ascii="Arial" w:cs="Arial" w:eastAsia="Arial" w:hAnsi="Arial"/>
                <w:sz w:val="18"/>
                <w:szCs w:val="18"/>
                <w:color w:val="auto"/>
                <w:w w:val="95"/>
              </w:rPr>
              <w:t>23.2*</w:t>
            </w:r>
          </w:p>
        </w:tc>
        <w:tc>
          <w:tcPr>
            <w:tcW w:w="10500" w:type="dxa"/>
            <w:vAlign w:val="bottom"/>
          </w:tcPr>
          <w:p>
            <w:pPr>
              <w:ind w:left="300"/>
              <w:spacing w:after="0"/>
              <w:rPr>
                <w:sz w:val="20"/>
                <w:szCs w:val="20"/>
                <w:color w:val="auto"/>
              </w:rPr>
            </w:pPr>
            <w:r>
              <w:rPr>
                <w:rFonts w:ascii="Arial" w:cs="Arial" w:eastAsia="Arial" w:hAnsi="Arial"/>
                <w:sz w:val="18"/>
                <w:szCs w:val="18"/>
                <w:color w:val="auto"/>
              </w:rPr>
              <w:t>Consent of Pillsbury Winthrop Shaw Pittman LLP (included in Exhibits 5.1 and 8.1)</w:t>
            </w:r>
          </w:p>
        </w:tc>
      </w:tr>
      <w:tr>
        <w:trPr>
          <w:trHeight w:val="324"/>
        </w:trPr>
        <w:tc>
          <w:tcPr>
            <w:tcW w:w="720" w:type="dxa"/>
            <w:vAlign w:val="bottom"/>
          </w:tcPr>
          <w:p>
            <w:pPr>
              <w:jc w:val="right"/>
              <w:ind w:right="210"/>
              <w:spacing w:after="0"/>
              <w:rPr>
                <w:sz w:val="20"/>
                <w:szCs w:val="20"/>
                <w:color w:val="auto"/>
              </w:rPr>
            </w:pPr>
            <w:r>
              <w:rPr>
                <w:rFonts w:ascii="Arial" w:cs="Arial" w:eastAsia="Arial" w:hAnsi="Arial"/>
                <w:sz w:val="18"/>
                <w:szCs w:val="18"/>
                <w:color w:val="auto"/>
                <w:w w:val="95"/>
              </w:rPr>
              <w:t>24.1*</w:t>
            </w:r>
          </w:p>
        </w:tc>
        <w:tc>
          <w:tcPr>
            <w:tcW w:w="10500" w:type="dxa"/>
            <w:vAlign w:val="bottom"/>
          </w:tcPr>
          <w:p>
            <w:pPr>
              <w:ind w:left="300"/>
              <w:spacing w:after="0"/>
              <w:rPr>
                <w:sz w:val="20"/>
                <w:szCs w:val="20"/>
                <w:color w:val="auto"/>
              </w:rPr>
            </w:pPr>
            <w:r>
              <w:rPr>
                <w:rFonts w:ascii="Arial" w:cs="Arial" w:eastAsia="Arial" w:hAnsi="Arial"/>
                <w:sz w:val="18"/>
                <w:szCs w:val="18"/>
                <w:color w:val="auto"/>
              </w:rPr>
              <w:t>Power of Attorney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Included with this filing.</w:t>
      </w:r>
    </w:p>
    <w:p>
      <w:pPr>
        <w:sectPr>
          <w:pgSz w:w="11900" w:h="16838" w:orient="portrait"/>
          <w:cols w:equalWidth="0" w:num="1">
            <w:col w:w="11400"/>
          </w:cols>
          <w:pgMar w:left="240" w:top="459" w:right="259" w:bottom="1440" w:gutter="0" w:footer="0" w:header="0"/>
          <w:type w:val="continuous"/>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5.1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PILLSBURY WINTHROP SHAW PITTMAN LLP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1200 Seventeenth Street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12,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23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are acting as counsel for Federal Realty Investment Trust, a Maryland real estate investment trust (the “Company”), in connection with the Registration Statement on Form S-3 relating to the registration under the Securities Act of 1933 (the “Act”) of 917,598 common shares of beneficial interest, par value $0.01 per share (the “Common Shares”), of the Company, all of which are authorized but heretofore unissued shares to be offered and sold by certain shareholders of the Company (the “Selling Shareholder Shares”). (Such Registration Statement, as the same may be amended from time to time, is herein referred to as the “Registration Statement.”) The Selling Shareholder Shares are comprised of Common Shares issuable upon (i) the conversion of the Company’s outstanding 5.147% Series 1 Cumulative Convertible Preferred Shares of Beneficial Interest, par value $0.01 per share (the “Preferred Shares”), or (ii) the redemption of outstanding units (the “DownREIT Units”) of limited partnership interest or limited liability company interest, as the case may be, in each of (A) NVI-Avenue, LLC, (B) Route 35 Shrewsbury Limited Partnership, (C) Shrewsbury Commons L.P., (D) Sea Girt Limited Partnership, (E) 35 West, LLC and (F) Federal Realty Partners L.P. (such entities in items (A) through (F), collectively the “DownREIT Entities”).</w:t>
      </w:r>
    </w:p>
    <w:p>
      <w:pPr>
        <w:spacing w:after="0" w:line="16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have reviewed and are familiar with such documents, corporate proceedings and other matters as we have considered relevant or necessary as a basis for this opinion. On the basis of the foregoing and the assumptions set forth below, and subject to the other qualifications and limitations set forth herein, we are of the opinion that the Selling Shareholder Shares have been duly authorized and, upon (i) conversion of the Preferred Shares into Common Shares in accordance with the Articles Supplementary establishing and fixing the rights and preferences of the Preferred Shares and (ii) redemption of the DownREIT Units for Common Shares in accordance with the agreement of limited partnership or operating agreement, as applicable, of each of the DownREIT Entities, will be validly issued, fully paid and nonassessable.</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assumed that (a) at or prior to the time of the delivery of any of the Selling Shareholder Shares, the Registration Statement will be effective under the Act, (b) at the time of issuance, the Company has a sufficient number of authorized but unissued Common Shares under the Declaration of Trust of the Company, as amended and corrected, and (c) the Company’s Board of Trustees shall not have rescinded or otherwise modified the authorization of the Selling Shareholder Shares.</w:t>
      </w:r>
    </w:p>
    <w:p>
      <w:pPr>
        <w:sectPr>
          <w:pgSz w:w="11900" w:h="16838" w:orient="portrait"/>
          <w:cols w:equalWidth="0" w:num="1">
            <w:col w:w="11420"/>
          </w:cols>
          <w:pgMar w:left="240" w:top="121"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opinion is limited to matters governed by the law of the State of Maryland.</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hereby consent to the filing of this opinion as Exhibit 5.1 to the Registration Statement and to the use of our name under the caption “Legal Matters” in the Registration Statement and in the Prospectus included therein. In giving this consent, we do not thereby admit that we are within the category of persons whose consent is required under Section 7 of the Act or the rules and regulations of the Securities and Exchange Commission promulgated thereunder.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Pillsbury Winthrop Shaw Pittman LLP</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274" w:right="39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8.1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1200 Seventeenth Street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12,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You have requested certain opinions regarding the application of U.S. federal income tax laws to Federal Realty Investment Trust, a Maryland real estate investment trust (the “Company”), in connection with the filing of a registration statement on Form S-3 (the “Registration Statement,” which term includes a prospectus (the “Prospectus”) and all documents incorporated and deemed to be incorporated by reference therein) on May 12, 2015 with the Securities and Exchange Commission.</w:t>
      </w:r>
    </w:p>
    <w:p>
      <w:pPr>
        <w:spacing w:after="0" w:line="187"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In rendering the following opinions, we have examined such statutes, regulations, records, certificates and other documents as we have considered necessary or appropriate as a basis for such opinions, including the following: (1) the Company’s Registration Statement, (2) the Declaration of Trust of the Company, as amended, restated or supplemented, if applicable (the “Declaration of Trust”) and the Amended and Restated Bylaws of the Company,</w:t>
      </w:r>
    </w:p>
    <w:p>
      <w:pPr>
        <w:ind w:left="260" w:hanging="252"/>
        <w:spacing w:after="0"/>
        <w:tabs>
          <w:tab w:leader="none" w:pos="2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certain written representations of the Company contained in a letter to us dated as of the date hereof, a copy of which is attached as Schedule 1 hereto,</w:t>
      </w:r>
    </w:p>
    <w:p>
      <w:pPr>
        <w:spacing w:after="0" w:line="32" w:lineRule="exact"/>
        <w:rPr>
          <w:rFonts w:ascii="Arial" w:cs="Arial" w:eastAsia="Arial" w:hAnsi="Arial"/>
          <w:sz w:val="16"/>
          <w:szCs w:val="16"/>
          <w:color w:val="auto"/>
        </w:rPr>
      </w:pPr>
    </w:p>
    <w:p>
      <w:pPr>
        <w:ind w:right="40" w:firstLine="8"/>
        <w:spacing w:after="0" w:line="290" w:lineRule="auto"/>
        <w:tabs>
          <w:tab w:leader="none" w:pos="255"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6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 Revenue Code of 1986, as amended (the “Code”) or the regulations promulgated thereunder (the “Treasury Regulations”), we have reviewed with the individuals making</w:t>
      </w:r>
    </w:p>
    <w:p>
      <w:pPr>
        <w:sectPr>
          <w:pgSz w:w="11900" w:h="16838" w:orient="portrait"/>
          <w:cols w:equalWidth="0" w:num="1">
            <w:col w:w="11420"/>
          </w:cols>
          <w:pgMar w:left="240" w:top="121" w:right="239" w:bottom="1440" w:gutter="0" w:footer="0" w:header="0"/>
        </w:sectPr>
      </w:pPr>
    </w:p>
    <w:bookmarkStart w:id="50" w:name="page51"/>
    <w:bookmarkEnd w:id="50"/>
    <w:p>
      <w:pPr>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54"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2015;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(2015) taxable year and for future taxable years, and (iii) the discussions in (x) the Prospectus under the caption “Material Federal Income Tax Considerations” and (y) the Company’s Annual Report on Form 10-K for the year ended December 31, 2014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and “Risk Factors–To maintain our status as a REIT, we limit the amount of shares any one shareholder can own,” which is incorporated by reference into the Registration Statement, to the extent that they discuss matters of law or legal conclusions or purport to describe certain provisions of the federal tax laws, are correct summaries of the matters discussed therein, and the opinions of such counsel appearing in the Prospectus under the caption “Material Federal Income Tax Considerations” are hereby confirmed.</w:t>
      </w:r>
    </w:p>
    <w:p>
      <w:pPr>
        <w:spacing w:after="0" w:line="180"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The opinions set forth in this letter are based on existing law as contained in the Code, Treasury Regulations (including any Temporary and Proposed Regulations), and interpretations of the foregoing by the Internal Revenue Service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 assurance can be given as to whether, for any given taxable year, the actual ownership of the Company’s stock and its actual operating results and distributions satisfy the tests necessary to achieve and maintain its status as a REIT.</w:t>
      </w:r>
    </w:p>
    <w:p>
      <w:pPr>
        <w:sectPr>
          <w:pgSz w:w="11900" w:h="16838" w:orient="portrait"/>
          <w:cols w:equalWidth="0" w:num="1">
            <w:col w:w="11400"/>
          </w:cols>
          <w:pgMar w:left="240" w:top="274" w:right="259" w:bottom="1440" w:gutter="0" w:footer="0" w:header="0"/>
        </w:sectPr>
      </w:pPr>
    </w:p>
    <w:bookmarkStart w:id="51" w:name="page52"/>
    <w:bookmarkEnd w:id="51"/>
    <w:p>
      <w:pPr>
        <w:ind w:right="4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PILLSBURY WINTHROP SHAW PITTMAN LLP</w:t>
      </w:r>
    </w:p>
    <w:p>
      <w:pPr>
        <w:sectPr>
          <w:pgSz w:w="11900" w:h="16838" w:orient="portrait"/>
          <w:cols w:equalWidth="0" w:num="1">
            <w:col w:w="11240"/>
          </w:cols>
          <w:pgMar w:left="240" w:top="274" w:right="41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have issued our reports dated February 10, 2015, with respect to the consolidated financial statements, schedules and internal control over financial reporting included in the Annual Report of Federal Realty Investment Trust on Form 10-K for the year ended December 31, 2014, which are incorporated by reference in this Registration Statement. We consent to the incorporation by reference of the aforementioned reports in this Registration Statement on Form S-3 of Federal Realty Investment Trust, and to the use of our name as it appears under the caption “Experts.”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12, 2015</w:t>
      </w:r>
    </w:p>
    <w:p>
      <w:pPr>
        <w:sectPr>
          <w:pgSz w:w="11900" w:h="16838" w:orient="portrait"/>
          <w:cols w:equalWidth="0" w:num="1">
            <w:col w:w="11420"/>
          </w:cols>
          <w:pgMar w:left="240" w:top="12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24.1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the undersigned trustees and officers of Federal Realty Investment Trust, a Maryland real estate investment trust, do hereby constitute and appoint Donald C. Wood, James M. Taylor, Jr. and Dawn M. Becker, and each and either of them, our true and lawful attorneys-in-fact and agents, with full power of substitution and resubstitution, to do any and all acts and things in our names and on our behalf in our capacities as trustees and officers and to execute any and all instruments for us and in our name in the capacities indicated below, which said attorneys and agents may deem necessary or advisable to enable said trust to comply with the Securities Act of 1933 and any rules, regulations and requirements of the Securities and Exchange Commission, in connection with this registration statement, or any registration statement for this offering that is to be effective upon filing pursuant to Rule 462(b) under the Securities Act of 1933, including specifically, but without limitation, any and all amendments (including post-effective amendments) hereto and thereto; and we hereby ratify and confirm all that said attorneys and agents, or either of them, shall do or cause to be done by virtue thereof.</w:t>
      </w:r>
    </w:p>
    <w:p>
      <w:pPr>
        <w:sectPr>
          <w:pgSz w:w="11900" w:h="16838" w:orient="portrait"/>
          <w:cols w:equalWidth="0" w:num="1">
            <w:col w:w="11420"/>
          </w:cols>
          <w:pgMar w:left="240" w:top="121" w:right="239" w:bottom="1440" w:gutter="0" w:footer="0" w:header="0"/>
        </w:sectPr>
      </w:pP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SIGNATURE</w:t>
            </w:r>
          </w:p>
        </w:tc>
        <w:tc>
          <w:tcPr>
            <w:tcW w:w="1700" w:type="dxa"/>
            <w:vAlign w:val="bottom"/>
          </w:tcPr>
          <w:p>
            <w:pPr>
              <w:spacing w:after="0"/>
              <w:rPr>
                <w:sz w:val="14"/>
                <w:szCs w:val="14"/>
                <w:color w:val="auto"/>
              </w:rPr>
            </w:pPr>
          </w:p>
        </w:tc>
      </w:tr>
      <w:tr>
        <w:trPr>
          <w:trHeight w:val="426"/>
        </w:trPr>
        <w:tc>
          <w:tcPr>
            <w:tcW w:w="1520" w:type="dxa"/>
            <w:vAlign w:val="bottom"/>
            <w:tcBorders>
              <w:bottom w:val="single" w:sz="8" w:color="auto"/>
            </w:tcBorders>
            <w:gridSpan w:val="2"/>
          </w:tcPr>
          <w:p>
            <w:pPr>
              <w:ind w:left="1180"/>
              <w:spacing w:after="0"/>
              <w:rPr>
                <w:sz w:val="20"/>
                <w:szCs w:val="20"/>
                <w:color w:val="auto"/>
              </w:rPr>
            </w:pPr>
            <w:r>
              <w:rPr>
                <w:rFonts w:ascii="Arial" w:cs="Arial" w:eastAsia="Arial" w:hAnsi="Arial"/>
                <w:sz w:val="18"/>
                <w:szCs w:val="18"/>
                <w:color w:val="auto"/>
              </w:rPr>
              <w:t>/s/</w:t>
            </w:r>
          </w:p>
        </w:tc>
        <w:tc>
          <w:tcPr>
            <w:tcW w:w="2760" w:type="dxa"/>
            <w:vAlign w:val="bottom"/>
            <w:tcBorders>
              <w:bottom w:val="single" w:sz="8" w:color="auto"/>
            </w:tcBorders>
            <w:gridSpan w:val="3"/>
          </w:tcPr>
          <w:p>
            <w:pPr>
              <w:jc w:val="center"/>
              <w:ind w:right="1520"/>
              <w:spacing w:after="0"/>
              <w:rPr>
                <w:sz w:val="20"/>
                <w:szCs w:val="20"/>
                <w:color w:val="auto"/>
              </w:rPr>
            </w:pPr>
            <w:r>
              <w:rPr>
                <w:rFonts w:ascii="Arial" w:cs="Arial" w:eastAsia="Arial" w:hAnsi="Arial"/>
                <w:sz w:val="18"/>
                <w:szCs w:val="18"/>
                <w:color w:val="auto"/>
                <w:w w:val="90"/>
              </w:rPr>
              <w:t>Donald C. Wood</w:t>
            </w:r>
          </w:p>
        </w:tc>
      </w:tr>
      <w:tr>
        <w:trPr>
          <w:trHeight w:val="224"/>
        </w:trPr>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60" w:type="dxa"/>
            <w:vAlign w:val="bottom"/>
            <w:gridSpan w:val="3"/>
          </w:tcPr>
          <w:p>
            <w:pPr>
              <w:jc w:val="center"/>
              <w:ind w:right="1520"/>
              <w:spacing w:after="0"/>
              <w:rPr>
                <w:sz w:val="20"/>
                <w:szCs w:val="20"/>
                <w:color w:val="auto"/>
              </w:rPr>
            </w:pPr>
            <w:r>
              <w:rPr>
                <w:rFonts w:ascii="Arial" w:cs="Arial" w:eastAsia="Arial" w:hAnsi="Arial"/>
                <w:sz w:val="18"/>
                <w:szCs w:val="18"/>
                <w:color w:val="auto"/>
                <w:w w:val="90"/>
              </w:rPr>
              <w:t>Donald C. Wood</w:t>
            </w:r>
          </w:p>
        </w:tc>
      </w:tr>
      <w:tr>
        <w:trPr>
          <w:trHeight w:val="634"/>
        </w:trPr>
        <w:tc>
          <w:tcPr>
            <w:tcW w:w="126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w w:val="94"/>
              </w:rPr>
              <w:t>/s/</w:t>
            </w:r>
          </w:p>
        </w:tc>
        <w:tc>
          <w:tcPr>
            <w:tcW w:w="3020" w:type="dxa"/>
            <w:vAlign w:val="bottom"/>
            <w:tcBorders>
              <w:bottom w:val="single" w:sz="8" w:color="auto"/>
            </w:tcBorders>
            <w:gridSpan w:val="4"/>
          </w:tcPr>
          <w:p>
            <w:pPr>
              <w:jc w:val="center"/>
              <w:ind w:right="1260"/>
              <w:spacing w:after="0"/>
              <w:rPr>
                <w:sz w:val="20"/>
                <w:szCs w:val="20"/>
                <w:color w:val="auto"/>
              </w:rPr>
            </w:pPr>
            <w:r>
              <w:rPr>
                <w:rFonts w:ascii="Arial" w:cs="Arial" w:eastAsia="Arial" w:hAnsi="Arial"/>
                <w:sz w:val="18"/>
                <w:szCs w:val="18"/>
                <w:color w:val="auto"/>
                <w:w w:val="88"/>
              </w:rPr>
              <w:t>James M. Taylor, Jr.</w:t>
            </w:r>
          </w:p>
        </w:tc>
      </w:tr>
      <w:tr>
        <w:trPr>
          <w:trHeight w:val="224"/>
        </w:trPr>
        <w:tc>
          <w:tcPr>
            <w:tcW w:w="1260" w:type="dxa"/>
            <w:vAlign w:val="bottom"/>
          </w:tcPr>
          <w:p>
            <w:pPr>
              <w:spacing w:after="0"/>
              <w:rPr>
                <w:sz w:val="19"/>
                <w:szCs w:val="19"/>
                <w:color w:val="auto"/>
              </w:rPr>
            </w:pPr>
          </w:p>
        </w:tc>
        <w:tc>
          <w:tcPr>
            <w:tcW w:w="3020" w:type="dxa"/>
            <w:vAlign w:val="bottom"/>
            <w:gridSpan w:val="4"/>
          </w:tcPr>
          <w:p>
            <w:pPr>
              <w:jc w:val="center"/>
              <w:ind w:right="1260"/>
              <w:spacing w:after="0"/>
              <w:rPr>
                <w:sz w:val="20"/>
                <w:szCs w:val="20"/>
                <w:color w:val="auto"/>
              </w:rPr>
            </w:pPr>
            <w:r>
              <w:rPr>
                <w:rFonts w:ascii="Arial" w:cs="Arial" w:eastAsia="Arial" w:hAnsi="Arial"/>
                <w:sz w:val="18"/>
                <w:szCs w:val="18"/>
                <w:color w:val="auto"/>
                <w:w w:val="88"/>
              </w:rPr>
              <w:t>James M. Taylor, Jr.</w:t>
            </w:r>
          </w:p>
        </w:tc>
      </w:tr>
      <w:tr>
        <w:trPr>
          <w:trHeight w:val="634"/>
        </w:trPr>
        <w:tc>
          <w:tcPr>
            <w:tcW w:w="126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/s/</w:t>
            </w:r>
          </w:p>
        </w:tc>
        <w:tc>
          <w:tcPr>
            <w:tcW w:w="3020" w:type="dxa"/>
            <w:vAlign w:val="bottom"/>
            <w:tcBorders>
              <w:bottom w:val="single" w:sz="8" w:color="auto"/>
            </w:tcBorders>
            <w:gridSpan w:val="4"/>
          </w:tcPr>
          <w:p>
            <w:pPr>
              <w:jc w:val="center"/>
              <w:ind w:right="1260"/>
              <w:spacing w:after="0"/>
              <w:rPr>
                <w:sz w:val="20"/>
                <w:szCs w:val="20"/>
                <w:color w:val="auto"/>
              </w:rPr>
            </w:pPr>
            <w:r>
              <w:rPr>
                <w:rFonts w:ascii="Arial" w:cs="Arial" w:eastAsia="Arial" w:hAnsi="Arial"/>
                <w:sz w:val="18"/>
                <w:szCs w:val="18"/>
                <w:color w:val="auto"/>
                <w:w w:val="86"/>
              </w:rPr>
              <w:t>Joseph S. Vassalluzzo</w:t>
            </w:r>
          </w:p>
        </w:tc>
      </w:tr>
      <w:tr>
        <w:trPr>
          <w:trHeight w:val="224"/>
        </w:trPr>
        <w:tc>
          <w:tcPr>
            <w:tcW w:w="1260" w:type="dxa"/>
            <w:vAlign w:val="bottom"/>
          </w:tcPr>
          <w:p>
            <w:pPr>
              <w:spacing w:after="0"/>
              <w:rPr>
                <w:sz w:val="19"/>
                <w:szCs w:val="19"/>
                <w:color w:val="auto"/>
              </w:rPr>
            </w:pPr>
          </w:p>
        </w:tc>
        <w:tc>
          <w:tcPr>
            <w:tcW w:w="3020" w:type="dxa"/>
            <w:vAlign w:val="bottom"/>
            <w:gridSpan w:val="4"/>
          </w:tcPr>
          <w:p>
            <w:pPr>
              <w:jc w:val="center"/>
              <w:ind w:right="1260"/>
              <w:spacing w:after="0"/>
              <w:rPr>
                <w:sz w:val="20"/>
                <w:szCs w:val="20"/>
                <w:color w:val="auto"/>
              </w:rPr>
            </w:pPr>
            <w:r>
              <w:rPr>
                <w:rFonts w:ascii="Arial" w:cs="Arial" w:eastAsia="Arial" w:hAnsi="Arial"/>
                <w:sz w:val="18"/>
                <w:szCs w:val="18"/>
                <w:color w:val="auto"/>
                <w:w w:val="86"/>
              </w:rPr>
              <w:t>Joseph S. Vassalluzzo</w:t>
            </w:r>
          </w:p>
        </w:tc>
      </w:tr>
      <w:tr>
        <w:trPr>
          <w:trHeight w:val="431"/>
        </w:trPr>
        <w:tc>
          <w:tcPr>
            <w:tcW w:w="1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3"/>
              </w:rPr>
              <w:t>/s/</w:t>
            </w:r>
          </w:p>
        </w:tc>
        <w:tc>
          <w:tcPr>
            <w:tcW w:w="2760" w:type="dxa"/>
            <w:vAlign w:val="bottom"/>
            <w:tcBorders>
              <w:bottom w:val="single" w:sz="8" w:color="auto"/>
            </w:tcBorders>
            <w:gridSpan w:val="3"/>
          </w:tcPr>
          <w:p>
            <w:pPr>
              <w:jc w:val="center"/>
              <w:ind w:right="1540"/>
              <w:spacing w:after="0"/>
              <w:rPr>
                <w:sz w:val="20"/>
                <w:szCs w:val="20"/>
                <w:color w:val="auto"/>
              </w:rPr>
            </w:pPr>
            <w:r>
              <w:rPr>
                <w:rFonts w:ascii="Arial" w:cs="Arial" w:eastAsia="Arial" w:hAnsi="Arial"/>
                <w:sz w:val="18"/>
                <w:szCs w:val="18"/>
                <w:color w:val="auto"/>
                <w:w w:val="91"/>
              </w:rPr>
              <w:t>Jon E. Bortz</w:t>
            </w:r>
          </w:p>
        </w:tc>
      </w:tr>
      <w:tr>
        <w:trPr>
          <w:trHeight w:val="224"/>
        </w:trPr>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60" w:type="dxa"/>
            <w:vAlign w:val="bottom"/>
            <w:gridSpan w:val="3"/>
          </w:tcPr>
          <w:p>
            <w:pPr>
              <w:jc w:val="center"/>
              <w:ind w:right="1520"/>
              <w:spacing w:after="0"/>
              <w:rPr>
                <w:sz w:val="20"/>
                <w:szCs w:val="20"/>
                <w:color w:val="auto"/>
              </w:rPr>
            </w:pPr>
            <w:r>
              <w:rPr>
                <w:rFonts w:ascii="Arial" w:cs="Arial" w:eastAsia="Arial" w:hAnsi="Arial"/>
                <w:sz w:val="18"/>
                <w:szCs w:val="18"/>
                <w:color w:val="auto"/>
                <w:w w:val="89"/>
              </w:rPr>
              <w:t>Jon E. Bortz</w:t>
            </w:r>
          </w:p>
        </w:tc>
      </w:tr>
      <w:tr>
        <w:trPr>
          <w:trHeight w:val="431"/>
        </w:trPr>
        <w:tc>
          <w:tcPr>
            <w:tcW w:w="1520" w:type="dxa"/>
            <w:vAlign w:val="bottom"/>
            <w:tcBorders>
              <w:bottom w:val="single" w:sz="8" w:color="auto"/>
            </w:tcBorders>
            <w:gridSpan w:val="2"/>
          </w:tcPr>
          <w:p>
            <w:pPr>
              <w:ind w:left="1180"/>
              <w:spacing w:after="0"/>
              <w:rPr>
                <w:sz w:val="20"/>
                <w:szCs w:val="20"/>
                <w:color w:val="auto"/>
              </w:rPr>
            </w:pPr>
            <w:r>
              <w:rPr>
                <w:rFonts w:ascii="Arial" w:cs="Arial" w:eastAsia="Arial" w:hAnsi="Arial"/>
                <w:sz w:val="18"/>
                <w:szCs w:val="18"/>
                <w:color w:val="auto"/>
              </w:rPr>
              <w:t>/s/</w:t>
            </w:r>
          </w:p>
        </w:tc>
        <w:tc>
          <w:tcPr>
            <w:tcW w:w="2760" w:type="dxa"/>
            <w:vAlign w:val="bottom"/>
            <w:tcBorders>
              <w:bottom w:val="single" w:sz="8" w:color="auto"/>
            </w:tcBorders>
            <w:gridSpan w:val="3"/>
          </w:tcPr>
          <w:p>
            <w:pPr>
              <w:jc w:val="center"/>
              <w:ind w:right="1540"/>
              <w:spacing w:after="0"/>
              <w:rPr>
                <w:sz w:val="20"/>
                <w:szCs w:val="20"/>
                <w:color w:val="auto"/>
              </w:rPr>
            </w:pPr>
            <w:r>
              <w:rPr>
                <w:rFonts w:ascii="Arial" w:cs="Arial" w:eastAsia="Arial" w:hAnsi="Arial"/>
                <w:sz w:val="18"/>
                <w:szCs w:val="18"/>
                <w:color w:val="auto"/>
                <w:w w:val="90"/>
              </w:rPr>
              <w:t>David W. Faeder</w:t>
            </w:r>
          </w:p>
        </w:tc>
      </w:tr>
      <w:tr>
        <w:trPr>
          <w:trHeight w:val="224"/>
        </w:trPr>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60" w:type="dxa"/>
            <w:vAlign w:val="bottom"/>
            <w:gridSpan w:val="3"/>
          </w:tcPr>
          <w:p>
            <w:pPr>
              <w:jc w:val="center"/>
              <w:ind w:right="1500"/>
              <w:spacing w:after="0"/>
              <w:rPr>
                <w:sz w:val="20"/>
                <w:szCs w:val="20"/>
                <w:color w:val="auto"/>
              </w:rPr>
            </w:pPr>
            <w:r>
              <w:rPr>
                <w:rFonts w:ascii="Arial" w:cs="Arial" w:eastAsia="Arial" w:hAnsi="Arial"/>
                <w:sz w:val="18"/>
                <w:szCs w:val="18"/>
                <w:color w:val="auto"/>
                <w:w w:val="90"/>
              </w:rPr>
              <w:t>David W. Faeder</w:t>
            </w:r>
          </w:p>
        </w:tc>
      </w:tr>
      <w:tr>
        <w:trPr>
          <w:trHeight w:val="431"/>
        </w:trPr>
        <w:tc>
          <w:tcPr>
            <w:tcW w:w="1520" w:type="dxa"/>
            <w:vAlign w:val="bottom"/>
            <w:tcBorders>
              <w:bottom w:val="single" w:sz="8" w:color="auto"/>
            </w:tcBorders>
            <w:gridSpan w:val="2"/>
          </w:tcPr>
          <w:p>
            <w:pPr>
              <w:ind w:left="1220"/>
              <w:spacing w:after="0"/>
              <w:rPr>
                <w:sz w:val="20"/>
                <w:szCs w:val="20"/>
                <w:color w:val="auto"/>
              </w:rPr>
            </w:pPr>
            <w:r>
              <w:rPr>
                <w:rFonts w:ascii="Arial" w:cs="Arial" w:eastAsia="Arial" w:hAnsi="Arial"/>
                <w:sz w:val="18"/>
                <w:szCs w:val="18"/>
                <w:color w:val="auto"/>
              </w:rPr>
              <w:t>/s/</w:t>
            </w:r>
          </w:p>
        </w:tc>
        <w:tc>
          <w:tcPr>
            <w:tcW w:w="2760" w:type="dxa"/>
            <w:vAlign w:val="bottom"/>
            <w:tcBorders>
              <w:bottom w:val="single" w:sz="8" w:color="auto"/>
            </w:tcBorders>
            <w:gridSpan w:val="3"/>
          </w:tcPr>
          <w:p>
            <w:pPr>
              <w:jc w:val="center"/>
              <w:ind w:right="1520"/>
              <w:spacing w:after="0"/>
              <w:rPr>
                <w:sz w:val="20"/>
                <w:szCs w:val="20"/>
                <w:color w:val="auto"/>
              </w:rPr>
            </w:pPr>
            <w:r>
              <w:rPr>
                <w:rFonts w:ascii="Arial" w:cs="Arial" w:eastAsia="Arial" w:hAnsi="Arial"/>
                <w:sz w:val="18"/>
                <w:szCs w:val="18"/>
                <w:color w:val="auto"/>
                <w:w w:val="94"/>
              </w:rPr>
              <w:t>Kristin Gamble</w:t>
            </w:r>
          </w:p>
        </w:tc>
      </w:tr>
      <w:tr>
        <w:trPr>
          <w:trHeight w:val="224"/>
        </w:trPr>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60" w:type="dxa"/>
            <w:vAlign w:val="bottom"/>
            <w:gridSpan w:val="3"/>
          </w:tcPr>
          <w:p>
            <w:pPr>
              <w:jc w:val="center"/>
              <w:ind w:right="1520"/>
              <w:spacing w:after="0"/>
              <w:rPr>
                <w:sz w:val="20"/>
                <w:szCs w:val="20"/>
                <w:color w:val="auto"/>
              </w:rPr>
            </w:pPr>
            <w:r>
              <w:rPr>
                <w:rFonts w:ascii="Arial" w:cs="Arial" w:eastAsia="Arial" w:hAnsi="Arial"/>
                <w:sz w:val="18"/>
                <w:szCs w:val="18"/>
                <w:color w:val="auto"/>
                <w:w w:val="94"/>
              </w:rPr>
              <w:t>Kristin Gamble</w:t>
            </w:r>
          </w:p>
        </w:tc>
      </w:tr>
      <w:tr>
        <w:trPr>
          <w:trHeight w:val="431"/>
        </w:trPr>
        <w:tc>
          <w:tcPr>
            <w:tcW w:w="1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2760" w:type="dxa"/>
            <w:vAlign w:val="bottom"/>
            <w:tcBorders>
              <w:bottom w:val="single" w:sz="8" w:color="auto"/>
            </w:tcBorders>
            <w:gridSpan w:val="3"/>
          </w:tcPr>
          <w:p>
            <w:pPr>
              <w:jc w:val="center"/>
              <w:ind w:right="1540"/>
              <w:spacing w:after="0"/>
              <w:rPr>
                <w:sz w:val="20"/>
                <w:szCs w:val="20"/>
                <w:color w:val="auto"/>
              </w:rPr>
            </w:pPr>
            <w:r>
              <w:rPr>
                <w:rFonts w:ascii="Arial" w:cs="Arial" w:eastAsia="Arial" w:hAnsi="Arial"/>
                <w:sz w:val="18"/>
                <w:szCs w:val="18"/>
                <w:color w:val="auto"/>
                <w:w w:val="89"/>
              </w:rPr>
              <w:t>Gail P. Steinel</w:t>
            </w:r>
          </w:p>
        </w:tc>
      </w:tr>
      <w:tr>
        <w:trPr>
          <w:trHeight w:val="224"/>
        </w:trPr>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60" w:type="dxa"/>
            <w:vAlign w:val="bottom"/>
            <w:gridSpan w:val="3"/>
          </w:tcPr>
          <w:p>
            <w:pPr>
              <w:jc w:val="center"/>
              <w:ind w:right="1520"/>
              <w:spacing w:after="0"/>
              <w:rPr>
                <w:sz w:val="20"/>
                <w:szCs w:val="20"/>
                <w:color w:val="auto"/>
              </w:rPr>
            </w:pPr>
            <w:r>
              <w:rPr>
                <w:rFonts w:ascii="Arial" w:cs="Arial" w:eastAsia="Arial" w:hAnsi="Arial"/>
                <w:sz w:val="18"/>
                <w:szCs w:val="18"/>
                <w:color w:val="auto"/>
                <w:w w:val="91"/>
              </w:rPr>
              <w:t>Gail P. Steinel</w:t>
            </w:r>
          </w:p>
        </w:tc>
      </w:tr>
      <w:tr>
        <w:trPr>
          <w:trHeight w:val="431"/>
        </w:trPr>
        <w:tc>
          <w:tcPr>
            <w:tcW w:w="126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/s/</w:t>
            </w:r>
          </w:p>
        </w:tc>
        <w:tc>
          <w:tcPr>
            <w:tcW w:w="3020" w:type="dxa"/>
            <w:vAlign w:val="bottom"/>
            <w:tcBorders>
              <w:bottom w:val="single" w:sz="8" w:color="auto"/>
            </w:tcBorders>
            <w:gridSpan w:val="4"/>
          </w:tcPr>
          <w:p>
            <w:pPr>
              <w:jc w:val="center"/>
              <w:ind w:right="1280"/>
              <w:spacing w:after="0"/>
              <w:rPr>
                <w:sz w:val="20"/>
                <w:szCs w:val="20"/>
                <w:color w:val="auto"/>
              </w:rPr>
            </w:pPr>
            <w:r>
              <w:rPr>
                <w:rFonts w:ascii="Arial" w:cs="Arial" w:eastAsia="Arial" w:hAnsi="Arial"/>
                <w:sz w:val="18"/>
                <w:szCs w:val="18"/>
                <w:color w:val="auto"/>
                <w:w w:val="90"/>
              </w:rPr>
              <w:t>Warren M. Thompson</w:t>
            </w:r>
          </w:p>
        </w:tc>
      </w:tr>
      <w:tr>
        <w:trPr>
          <w:trHeight w:val="224"/>
        </w:trPr>
        <w:tc>
          <w:tcPr>
            <w:tcW w:w="1260" w:type="dxa"/>
            <w:vAlign w:val="bottom"/>
          </w:tcPr>
          <w:p>
            <w:pPr>
              <w:spacing w:after="0"/>
              <w:rPr>
                <w:sz w:val="19"/>
                <w:szCs w:val="19"/>
                <w:color w:val="auto"/>
              </w:rPr>
            </w:pPr>
          </w:p>
        </w:tc>
        <w:tc>
          <w:tcPr>
            <w:tcW w:w="3020" w:type="dxa"/>
            <w:vAlign w:val="bottom"/>
            <w:gridSpan w:val="4"/>
          </w:tcPr>
          <w:p>
            <w:pPr>
              <w:jc w:val="center"/>
              <w:ind w:right="1260"/>
              <w:spacing w:after="0"/>
              <w:rPr>
                <w:sz w:val="20"/>
                <w:szCs w:val="20"/>
                <w:color w:val="auto"/>
              </w:rPr>
            </w:pPr>
            <w:r>
              <w:rPr>
                <w:rFonts w:ascii="Arial" w:cs="Arial" w:eastAsia="Arial" w:hAnsi="Arial"/>
                <w:sz w:val="18"/>
                <w:szCs w:val="18"/>
                <w:color w:val="auto"/>
                <w:w w:val="91"/>
              </w:rPr>
              <w:t>Warren M. Thompson</w:t>
            </w:r>
          </w:p>
        </w:tc>
      </w:tr>
    </w:tbl>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320" w:type="dxa"/>
            <w:vAlign w:val="bottom"/>
          </w:tcPr>
          <w:p>
            <w:pPr>
              <w:spacing w:after="0"/>
              <w:rPr>
                <w:sz w:val="14"/>
                <w:szCs w:val="14"/>
                <w:color w:val="auto"/>
              </w:rPr>
            </w:pPr>
          </w:p>
        </w:tc>
        <w:tc>
          <w:tcPr>
            <w:tcW w:w="206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600" w:type="dxa"/>
            <w:vAlign w:val="bottom"/>
          </w:tcPr>
          <w:p>
            <w:pPr>
              <w:spacing w:after="0"/>
              <w:rPr>
                <w:sz w:val="14"/>
                <w:szCs w:val="14"/>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DATE</w:t>
            </w:r>
          </w:p>
        </w:tc>
      </w:tr>
      <w:tr>
        <w:trPr>
          <w:trHeight w:val="20"/>
        </w:trPr>
        <w:tc>
          <w:tcPr>
            <w:tcW w:w="2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11"/>
        </w:trPr>
        <w:tc>
          <w:tcPr>
            <w:tcW w:w="2320" w:type="dxa"/>
            <w:vAlign w:val="bottom"/>
          </w:tcPr>
          <w:p>
            <w:pPr>
              <w:spacing w:after="0"/>
              <w:rPr>
                <w:sz w:val="20"/>
                <w:szCs w:val="20"/>
                <w:color w:val="auto"/>
              </w:rPr>
            </w:pPr>
            <w:r>
              <w:rPr>
                <w:rFonts w:ascii="Arial" w:cs="Arial" w:eastAsia="Arial" w:hAnsi="Arial"/>
                <w:sz w:val="18"/>
                <w:szCs w:val="18"/>
                <w:color w:val="auto"/>
              </w:rPr>
              <w:t>President, Chief Executive</w:t>
            </w:r>
          </w:p>
        </w:tc>
        <w:tc>
          <w:tcPr>
            <w:tcW w:w="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300" w:type="dxa"/>
            <w:vAlign w:val="bottom"/>
            <w:gridSpan w:val="3"/>
          </w:tcPr>
          <w:p>
            <w:pPr>
              <w:jc w:val="center"/>
              <w:ind w:left="1190"/>
              <w:spacing w:after="0"/>
              <w:rPr>
                <w:sz w:val="20"/>
                <w:szCs w:val="20"/>
                <w:color w:val="auto"/>
              </w:rPr>
            </w:pPr>
            <w:r>
              <w:rPr>
                <w:rFonts w:ascii="Arial" w:cs="Arial" w:eastAsia="Arial" w:hAnsi="Arial"/>
                <w:sz w:val="18"/>
                <w:szCs w:val="18"/>
                <w:color w:val="auto"/>
                <w:w w:val="93"/>
              </w:rPr>
              <w:t>May 12, 2015</w:t>
            </w:r>
          </w:p>
        </w:tc>
      </w:tr>
      <w:tr>
        <w:trPr>
          <w:trHeight w:val="216"/>
        </w:trPr>
        <w:tc>
          <w:tcPr>
            <w:tcW w:w="4380" w:type="dxa"/>
            <w:vAlign w:val="bottom"/>
            <w:gridSpan w:val="3"/>
          </w:tcPr>
          <w:p>
            <w:pPr>
              <w:spacing w:after="0"/>
              <w:rPr>
                <w:sz w:val="20"/>
                <w:szCs w:val="20"/>
                <w:color w:val="auto"/>
              </w:rPr>
            </w:pPr>
            <w:r>
              <w:rPr>
                <w:rFonts w:ascii="Arial" w:cs="Arial" w:eastAsia="Arial" w:hAnsi="Arial"/>
                <w:sz w:val="18"/>
                <w:szCs w:val="18"/>
                <w:color w:val="auto"/>
              </w:rPr>
              <w:t>Officer and Trustee (principal</w:t>
            </w:r>
          </w:p>
        </w:tc>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0"/>
        </w:trPr>
        <w:tc>
          <w:tcPr>
            <w:tcW w:w="4380" w:type="dxa"/>
            <w:vAlign w:val="bottom"/>
            <w:gridSpan w:val="3"/>
          </w:tcPr>
          <w:p>
            <w:pPr>
              <w:spacing w:after="0"/>
              <w:rPr>
                <w:sz w:val="20"/>
                <w:szCs w:val="20"/>
                <w:color w:val="auto"/>
              </w:rPr>
            </w:pPr>
            <w:r>
              <w:rPr>
                <w:rFonts w:ascii="Arial" w:cs="Arial" w:eastAsia="Arial" w:hAnsi="Arial"/>
                <w:sz w:val="18"/>
                <w:szCs w:val="18"/>
                <w:color w:val="auto"/>
              </w:rPr>
              <w:t>executive officer)</w:t>
            </w:r>
          </w:p>
        </w:tc>
        <w:tc>
          <w:tcPr>
            <w:tcW w:w="1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31"/>
        </w:trPr>
        <w:tc>
          <w:tcPr>
            <w:tcW w:w="4380" w:type="dxa"/>
            <w:vAlign w:val="bottom"/>
            <w:gridSpan w:val="3"/>
          </w:tcPr>
          <w:p>
            <w:pPr>
              <w:spacing w:after="0"/>
              <w:rPr>
                <w:sz w:val="20"/>
                <w:szCs w:val="20"/>
                <w:color w:val="auto"/>
              </w:rPr>
            </w:pPr>
            <w:r>
              <w:rPr>
                <w:rFonts w:ascii="Arial" w:cs="Arial" w:eastAsia="Arial" w:hAnsi="Arial"/>
                <w:sz w:val="18"/>
                <w:szCs w:val="18"/>
                <w:color w:val="auto"/>
              </w:rPr>
              <w:t>Executive Vice President and Chief</w:t>
            </w:r>
          </w:p>
        </w:tc>
        <w:tc>
          <w:tcPr>
            <w:tcW w:w="2300" w:type="dxa"/>
            <w:vAlign w:val="bottom"/>
            <w:gridSpan w:val="3"/>
          </w:tcPr>
          <w:p>
            <w:pPr>
              <w:jc w:val="center"/>
              <w:ind w:left="1190"/>
              <w:spacing w:after="0"/>
              <w:rPr>
                <w:sz w:val="20"/>
                <w:szCs w:val="20"/>
                <w:color w:val="auto"/>
              </w:rPr>
            </w:pPr>
            <w:r>
              <w:rPr>
                <w:rFonts w:ascii="Arial" w:cs="Arial" w:eastAsia="Arial" w:hAnsi="Arial"/>
                <w:sz w:val="18"/>
                <w:szCs w:val="18"/>
                <w:color w:val="auto"/>
                <w:w w:val="93"/>
              </w:rPr>
              <w:t>May 12, 2015</w:t>
            </w:r>
          </w:p>
        </w:tc>
      </w:tr>
      <w:tr>
        <w:trPr>
          <w:trHeight w:val="216"/>
        </w:trPr>
        <w:tc>
          <w:tcPr>
            <w:tcW w:w="4380" w:type="dxa"/>
            <w:vAlign w:val="bottom"/>
            <w:gridSpan w:val="3"/>
          </w:tcPr>
          <w:p>
            <w:pPr>
              <w:spacing w:after="0"/>
              <w:rPr>
                <w:sz w:val="20"/>
                <w:szCs w:val="20"/>
                <w:color w:val="auto"/>
              </w:rPr>
            </w:pPr>
            <w:r>
              <w:rPr>
                <w:rFonts w:ascii="Arial" w:cs="Arial" w:eastAsia="Arial" w:hAnsi="Arial"/>
                <w:sz w:val="18"/>
                <w:szCs w:val="18"/>
                <w:color w:val="auto"/>
              </w:rPr>
              <w:t>Financial Officer and Treasurer</w:t>
            </w:r>
          </w:p>
        </w:tc>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0"/>
        </w:trPr>
        <w:tc>
          <w:tcPr>
            <w:tcW w:w="4380" w:type="dxa"/>
            <w:vAlign w:val="bottom"/>
            <w:gridSpan w:val="3"/>
          </w:tcPr>
          <w:p>
            <w:pPr>
              <w:spacing w:after="0"/>
              <w:rPr>
                <w:sz w:val="20"/>
                <w:szCs w:val="20"/>
                <w:color w:val="auto"/>
              </w:rPr>
            </w:pPr>
            <w:r>
              <w:rPr>
                <w:rFonts w:ascii="Arial" w:cs="Arial" w:eastAsia="Arial" w:hAnsi="Arial"/>
                <w:sz w:val="18"/>
                <w:szCs w:val="18"/>
                <w:color w:val="auto"/>
              </w:rPr>
              <w:t>(principal financial and accounting officer)</w:t>
            </w:r>
          </w:p>
        </w:tc>
        <w:tc>
          <w:tcPr>
            <w:tcW w:w="1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46"/>
        </w:trPr>
        <w:tc>
          <w:tcPr>
            <w:tcW w:w="4380" w:type="dxa"/>
            <w:vAlign w:val="bottom"/>
            <w:gridSpan w:val="3"/>
          </w:tcPr>
          <w:p>
            <w:pPr>
              <w:spacing w:after="0"/>
              <w:rPr>
                <w:sz w:val="20"/>
                <w:szCs w:val="20"/>
                <w:color w:val="auto"/>
              </w:rPr>
            </w:pPr>
            <w:r>
              <w:rPr>
                <w:rFonts w:ascii="Arial" w:cs="Arial" w:eastAsia="Arial" w:hAnsi="Arial"/>
                <w:sz w:val="18"/>
                <w:szCs w:val="18"/>
                <w:color w:val="auto"/>
              </w:rPr>
              <w:t>Non-Executive Chairman</w:t>
            </w:r>
          </w:p>
        </w:tc>
        <w:tc>
          <w:tcPr>
            <w:tcW w:w="2300" w:type="dxa"/>
            <w:vAlign w:val="bottom"/>
            <w:gridSpan w:val="3"/>
          </w:tcPr>
          <w:p>
            <w:pPr>
              <w:jc w:val="center"/>
              <w:ind w:left="1190"/>
              <w:spacing w:after="0"/>
              <w:rPr>
                <w:sz w:val="20"/>
                <w:szCs w:val="20"/>
                <w:color w:val="auto"/>
              </w:rPr>
            </w:pPr>
            <w:r>
              <w:rPr>
                <w:rFonts w:ascii="Arial" w:cs="Arial" w:eastAsia="Arial" w:hAnsi="Arial"/>
                <w:sz w:val="18"/>
                <w:szCs w:val="18"/>
                <w:color w:val="auto"/>
                <w:w w:val="93"/>
              </w:rPr>
              <w:t>May 12, 2015</w:t>
            </w:r>
          </w:p>
        </w:tc>
      </w:tr>
      <w:tr>
        <w:trPr>
          <w:trHeight w:val="675"/>
        </w:trPr>
        <w:tc>
          <w:tcPr>
            <w:tcW w:w="4380" w:type="dxa"/>
            <w:vAlign w:val="bottom"/>
            <w:gridSpan w:val="3"/>
          </w:tcPr>
          <w:p>
            <w:pPr>
              <w:spacing w:after="0"/>
              <w:rPr>
                <w:sz w:val="20"/>
                <w:szCs w:val="20"/>
                <w:color w:val="auto"/>
              </w:rPr>
            </w:pPr>
            <w:r>
              <w:rPr>
                <w:rFonts w:ascii="Arial" w:cs="Arial" w:eastAsia="Arial" w:hAnsi="Arial"/>
                <w:sz w:val="18"/>
                <w:szCs w:val="18"/>
                <w:color w:val="auto"/>
              </w:rPr>
              <w:t>Trustee</w:t>
            </w:r>
          </w:p>
        </w:tc>
        <w:tc>
          <w:tcPr>
            <w:tcW w:w="2300" w:type="dxa"/>
            <w:vAlign w:val="bottom"/>
            <w:gridSpan w:val="3"/>
          </w:tcPr>
          <w:p>
            <w:pPr>
              <w:jc w:val="center"/>
              <w:ind w:left="1190"/>
              <w:spacing w:after="0"/>
              <w:rPr>
                <w:sz w:val="20"/>
                <w:szCs w:val="20"/>
                <w:color w:val="auto"/>
              </w:rPr>
            </w:pPr>
            <w:r>
              <w:rPr>
                <w:rFonts w:ascii="Arial" w:cs="Arial" w:eastAsia="Arial" w:hAnsi="Arial"/>
                <w:sz w:val="18"/>
                <w:szCs w:val="18"/>
                <w:color w:val="auto"/>
                <w:w w:val="93"/>
              </w:rPr>
              <w:t>May 12, 2015</w:t>
            </w:r>
          </w:p>
        </w:tc>
      </w:tr>
      <w:tr>
        <w:trPr>
          <w:trHeight w:val="675"/>
        </w:trPr>
        <w:tc>
          <w:tcPr>
            <w:tcW w:w="4380" w:type="dxa"/>
            <w:vAlign w:val="bottom"/>
            <w:gridSpan w:val="3"/>
          </w:tcPr>
          <w:p>
            <w:pPr>
              <w:spacing w:after="0"/>
              <w:rPr>
                <w:sz w:val="20"/>
                <w:szCs w:val="20"/>
                <w:color w:val="auto"/>
              </w:rPr>
            </w:pPr>
            <w:r>
              <w:rPr>
                <w:rFonts w:ascii="Arial" w:cs="Arial" w:eastAsia="Arial" w:hAnsi="Arial"/>
                <w:sz w:val="18"/>
                <w:szCs w:val="18"/>
                <w:color w:val="auto"/>
              </w:rPr>
              <w:t>Trustee</w:t>
            </w:r>
          </w:p>
        </w:tc>
        <w:tc>
          <w:tcPr>
            <w:tcW w:w="2300" w:type="dxa"/>
            <w:vAlign w:val="bottom"/>
            <w:gridSpan w:val="3"/>
          </w:tcPr>
          <w:p>
            <w:pPr>
              <w:jc w:val="center"/>
              <w:ind w:left="1190"/>
              <w:spacing w:after="0"/>
              <w:rPr>
                <w:sz w:val="20"/>
                <w:szCs w:val="20"/>
                <w:color w:val="auto"/>
              </w:rPr>
            </w:pPr>
            <w:r>
              <w:rPr>
                <w:rFonts w:ascii="Arial" w:cs="Arial" w:eastAsia="Arial" w:hAnsi="Arial"/>
                <w:sz w:val="18"/>
                <w:szCs w:val="18"/>
                <w:color w:val="auto"/>
                <w:w w:val="93"/>
              </w:rPr>
              <w:t>May 12, 2015</w:t>
            </w:r>
          </w:p>
        </w:tc>
      </w:tr>
      <w:tr>
        <w:trPr>
          <w:trHeight w:val="675"/>
        </w:trPr>
        <w:tc>
          <w:tcPr>
            <w:tcW w:w="4380" w:type="dxa"/>
            <w:vAlign w:val="bottom"/>
            <w:gridSpan w:val="3"/>
          </w:tcPr>
          <w:p>
            <w:pPr>
              <w:spacing w:after="0"/>
              <w:rPr>
                <w:sz w:val="20"/>
                <w:szCs w:val="20"/>
                <w:color w:val="auto"/>
              </w:rPr>
            </w:pPr>
            <w:r>
              <w:rPr>
                <w:rFonts w:ascii="Arial" w:cs="Arial" w:eastAsia="Arial" w:hAnsi="Arial"/>
                <w:sz w:val="18"/>
                <w:szCs w:val="18"/>
                <w:color w:val="auto"/>
              </w:rPr>
              <w:t>Trustee</w:t>
            </w:r>
          </w:p>
        </w:tc>
        <w:tc>
          <w:tcPr>
            <w:tcW w:w="2300" w:type="dxa"/>
            <w:vAlign w:val="bottom"/>
            <w:gridSpan w:val="3"/>
          </w:tcPr>
          <w:p>
            <w:pPr>
              <w:jc w:val="center"/>
              <w:ind w:left="1190"/>
              <w:spacing w:after="0"/>
              <w:rPr>
                <w:sz w:val="20"/>
                <w:szCs w:val="20"/>
                <w:color w:val="auto"/>
              </w:rPr>
            </w:pPr>
            <w:r>
              <w:rPr>
                <w:rFonts w:ascii="Arial" w:cs="Arial" w:eastAsia="Arial" w:hAnsi="Arial"/>
                <w:sz w:val="18"/>
                <w:szCs w:val="18"/>
                <w:color w:val="auto"/>
                <w:w w:val="93"/>
              </w:rPr>
              <w:t>May 12, 2015</w:t>
            </w:r>
          </w:p>
        </w:tc>
      </w:tr>
      <w:tr>
        <w:trPr>
          <w:trHeight w:val="675"/>
        </w:trPr>
        <w:tc>
          <w:tcPr>
            <w:tcW w:w="4380" w:type="dxa"/>
            <w:vAlign w:val="bottom"/>
            <w:gridSpan w:val="3"/>
          </w:tcPr>
          <w:p>
            <w:pPr>
              <w:spacing w:after="0"/>
              <w:rPr>
                <w:sz w:val="20"/>
                <w:szCs w:val="20"/>
                <w:color w:val="auto"/>
              </w:rPr>
            </w:pPr>
            <w:r>
              <w:rPr>
                <w:rFonts w:ascii="Arial" w:cs="Arial" w:eastAsia="Arial" w:hAnsi="Arial"/>
                <w:sz w:val="18"/>
                <w:szCs w:val="18"/>
                <w:color w:val="auto"/>
              </w:rPr>
              <w:t>Trustee</w:t>
            </w:r>
          </w:p>
        </w:tc>
        <w:tc>
          <w:tcPr>
            <w:tcW w:w="2300" w:type="dxa"/>
            <w:vAlign w:val="bottom"/>
            <w:gridSpan w:val="3"/>
          </w:tcPr>
          <w:p>
            <w:pPr>
              <w:jc w:val="center"/>
              <w:ind w:left="1190"/>
              <w:spacing w:after="0"/>
              <w:rPr>
                <w:sz w:val="20"/>
                <w:szCs w:val="20"/>
                <w:color w:val="auto"/>
              </w:rPr>
            </w:pPr>
            <w:r>
              <w:rPr>
                <w:rFonts w:ascii="Arial" w:cs="Arial" w:eastAsia="Arial" w:hAnsi="Arial"/>
                <w:sz w:val="18"/>
                <w:szCs w:val="18"/>
                <w:color w:val="auto"/>
                <w:w w:val="93"/>
              </w:rPr>
              <w:t>May 12, 2015</w:t>
            </w:r>
          </w:p>
        </w:tc>
      </w:tr>
      <w:tr>
        <w:trPr>
          <w:trHeight w:val="675"/>
        </w:trPr>
        <w:tc>
          <w:tcPr>
            <w:tcW w:w="4380" w:type="dxa"/>
            <w:vAlign w:val="bottom"/>
            <w:gridSpan w:val="3"/>
          </w:tcPr>
          <w:p>
            <w:pPr>
              <w:spacing w:after="0"/>
              <w:rPr>
                <w:sz w:val="20"/>
                <w:szCs w:val="20"/>
                <w:color w:val="auto"/>
              </w:rPr>
            </w:pPr>
            <w:r>
              <w:rPr>
                <w:rFonts w:ascii="Arial" w:cs="Arial" w:eastAsia="Arial" w:hAnsi="Arial"/>
                <w:sz w:val="18"/>
                <w:szCs w:val="18"/>
                <w:color w:val="auto"/>
              </w:rPr>
              <w:t>Trustee</w:t>
            </w:r>
          </w:p>
        </w:tc>
        <w:tc>
          <w:tcPr>
            <w:tcW w:w="2300" w:type="dxa"/>
            <w:vAlign w:val="bottom"/>
            <w:gridSpan w:val="3"/>
          </w:tcPr>
          <w:p>
            <w:pPr>
              <w:jc w:val="center"/>
              <w:ind w:left="1190"/>
              <w:spacing w:after="0"/>
              <w:rPr>
                <w:sz w:val="20"/>
                <w:szCs w:val="20"/>
                <w:color w:val="auto"/>
              </w:rPr>
            </w:pPr>
            <w:r>
              <w:rPr>
                <w:rFonts w:ascii="Arial" w:cs="Arial" w:eastAsia="Arial" w:hAnsi="Arial"/>
                <w:sz w:val="18"/>
                <w:szCs w:val="18"/>
                <w:color w:val="auto"/>
                <w:w w:val="93"/>
              </w:rPr>
              <w:t>May 12, 2015</w:t>
            </w:r>
          </w:p>
        </w:tc>
      </w:tr>
    </w:tbl>
    <w:p>
      <w:pPr>
        <w:spacing w:after="0" w:line="1" w:lineRule="exact"/>
        <w:rPr>
          <w:sz w:val="20"/>
          <w:szCs w:val="20"/>
          <w:color w:val="auto"/>
        </w:rPr>
      </w:pPr>
    </w:p>
    <w:sectPr>
      <w:pgSz w:w="11900" w:h="16838" w:orient="portrait"/>
      <w:cols w:equalWidth="0" w:num="2">
        <w:col w:w="4280" w:space="100"/>
        <w:col w:w="7040"/>
      </w:cols>
      <w:pgMar w:left="240" w:top="12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1"/>
    </w:lvl>
  </w:abstractNum>
  <w:abstractNum w:abstractNumId="1">
    <w:nsid w:val="7C83E458"/>
    <w:multiLevelType w:val="hybridMultilevel"/>
    <w:lvl w:ilvl="0">
      <w:lvlJc w:val="left"/>
      <w:lvlText w:val="(%1)"/>
      <w:numFmt w:val="upperLetter"/>
      <w:start w:val="6"/>
    </w:lvl>
  </w:abstractNum>
  <w:abstractNum w:abstractNumId="2">
    <w:nsid w:val="257130A3"/>
    <w:multiLevelType w:val="hybridMultilevel"/>
    <w:lvl w:ilvl="0">
      <w:lvlJc w:val="left"/>
      <w:lvlText w:val="(%1)"/>
      <w:numFmt w:val="upperLetter"/>
      <w:start w:val="6"/>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8"/>
    </w:lvl>
  </w:abstractNum>
  <w:abstractNum w:abstractNumId="5">
    <w:nsid w:val="628C895D"/>
    <w:multiLevelType w:val="hybridMultilevel"/>
    <w:lvl w:ilvl="0">
      <w:lvlJc w:val="left"/>
      <w:lvlText w:val="(%1)"/>
      <w:numFmt w:val="decimal"/>
      <w:start w:val="16"/>
    </w:lvl>
  </w:abstractNum>
  <w:abstractNum w:abstractNumId="6">
    <w:nsid w:val="333AB105"/>
    <w:multiLevelType w:val="hybridMultilevel"/>
    <w:lvl w:ilvl="0">
      <w:lvlJc w:val="left"/>
      <w:lvlText w:val="(%1)"/>
      <w:numFmt w:val="decimal"/>
      <w:start w:val="25"/>
    </w:lvl>
  </w:abstractNum>
  <w:abstractNum w:abstractNumId="7">
    <w:nsid w:val="721DA317"/>
    <w:multiLevelType w:val="hybridMultilevel"/>
    <w:lvl w:ilvl="0">
      <w:lvlJc w:val="left"/>
      <w:lvlText w:val="(%1)"/>
      <w:numFmt w:val="decimal"/>
      <w:start w:val="34"/>
    </w:lvl>
  </w:abstractNum>
  <w:abstractNum w:abstractNumId="8">
    <w:nsid w:val="2443A858"/>
    <w:multiLevelType w:val="hybridMultilevel"/>
    <w:lvl w:ilvl="0">
      <w:lvlJc w:val="left"/>
      <w:lvlText w:val="(%1)"/>
      <w:numFmt w:val="decimal"/>
      <w:start w:val="43"/>
    </w:lvl>
  </w:abstractNum>
  <w:abstractNum w:abstractNumId="9">
    <w:nsid w:val="2D1D5AE9"/>
    <w:multiLevelType w:val="hybridMultilevel"/>
    <w:lvl w:ilvl="0">
      <w:lvlJc w:val="left"/>
      <w:lvlText w:val="(%1)"/>
      <w:numFmt w:val="decimal"/>
      <w:start w:val="52"/>
    </w:lvl>
  </w:abstractNum>
  <w:abstractNum w:abstractNumId="10">
    <w:nsid w:val="6763845E"/>
    <w:multiLevelType w:val="hybridMultilevel"/>
    <w:lvl w:ilvl="0">
      <w:lvlJc w:val="left"/>
      <w:lvlText w:val="(%1)"/>
      <w:numFmt w:val="decimal"/>
      <w:start w:val="63"/>
    </w:lvl>
  </w:abstractNum>
  <w:abstractNum w:abstractNumId="11">
    <w:nsid w:val="75A2A8D4"/>
    <w:multiLevelType w:val="hybridMultilevel"/>
    <w:lvl w:ilvl="0">
      <w:lvlJc w:val="left"/>
      <w:lvlText w:val="(%1)"/>
      <w:numFmt w:val="decimal"/>
      <w:start w:val="76"/>
    </w:lvl>
  </w:abstractNum>
  <w:abstractNum w:abstractNumId="12">
    <w:nsid w:val="8EDBDAB"/>
    <w:multiLevelType w:val="hybridMultilevel"/>
    <w:lvl w:ilvl="0">
      <w:lvlJc w:val="left"/>
      <w:lvlText w:val="(%1)"/>
      <w:numFmt w:val="decimal"/>
      <w:start w:val="90"/>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emdash "/>
      <w:numFmt w:val="bullet"/>
      <w:start w:val="1"/>
    </w:lvl>
  </w:abstractNum>
  <w:abstractNum w:abstractNumId="21">
    <w:nsid w:val="2901D82"/>
    <w:multiLevelType w:val="hybridMultilevel"/>
    <w:lvl w:ilvl="0">
      <w:lvlJc w:val="left"/>
      <w:lvlText w:val="•"/>
      <w:numFmt w:val="bullet"/>
      <w:start w:val="1"/>
    </w:lvl>
    <w:lvl w:ilvl="1">
      <w:lvlJc w:val="left"/>
      <w:lvlText w:val="•"/>
      <w:numFmt w:val="bullet"/>
      <w:start w:val="1"/>
    </w:lvl>
  </w:abstractNum>
  <w:abstractNum w:abstractNumId="22">
    <w:nsid w:val="3A95F874"/>
    <w:multiLevelType w:val="hybridMultilevel"/>
    <w:lvl w:ilvl="0">
      <w:lvlJc w:val="left"/>
      <w:lvlText w:val="(%1)"/>
      <w:numFmt w:val="lowerRoman"/>
      <w:start w:val="2"/>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2">
    <w:nsid w:val="419AC241"/>
    <w:multiLevelType w:val="hybridMultilevel"/>
    <w:lvl w:ilvl="0">
      <w:lvlJc w:val="left"/>
      <w:lvlText w:val="(%1)"/>
      <w:numFmt w:val="decimal"/>
      <w:start w:val="2"/>
    </w:lvl>
    <w:lvl w:ilvl="1">
      <w:lvlJc w:val="left"/>
      <w:lvlText w:val="(%2)"/>
      <w:numFmt w:val="lowerRoman"/>
      <w:start w:val="1"/>
    </w:lvl>
  </w:abstractNum>
  <w:abstractNum w:abstractNumId="33">
    <w:nsid w:val="5577F8E1"/>
    <w:multiLevelType w:val="hybridMultilevel"/>
    <w:lvl w:ilvl="0">
      <w:lvlJc w:val="left"/>
      <w:lvlText w:val="%1"/>
      <w:numFmt w:val="lowerLetter"/>
      <w:start w:val="1"/>
    </w:lvl>
    <w:lvl w:ilvl="1">
      <w:lvlJc w:val="left"/>
      <w:lvlText w:val="(%2)"/>
      <w:numFmt w:val="lowerRoman"/>
      <w:start w:val="1"/>
    </w:lvl>
  </w:abstractNum>
  <w:abstractNum w:abstractNumId="34">
    <w:nsid w:val="440BADFC"/>
    <w:multiLevelType w:val="hybridMultilevel"/>
    <w:lvl w:ilvl="0">
      <w:lvlJc w:val="left"/>
      <w:lvlText w:val="(%1)"/>
      <w:numFmt w:val="lowerLetter"/>
      <w:start w:val="2"/>
    </w:lvl>
    <w:lvl w:ilvl="1">
      <w:lvlJc w:val="left"/>
      <w:lvlText w:val="%2"/>
      <w:numFmt w:val="lowerRoman"/>
      <w:start w:val="1"/>
    </w:lvl>
  </w:abstractNum>
  <w:abstractNum w:abstractNumId="35">
    <w:nsid w:val="5072367"/>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2019-12-05T10:05:19Z</dcterms:created>
  <dcterms:modified xsi:type="dcterms:W3CDTF">2019-12-05T10:05:19Z</dcterms:modified>
</cp:coreProperties>
</file>