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580" w:right="2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3"/>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right="2660" w:firstLine="2918"/>
        <w:spacing w:after="0" w:line="337"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The number of Registrant’s common shares outstanding on October 29, 2007 was 56,626,861.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80" w:type="dxa"/>
            <w:vAlign w:val="bottom"/>
            <w:gridSpan w:val="10"/>
          </w:tcPr>
          <w:p>
            <w:pPr>
              <w:jc w:val="center"/>
              <w:ind w:right="1380"/>
              <w:spacing w:after="0"/>
              <w:rPr>
                <w:sz w:val="20"/>
                <w:szCs w:val="20"/>
                <w:color w:val="auto"/>
              </w:rPr>
            </w:pPr>
            <w:r>
              <w:rPr>
                <w:rFonts w:ascii="Arial" w:cs="Arial" w:eastAsia="Arial" w:hAnsi="Arial"/>
                <w:sz w:val="18"/>
                <w:szCs w:val="18"/>
                <w:b w:val="1"/>
                <w:bCs w:val="1"/>
                <w:color w:val="auto"/>
                <w:w w:val="99"/>
              </w:rPr>
              <w:t>FEDERAL REALTY INVESTMENT TRUST</w:t>
            </w:r>
          </w:p>
        </w:tc>
        <w:tc>
          <w:tcPr>
            <w:tcW w:w="1780" w:type="dxa"/>
            <w:vAlign w:val="bottom"/>
          </w:tcPr>
          <w:p>
            <w:pPr>
              <w:spacing w:after="0"/>
              <w:rPr>
                <w:sz w:val="19"/>
                <w:szCs w:val="19"/>
                <w:color w:val="auto"/>
              </w:rPr>
            </w:pPr>
          </w:p>
        </w:tc>
      </w:tr>
      <w:tr>
        <w:trPr>
          <w:trHeight w:val="366"/>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80" w:type="dxa"/>
            <w:vAlign w:val="bottom"/>
            <w:gridSpan w:val="10"/>
          </w:tcPr>
          <w:p>
            <w:pPr>
              <w:jc w:val="center"/>
              <w:ind w:right="1380"/>
              <w:spacing w:after="0"/>
              <w:rPr>
                <w:sz w:val="20"/>
                <w:szCs w:val="20"/>
                <w:color w:val="auto"/>
              </w:rPr>
            </w:pPr>
            <w:r>
              <w:rPr>
                <w:rFonts w:ascii="Arial" w:cs="Arial" w:eastAsia="Arial" w:hAnsi="Arial"/>
                <w:sz w:val="18"/>
                <w:szCs w:val="18"/>
                <w:b w:val="1"/>
                <w:bCs w:val="1"/>
                <w:color w:val="auto"/>
                <w:w w:val="97"/>
              </w:rPr>
              <w:t>QUARTERLY REPORT ON FORM 10-Q</w:t>
            </w:r>
          </w:p>
        </w:tc>
        <w:tc>
          <w:tcPr>
            <w:tcW w:w="1780" w:type="dxa"/>
            <w:vAlign w:val="bottom"/>
          </w:tcPr>
          <w:p>
            <w:pPr>
              <w:spacing w:after="0"/>
              <w:rPr>
                <w:sz w:val="24"/>
                <w:szCs w:val="24"/>
                <w:color w:val="auto"/>
              </w:rPr>
            </w:pPr>
          </w:p>
        </w:tc>
      </w:tr>
      <w:tr>
        <w:trPr>
          <w:trHeight w:val="228"/>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80" w:type="dxa"/>
            <w:vAlign w:val="bottom"/>
            <w:gridSpan w:val="10"/>
          </w:tcPr>
          <w:p>
            <w:pPr>
              <w:jc w:val="center"/>
              <w:ind w:right="1360"/>
              <w:spacing w:after="0"/>
              <w:rPr>
                <w:sz w:val="20"/>
                <w:szCs w:val="20"/>
                <w:color w:val="auto"/>
              </w:rPr>
            </w:pPr>
            <w:r>
              <w:rPr>
                <w:rFonts w:ascii="Arial" w:cs="Arial" w:eastAsia="Arial" w:hAnsi="Arial"/>
                <w:sz w:val="18"/>
                <w:szCs w:val="18"/>
                <w:b w:val="1"/>
                <w:bCs w:val="1"/>
                <w:color w:val="auto"/>
                <w:w w:val="95"/>
              </w:rPr>
              <w:t>QUARTER ENDED SEPTEMBER 30, 2007</w:t>
            </w:r>
          </w:p>
        </w:tc>
        <w:tc>
          <w:tcPr>
            <w:tcW w:w="1780" w:type="dxa"/>
            <w:vAlign w:val="bottom"/>
          </w:tcPr>
          <w:p>
            <w:pPr>
              <w:spacing w:after="0"/>
              <w:rPr>
                <w:sz w:val="19"/>
                <w:szCs w:val="19"/>
                <w:color w:val="auto"/>
              </w:rPr>
            </w:pPr>
          </w:p>
        </w:tc>
      </w:tr>
      <w:tr>
        <w:trPr>
          <w:trHeight w:val="378"/>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80" w:type="dxa"/>
            <w:vAlign w:val="bottom"/>
            <w:gridSpan w:val="9"/>
          </w:tcPr>
          <w:p>
            <w:pPr>
              <w:jc w:val="center"/>
              <w:ind w:right="2760"/>
              <w:spacing w:after="0"/>
              <w:rPr>
                <w:sz w:val="20"/>
                <w:szCs w:val="20"/>
                <w:color w:val="auto"/>
              </w:rPr>
            </w:pPr>
            <w:r>
              <w:rPr>
                <w:rFonts w:ascii="Arial" w:cs="Arial" w:eastAsia="Arial" w:hAnsi="Arial"/>
                <w:sz w:val="18"/>
                <w:szCs w:val="18"/>
                <w:b w:val="1"/>
                <w:bCs w:val="1"/>
                <w:color w:val="auto"/>
                <w:w w:val="96"/>
              </w:rPr>
              <w:t>TABLE OF CONTENTS</w:t>
            </w:r>
          </w:p>
        </w:tc>
        <w:tc>
          <w:tcPr>
            <w:tcW w:w="1780" w:type="dxa"/>
            <w:vAlign w:val="bottom"/>
          </w:tcPr>
          <w:p>
            <w:pPr>
              <w:spacing w:after="0"/>
              <w:rPr>
                <w:sz w:val="24"/>
                <w:szCs w:val="24"/>
                <w:color w:val="auto"/>
              </w:rPr>
            </w:pPr>
          </w:p>
        </w:tc>
      </w:tr>
      <w:tr>
        <w:trPr>
          <w:trHeight w:val="380"/>
        </w:trPr>
        <w:tc>
          <w:tcPr>
            <w:tcW w:w="880" w:type="dxa"/>
            <w:vAlign w:val="bottom"/>
          </w:tcPr>
          <w:p>
            <w:pPr>
              <w:spacing w:after="0"/>
              <w:rPr>
                <w:sz w:val="20"/>
                <w:szCs w:val="20"/>
                <w:color w:val="auto"/>
              </w:rPr>
            </w:pPr>
            <w:r>
              <w:rPr>
                <w:rFonts w:ascii="Arial" w:cs="Arial" w:eastAsia="Arial" w:hAnsi="Arial"/>
                <w:sz w:val="18"/>
                <w:szCs w:val="18"/>
                <w:color w:val="auto"/>
              </w:rPr>
              <w:t>PART I.</w:t>
            </w:r>
          </w:p>
        </w:tc>
        <w:tc>
          <w:tcPr>
            <w:tcW w:w="87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780" w:type="dxa"/>
            <w:vAlign w:val="bottom"/>
          </w:tcPr>
          <w:p>
            <w:pPr>
              <w:spacing w:after="0"/>
              <w:rPr>
                <w:sz w:val="24"/>
                <w:szCs w:val="24"/>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20" w:type="dxa"/>
            <w:vAlign w:val="bottom"/>
            <w:tcBorders>
              <w:top w:val="single" w:sz="8" w:color="0000EE"/>
            </w:tcBorders>
            <w:gridSpan w:val="3"/>
          </w:tcPr>
          <w:p>
            <w:pPr>
              <w:spacing w:after="0"/>
              <w:rPr>
                <w:sz w:val="17"/>
                <w:szCs w:val="17"/>
                <w:color w:val="auto"/>
              </w:rPr>
            </w:pPr>
          </w:p>
        </w:tc>
        <w:tc>
          <w:tcPr>
            <w:tcW w:w="6560" w:type="dxa"/>
            <w:vAlign w:val="bottom"/>
            <w:gridSpan w:val="11"/>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80" w:type="dxa"/>
            <w:vAlign w:val="bottom"/>
          </w:tcPr>
          <w:p>
            <w:pPr>
              <w:spacing w:after="0"/>
              <w:rPr>
                <w:sz w:val="17"/>
                <w:szCs w:val="17"/>
                <w:color w:val="auto"/>
              </w:rPr>
            </w:pPr>
          </w:p>
        </w:tc>
        <w:tc>
          <w:tcPr>
            <w:tcW w:w="608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September 30, 2007 (unaudited) and December 31, 2006</w:t>
              </w:r>
            </w:hyperlink>
          </w:p>
        </w:tc>
        <w:tc>
          <w:tcPr>
            <w:tcW w:w="2680" w:type="dxa"/>
            <w:vAlign w:val="bottom"/>
            <w:gridSpan w:val="5"/>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80" w:type="dxa"/>
            <w:vAlign w:val="bottom"/>
          </w:tcPr>
          <w:p>
            <w:pPr>
              <w:spacing w:after="0"/>
              <w:rPr>
                <w:sz w:val="17"/>
                <w:szCs w:val="17"/>
                <w:color w:val="auto"/>
              </w:rPr>
            </w:pPr>
          </w:p>
        </w:tc>
        <w:tc>
          <w:tcPr>
            <w:tcW w:w="876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nine months ended September 30, 2007 and 2006</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7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 three months ended September 30, 2007 and 2006</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 of Shareholders’ Equity (unaudited) nine months ended September 30, 2007</w:t>
              </w:r>
            </w:hyperlink>
          </w:p>
        </w:tc>
        <w:tc>
          <w:tcPr>
            <w:tcW w:w="40" w:type="dxa"/>
            <w:vAlign w:val="bottom"/>
            <w:tcBorders>
              <w:top w:val="single" w:sz="8" w:color="0000EE"/>
            </w:tcBorders>
          </w:tcPr>
          <w:p>
            <w:pPr>
              <w:spacing w:after="0"/>
              <w:rPr>
                <w:sz w:val="17"/>
                <w:szCs w:val="17"/>
                <w:color w:val="auto"/>
              </w:rPr>
            </w:pPr>
          </w:p>
        </w:tc>
        <w:tc>
          <w:tcPr>
            <w:tcW w:w="1600" w:type="dxa"/>
            <w:vAlign w:val="bottom"/>
            <w:gridSpan w:val="2"/>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80" w:type="dxa"/>
            <w:vAlign w:val="bottom"/>
          </w:tcPr>
          <w:p>
            <w:pPr>
              <w:spacing w:after="0"/>
              <w:rPr>
                <w:sz w:val="17"/>
                <w:szCs w:val="17"/>
                <w:color w:val="auto"/>
              </w:rPr>
            </w:pPr>
          </w:p>
        </w:tc>
        <w:tc>
          <w:tcPr>
            <w:tcW w:w="718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Consolidated Statements of Cash Flows (unaudited) nine months ended September 30, 2007 and 2006</w:t>
              </w:r>
            </w:hyperlink>
          </w:p>
        </w:tc>
        <w:tc>
          <w:tcPr>
            <w:tcW w:w="1580" w:type="dxa"/>
            <w:vAlign w:val="bottom"/>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8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Notes to Consolidated Financial Statements (unaudited)</w:t>
              </w:r>
            </w:hyperlink>
          </w:p>
        </w:tc>
        <w:tc>
          <w:tcPr>
            <w:tcW w:w="4820" w:type="dxa"/>
            <w:vAlign w:val="bottom"/>
            <w:gridSpan w:val="8"/>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76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460" w:type="dxa"/>
            <w:vAlign w:val="bottom"/>
            <w:gridSpan w:val="4"/>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6"/>
          </w:tcPr>
          <w:p>
            <w:pPr>
              <w:spacing w:after="0"/>
              <w:rPr>
                <w:sz w:val="17"/>
                <w:szCs w:val="17"/>
                <w:color w:val="auto"/>
              </w:rPr>
            </w:pPr>
          </w:p>
        </w:tc>
        <w:tc>
          <w:tcPr>
            <w:tcW w:w="4560" w:type="dxa"/>
            <w:vAlign w:val="bottom"/>
            <w:gridSpan w:val="7"/>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876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1780" w:type="dxa"/>
            <w:vAlign w:val="bottom"/>
          </w:tcPr>
          <w:p>
            <w:pPr>
              <w:spacing w:after="0"/>
              <w:rPr>
                <w:sz w:val="24"/>
                <w:szCs w:val="24"/>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920" w:type="dxa"/>
            <w:vAlign w:val="bottom"/>
            <w:gridSpan w:val="12"/>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7460" w:type="dxa"/>
            <w:vAlign w:val="bottom"/>
            <w:gridSpan w:val="15"/>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76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17"/>
                <w:szCs w:val="17"/>
                <w:color w:val="auto"/>
              </w:rPr>
            </w:pPr>
          </w:p>
        </w:tc>
        <w:tc>
          <w:tcPr>
            <w:tcW w:w="4520" w:type="dxa"/>
            <w:vAlign w:val="bottom"/>
            <w:gridSpan w:val="6"/>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Submission of Matters to a Vote of Security Holders</w:t>
              </w:r>
            </w:hyperlink>
          </w:p>
        </w:tc>
        <w:tc>
          <w:tcPr>
            <w:tcW w:w="5080" w:type="dxa"/>
            <w:vAlign w:val="bottom"/>
            <w:gridSpan w:val="9"/>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76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7480" w:type="dxa"/>
            <w:vAlign w:val="bottom"/>
            <w:gridSpan w:val="16"/>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304"/>
        </w:trPr>
        <w:tc>
          <w:tcPr>
            <w:tcW w:w="964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3"/>
        </w:trPr>
        <w:tc>
          <w:tcPr>
            <w:tcW w:w="8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880" w:type="dxa"/>
            <w:vAlign w:val="bottom"/>
            <w:gridSpan w:val="14"/>
          </w:tcPr>
          <w:p>
            <w:pPr>
              <w:jc w:val="center"/>
              <w:ind w:left="3312"/>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1—FINANCIAL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balance sheet as of December 31, 2006, which has been derived from audited financial statements, and the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nine and three months ended September 30, 2007 are not necessarily indicative of the results that may be expected for the full year.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300" w:type="dxa"/>
            <w:vAlign w:val="bottom"/>
            <w:gridSpan w:val="3"/>
          </w:tcPr>
          <w:p>
            <w:pPr>
              <w:jc w:val="center"/>
              <w:ind w:right="332"/>
              <w:spacing w:after="0"/>
              <w:rPr>
                <w:sz w:val="20"/>
                <w:szCs w:val="20"/>
                <w:color w:val="auto"/>
              </w:rPr>
            </w:pPr>
            <w:r>
              <w:rPr>
                <w:rFonts w:ascii="Arial" w:cs="Arial" w:eastAsia="Arial" w:hAnsi="Arial"/>
                <w:sz w:val="14"/>
                <w:szCs w:val="14"/>
                <w:b w:val="1"/>
                <w:bCs w:val="1"/>
                <w:color w:val="auto"/>
                <w:w w:val="85"/>
              </w:rPr>
              <w:t>September 30,</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2007</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(In thousands,</w:t>
            </w: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except</w:t>
            </w:r>
          </w:p>
        </w:tc>
        <w:tc>
          <w:tcPr>
            <w:tcW w:w="920" w:type="dxa"/>
            <w:vAlign w:val="bottom"/>
            <w:gridSpan w:val="2"/>
          </w:tcPr>
          <w:p>
            <w:pPr>
              <w:jc w:val="right"/>
              <w:ind w:right="73"/>
              <w:spacing w:after="0" w:line="129" w:lineRule="exact"/>
              <w:rPr>
                <w:sz w:val="20"/>
                <w:szCs w:val="20"/>
                <w:color w:val="auto"/>
              </w:rPr>
            </w:pPr>
            <w:r>
              <w:rPr>
                <w:rFonts w:ascii="Arial" w:cs="Arial" w:eastAsia="Arial" w:hAnsi="Arial"/>
                <w:sz w:val="14"/>
                <w:szCs w:val="14"/>
                <w:b w:val="1"/>
                <w:bCs w:val="1"/>
                <w:color w:val="auto"/>
                <w:w w:val="99"/>
              </w:rPr>
              <w:t>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3,331,957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3,025,210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132,450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Assets held for sale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3,480,394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3,204,258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(805,610)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(740,507)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Net real estate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2,674,784</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2,463,751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and notes receivable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notes receivable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30,198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Debt issuance costs, net of accumulated amortization of $6,307 and $4,986, respectively</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2,929,859</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2,688,606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Mortgages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375,601</w:t>
            </w: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311,037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Obligations under capital leases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152,862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Notes payable, including revolving credit facility</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178,873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notes and debentures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1,127,567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1,127,508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99,461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Security deposits payable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11,259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53,068</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2,033,582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1,882,337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Commitments and contingencies (Note 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w w:val="95"/>
              </w:rPr>
              <w:t>Preferred stock, authorized 15,000,000 shares, $.01 par: 5.417% Series 1 Cumulative Convertible Preferred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w w:val="97"/>
              </w:rPr>
              <w:t>Shares, (stated at liquidation preference $25 per share), 399,896 and 0 shares, respectively, issued and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58,091,319 and 56,805,816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issued, respectively</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1,374,590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1,281,217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(493,635)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Treasury shares at cost, 1,487,407 and 1,485,279 shares, respectively</w:t>
            </w:r>
          </w:p>
        </w:tc>
        <w:tc>
          <w:tcPr>
            <w:tcW w:w="100" w:type="dxa"/>
            <w:vAlign w:val="bottom"/>
          </w:tcPr>
          <w:p>
            <w:pPr>
              <w:spacing w:after="0"/>
              <w:rPr>
                <w:sz w:val="18"/>
                <w:szCs w:val="18"/>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(28,807)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from issuance of common shares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861,923</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784,078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2,929,859</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2,688,606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4"/>
                <w:szCs w:val="14"/>
                <w:b w:val="1"/>
                <w:bCs w:val="1"/>
                <w:color w:val="auto"/>
                <w:w w:val="85"/>
              </w:rPr>
              <w:t>September 30,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8"/>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360,655</w:t>
            </w:r>
          </w:p>
        </w:tc>
        <w:tc>
          <w:tcPr>
            <w:tcW w:w="4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319,673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9,645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373,686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EXPENSES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76,002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36,320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18,271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164,550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(89,577)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77,087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sale of real estate from 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Results from discontinued operations</w:t>
            </w:r>
          </w:p>
        </w:tc>
        <w:tc>
          <w:tcPr>
            <w:tcW w:w="1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73,369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73,369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73,062</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1.30</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1.31</w:t>
            </w:r>
          </w:p>
        </w:tc>
        <w:tc>
          <w:tcPr>
            <w:tcW w:w="4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1.29</w:t>
            </w:r>
          </w:p>
        </w:tc>
        <w:tc>
          <w:tcPr>
            <w:tcW w:w="4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1.30</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4"/>
                <w:szCs w:val="14"/>
                <w:b w:val="1"/>
                <w:bCs w:val="1"/>
                <w:color w:val="auto"/>
                <w:w w:val="85"/>
              </w:rPr>
              <w:t>September 30,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8"/>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123,559</w:t>
            </w:r>
          </w:p>
        </w:tc>
        <w:tc>
          <w:tcPr>
            <w:tcW w:w="4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4,650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129,338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EXPENSES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26,502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12,985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6,631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57,149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(30,533)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27,402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sale of real estate from 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vMerge w:val="restart"/>
          </w:tcPr>
          <w:p>
            <w:pPr>
              <w:ind w:left="420"/>
              <w:spacing w:after="0"/>
              <w:rPr>
                <w:sz w:val="20"/>
                <w:szCs w:val="20"/>
                <w:color w:val="auto"/>
              </w:rPr>
            </w:pPr>
            <w:r>
              <w:rPr>
                <w:rFonts w:ascii="Arial" w:cs="Arial" w:eastAsia="Arial" w:hAnsi="Arial"/>
                <w:sz w:val="18"/>
                <w:szCs w:val="18"/>
                <w:color w:val="auto"/>
              </w:rPr>
              <w:t>Results from discontinued operations</w:t>
            </w: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23,379</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0.46</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0.42</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0.45</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0.41</w:t>
            </w:r>
          </w:p>
        </w:tc>
        <w:tc>
          <w:tcPr>
            <w:tcW w:w="4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0"/>
          </w:tcPr>
          <w:p>
            <w:pPr>
              <w:jc w:val="right"/>
              <w:ind w:right="740"/>
              <w:spacing w:after="0"/>
              <w:rPr>
                <w:sz w:val="20"/>
                <w:szCs w:val="20"/>
                <w:color w:val="auto"/>
              </w:rPr>
            </w:pPr>
            <w:r>
              <w:rPr>
                <w:rFonts w:ascii="Arial" w:cs="Arial" w:eastAsia="Arial" w:hAnsi="Arial"/>
                <w:sz w:val="14"/>
                <w:szCs w:val="14"/>
                <w:b w:val="1"/>
                <w:bCs w:val="1"/>
                <w:color w:val="auto"/>
                <w:w w:val="89"/>
              </w:rPr>
              <w:t>For the Nine Months Ended September 30, 2007</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7"/>
              </w:rPr>
              <w:t>Preferred Stock</w:t>
            </w:r>
          </w:p>
        </w:tc>
        <w:tc>
          <w:tcPr>
            <w:tcW w:w="80" w:type="dxa"/>
            <w:vAlign w:val="bottom"/>
          </w:tcPr>
          <w:p>
            <w:pPr>
              <w:spacing w:after="0"/>
              <w:rPr>
                <w:sz w:val="11"/>
                <w:szCs w:val="11"/>
                <w:color w:val="auto"/>
              </w:rPr>
            </w:pPr>
          </w:p>
        </w:tc>
        <w:tc>
          <w:tcPr>
            <w:tcW w:w="1360" w:type="dxa"/>
            <w:vAlign w:val="bottom"/>
            <w:gridSpan w:val="4"/>
            <w:vMerge w:val="restart"/>
          </w:tcPr>
          <w:p>
            <w:pPr>
              <w:jc w:val="right"/>
              <w:ind w:right="112"/>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Treasury Shares</w:t>
            </w:r>
          </w:p>
        </w:tc>
        <w:tc>
          <w:tcPr>
            <w:tcW w:w="112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4"/>
              </w:rPr>
              <w:t>Notes Receivable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0"/>
              <w:spacing w:after="0" w:line="148" w:lineRule="exact"/>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2"/>
                <w:szCs w:val="12"/>
                <w:color w:val="auto"/>
              </w:rPr>
            </w:pPr>
          </w:p>
        </w:tc>
        <w:tc>
          <w:tcPr>
            <w:tcW w:w="9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8"/>
              </w:rPr>
              <w:t>Dividends In</w:t>
            </w:r>
          </w:p>
        </w:tc>
        <w:tc>
          <w:tcPr>
            <w:tcW w:w="1680" w:type="dxa"/>
            <w:vAlign w:val="bottom"/>
            <w:gridSpan w:val="5"/>
            <w:vMerge w:val="continue"/>
          </w:tcPr>
          <w:p>
            <w:pPr>
              <w:spacing w:after="0"/>
              <w:rPr>
                <w:sz w:val="12"/>
                <w:szCs w:val="12"/>
                <w:color w:val="auto"/>
              </w:rPr>
            </w:pPr>
          </w:p>
        </w:tc>
        <w:tc>
          <w:tcPr>
            <w:tcW w:w="112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from Issuance of</w:t>
            </w:r>
          </w:p>
        </w:tc>
        <w:tc>
          <w:tcPr>
            <w:tcW w:w="160" w:type="dxa"/>
            <w:vAlign w:val="bottom"/>
          </w:tcPr>
          <w:p>
            <w:pPr>
              <w:spacing w:after="0"/>
              <w:rPr>
                <w:sz w:val="12"/>
                <w:szCs w:val="12"/>
                <w:color w:val="auto"/>
              </w:rPr>
            </w:pPr>
          </w:p>
        </w:tc>
        <w:tc>
          <w:tcPr>
            <w:tcW w:w="7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0"/>
              <w:spacing w:after="0" w:line="12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1"/>
                <w:szCs w:val="11"/>
                <w:color w:val="auto"/>
              </w:rPr>
            </w:pPr>
          </w:p>
        </w:tc>
        <w:tc>
          <w:tcPr>
            <w:tcW w:w="9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2"/>
              </w:rPr>
              <w:t>Excess of Net</w:t>
            </w: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Common</w:t>
            </w: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14"/>
                <w:szCs w:val="14"/>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6"/>
          </w:tcPr>
          <w:p>
            <w:pPr>
              <w:jc w:val="right"/>
              <w:ind w:right="36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56,805,816</w:t>
            </w: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568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$1,281,217</w:t>
            </w:r>
          </w:p>
        </w:tc>
        <w:tc>
          <w:tcPr>
            <w:tcW w:w="1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5"/>
              </w:rPr>
              <w:t>$ (467,369) (1,485,279)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 (28,807)</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784,078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73,369</w:t>
            </w:r>
          </w:p>
        </w:tc>
        <w:tc>
          <w:tcPr>
            <w:tcW w:w="86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89"/>
              </w:rPr>
              <w:t>Dividends declared to common shareholders</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(99,328)</w:t>
            </w:r>
          </w:p>
        </w:tc>
        <w:tc>
          <w:tcPr>
            <w:tcW w:w="8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Dividends declared to preferred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(307)</w:t>
            </w:r>
          </w:p>
        </w:tc>
        <w:tc>
          <w:tcPr>
            <w:tcW w:w="86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2"/>
              </w:rPr>
              <w:t>Shares issued under dividend reinvestment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plan</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25,051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2,132</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Conversions and cash redemptions of</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w w:val="99"/>
              </w:rPr>
              <w:t>downREIT operating partnership units</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176,756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3,715</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884,066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77,943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Preferred shares issued</w:t>
            </w:r>
          </w:p>
        </w:tc>
        <w:tc>
          <w:tcPr>
            <w:tcW w:w="660" w:type="dxa"/>
            <w:vAlign w:val="bottom"/>
            <w:gridSpan w:val="2"/>
          </w:tcPr>
          <w:p>
            <w:pPr>
              <w:spacing w:after="0"/>
              <w:rPr>
                <w:sz w:val="20"/>
                <w:szCs w:val="20"/>
                <w:color w:val="auto"/>
              </w:rPr>
            </w:pPr>
            <w:r>
              <w:rPr>
                <w:rFonts w:ascii="Arial" w:cs="Arial" w:eastAsia="Arial" w:hAnsi="Arial"/>
                <w:sz w:val="18"/>
                <w:szCs w:val="18"/>
                <w:color w:val="auto"/>
                <w:w w:val="98"/>
              </w:rPr>
              <w:t>399,896</w:t>
            </w: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9,997</w:t>
            </w:r>
          </w:p>
        </w:tc>
        <w:tc>
          <w:tcPr>
            <w:tcW w:w="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forfeited</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1"/>
              </w:rPr>
              <w:t>(2,128)</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Loans paid</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79"/>
              </w:rPr>
              <w:t>728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2007</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399,896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9,997 58,091,319</w:t>
            </w: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581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1,374,590</w:t>
            </w:r>
          </w:p>
        </w:tc>
        <w:tc>
          <w:tcPr>
            <w:tcW w:w="2840" w:type="dxa"/>
            <w:vAlign w:val="bottom"/>
            <w:gridSpan w:val="9"/>
            <w:shd w:val="clear" w:color="auto" w:fill="CCEEFF"/>
          </w:tcPr>
          <w:p>
            <w:pPr>
              <w:jc w:val="right"/>
              <w:ind w:right="9"/>
              <w:spacing w:after="0"/>
              <w:rPr>
                <w:sz w:val="20"/>
                <w:szCs w:val="20"/>
                <w:color w:val="auto"/>
              </w:rPr>
            </w:pPr>
            <w:r>
              <w:rPr>
                <w:rFonts w:ascii="Arial" w:cs="Arial" w:eastAsia="Arial" w:hAnsi="Arial"/>
                <w:sz w:val="18"/>
                <w:szCs w:val="18"/>
                <w:color w:val="auto"/>
                <w:w w:val="94"/>
              </w:rPr>
              <w:t xml:space="preserve">$ (493,635) (1,487,407) </w:t>
            </w: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(28,807) $</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861,923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433"/>
              <w:spacing w:after="0" w:line="142" w:lineRule="exact"/>
              <w:rPr>
                <w:sz w:val="20"/>
                <w:szCs w:val="20"/>
                <w:color w:val="auto"/>
              </w:rPr>
            </w:pPr>
            <w:r>
              <w:rPr>
                <w:rFonts w:ascii="Arial" w:cs="Arial" w:eastAsia="Arial" w:hAnsi="Arial"/>
                <w:sz w:val="14"/>
                <w:szCs w:val="14"/>
                <w:b w:val="1"/>
                <w:bCs w:val="1"/>
                <w:color w:val="auto"/>
                <w:w w:val="76"/>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73,369</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(gain) on sale of real estate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(23,866)</w:t>
            </w: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Equity in income from real estate partnership</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Increase in accounts receivable</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16"/>
        </w:trPr>
        <w:tc>
          <w:tcPr>
            <w:tcW w:w="9500" w:type="dxa"/>
            <w:vAlign w:val="bottom"/>
          </w:tcPr>
          <w:p>
            <w:pPr>
              <w:ind w:left="880"/>
              <w:spacing w:after="0"/>
              <w:rPr>
                <w:sz w:val="20"/>
                <w:szCs w:val="20"/>
                <w:color w:val="auto"/>
              </w:rPr>
            </w:pPr>
            <w:r>
              <w:rPr>
                <w:rFonts w:ascii="Arial" w:cs="Arial" w:eastAsia="Arial" w:hAnsi="Arial"/>
                <w:sz w:val="18"/>
                <w:szCs w:val="18"/>
                <w:color w:val="auto"/>
              </w:rPr>
              <w:t>Increase (decrease) in accounts payable, security deposits and prepaid rent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0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158,734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Acquisition of real estate</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(49,573)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(224,274)</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(91,410)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(62,450)</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Capital expenditures—other</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(14,487)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(17,408)</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(20,418)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 from real estate partnership in excess of earnings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Leasing costs</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(issuance) of mortgage and other notes receivable,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9500" w:type="dxa"/>
            <w:vAlign w:val="bottom"/>
            <w:vMerge w:val="restart"/>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w w:val="88"/>
              </w:rPr>
              <w:t>(130,063)</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(233,282)</w:t>
            </w:r>
          </w:p>
        </w:tc>
        <w:tc>
          <w:tcPr>
            <w:tcW w:w="0" w:type="dxa"/>
            <w:vAlign w:val="bottom"/>
          </w:tcPr>
          <w:p>
            <w:pPr>
              <w:spacing w:after="0"/>
              <w:rPr>
                <w:sz w:val="1"/>
                <w:szCs w:val="1"/>
                <w:color w:val="auto"/>
              </w:rPr>
            </w:pPr>
          </w:p>
        </w:tc>
      </w:tr>
      <w:tr>
        <w:trPr>
          <w:trHeight w:val="218"/>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Net borrowings under revolving credit facility, net of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senior debentures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376,214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Repayment of senior debentures</w:t>
            </w:r>
          </w:p>
        </w:tc>
        <w:tc>
          <w:tcPr>
            <w:tcW w:w="100" w:type="dxa"/>
            <w:vAlign w:val="bottom"/>
          </w:tcPr>
          <w:p>
            <w:pPr>
              <w:spacing w:after="0"/>
              <w:rPr>
                <w:sz w:val="18"/>
                <w:szCs w:val="18"/>
                <w:color w:val="auto"/>
              </w:rPr>
            </w:pP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(5,639)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(254,022)</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(96,785)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(107,450)</w:t>
            </w: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Distributions to minority interests</w:t>
            </w:r>
          </w:p>
        </w:tc>
        <w:tc>
          <w:tcPr>
            <w:tcW w:w="10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(29,885)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0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11,495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2007</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Federal Realty Investment Trust (the “Trust”) is an equity real estate investment trust specializing in the ownership, management, development and redevelopment of retail and mixed-use properties. Our properties are located primarily in densely populated and affluent communities in strategic metropolitan markets in the Mid-Atlantic and Northeast regions of the United States, as well as in California.</w:t>
      </w:r>
    </w:p>
    <w:p>
      <w:pPr>
        <w:spacing w:after="0" w:line="14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elected to treat certain of our subsidiaries as taxable REIT subsidiaries, each of which we refer to as a TRS. In general, a TRS may engage in any real estate business and certain non-real estate businesses, subject to certain limitations under the Internal Revenue Code of 1986, as amended (the “Code”). A TRS is subject to federal and state income taxes. The sales of condominiums at Santana Row, which occurred between August 2005 and August 2006, and the sales of Bath Shopping Center, Key Road Plaza and Riverside Plaza in 2007 were conducted through a TRS. Other than these sales, our TRS activities have not been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Our consolidated financial statements include the accounts of the Trust, its corporate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using the equity method of accounting. Certain amounts in the 2006 consolidated financial statements have been reclassified to conform to current period presentation.</w:t>
      </w:r>
    </w:p>
    <w:p>
      <w:pPr>
        <w:spacing w:after="0" w:line="9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June 2006, we sold Greenlawn Plaza to our unconsolidated real estate partnership resulting in a gain of $7.4 million. In our 2006 Form 10-K, the operations of the property prior to June 2006 and the gain on sale of real estate were included in discontinued operations. However, due to our continuing involvement in the property, Greenlawn Plaza does not qualify for discontinued operations classification under SFAS No.144, “Accounting for the Impairment or Disposal of Long-Lived Assets.” Accordingly, we have reclassified the results of operations through the date of sale to continuing operations and reclassified the gain on sale from “gain on sale of real estate from discontinued operations” to “gain on sale of real estate.” This reclassification does not impact net income.</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We make estimates of the collectibility of our accounts receivable related to minimum rents, straight-line rents, expense reimbursements and other revenue or income. In some cases, primarily relating to straight-line rents, the collection of these amounts extends beyond one year. Our experience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relative to unbilled straight-line rents is that a certain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September 30, 2007 and December 31, 2006, accounts receivable include approximately $31.2 million and $24.8 million, respectively, related to straight-line rents. At September 30, 2007 and December 31, 2006, our allowance for doubtful accounts was $6.9 million and $6.2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3"/>
              <w:spacing w:after="0" w:line="142" w:lineRule="exact"/>
              <w:rPr>
                <w:sz w:val="20"/>
                <w:szCs w:val="20"/>
                <w:color w:val="auto"/>
              </w:rPr>
            </w:pPr>
            <w:r>
              <w:rPr>
                <w:rFonts w:ascii="Arial" w:cs="Arial" w:eastAsia="Arial" w:hAnsi="Arial"/>
                <w:sz w:val="14"/>
                <w:szCs w:val="14"/>
                <w:b w:val="1"/>
                <w:bCs w:val="1"/>
                <w:color w:val="auto"/>
                <w:w w:val="84"/>
              </w:rPr>
              <w:t>thousands)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95,778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77,560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(6,026)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23"/>
        </w:trPr>
        <w:tc>
          <w:tcPr>
            <w:tcW w:w="8860" w:type="dxa"/>
            <w:vAlign w:val="bottom"/>
          </w:tcPr>
          <w:p>
            <w:pPr>
              <w:ind w:left="440"/>
              <w:spacing w:after="0"/>
              <w:rPr>
                <w:sz w:val="20"/>
                <w:szCs w:val="20"/>
                <w:color w:val="auto"/>
              </w:rPr>
            </w:pPr>
            <w:r>
              <w:rPr>
                <w:rFonts w:ascii="Arial" w:cs="Arial" w:eastAsia="Arial" w:hAnsi="Arial"/>
                <w:sz w:val="18"/>
                <w:szCs w:val="18"/>
                <w:color w:val="auto"/>
              </w:rPr>
              <w:t>Interest expense related to discontinued operations</w:t>
            </w:r>
          </w:p>
        </w:tc>
        <w:tc>
          <w:tcPr>
            <w:tcW w:w="120" w:type="dxa"/>
            <w:vAlign w:val="bottom"/>
          </w:tcPr>
          <w:p>
            <w:pPr>
              <w:spacing w:after="0"/>
              <w:rPr>
                <w:sz w:val="19"/>
                <w:szCs w:val="19"/>
                <w:color w:val="auto"/>
              </w:rPr>
            </w:pPr>
          </w:p>
        </w:tc>
        <w:tc>
          <w:tcPr>
            <w:tcW w:w="1280" w:type="dxa"/>
            <w:vAlign w:val="bottom"/>
            <w:gridSpan w:val="2"/>
          </w:tcPr>
          <w:p>
            <w:pPr>
              <w:jc w:val="right"/>
              <w:ind w:right="352"/>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89,577</w:t>
            </w:r>
          </w:p>
        </w:tc>
        <w:tc>
          <w:tcPr>
            <w:tcW w:w="4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vMerge w:val="restart"/>
          </w:tcPr>
          <w:p>
            <w:pPr>
              <w:ind w:left="440"/>
              <w:spacing w:after="0"/>
              <w:rPr>
                <w:sz w:val="20"/>
                <w:szCs w:val="20"/>
                <w:color w:val="auto"/>
              </w:rPr>
            </w:pPr>
            <w:r>
              <w:rPr>
                <w:rFonts w:ascii="Arial" w:cs="Arial" w:eastAsia="Arial" w:hAnsi="Arial"/>
                <w:sz w:val="18"/>
                <w:szCs w:val="18"/>
                <w:color w:val="auto"/>
              </w:rPr>
              <w:t>Cash paid for interest</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92,776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1,742</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3,836(1)</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NON-CASH FINANCING AND INVESTING TRANSACTIONS: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 loans assumed with acquisitions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79,987</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Common shares issued with acquisition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77,957</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shares issued with acquisition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9,997</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860" w:type="dxa"/>
            <w:vAlign w:val="bottom"/>
          </w:tcPr>
          <w:p>
            <w:pPr>
              <w:ind w:left="440"/>
              <w:spacing w:after="0"/>
              <w:rPr>
                <w:sz w:val="20"/>
                <w:szCs w:val="20"/>
                <w:color w:val="auto"/>
              </w:rPr>
            </w:pPr>
            <w:r>
              <w:rPr>
                <w:rFonts w:ascii="Arial" w:cs="Arial" w:eastAsia="Arial" w:hAnsi="Arial"/>
                <w:sz w:val="18"/>
                <w:szCs w:val="18"/>
                <w:color w:val="auto"/>
              </w:rPr>
              <w:t>DownREIT operating partnership units issued with acquisition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16,358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4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paid for income taxes for the nine months ended September 30, 2006 includes $3.2 million related to the sales of condominiums at Santana Row which were conducted through a TRS.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9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 July 2006, the Financial Accounting Standards Board (“FASB”) issued FASB Interpretation No. 48 (“FIN 48”), “Accounting for Uncertainty in Income Taxes”—an interpretation of FASB Statement No. 109, “Accounting for Income Taxes.” FIN 48 was issued to reduce the diversity in practice associated with certain aspects of recognition, disclosure and measurement related to accounting for uncertain income tax positions. We adopted FIN 48 effective January 1, 2007. The adoption of FIN 48 did not have a material impact on our financial position, results of operations, or cash flows. We recognize penalties and interest accrued related to unrecognized tax benefits as income tax expense. With few exceptions, we are no longer subject to U.S. federal, state, and local tax examinations by tax authorities for years before 2003. As of September 30, 2007, we had no material unrecognized tax benefits.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September 2006, the FASB issued SFAS No. 157 “Fair Value Measurement”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are required to adopt SFAS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No. 157 effective January 1, 2008. We do not believe the adoption of SFAS No. 157 will have a material impact on our financial position, results of operations or cash flows.</w:t>
      </w:r>
    </w:p>
    <w:p>
      <w:pPr>
        <w:spacing w:after="0" w:line="13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do not expect SFAS No. 159 to have a material impact on our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acquisitions made by us and our consolidated affiliates during the nine months ended September 30,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14"/>
                <w:szCs w:val="14"/>
                <w:color w:val="auto"/>
              </w:rPr>
            </w:pPr>
          </w:p>
        </w:tc>
        <w:tc>
          <w:tcPr>
            <w:tcW w:w="2940" w:type="dxa"/>
            <w:vAlign w:val="bottom"/>
          </w:tcPr>
          <w:p>
            <w:pPr>
              <w:ind w:left="1220"/>
              <w:spacing w:after="0"/>
              <w:rPr>
                <w:sz w:val="20"/>
                <w:szCs w:val="20"/>
                <w:color w:val="auto"/>
              </w:rPr>
            </w:pPr>
            <w:r>
              <w:rPr>
                <w:rFonts w:ascii="Arial" w:cs="Arial" w:eastAsia="Arial" w:hAnsi="Arial"/>
                <w:sz w:val="14"/>
                <w:szCs w:val="14"/>
                <w:b w:val="1"/>
                <w:bCs w:val="1"/>
                <w:color w:val="auto"/>
              </w:rPr>
              <w:t>Property</w:t>
            </w:r>
          </w:p>
        </w:tc>
        <w:tc>
          <w:tcPr>
            <w:tcW w:w="340" w:type="dxa"/>
            <w:vAlign w:val="bottom"/>
          </w:tcPr>
          <w:p>
            <w:pPr>
              <w:spacing w:after="0"/>
              <w:rPr>
                <w:sz w:val="14"/>
                <w:szCs w:val="14"/>
                <w:color w:val="auto"/>
              </w:rPr>
            </w:pPr>
          </w:p>
        </w:tc>
        <w:tc>
          <w:tcPr>
            <w:tcW w:w="2340" w:type="dxa"/>
            <w:vAlign w:val="bottom"/>
          </w:tcPr>
          <w:p>
            <w:pPr>
              <w:ind w:left="860"/>
              <w:spacing w:after="0"/>
              <w:rPr>
                <w:sz w:val="20"/>
                <w:szCs w:val="20"/>
                <w:color w:val="auto"/>
              </w:rPr>
            </w:pPr>
            <w:r>
              <w:rPr>
                <w:rFonts w:ascii="Arial" w:cs="Arial" w:eastAsia="Arial" w:hAnsi="Arial"/>
                <w:sz w:val="14"/>
                <w:szCs w:val="14"/>
                <w:b w:val="1"/>
                <w:bCs w:val="1"/>
                <w:color w:val="auto"/>
              </w:rPr>
              <w:t>City, State</w:t>
            </w:r>
          </w:p>
        </w:tc>
        <w:tc>
          <w:tcPr>
            <w:tcW w:w="3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Leasable Area</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Purchase Price</w:t>
            </w:r>
          </w:p>
        </w:tc>
      </w:tr>
      <w:tr>
        <w:trPr>
          <w:trHeight w:val="149"/>
        </w:trPr>
        <w:tc>
          <w:tcPr>
            <w:tcW w:w="9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9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9" w:lineRule="exact"/>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12"/>
                <w:szCs w:val="12"/>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2007</w:t>
            </w: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Crow Canyon Crest</w:t>
            </w:r>
          </w:p>
        </w:tc>
        <w:tc>
          <w:tcPr>
            <w:tcW w:w="3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San Ramon, CA</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March 8, 2007</w:t>
            </w: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The White Marsh Portfolio: (2)</w:t>
            </w:r>
          </w:p>
        </w:tc>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White Marsh, MD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189.4(3)</w:t>
            </w:r>
          </w:p>
        </w:tc>
      </w:tr>
      <w:tr>
        <w:trPr>
          <w:trHeight w:val="216"/>
        </w:trPr>
        <w:tc>
          <w:tcPr>
            <w:tcW w:w="9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AVENUE at White Marsh</w:t>
            </w:r>
          </w:p>
        </w:tc>
        <w:tc>
          <w:tcPr>
            <w:tcW w:w="3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296,000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tcPr>
          <w:p>
            <w:pPr>
              <w:ind w:left="440"/>
              <w:spacing w:after="0"/>
              <w:rPr>
                <w:sz w:val="20"/>
                <w:szCs w:val="20"/>
                <w:color w:val="auto"/>
              </w:rPr>
            </w:pPr>
            <w:r>
              <w:rPr>
                <w:rFonts w:ascii="Arial" w:cs="Arial" w:eastAsia="Arial" w:hAnsi="Arial"/>
                <w:sz w:val="18"/>
                <w:szCs w:val="18"/>
                <w:color w:val="auto"/>
              </w:rPr>
              <w:t>White Marsh Plaza</w:t>
            </w: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79,000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The Shoppes at Nottingham Square</w:t>
            </w:r>
          </w:p>
        </w:tc>
        <w:tc>
          <w:tcPr>
            <w:tcW w:w="3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186,000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tcPr>
          <w:p>
            <w:pPr>
              <w:ind w:left="440"/>
              <w:spacing w:after="0"/>
              <w:rPr>
                <w:sz w:val="20"/>
                <w:szCs w:val="20"/>
                <w:color w:val="auto"/>
              </w:rPr>
            </w:pPr>
            <w:r>
              <w:rPr>
                <w:rFonts w:ascii="Arial" w:cs="Arial" w:eastAsia="Arial" w:hAnsi="Arial"/>
                <w:sz w:val="18"/>
                <w:szCs w:val="18"/>
                <w:color w:val="auto"/>
              </w:rPr>
              <w:t>White Marsh Other</w:t>
            </w: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53,000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2007</w:t>
            </w:r>
          </w:p>
        </w:tc>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Shoppers’ World</w:t>
            </w:r>
          </w:p>
        </w:tc>
        <w:tc>
          <w:tcPr>
            <w:tcW w:w="3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Charlottesville, VA</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27.2(4)(5)</w:t>
            </w:r>
          </w:p>
        </w:tc>
      </w:tr>
      <w:tr>
        <w:trPr>
          <w:trHeight w:val="222"/>
        </w:trPr>
        <w:tc>
          <w:tcPr>
            <w:tcW w:w="9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tcPr>
          <w:p>
            <w:pPr>
              <w:ind w:left="4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42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bl>
    <w:p>
      <w:pPr>
        <w:spacing w:after="0" w:line="100" w:lineRule="exact"/>
        <w:rPr>
          <w:sz w:val="20"/>
          <w:szCs w:val="20"/>
          <w:color w:val="auto"/>
        </w:rPr>
      </w:pPr>
    </w:p>
    <w:p>
      <w:pPr>
        <w:ind w:left="460" w:right="24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$0.4 million and $1.8 million of the net assets acquired were allocated to other assets for “above market leases” and liabilities for “below market leases,” respectively.</w:t>
      </w:r>
    </w:p>
    <w:p>
      <w:pPr>
        <w:ind w:left="460" w:right="8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White Marsh Portfolio was purchased using $11.5 million of cash plus a combination of common stock and convertible preferred stock, downREIT operating partnership units, and the assumption of mortgage loans through a merger with Nottingham Properties, Inc. The acquisition also included ground leases covering 50,000 square feet of office space and a hotel which are not included in gross leasable area.</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$3.6 million and $9.3 million of the net assets acquired were allocated to other assets for “above market leases” and liabilities for “below market leases,” respectively.</w:t>
      </w:r>
    </w:p>
    <w:p>
      <w:pPr>
        <w:ind w:left="460" w:right="2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part of the preliminary purchase price allocation, approximately $1.3 million and $1.6 million of the net assets acquired were allocated to other assets for “above market leases” and liabilities for “below market leases,” respectively.</w:t>
      </w:r>
    </w:p>
    <w:p>
      <w:pPr>
        <w:ind w:left="460" w:hanging="452"/>
        <w:spacing w:after="0" w:line="290"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May 30, 2007, we entered into a Section 1031 like-kind exchange agreement with a third party intermediary related to the acquisition of Shoppers’ World. The exchange agreement is for a maximum of 180 days and allows us to defer gains on sale of other properties sold within this period. Until the termination of this exchange agreement, the third party intermediary is the legal owner of the property, although we control the property and retain all of the economic benefits and risks associated with the property. This property is held in a variable interest entity for which we are the primary beneficiary. Accordingly, commencing on May 30, 2007, we consolidate the property and its operations. On October 11, 2007, we sold two properties located in Forest Hills, New York which completes the Section 1031 exchange. We now own this property directly.</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provides a summary of significant dispositions made by us and our consolidated affiliates during the nine months ended September 30, 2007. All three properties were acquired in August 2006 by a TRS as part of a larger portfolio. The properties are classified as held for sale as of December 31, 2006, and their operations are included in discontinued operations for all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8"/>
        </w:trPr>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27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14"/>
                <w:szCs w:val="14"/>
                <w:color w:val="auto"/>
              </w:rPr>
            </w:pPr>
          </w:p>
        </w:tc>
        <w:tc>
          <w:tcPr>
            <w:tcW w:w="26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City, State</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Sales Price</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Gain</w:t>
            </w:r>
          </w:p>
        </w:tc>
        <w:tc>
          <w:tcPr>
            <w:tcW w:w="22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(In millions)</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5, 2007</w:t>
            </w:r>
          </w:p>
        </w:tc>
        <w:tc>
          <w:tcPr>
            <w:tcW w:w="2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Bath Shopping Center</w:t>
            </w: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Bath, 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$0.6(1)</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June 20, 2007</w:t>
            </w:r>
          </w:p>
        </w:tc>
        <w:tc>
          <w:tcPr>
            <w:tcW w:w="2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Key Road Plaza</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Keene, NH</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 2007</w:t>
            </w:r>
          </w:p>
        </w:tc>
        <w:tc>
          <w:tcPr>
            <w:tcW w:w="2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Riverside Plaza</w:t>
            </w: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Keene, NH</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r>
      <w:tr>
        <w:trPr>
          <w:trHeight w:val="222"/>
        </w:trPr>
        <w:tc>
          <w:tcPr>
            <w:tcW w:w="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tcPr>
          <w:p>
            <w:pPr>
              <w:ind w:left="4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395,000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u w:val="single" w:color="auto"/>
                <w:color w:val="auto"/>
              </w:rPr>
              <w:t>0</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w:t>
            </w:r>
          </w:p>
        </w:tc>
        <w:tc>
          <w:tcPr>
            <w:tcW w:w="22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of $0.6 million is net of $0.3 million in taxes.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of $0.4 million is net of $0.1 million in taxes.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of $0.5 million is net of $0.1 million in taxes.</w:t>
      </w:r>
    </w:p>
    <w:p>
      <w:pPr>
        <w:spacing w:after="0" w:line="16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On October 11, 2007, we sold two properties located in Forest Hills, New York for $33.2 million, resulting in a net gain of approximately $19.0 million. The properties are classified as held for sale and their operations are included in discontinued operations for all periods presented.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revenues from all properties included in discontinued operations were $4.4 million and $2.2 million for the nine months ended September 30, 2007 and 2006, respectively, and $0.7 million and $1.1 million for the three months ended September 30, 2007 and 2006,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C—REAL ESTATE PARTNERSHIP</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have entered into a joint venture arrangement (“the Partnership”) by forming a limited partnership with affiliates of a discretionary fund created and advised by ING Clarion Partners (“Clarion”). We own 30% of the equity in the Partnership, and Clarion owns 70%. We and Clarion both hold a 0.1% general partner interest in the Partnership, and our remaining interests in the Partnership are held in the form of limited partner interests. We are the manager of the Partnership and its properties, earning fees for acquisitions, dispositions, management, leasing, and financing. We also have the opportunity to receive performance based earnings through our partnership interest. We account for our interest in the Partnership using the equity method.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20" w:type="dxa"/>
            <w:vAlign w:val="bottom"/>
            <w:gridSpan w:val="7"/>
          </w:tcPr>
          <w:p>
            <w:pPr>
              <w:jc w:val="right"/>
              <w:ind w:right="112"/>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c>
          <w:tcPr>
            <w:tcW w:w="14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tcPr>
          <w:p>
            <w:pPr>
              <w:jc w:val="right"/>
              <w:ind w:right="292"/>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4"/>
          </w:tcPr>
          <w:p>
            <w:pPr>
              <w:jc w:val="center"/>
              <w:ind w:right="117"/>
              <w:spacing w:after="0" w:line="142" w:lineRule="exact"/>
              <w:rPr>
                <w:sz w:val="20"/>
                <w:szCs w:val="20"/>
                <w:color w:val="auto"/>
              </w:rPr>
            </w:pPr>
            <w:r>
              <w:rPr>
                <w:rFonts w:ascii="Arial" w:cs="Arial" w:eastAsia="Arial" w:hAnsi="Arial"/>
                <w:sz w:val="14"/>
                <w:szCs w:val="14"/>
                <w:b w:val="1"/>
                <w:bCs w:val="1"/>
                <w:color w:val="auto"/>
                <w:w w:val="76"/>
              </w:rPr>
              <w:t>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Revenue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12,903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w w:val="84"/>
              </w:rPr>
              <w:t>7,489</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4,935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w w:val="84"/>
              </w:rPr>
              <w:t>1,972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expenses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4"/>
              </w:rPr>
              <w:t>1,836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w w:val="84"/>
              </w:rPr>
              <w:t>2,433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4"/>
              </w:rPr>
              <w:t>6,241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gridSpan w:val="2"/>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w w:val="84"/>
              </w:rPr>
              <w:t>1,248</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1,445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533</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thousands)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Real estate, net</w:t>
            </w:r>
          </w:p>
        </w:tc>
        <w:tc>
          <w:tcPr>
            <w:tcW w:w="33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192,564</w:t>
            </w: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Other assets</w:t>
            </w:r>
          </w:p>
        </w:tc>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3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202,348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vMerge w:val="continue"/>
          </w:tcPr>
          <w:p>
            <w:pPr>
              <w:spacing w:after="0"/>
              <w:rPr>
                <w:sz w:val="18"/>
                <w:szCs w:val="18"/>
                <w:color w:val="auto"/>
              </w:rPr>
            </w:pPr>
          </w:p>
        </w:tc>
        <w:tc>
          <w:tcPr>
            <w:tcW w:w="33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81,582</w:t>
            </w: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77,425</w:t>
            </w: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Partners’ capital</w:t>
            </w:r>
          </w:p>
        </w:tc>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112,026</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33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202,348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vMerge w:val="continue"/>
          </w:tcPr>
          <w:p>
            <w:pPr>
              <w:spacing w:after="0"/>
              <w:rPr>
                <w:sz w:val="18"/>
                <w:szCs w:val="18"/>
                <w:color w:val="auto"/>
              </w:rPr>
            </w:pPr>
          </w:p>
        </w:tc>
        <w:tc>
          <w:tcPr>
            <w:tcW w:w="33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24,475</w:t>
            </w: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23,228</w:t>
            </w: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33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mortgages payable totaling $36.7 million that are secured by three properties owned by subsidiaries of the Partnership, we are the guarantor for the obligations of the joint venture which are commonly referred to as “non-recourse carve-outs.” The guarantees do not have a finite term; however, once the lenders have been repaid in accordance with the loan documents, the only likely basis for a claim on the guarantee is for loss to the lender as a result of potential future environmental liability at the properties to which the loans relate. We are not guaranteeing repayment of the debt itself. The Partnership indemnifies us for any loss we incur under these guarantees. We are currently working with these lenders to substitute the Partnership for us as the guarantor of these loans and expect to complete the substitution this year.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acquisitions made by the Partnership, during the nine months ended September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4"/>
                <w:szCs w:val="14"/>
                <w:color w:val="auto"/>
              </w:rPr>
            </w:pPr>
          </w:p>
        </w:tc>
        <w:tc>
          <w:tcPr>
            <w:tcW w:w="2680" w:type="dxa"/>
            <w:vAlign w:val="bottom"/>
          </w:tcPr>
          <w:p>
            <w:pPr>
              <w:ind w:left="1080"/>
              <w:spacing w:after="0"/>
              <w:rPr>
                <w:sz w:val="20"/>
                <w:szCs w:val="20"/>
                <w:color w:val="auto"/>
              </w:rPr>
            </w:pPr>
            <w:r>
              <w:rPr>
                <w:rFonts w:ascii="Arial" w:cs="Arial" w:eastAsia="Arial" w:hAnsi="Arial"/>
                <w:sz w:val="14"/>
                <w:szCs w:val="14"/>
                <w:b w:val="1"/>
                <w:bCs w:val="1"/>
                <w:color w:val="auto"/>
              </w:rPr>
              <w:t>Property</w:t>
            </w:r>
          </w:p>
        </w:tc>
        <w:tc>
          <w:tcPr>
            <w:tcW w:w="420" w:type="dxa"/>
            <w:vAlign w:val="bottom"/>
          </w:tcPr>
          <w:p>
            <w:pPr>
              <w:spacing w:after="0"/>
              <w:rPr>
                <w:sz w:val="14"/>
                <w:szCs w:val="14"/>
                <w:color w:val="auto"/>
              </w:rPr>
            </w:pPr>
          </w:p>
        </w:tc>
        <w:tc>
          <w:tcPr>
            <w:tcW w:w="2540" w:type="dxa"/>
            <w:vAlign w:val="bottom"/>
          </w:tcPr>
          <w:p>
            <w:pPr>
              <w:ind w:left="960"/>
              <w:spacing w:after="0"/>
              <w:rPr>
                <w:sz w:val="20"/>
                <w:szCs w:val="20"/>
                <w:color w:val="auto"/>
              </w:rPr>
            </w:pPr>
            <w:r>
              <w:rPr>
                <w:rFonts w:ascii="Arial" w:cs="Arial" w:eastAsia="Arial" w:hAnsi="Arial"/>
                <w:sz w:val="14"/>
                <w:szCs w:val="14"/>
                <w:b w:val="1"/>
                <w:bCs w:val="1"/>
                <w:color w:val="auto"/>
              </w:rPr>
              <w:t>City, State</w:t>
            </w:r>
          </w:p>
        </w:tc>
        <w:tc>
          <w:tcPr>
            <w:tcW w:w="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4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4"/>
              </w:rPr>
              <w:t>Purchase Price</w:t>
            </w:r>
          </w:p>
        </w:tc>
      </w:tr>
      <w:tr>
        <w:trPr>
          <w:trHeight w:val="149"/>
        </w:trPr>
        <w:tc>
          <w:tcPr>
            <w:tcW w:w="9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40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2"/>
                <w:szCs w:val="12"/>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2007</w:t>
            </w:r>
          </w:p>
        </w:tc>
        <w:tc>
          <w:tcPr>
            <w:tcW w:w="3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Free State Shopping Center</w:t>
            </w: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Bowie, MD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February 20, 2007</w:t>
            </w: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w w:val="98"/>
              </w:rPr>
              <w:t>Lake Barcroft Shopping Center(1)</w:t>
            </w:r>
          </w:p>
        </w:tc>
        <w:tc>
          <w:tcPr>
            <w:tcW w:w="4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Falls Church, VA</w:t>
            </w:r>
          </w:p>
        </w:tc>
        <w:tc>
          <w:tcPr>
            <w:tcW w:w="4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r>
      <w:tr>
        <w:trPr>
          <w:trHeight w:val="216"/>
        </w:trPr>
        <w:tc>
          <w:tcPr>
            <w:tcW w:w="9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property acquired is adjacent to and operated as part of Barcroft Plaza which is also owned by the Partnership.</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On April 10, 2007, the Partnership entered into a mortgage note for approximately $4.2 million. The mortgage note is secured by the Lake Barcroft property and Barcroft Plaza. The note matures on July 1, 2016, bears interest at 5.71% per annum and requires monthly payments of interest only.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of the White Marsh portfolio and Shoppers’ World, we assumed five mortgage notes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7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(1)</w:t>
            </w:r>
          </w:p>
        </w:tc>
        <w:tc>
          <w:tcPr>
            <w:tcW w:w="380" w:type="dxa"/>
            <w:vAlign w:val="bottom"/>
          </w:tcPr>
          <w:p>
            <w:pPr>
              <w:spacing w:after="0"/>
              <w:rPr>
                <w:sz w:val="14"/>
                <w:szCs w:val="14"/>
                <w:color w:val="auto"/>
              </w:rPr>
            </w:pPr>
          </w:p>
        </w:tc>
        <w:tc>
          <w:tcPr>
            <w:tcW w:w="3200" w:type="dxa"/>
            <w:vAlign w:val="bottom"/>
          </w:tcPr>
          <w:p>
            <w:pPr>
              <w:ind w:left="1180"/>
              <w:spacing w:after="0"/>
              <w:rPr>
                <w:sz w:val="20"/>
                <w:szCs w:val="20"/>
                <w:color w:val="auto"/>
              </w:rPr>
            </w:pPr>
            <w:r>
              <w:rPr>
                <w:rFonts w:ascii="Arial" w:cs="Arial" w:eastAsia="Arial" w:hAnsi="Arial"/>
                <w:sz w:val="14"/>
                <w:szCs w:val="14"/>
                <w:b w:val="1"/>
                <w:bCs w:val="1"/>
                <w:color w:val="auto"/>
              </w:rPr>
              <w:t>Maturity Date</w:t>
            </w:r>
          </w:p>
        </w:tc>
        <w:tc>
          <w:tcPr>
            <w:tcW w:w="2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Stated Annual Interest Rate</w:t>
            </w:r>
          </w:p>
        </w:tc>
      </w:tr>
      <w:tr>
        <w:trPr>
          <w:trHeight w:val="149"/>
        </w:trPr>
        <w:tc>
          <w:tcPr>
            <w:tcW w:w="96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Borders>
              <w:top w:val="single" w:sz="8" w:color="auto"/>
            </w:tcBorders>
            <w:gridSpan w:val="2"/>
          </w:tcPr>
          <w:p>
            <w:pPr>
              <w:ind w:left="60"/>
              <w:spacing w:after="0" w:line="149" w:lineRule="exact"/>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AVENUE at White Marsh</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w:t>
            </w:r>
          </w:p>
        </w:tc>
        <w:tc>
          <w:tcPr>
            <w:tcW w:w="3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January 1, 2015</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White Marsh Plaza</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3580" w:type="dxa"/>
            <w:vAlign w:val="bottom"/>
            <w:gridSpan w:val="2"/>
          </w:tcPr>
          <w:p>
            <w:pPr>
              <w:ind w:left="380"/>
              <w:spacing w:after="0"/>
              <w:rPr>
                <w:sz w:val="20"/>
                <w:szCs w:val="20"/>
                <w:color w:val="auto"/>
              </w:rPr>
            </w:pPr>
            <w:r>
              <w:rPr>
                <w:rFonts w:ascii="Arial" w:cs="Arial" w:eastAsia="Arial" w:hAnsi="Arial"/>
                <w:sz w:val="18"/>
                <w:szCs w:val="18"/>
                <w:color w:val="auto"/>
              </w:rPr>
              <w:t>April 1, 2013</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5.96%</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Marsh Plaza</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3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April 1, 2013</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White Marsh Other</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580" w:type="dxa"/>
            <w:vAlign w:val="bottom"/>
            <w:gridSpan w:val="2"/>
          </w:tcPr>
          <w:p>
            <w:pPr>
              <w:ind w:left="380"/>
              <w:spacing w:after="0"/>
              <w:rPr>
                <w:sz w:val="20"/>
                <w:szCs w:val="20"/>
                <w:color w:val="auto"/>
              </w:rPr>
            </w:pPr>
            <w:r>
              <w:rPr>
                <w:rFonts w:ascii="Arial" w:cs="Arial" w:eastAsia="Arial" w:hAnsi="Arial"/>
                <w:sz w:val="18"/>
                <w:szCs w:val="18"/>
                <w:color w:val="auto"/>
              </w:rPr>
              <w:t>December 31, 2008</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Shoppers’ World</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3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January 31, 2021</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108"/>
        </w:trPr>
        <w:tc>
          <w:tcPr>
            <w:tcW w:w="96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ind w:left="460" w:right="2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face amount of the mortgage notes is $79.7 million. However, in accordance with GAAP, these mortgage notes were recorded at their fair value of $80.0 million.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With the exception of one of the mortgage notes on White Marsh Plaza, all of the mortgage notes assumed require monthly payments of principal and interest.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$4.5 million mortgage note on White Marsh Plaza is interest only through the maturity date.</w:t>
      </w:r>
    </w:p>
    <w:p>
      <w:pPr>
        <w:spacing w:after="0" w:line="16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the nine months and three months ended September 30, 2007, the maximum amount of borrowings outstanding under our $300 million revolving credit facility was $203 million and $200 million, respectively. The weighted average amount of borrowings outstanding was $159 million and $172 million for the nine months and three months ended September 30, 2007, respectively. Our revolving credit facility had a weighted average interest rate, before amortization of debt fees, of 5.71% and 5.79% for the nine months and three months ended September 30, 2007, respectively.</w:t>
      </w:r>
    </w:p>
    <w:p>
      <w:pPr>
        <w:spacing w:after="0" w:line="11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credit facility and certain notes require us to comply with various financial covenants, including the maintenance of minimum shareholder’s equity and debt coverage ratios and a maximum ratio of debt to net worth. As of September 30, 2007, we were in compliance with all loan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E—COMMITMENTS AND CONTINGENCIES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Warranty reserves for condominium units sold at Santana Row are established to cover potential costs for materials, labor and other items associated with warranty-type claims that may arise within the ten-year statutorily mandated latent construction defect warranty period. Our warranty and latent construction defect reserve is calculated based upon historical industry experience and current known factors. Variables used in the calculation of the warranty reserves, as well as the adequacy of the reserve based on the number of condominium units still under warranty, are reviewed on a periodic basis.</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Because of particular facts and circumstances that we became knowledgeable of during the third quarter of 2007, we reassessed our initial warranty reserve covering the particular damages related to defects in certain fixtures which were upgraded during the condominium conversion. Based on current estimates, we believe the range of possible incremental expense is between $2.9 million and $8.3 million, net of taxes of $2.2 million and $3.2 million, respectively. The full extent of damages and required repairs on any particular unit cannot be determined until after work on that unit begins. To date, we have completed the repairs in only a limited number of units. The extent of the damages encountered in those units, and the resulting costs to repair, varied considerably. Accordingly, our current estimates are based on limited and varying actual costs. We are continuing our evaluation of this matter and we have increased our reserve by $2.9 million to the low end of our estimated potential obligation related to these particular damages. This range excludes any amounts we may recover from insurance or the consultants that perform such work. In the event that our evaluation allows us to develop a better estimate of these damages, we will accrue such amount. This increase reduces our gain on sale of condominium units which were sold during 2005 and 2006. The increase in the reserve is included in “Loss on sale of real estate from discontinued operations”. The warranty reserve is included in accounts payable and accrued expenses. Although we consider the warranty reserves to be adequate, there can be no assurance that the reserve will prove to be adequate over time to cover losses due to the difference between the assumptions used to estimate the warranty reserves and actual losses.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has been concluded and post-trial briefs have been filed, but no decision has been rendered. One of the plaintiffs in the matter has filed for bankruptcy protection and as a result, the judge in our case has stayed further proceedings in the case. If we are found liable once the stay has been lifted, a trial will be held to determine the amount of damages. Based on the information available to us, we believe there is a reasonable possibility that we will be found liable. If a verdict is rendered against us, we may seek indemnification from the third party management company that negotiated the lease on our behalf. We cannot assess with any certainty at this time the potential damages for which we would be liable if a verdict is rendered against us or the potential amounts we might recover against the third party management company; however, if a verdict is rendered against us, there may be a material adverse impact on our net income in the period during which our indemnification claim is pending.</w:t>
      </w:r>
    </w:p>
    <w:p>
      <w:pPr>
        <w:spacing w:after="0" w:line="12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also have one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the plaintiff the option to require that we acquire the property at a price determined in accordance with a formula included in the “Final Proposal.” A trial as to liability only was held in June 2006 and a jury rendered a verdict against us. A trial on the issue of damages has been set for March 2008. The complaint did not specify the amount of damages claimed. We have now received reports from our experts and the plaintiff’s experts which show potential damages ranging from $600,000 to $24 million. We cannot make a reasonable estimate of potential damages until discovery is completed on the damages issue and the court rules on various legal issues impacting the calculation of damages. We intend to appeal the jury verdict; however, no appeal of the judgment can be taken until the trial on damages has been completed. If we are not successful in overturning the jury verdict, we will be liable for damages. Depending on the amount of damages awarded, it is possible, there could be a material adverse impact on our net income in the period in which it is both probable that we will have to pay the damages and such damages can be reasonably estimated. In any event, management does not believe it will have a material impact on our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F—SHAREHOLDERS’ EQUITY</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March 8, 2007, as part of the consideration to acquire the White Marsh portfolio, we issued (i) 884,066 common shares at $88.18 per share, par value $0.01 per share, (ii) 399,896 shares of 5.417% Series 1 Cumulative Convertible Preferred Shares (“Series 1 Preferred Shares”) at the liquidation preference of $25 per share, par value $0.01 per share, and (iii) 185,504 downREIT operating partnership units at $88.18 per share. The Series 1 Preferred Shares will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Declared</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Paid</w:t>
            </w:r>
          </w:p>
        </w:tc>
        <w:tc>
          <w:tcPr>
            <w:tcW w:w="580" w:type="dxa"/>
            <w:vAlign w:val="bottom"/>
          </w:tcPr>
          <w:p>
            <w:pPr>
              <w:spacing w:after="0"/>
              <w:rPr>
                <w:sz w:val="12"/>
                <w:szCs w:val="12"/>
                <w:color w:val="auto"/>
              </w:rPr>
            </w:pPr>
          </w:p>
        </w:tc>
        <w:tc>
          <w:tcPr>
            <w:tcW w:w="5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2"/>
                <w:szCs w:val="12"/>
                <w:color w:val="auto"/>
              </w:rPr>
            </w:pPr>
          </w:p>
        </w:tc>
      </w:tr>
      <w:tr>
        <w:trPr>
          <w:trHeight w:val="210"/>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1.760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1.725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1.885(1)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1.865(1)</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5.417% Series 1 Cumulative Convertible Preferred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0.767(2)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spacing w:after="0"/>
              <w:rPr>
                <w:sz w:val="20"/>
                <w:szCs w:val="20"/>
                <w:color w:val="auto"/>
              </w:rPr>
            </w:pPr>
            <w:r>
              <w:rPr>
                <w:rFonts w:ascii="Arial" w:cs="Arial" w:eastAsia="Arial" w:hAnsi="Arial"/>
                <w:sz w:val="18"/>
                <w:szCs w:val="18"/>
                <w:color w:val="auto"/>
              </w:rPr>
              <w:t>0.429(2)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 Series B Cumulative Preferred (3)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1.593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1.593</w:t>
            </w:r>
          </w:p>
        </w:tc>
        <w:tc>
          <w:tcPr>
            <w:tcW w:w="220" w:type="dxa"/>
            <w:vAlign w:val="bottom"/>
            <w:shd w:val="clear" w:color="auto" w:fill="CCEEFF"/>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6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00" w:lineRule="exact"/>
        <w:rPr>
          <w:sz w:val="20"/>
          <w:szCs w:val="20"/>
          <w:color w:val="auto"/>
        </w:rPr>
      </w:pPr>
    </w:p>
    <w:p>
      <w:pPr>
        <w:ind w:left="460" w:right="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regular dividend declared and paid of $1.685 and $1.665, respectively, and special dividend of $0.200 resulting from the sales of condominiums at Santana Row.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8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Series 1 Preferred Shares were issued on March 8, 2007. The dividend declared on the Series 1 Preferred Shares is for the period from March 8, 2007 through and including September 30, 2007; the dividend paid is for the period March 8, 2007 through and including June 30, 2007.</w:t>
      </w:r>
    </w:p>
    <w:p>
      <w:pPr>
        <w:ind w:left="460" w:right="26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27, 2006, the Trust redeemed all 5,400,000 outstanding shares of its Series B Cumulative Redeemable Preferred Shares. Dividends on the Series B Preferred Shares ceased to accrue on November 27,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7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7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tcPr>
          <w:p>
            <w:pPr>
              <w:jc w:val="center"/>
              <w:ind w:right="279"/>
              <w:spacing w:after="0" w:line="142" w:lineRule="exact"/>
              <w:rPr>
                <w:sz w:val="20"/>
                <w:szCs w:val="20"/>
                <w:color w:val="auto"/>
              </w:rPr>
            </w:pPr>
            <w:r>
              <w:rPr>
                <w:rFonts w:ascii="Arial" w:cs="Arial" w:eastAsia="Arial" w:hAnsi="Arial"/>
                <w:sz w:val="14"/>
                <w:szCs w:val="14"/>
                <w:b w:val="1"/>
                <w:bCs w:val="1"/>
                <w:color w:val="auto"/>
                <w:w w:val="74"/>
              </w:rPr>
              <w:t>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$ 269,015</w:t>
            </w:r>
          </w:p>
        </w:tc>
        <w:tc>
          <w:tcPr>
            <w:tcW w:w="220" w:type="dxa"/>
            <w:vAlign w:val="bottom"/>
          </w:tcPr>
          <w:p>
            <w:pPr>
              <w:spacing w:after="0"/>
              <w:rPr>
                <w:sz w:val="18"/>
                <w:szCs w:val="18"/>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w w:val="82"/>
              </w:rPr>
              <w:t>$ 240,738</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91,406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11,277</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Cost reimbursement</w:t>
            </w:r>
          </w:p>
        </w:tc>
        <w:tc>
          <w:tcPr>
            <w:tcW w:w="680" w:type="dxa"/>
            <w:vAlign w:val="bottom"/>
          </w:tcPr>
          <w:p>
            <w:pPr>
              <w:jc w:val="right"/>
              <w:spacing w:after="0"/>
              <w:rPr>
                <w:sz w:val="20"/>
                <w:szCs w:val="20"/>
                <w:color w:val="auto"/>
              </w:rPr>
            </w:pPr>
            <w:r>
              <w:rPr>
                <w:rFonts w:ascii="Arial" w:cs="Arial" w:eastAsia="Arial" w:hAnsi="Arial"/>
                <w:sz w:val="18"/>
                <w:szCs w:val="18"/>
                <w:color w:val="auto"/>
              </w:rPr>
              <w:t>71,045</w:t>
            </w:r>
          </w:p>
        </w:tc>
        <w:tc>
          <w:tcPr>
            <w:tcW w:w="220" w:type="dxa"/>
            <w:vAlign w:val="bottom"/>
          </w:tcPr>
          <w:p>
            <w:pPr>
              <w:spacing w:after="0"/>
              <w:rPr>
                <w:sz w:val="18"/>
                <w:szCs w:val="18"/>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60,795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4,656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4,472</w:t>
            </w:r>
          </w:p>
        </w:tc>
        <w:tc>
          <w:tcPr>
            <w:tcW w:w="220" w:type="dxa"/>
            <w:vAlign w:val="bottom"/>
          </w:tcPr>
          <w:p>
            <w:pPr>
              <w:spacing w:after="0"/>
              <w:rPr>
                <w:sz w:val="18"/>
                <w:szCs w:val="18"/>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$ 360,655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2"/>
              </w:rPr>
              <w:t>$ 319,673</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123,559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109,371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Minimum rents include $6.5 million and $4.7 million for the nine months ended September 30, 2007 and 2006, respectively, and $1.8 million and $1.5 million for the three months ended September 30, 2007 and 2006, respectively, to recognize minimum rents on a straight-line basis. In addition, minimum rents include $2.0 million and $1.6 million for the nine months ended September 30, 2007 and 2006, respectively, and $0.8 million and $0.6 million for the three months ended September 30, 2007 and 2006, respectively, to recognize income from the amortization of in-place leases in accordance with SFAS No. 141. Residential minimum rents consist of the entire rental amounts at Rollingwood Apartments, the Crest at Congressional Plaza Apartments and residential units at Santana Row, excluding those units sold as condominiums and included in discontinued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14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2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3"/>
          </w:tcPr>
          <w:p>
            <w:pPr>
              <w:jc w:val="right"/>
              <w:ind w:right="144"/>
              <w:spacing w:after="0" w:line="142" w:lineRule="exact"/>
              <w:rPr>
                <w:sz w:val="20"/>
                <w:szCs w:val="20"/>
                <w:color w:val="auto"/>
              </w:rPr>
            </w:pPr>
            <w:r>
              <w:rPr>
                <w:rFonts w:ascii="Arial" w:cs="Arial" w:eastAsia="Arial" w:hAnsi="Arial"/>
                <w:sz w:val="14"/>
                <w:szCs w:val="14"/>
                <w:b w:val="1"/>
                <w:bCs w:val="1"/>
                <w:color w:val="auto"/>
                <w:w w:val="76"/>
              </w:rPr>
              <w:t>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4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Common shares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$ 4,565</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$ 3,977</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$ 1,523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w:t>
            </w:r>
          </w:p>
        </w:tc>
        <w:tc>
          <w:tcPr>
            <w:tcW w:w="4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5,394</w:t>
            </w: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4,790</w:t>
            </w: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1,801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4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w:t>
            </w:r>
          </w:p>
        </w:tc>
        <w:tc>
          <w:tcPr>
            <w:tcW w:w="8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(464)</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4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$ 4,785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$ 4,326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$ 1,601</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160" w:type="dxa"/>
            <w:vAlign w:val="bottom"/>
            <w:vMerge w:val="restart"/>
          </w:tcPr>
          <w:p>
            <w:pPr>
              <w:jc w:val="right"/>
              <w:ind w:right="2432"/>
              <w:spacing w:after="0"/>
              <w:rPr>
                <w:sz w:val="20"/>
                <w:szCs w:val="20"/>
                <w:color w:val="auto"/>
              </w:rPr>
            </w:pPr>
            <w:r>
              <w:rPr>
                <w:rFonts w:ascii="Arial" w:cs="Arial" w:eastAsia="Arial" w:hAnsi="Arial"/>
                <w:sz w:val="18"/>
                <w:szCs w:val="18"/>
                <w:color w:val="auto"/>
              </w:rPr>
              <w:t>15</w:t>
            </w: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14"/>
                <w:szCs w:val="14"/>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ind w:left="2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42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3"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3"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3"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72,778</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69,778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25,773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(8,607)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(2,869)</w:t>
            </w: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72,471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61,171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25,637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17,052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(2,258)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7,441</w:t>
            </w: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 and dilutive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73,062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85,664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23,379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55,967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52,923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56,302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Unvested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outstanding—dilutive (1)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56,404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53,418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56,690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0.45</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10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of downREIT operating partnership units and Series 1 Preferred Shares are anti-dilutive for all periods presented. Accordingly, downREIT operating partnership units and Series 1 Preferred Shares have been excluded from the weighted average common shares used to compute diluted earnings per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J—SEGMENT INFORMATION</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4"/>
                <w:szCs w:val="14"/>
                <w:b w:val="1"/>
                <w:bCs w:val="1"/>
                <w:color w:val="auto"/>
              </w:rPr>
              <w:t>Nine Months Ended September 30, 2007</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353"/>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283,594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77,061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(21,619)</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(76,002)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(6,283)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(36,320)</w:t>
            </w: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208,432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52,932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(55,271)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(22,537)</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(78,543)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(89,577)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(89,577)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154,045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30,505</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(107,463)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real estate from discontinued operations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154,045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30,505</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(111,181)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1,947,507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877,934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104,418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2,929,859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4"/>
                <w:szCs w:val="14"/>
                <w:b w:val="1"/>
                <w:bCs w:val="1"/>
                <w:color w:val="auto"/>
              </w:rPr>
              <w:t>Nine Months Ended September 30, 2006</w:t>
            </w: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353"/>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248,030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71,643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(18,991)</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(63,242)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(32,651)</w:t>
            </w: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50,200</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(49,271)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(21,354)</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(71,808)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(75,110)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134,702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28,955</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(90,396)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Total assets at end of period</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vMerge w:val="continue"/>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1,629,636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w w:val="86"/>
              </w:rPr>
              <w:t>875,512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134,974</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2,640,122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340" w:type="dxa"/>
            <w:vAlign w:val="bottom"/>
            <w:vMerge w:val="restart"/>
          </w:tcPr>
          <w:p>
            <w:pPr>
              <w:jc w:val="right"/>
              <w:ind w:right="161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Three Months Ended September 30, 2007</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East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w w:val="71"/>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25,487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Other property income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Rental expenses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(7,709)</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(26,502)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(12,985)</w:t>
            </w:r>
          </w:p>
        </w:tc>
        <w:tc>
          <w:tcPr>
            <w:tcW w:w="0" w:type="dxa"/>
            <w:vAlign w:val="bottom"/>
          </w:tcPr>
          <w:p>
            <w:pPr>
              <w:spacing w:after="0"/>
              <w:rPr>
                <w:sz w:val="1"/>
                <w:szCs w:val="1"/>
                <w:color w:val="auto"/>
              </w:rPr>
            </w:pPr>
          </w:p>
        </w:tc>
      </w:tr>
      <w:tr>
        <w:trPr>
          <w:trHeight w:val="221"/>
        </w:trPr>
        <w:tc>
          <w:tcPr>
            <w:tcW w:w="612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1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17,268</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(26,071)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(30,533)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(30,533)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1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(36,936)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real estate from discontinued operations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vMerge w:val="continue"/>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54,659</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9,679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(40,823)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23,515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1,947,507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877,934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104,418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2,929,859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Three Months Ended September 30, 2006</w:t>
            </w: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East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w w:val="71"/>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24,164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Other property income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Rental expenses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(6,686)</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(20,768)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0" w:type="dxa"/>
            <w:vAlign w:val="bottom"/>
          </w:tcPr>
          <w:p>
            <w:pPr>
              <w:spacing w:after="0"/>
              <w:rPr>
                <w:sz w:val="1"/>
                <w:szCs w:val="1"/>
                <w:color w:val="auto"/>
              </w:rPr>
            </w:pPr>
          </w:p>
        </w:tc>
      </w:tr>
      <w:tr>
        <w:trPr>
          <w:trHeight w:val="221"/>
        </w:trPr>
        <w:tc>
          <w:tcPr>
            <w:tcW w:w="612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1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16,411</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(23,722)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(26,076)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(26,076)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1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(31,226)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1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47,310</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9,439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(31,765)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1,629,636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875,512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134,974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2,640,122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K—SUBSEQUENT EVENT</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October 26, 2007, we acquired the fee interest in Mid-Pike Plaza located in Rockville, Maryland and Huntington Shopping Center located in Huntington, New York. Prior to the acquisition, we had a leasehold interest in these properties and a capital lease obligation. In addition, on October 26, 2007, we sold our leasehold interest in six properties, Allwood, Blue Star, Brunswick, Clifton, Hamilton and Rutgers Shopping Centers, located in New Jersey. The capital lease obligations of all 8 of the properties totaling $76.5 million at September 30, 2007, were extinguished as part of the transactions.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2006 filed with the Securities and Exchange Commission on March 1, 2007.</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2006,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an equity real estate investment trust (“REIT”) specializing in the ownership, management, development and redevelopment of high quality retail and mixed-use properties. As of September 30, 2007, we owned or had a majority interest in community and neighborhood shopping centers and mixed-use properties which are operated as 88 predominantly retail real estate projects comprising approximately 19.5 million square feet, located primarily in densely populated and affluent communities in strategic metropolitan markets in the Northeast and Mid-Atlantic regions of the United States, as well as in California. In total, the real estate projects were 96.4% leased at September 30, 2007. A joint venture in which we own a 30% interest owned seven retail real estate projects totaling approximately 1.0 million square feet as of September 30, 2007. In total, the joint venture properties in which we own an interest were 98.0% leased at September 30, 2007. We have paid quarterly dividends to our shareholders continuously since our founding in 1962 and have increased our dividends per common share for 40 consecutive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Property Acquisitions and Dispositions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acquisitions made by us and our consolidated affiliates during the nine months ended September 30,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4"/>
                <w:szCs w:val="14"/>
                <w:color w:val="auto"/>
              </w:rPr>
            </w:pPr>
          </w:p>
        </w:tc>
        <w:tc>
          <w:tcPr>
            <w:tcW w:w="29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Property</w:t>
            </w:r>
          </w:p>
        </w:tc>
        <w:tc>
          <w:tcPr>
            <w:tcW w:w="340" w:type="dxa"/>
            <w:vAlign w:val="bottom"/>
          </w:tcPr>
          <w:p>
            <w:pPr>
              <w:spacing w:after="0"/>
              <w:rPr>
                <w:sz w:val="14"/>
                <w:szCs w:val="14"/>
                <w:color w:val="auto"/>
              </w:rPr>
            </w:pPr>
          </w:p>
        </w:tc>
        <w:tc>
          <w:tcPr>
            <w:tcW w:w="24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City, State</w:t>
            </w: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Leasable Area</w:t>
            </w:r>
          </w:p>
        </w:tc>
        <w:tc>
          <w:tcPr>
            <w:tcW w:w="360" w:type="dxa"/>
            <w:vAlign w:val="bottom"/>
          </w:tcPr>
          <w:p>
            <w:pPr>
              <w:spacing w:after="0"/>
              <w:rPr>
                <w:sz w:val="13"/>
                <w:szCs w:val="13"/>
                <w:color w:val="auto"/>
              </w:rPr>
            </w:pPr>
          </w:p>
        </w:tc>
        <w:tc>
          <w:tcPr>
            <w:tcW w:w="10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49"/>
        </w:trPr>
        <w:tc>
          <w:tcPr>
            <w:tcW w:w="9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9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(In square feet)</w:t>
            </w:r>
          </w:p>
        </w:tc>
        <w:tc>
          <w:tcPr>
            <w:tcW w:w="36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2007</w:t>
            </w:r>
          </w:p>
        </w:tc>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Crow Canyon Crest</w:t>
            </w:r>
          </w:p>
        </w:tc>
        <w:tc>
          <w:tcPr>
            <w:tcW w:w="3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San Ramon, CA</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March 8, 2007</w:t>
            </w: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The White Marsh Portfolio:</w:t>
            </w:r>
          </w:p>
        </w:tc>
        <w:tc>
          <w:tcPr>
            <w:tcW w:w="34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White Marsh, MD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AVENUE at White Marsh</w:t>
            </w:r>
          </w:p>
        </w:tc>
        <w:tc>
          <w:tcPr>
            <w:tcW w:w="3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tcPr>
          <w:p>
            <w:pPr>
              <w:ind w:left="440"/>
              <w:spacing w:after="0"/>
              <w:rPr>
                <w:sz w:val="20"/>
                <w:szCs w:val="20"/>
                <w:color w:val="auto"/>
              </w:rPr>
            </w:pPr>
            <w:r>
              <w:rPr>
                <w:rFonts w:ascii="Arial" w:cs="Arial" w:eastAsia="Arial" w:hAnsi="Arial"/>
                <w:sz w:val="18"/>
                <w:szCs w:val="18"/>
                <w:color w:val="auto"/>
              </w:rPr>
              <w:t>White Marsh Plaza</w:t>
            </w: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79,000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The Shoppes at Nottingham Square</w:t>
            </w:r>
          </w:p>
        </w:tc>
        <w:tc>
          <w:tcPr>
            <w:tcW w:w="3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tcPr>
          <w:p>
            <w:pPr>
              <w:ind w:left="440"/>
              <w:spacing w:after="0"/>
              <w:rPr>
                <w:sz w:val="20"/>
                <w:szCs w:val="20"/>
                <w:color w:val="auto"/>
              </w:rPr>
            </w:pPr>
            <w:r>
              <w:rPr>
                <w:rFonts w:ascii="Arial" w:cs="Arial" w:eastAsia="Arial" w:hAnsi="Arial"/>
                <w:sz w:val="18"/>
                <w:szCs w:val="18"/>
                <w:color w:val="auto"/>
              </w:rPr>
              <w:t>White Marsh Other</w:t>
            </w: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53,000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2007</w:t>
            </w:r>
          </w:p>
        </w:tc>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Shoppers’ World</w:t>
            </w:r>
          </w:p>
        </w:tc>
        <w:tc>
          <w:tcPr>
            <w:tcW w:w="3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Charlottesville, VA</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800,000</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8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White Marsh Portfolio was purchased using $11.5 million of cash plus a combination of common stock and convertible preferred stock, downREIT operating partnership units, and the assumption of mortgage loans through a merger with Nottingham Properties, Inc. The acquisition also included ground leases covering 50,000 square feet of office space and a hotel which are not included in gross leasable area.</w:t>
      </w:r>
    </w:p>
    <w:p>
      <w:pPr>
        <w:spacing w:after="0" w:line="1"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May 30, 2007, we entered into a Section 1031 like-kind exchange agreement with a third party intermediary related to the acquisition of Shoppers’ World. The exchange agreement is for a maximum of 180 days and allows us to defer gains on sale of other properties sold within this period. Until the termination of this exchange agreement, the third party intermediary is the legal owner of the property, although we control the property and retain all of the economic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benefits and risks associated with the property. This property is held in a variable interest entity for which we are the primary beneficiary. Accordingly, commencing on May 30, 2007, we consolidate the property and its operations. On October 11, 2007, we sold two properties located in Forest Hills, New York which completes the Section 1031 exchange. We now own this property directly.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provides a summary of significant dispositions made by us and our consolidated affiliates during the nine months ended September 30, 2007. All three properties were acquired in August 2006 by a TRS as part of a larger portfolio. The properties are classified as held for sale as of December 31, 2006, and their operations are included in discontinued operations for all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274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14"/>
                <w:szCs w:val="14"/>
                <w:color w:val="auto"/>
              </w:rPr>
            </w:pPr>
          </w:p>
        </w:tc>
        <w:tc>
          <w:tcPr>
            <w:tcW w:w="26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City, State</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60" w:type="dxa"/>
            <w:vAlign w:val="bottom"/>
            <w:tcBorders>
              <w:bottom w:val="single" w:sz="8" w:color="auto"/>
            </w:tcBorders>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Leasable Area</w:t>
            </w:r>
          </w:p>
        </w:tc>
        <w:tc>
          <w:tcPr>
            <w:tcW w:w="20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w w:val="82"/>
              </w:rPr>
              <w:t>Sales Price</w:t>
            </w:r>
          </w:p>
        </w:tc>
        <w:tc>
          <w:tcPr>
            <w:tcW w:w="200" w:type="dxa"/>
            <w:vAlign w:val="bottom"/>
          </w:tcPr>
          <w:p>
            <w:pPr>
              <w:spacing w:after="0"/>
              <w:rPr>
                <w:sz w:val="13"/>
                <w:szCs w:val="13"/>
                <w:color w:val="auto"/>
              </w:rPr>
            </w:pPr>
          </w:p>
        </w:tc>
        <w:tc>
          <w:tcPr>
            <w:tcW w:w="3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9"/>
              </w:rPr>
              <w:t>Gain</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5, 2007</w:t>
            </w:r>
          </w:p>
        </w:tc>
        <w:tc>
          <w:tcPr>
            <w:tcW w:w="2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Bath Shopping Center</w:t>
            </w: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Bath, 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$0.6(1)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June 20, 2007</w:t>
            </w:r>
          </w:p>
        </w:tc>
        <w:tc>
          <w:tcPr>
            <w:tcW w:w="2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Key Road Plaza</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Keene, NH</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 2007</w:t>
            </w:r>
          </w:p>
        </w:tc>
        <w:tc>
          <w:tcPr>
            <w:tcW w:w="2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Riverside Plaza</w:t>
            </w: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Keene, NH</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tcPr>
          <w:p>
            <w:pPr>
              <w:ind w:left="4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395,000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u w:val="single" w:color="auto"/>
                <w:color w:val="auto"/>
              </w:rPr>
              <w:t>0</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Gain of $0.6 million is net of $0.3 million in taxes.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Gain of $0.4 million is net of $0.1 million in taxes.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Gain of $0.5 million is net of $0.1 million in taxes.</w:t>
      </w:r>
    </w:p>
    <w:p>
      <w:pPr>
        <w:spacing w:after="0" w:line="16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On October 11, 2007, we sold two properties located in Forest Hills, New York for $33.2 million, resulting in a net gain of approximately $19.0 million. The properties are classified as held for sale and their operations are included in discontinued operations for all periods presented.</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revenues from all properties included in discontinued operations were $4.4 million and $2.2 million for the nine months ended September 30, 2007 and 2006, respectively, and $0.7 million and $1.1 million for the three months ended September 30, 2007 and 2006,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acquisitions made by our unconsolidated real estate partnership during the nine months ended September 30,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4"/>
                <w:szCs w:val="14"/>
                <w:color w:val="auto"/>
              </w:rPr>
            </w:pPr>
          </w:p>
        </w:tc>
        <w:tc>
          <w:tcPr>
            <w:tcW w:w="268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Property</w:t>
            </w:r>
          </w:p>
        </w:tc>
        <w:tc>
          <w:tcPr>
            <w:tcW w:w="420" w:type="dxa"/>
            <w:vAlign w:val="bottom"/>
          </w:tcPr>
          <w:p>
            <w:pPr>
              <w:spacing w:after="0"/>
              <w:rPr>
                <w:sz w:val="14"/>
                <w:szCs w:val="14"/>
                <w:color w:val="auto"/>
              </w:rPr>
            </w:pPr>
          </w:p>
        </w:tc>
        <w:tc>
          <w:tcPr>
            <w:tcW w:w="254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City, State</w:t>
            </w:r>
          </w:p>
        </w:tc>
        <w:tc>
          <w:tcPr>
            <w:tcW w:w="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26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25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Leasable Area</w:t>
            </w:r>
          </w:p>
        </w:tc>
        <w:tc>
          <w:tcPr>
            <w:tcW w:w="400" w:type="dxa"/>
            <w:vAlign w:val="bottom"/>
          </w:tcPr>
          <w:p>
            <w:pPr>
              <w:spacing w:after="0"/>
              <w:rPr>
                <w:sz w:val="13"/>
                <w:szCs w:val="13"/>
                <w:color w:val="auto"/>
              </w:rPr>
            </w:pPr>
          </w:p>
        </w:tc>
        <w:tc>
          <w:tcPr>
            <w:tcW w:w="8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9"/>
        </w:trPr>
        <w:tc>
          <w:tcPr>
            <w:tcW w:w="9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40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2007</w:t>
            </w:r>
          </w:p>
        </w:tc>
        <w:tc>
          <w:tcPr>
            <w:tcW w:w="3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Free State Shopping Center</w:t>
            </w: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Bowie, MD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February 20, 2007</w:t>
            </w: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w w:val="98"/>
              </w:rPr>
              <w:t>Lake Barcroft Shopping Center(1)</w:t>
            </w:r>
          </w:p>
        </w:tc>
        <w:tc>
          <w:tcPr>
            <w:tcW w:w="4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Falls Church, VA</w:t>
            </w:r>
          </w:p>
        </w:tc>
        <w:tc>
          <w:tcPr>
            <w:tcW w:w="4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property acquired is adjacent to and operated as part of Barcroft Plaza which is also owned by our unconsolidated real estate partnership.</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Warranty reserves for condominium units sold at Santana Row are established to cover potential costs for materials, labor and other items associated with warranty-type claims that may arise within the ten-year statutorily mandated latent construction defect warranty period. Our warranty and latent construction defect reserve is calculated based upon historical industry experience and current known factors. Variables used in the calculation of the warranty reserves, as well as the adequacy of the reserve based on the number of condominium units still under warranty, are reviewed on a periodic basis.</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Because of particular facts and circumstances that we became knowledgeable of during the third quarter of 2007, we reassessed our initial warranty reserve covering the particular damages related to defects in certain fixtures which were upgraded during the condominium conversion. Based on current estimates, we believe the range of possible incremental expense is between $2.9 million and $8.3 million, net of taxes of $2.2 million and $3.2 million, respectively. The full extent of damages and required repairs on any particular unit cannot be determined until after work on that unit begins. To date, we have completed the repairs in only a limited number of units. The extent of the damages encountered in those units, and the resulting costs to repair, varied considerably. Accordingly, our current estimates are based on limited and varying actual costs. We are continuing our evaluation of this matter and we have increased our reserve by $2.9 million to the low end of our estimated potential obligation related to these particular damages. This range excludes any amounts we may recover from insurance or the consultants that perform such work. In the event that our evaluation allows us to develop a better estimate of these damages, we will accrue such amount. This increase reduces our gain on sale of condominium units which were sold during 2005 and 2006. The increase in the reserve is included in “Loss on sale of real estate from discontinued operations”. The warranty reserve is included in accounts payable and accrued expenses. Although we consider the warranty reserves to be adequate, there can be no assurance that the reserve will prove to be adequate over time to cover losses due to the difference between the assumptions used to estimate the warranty reserves and actual losses.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Significant Debt, Equity and Other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of the White Marsh portfolio and Shoppers’ World, we assumed five mortgage notes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7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8"/>
              </w:rPr>
              <w:t>Fair Value (1)</w:t>
            </w:r>
          </w:p>
        </w:tc>
        <w:tc>
          <w:tcPr>
            <w:tcW w:w="720" w:type="dxa"/>
            <w:vAlign w:val="bottom"/>
          </w:tcPr>
          <w:p>
            <w:pPr>
              <w:spacing w:after="0"/>
              <w:rPr>
                <w:sz w:val="14"/>
                <w:szCs w:val="14"/>
                <w:color w:val="auto"/>
              </w:rPr>
            </w:pPr>
          </w:p>
        </w:tc>
        <w:tc>
          <w:tcPr>
            <w:tcW w:w="1400" w:type="dxa"/>
            <w:vAlign w:val="bottom"/>
          </w:tcPr>
          <w:p>
            <w:pPr>
              <w:ind w:left="280"/>
              <w:spacing w:after="0"/>
              <w:rPr>
                <w:sz w:val="20"/>
                <w:szCs w:val="20"/>
                <w:color w:val="auto"/>
              </w:rPr>
            </w:pPr>
            <w:r>
              <w:rPr>
                <w:rFonts w:ascii="Arial" w:cs="Arial" w:eastAsia="Arial" w:hAnsi="Arial"/>
                <w:sz w:val="14"/>
                <w:szCs w:val="14"/>
                <w:b w:val="1"/>
                <w:bCs w:val="1"/>
                <w:color w:val="auto"/>
              </w:rPr>
              <w:t>Maturity Date</w:t>
            </w:r>
          </w:p>
        </w:tc>
        <w:tc>
          <w:tcPr>
            <w:tcW w:w="2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Stated Annual Interest Rate</w:t>
            </w:r>
          </w:p>
        </w:tc>
      </w:tr>
      <w:tr>
        <w:trPr>
          <w:trHeight w:val="149"/>
        </w:trPr>
        <w:tc>
          <w:tcPr>
            <w:tcW w:w="960" w:type="dxa"/>
            <w:vAlign w:val="bottom"/>
            <w:tcBorders>
              <w:top w:val="single" w:sz="8" w:color="auto"/>
            </w:tcBorders>
          </w:tcPr>
          <w:p>
            <w:pPr>
              <w:spacing w:after="0"/>
              <w:rPr>
                <w:sz w:val="12"/>
                <w:szCs w:val="12"/>
                <w:color w:val="auto"/>
              </w:rPr>
            </w:pPr>
          </w:p>
        </w:tc>
        <w:tc>
          <w:tcPr>
            <w:tcW w:w="43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(In millions )</w:t>
            </w:r>
          </w:p>
        </w:tc>
        <w:tc>
          <w:tcPr>
            <w:tcW w:w="7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AVENUE at White Marsh</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White Marsh Plaza</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7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April 1, 2013</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5.96%</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Marsh Plaza</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April 1, 2013</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White Marsh Other</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87"/>
              </w:rPr>
              <w:t>December 31, 2008</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Shoppers’ World</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9"/>
              </w:rPr>
              <w:t>January 31, 2021</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108"/>
        </w:trPr>
        <w:tc>
          <w:tcPr>
            <w:tcW w:w="96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ind w:left="460" w:right="2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face amount of the mortgage notes is $79.7 million. However, in accordance with GAAP, these mortgage notes were recorded at their fair value of $80.0 million.</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March 8, 2007, as part of the consideration to acquire the White Marsh portfolio, we issued (i) 884,066 common shares at $88.18 per share, par value $0.01 per share, (ii) 399,896 shares of 5.417% Series 1 Cumulative Convertible Preferred Shares (“Series 1 Preferred Shares”) at the liquidation preference of $25 per share, par value $0.01 per share, and (iii) 185,504 downREIT operating partnership units at $88.18 per share. The Series 1 Preferred Shares will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1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On April 10, 2007, our unconsolidated real estate partnership entered into a mortgage note for approximately $4.2 million. The mortgage note is secured by the Lake Barcroft property which was acquired in February 2007 and by Barcroft Plaza. The Lake Barcroft property is adjacent to and operated as part of Barcroft Plaza. The note matures on July 1, 2016, bears interest at 5.71% per annum and requires monthly payments of interest only.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anticipate our 2007 income from continuing operations to grow in comparison to our 2006 income from continuing operations. We expect this income growth primarily to be generated by a combination of the following:</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earnings in our same-center portfolio and from properties under redevelopment;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earnings as we expand our portfolio through property acquisitions.</w:t>
      </w:r>
    </w:p>
    <w:p>
      <w:pPr>
        <w:spacing w:after="0" w:line="17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On August 1, 2007, we announced a regular quarterly cash dividend of $0.61 per share on our common shares, resulting in an indicated annual rate of $2.44 per share. The regular common dividend was payable on October 15, 2007, to common shareholders of record as of September 21, 2007.</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continue to see a positive impact on our income as a result of the redevelopment of our shopping centers and higher rental rates on existing spaces as leases on these spaces expire. We anticipate investments in redevelopment projects of approximately $110 million and $100 million to stabilize in 2007 and 2008, respectively. As redevelopment properties are completed, spaces that were out of service begin generating revenue; in addition, spaces that were not out of service and that have expiring leases may generate higher revenue because we generally receive higher rent on new leases. For example, leases signed in 2005, 2006 and year-to-date 2007 on spaces for which there was a previous tenant have on average been renewed at double digit cash basis base rent increases. On spaces where the tenant leases are expiring over the next few years, our analysis of current market rents as compared to rents on the existing leases leads us to expect that the base rents on new leases will have double-digit weighted average increases over the cash basis base rents currently in place.</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September 30, 2007, the leasable square feet in our shopping centers was 95.1% occupied and 96.4%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anticipate growth in earnings from acquisitions of neighborhood and community shopping centers in our primary markets in the East and West regions, as well as a reduction in earnings from selective dispositions. Any growth in earnings from acquisitions is contingent, however, on our ability to find properties that meet our qualitative standards at prices that meet our financial hurdles. Changes in interest rates may also affect our success in achieving growth through acquisitions by affecting both the price that must be paid to acquire a property, as well as our ability to economically finance the property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development, redevelopment or expansion occurred during either of the periods being compared and properties classified as discontinued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OPERATIONS—NINE MONTHS ENDED SEPTEMBER 30, 2007 AND 2006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Dollars</w:t>
            </w:r>
          </w:p>
        </w:tc>
        <w:tc>
          <w:tcPr>
            <w:tcW w:w="280" w:type="dxa"/>
            <w:vAlign w:val="bottom"/>
          </w:tcPr>
          <w:p>
            <w:pPr>
              <w:spacing w:after="0"/>
              <w:rPr>
                <w:sz w:val="12"/>
                <w:szCs w:val="12"/>
                <w:color w:val="auto"/>
              </w:rPr>
            </w:pPr>
          </w:p>
        </w:tc>
        <w:tc>
          <w:tcPr>
            <w:tcW w:w="4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4"/>
              </w:rPr>
              <w:t>(Dollar amounts</w:t>
            </w:r>
          </w:p>
        </w:tc>
        <w:tc>
          <w:tcPr>
            <w:tcW w:w="2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thousands)</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360,655</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5"/>
              </w:rPr>
              <w:t>319,673</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$ 40,982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 property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5,747</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3,898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3,778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40"/>
              <w:spacing w:after="0"/>
              <w:rPr>
                <w:sz w:val="20"/>
                <w:szCs w:val="20"/>
                <w:color w:val="auto"/>
              </w:rPr>
            </w:pPr>
            <w:r>
              <w:rPr>
                <w:rFonts w:ascii="Arial" w:cs="Arial" w:eastAsia="Arial" w:hAnsi="Arial"/>
                <w:sz w:val="18"/>
                <w:szCs w:val="18"/>
                <w:color w:val="auto"/>
              </w:rPr>
              <w:t>Total property revenue</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line="20" w:lineRule="exact"/>
              <w:rPr>
                <w:sz w:val="1"/>
                <w:szCs w:val="1"/>
                <w:color w:val="auto"/>
              </w:rPr>
            </w:pPr>
          </w:p>
        </w:tc>
      </w:tr>
      <w:tr>
        <w:trPr>
          <w:trHeight w:val="221"/>
        </w:trPr>
        <w:tc>
          <w:tcPr>
            <w:tcW w:w="7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373,686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5"/>
              </w:rPr>
              <w:t>329,198</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44,488</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63,242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12,760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Real estate taxes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32,651</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3,669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112,322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95,893</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16,429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880"/>
              <w:spacing w:after="0"/>
              <w:rPr>
                <w:sz w:val="20"/>
                <w:szCs w:val="20"/>
                <w:color w:val="auto"/>
              </w:rPr>
            </w:pPr>
            <w:r>
              <w:rPr>
                <w:rFonts w:ascii="Arial" w:cs="Arial" w:eastAsia="Arial" w:hAnsi="Arial"/>
                <w:sz w:val="18"/>
                <w:szCs w:val="18"/>
                <w:color w:val="auto"/>
              </w:rPr>
              <w:t>Property operating income</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line="20" w:lineRule="exact"/>
              <w:rPr>
                <w:sz w:val="1"/>
                <w:szCs w:val="1"/>
                <w:color w:val="auto"/>
              </w:rPr>
            </w:pPr>
          </w:p>
        </w:tc>
      </w:tr>
      <w:tr>
        <w:trPr>
          <w:trHeight w:val="221"/>
        </w:trPr>
        <w:tc>
          <w:tcPr>
            <w:tcW w:w="7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261,364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5"/>
              </w:rPr>
              <w:t>233,305</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28,059</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2,088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533</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587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110.1%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(75,110)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(14,467)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(18,271)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(15,747)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(2,524)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(71,808)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(6,735)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Total other, net</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(184,277)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w w:val="88"/>
              </w:rPr>
              <w:t>(160,044)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(24,233)</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73,261</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3,826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(3,483)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(826)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627</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161.9%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(Loss) gain on sale of real estate from discontinued operations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16,425</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(17,476)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-106.4%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7,441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73,369</w:t>
            </w:r>
          </w:p>
        </w:tc>
        <w:tc>
          <w:tcPr>
            <w:tcW w:w="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94,271</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(20,902)</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Total property revenue increased $44.5 million, or 13.5%, to $373.7 million in the nine months ended September 30, 2007 compared to $329.2 million in the nine months ended September 30, 2006. The percentage leased at our shopping centers decreased to 96.4% at September 30, 2007 compared to 97.3% at September 30, 2006 due primarily to vacancies caused by the Chapter 7 liquidation of Tower Records during the fourth quarter of 2006 and CompUSA during 2007. Changes in the components of property revenue are discussed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171"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color w:val="auto"/>
        </w:rPr>
        <w:t>Rental income consists primarily of minimum rent, cost recoveries from tenants and percentage rent. Rental income increased $41.0 million, or 12.8%, to $360.7 million in the nine months ended September 30, 2007 compared to $319.7 million in the nine months ended September 30, 2006 due primarily to the following:</w:t>
      </w:r>
    </w:p>
    <w:p>
      <w:pPr>
        <w:ind w:left="5620" w:right="200" w:hanging="5045"/>
        <w:spacing w:after="0" w:line="440" w:lineRule="auto"/>
        <w:tabs>
          <w:tab w:leader="none" w:pos="8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$24.8 million attributable to properties acquired in 2007 and 2006 and the completion of the power-center at Assembly Square Mall, 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$8.6 million at same-center properties due to increased rental rates on new leases and increased cost recoveries,</w:t>
      </w:r>
    </w:p>
    <w:p>
      <w:pPr>
        <w:spacing w:after="0" w:line="9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$6.9 million at redevelopment properties due to increased occupancy, increased rental rates on new leases and increased cost recoveries,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$1.9 million at Santana Row residential due primarily to leasing of residential units throughout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$0.8 million related to the sale of Greenlawn Plaza to our unconsolidated real estate partnership in June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Other property income increased $3.9 million, or 67.8%, to $9.6 million in the nine months ended September 30, 2007 compared to $5.7 million in the nine months ended September 30, 2006. Included in other property income are items which, although recurring, tend to fluctuate more than rental income from period to period, such as lease termination fees. This increase is due primarily to an increase in lease and other termination fees at same-center properties.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Mortgage interest income decreased $0.4 million, or 10.4%, to $3.4 million in the nine months ended September 30, 2007 compared to $3.8 million in the nine months ended September 30, 2006. This decrease is primarily due to an amendment of our $17.7 million secondary mortgage note receivable secured by a hotel at our Santana Row project in San Jose, California which was executed on August 4, 2006 and decreased the interest rate from 14% per annum to 9% per annum.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Total property expenses increased $16.4 million, or 17.1%, to $112.3 million in the nine months ended September 30, 2007 compared to $95.9 million in the nine months ended September 30, 2006.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Rental expenses increased $12.8 million, or 20.2%, to $76.0 million in the nine months ended September 30, 2007 compared to $63.2 million in the nine months ended September 30, 2006. This increase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of $4.3 million attributable to properties acquired in 2007 and 2006 and the completion of the power-center at Assembly Square Mall,</w:t>
      </w:r>
    </w:p>
    <w:p>
      <w:pPr>
        <w:spacing w:after="0" w:line="113" w:lineRule="exact"/>
        <w:rPr>
          <w:rFonts w:ascii="Arial" w:cs="Arial" w:eastAsia="Arial" w:hAnsi="Arial"/>
          <w:sz w:val="16"/>
          <w:szCs w:val="16"/>
          <w:color w:val="auto"/>
        </w:rPr>
      </w:pPr>
    </w:p>
    <w:p>
      <w:pPr>
        <w:ind w:left="900" w:right="5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$3.1 million in repairs and maintenance at same-center and redevelopment properties due primarily to higher snow removal and maintenance costs,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$1.6 million in utilities at same-center and redevelopment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$1.1 million in insurance at our same-center and redevelopment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$0.9 million in legal fees related to the litigation at a shopping center in New Jersey and at Santana Row,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$0.6 million attributable to Santana Row Residential.</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increased to 20.5% in the nine months ended September 30, 2007 from 19.4% in the nine months ended September 30,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Real estate tax expense increased $3.7 million, or 11.2%, to $36.3 million in the nine months ended September 30, 2007 compared to $32.7 million in the nine months ended September 30, 2006. This increase is due primarily to increased taxes of $2.7 million related to properties acquired in 2007 and 2006 and Assembly Square Mall and $1.0 million related to higher assessments at our same-center, redevelopment and Santana Row residential properties.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Property operating income increased $28.1 million, or 12.0%, to $261.4 million in the nine months ended September 30, 2007 compared to $233.3 million in the nine months ended September 30, 2006. This increase, as discussed above, is due primarily to the following:</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2007 and 2006 and the completion of the power-center at Assembly Square Mall,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earnings at redevelopment properties,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earnings at Santana Row residential.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Interest expense increased $14.5 million, or 19.3%, to $89.6 million in the nine months ended September 30, 2007 compared to $75.1 million in the nine months ended September 30, 2006. This increase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$20.5 million due to higher borrowings to finance our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$3.6 million in capitalized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$2.0 million due to a lower overall weighted average borrowing rate,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$0.2 million due to lower participation on certain capital leases.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interest costs were $95.6 million and $77.5 million in the nine months ended September 30, 2007 and 2006, respectively. Capitalized interest amounted to $6.0 million and $2.4 million in the nine months ended September 30, 2007 and 2006, respectively. Capitalized interest increased due primarily to development at Linden Square which was acquired in August 2006 and redevelopment at Arlington East.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General and administrative expense increased $2.5 million, or 16.0%, to $18.3 million in the nine months ended September 30, 2007 compared to $15.7 million in the nine months ended September 30, 2006. This is primarily due to an increase in personnel and increased share-based and other compensation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Depreciation and amortization expense increased $6.7 million, or 9.4%, to $78.5 million in the nine months ended September 30, 2007 from $71.8 million in the nine months ended September 30, 2006. This increase is due primarily to acquisitions and capital improvements at same-center and redevelopment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Interests</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Income to minority partners increased $0.8 million, or 23.7%, to $4.3 million in the nine months ended September 30, 2007 compared to $3.5 million in the nine months ended September 30, 2006. This increase is due primarily to an increase in earnings at properties held in non-wholly owned partnerships and an increase in operating partnership units issued to acquire the White Marsh portfolio in March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The reported operating income of $1.6 million and $0.6 million for the nine months ended September 30, 2007 and 2006, respectively, represents the operating income for the period during which we owned properties sold or to be sold in 2007 and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Sale of Real Estate From Discontinued Operations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loss on sale of real estate from discontinued operations of $1.1 million during the nine months ended September 30, 2007 is due to a $2.9 million increase in the warranty reserve, net of taxes, related to condominiums sold in 2006 and 2005 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Santana Row partially offset by a gain on sale of $1.8 million primarily related to the sales of Bath Shopping Center, Key Road Plaza, and Riverside Plaza. The gain on sale of real estate from discontinued operations of $16.4 million for the nine months ended September 30, 2006, was due to the sale of condominiums at Santana Row.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gain on sale of real estate includes properties which we maintained continuing involvement through our unconsolidated real estate partnership. No properties were sold in 2007 for which we maintained continuing involvement. One property, Greenlawn Plaza, was sold in 2006 to our unconsolidated real estate partnership, which resulted in a $7.4 million gain.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our business on an asset management model, where asset management teams are responsible for a portfolio of assets. We manage our portfolio as two operating regions: East and West. Property management teams consist of asset managers, leasing agents, development staff and financial personnel, each of whom has responsibility for a distinct portfolio.</w:t>
      </w:r>
    </w:p>
    <w:p>
      <w:pPr>
        <w:spacing w:after="0" w:line="140"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The following table provides selected key segment data for the nine months ended September 30, 2007 and 2006. The results of properties classified as discontinued operations have been excluded for rental income, total revenue and property operating income from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Nine Months Ended September 30,</w:t>
            </w:r>
          </w:p>
        </w:tc>
      </w:tr>
      <w:tr>
        <w:trPr>
          <w:trHeight w:val="142"/>
        </w:trPr>
        <w:tc>
          <w:tcPr>
            <w:tcW w:w="8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129"/>
        </w:trPr>
        <w:tc>
          <w:tcPr>
            <w:tcW w:w="8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(In thousands,</w:t>
            </w:r>
          </w:p>
        </w:tc>
        <w:tc>
          <w:tcPr>
            <w:tcW w:w="48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81"/>
              </w:rPr>
              <w:t>except</w:t>
            </w:r>
          </w:p>
        </w:tc>
        <w:tc>
          <w:tcPr>
            <w:tcW w:w="1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percentages and</w:t>
            </w:r>
          </w:p>
        </w:tc>
        <w:tc>
          <w:tcPr>
            <w:tcW w:w="140" w:type="dxa"/>
            <w:vAlign w:val="bottom"/>
          </w:tcPr>
          <w:p>
            <w:pPr>
              <w:spacing w:after="0"/>
              <w:rPr>
                <w:sz w:val="11"/>
                <w:szCs w:val="11"/>
                <w:color w:val="auto"/>
              </w:rPr>
            </w:pPr>
          </w:p>
        </w:tc>
      </w:tr>
      <w:tr>
        <w:trPr>
          <w:trHeight w:val="16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left="597"/>
              <w:spacing w:after="0"/>
              <w:rPr>
                <w:sz w:val="20"/>
                <w:szCs w:val="20"/>
                <w:color w:val="auto"/>
              </w:rPr>
            </w:pPr>
            <w:r>
              <w:rPr>
                <w:rFonts w:ascii="Arial" w:cs="Arial" w:eastAsia="Arial" w:hAnsi="Arial"/>
                <w:sz w:val="14"/>
                <w:szCs w:val="14"/>
                <w:b w:val="1"/>
                <w:bCs w:val="1"/>
                <w:color w:val="auto"/>
                <w:w w:val="85"/>
              </w:rPr>
              <w:t>square feet)</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12"/>
              <w:spacing w:after="0"/>
              <w:rPr>
                <w:sz w:val="20"/>
                <w:szCs w:val="20"/>
                <w:color w:val="auto"/>
              </w:rPr>
            </w:pPr>
            <w:r>
              <w:rPr>
                <w:rFonts w:ascii="Arial" w:cs="Arial" w:eastAsia="Arial" w:hAnsi="Arial"/>
                <w:sz w:val="18"/>
                <w:szCs w:val="18"/>
                <w:color w:val="auto"/>
              </w:rPr>
              <w:t>283,594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248,030</w:t>
            </w: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292,852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253,505</w:t>
            </w: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12"/>
              <w:spacing w:after="0"/>
              <w:rPr>
                <w:sz w:val="20"/>
                <w:szCs w:val="20"/>
                <w:color w:val="auto"/>
              </w:rPr>
            </w:pPr>
            <w:r>
              <w:rPr>
                <w:rFonts w:ascii="Arial" w:cs="Arial" w:eastAsia="Arial" w:hAnsi="Arial"/>
                <w:sz w:val="18"/>
                <w:szCs w:val="18"/>
                <w:color w:val="auto"/>
              </w:rPr>
              <w:t>208,432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183,105</w:t>
            </w: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12"/>
              <w:spacing w:after="0"/>
              <w:rPr>
                <w:sz w:val="20"/>
                <w:szCs w:val="20"/>
                <w:color w:val="auto"/>
              </w:rPr>
            </w:pPr>
            <w:r>
              <w:rPr>
                <w:rFonts w:ascii="Arial" w:cs="Arial" w:eastAsia="Arial" w:hAnsi="Arial"/>
                <w:sz w:val="18"/>
                <w:szCs w:val="18"/>
                <w:color w:val="auto"/>
              </w:rPr>
              <w:t>1,947,507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1,629,636</w:t>
            </w: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(square feet)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16,879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15,945</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West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77,061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71,643</w:t>
            </w: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12"/>
              <w:spacing w:after="0"/>
              <w:rPr>
                <w:sz w:val="20"/>
                <w:szCs w:val="20"/>
                <w:color w:val="auto"/>
              </w:rPr>
            </w:pPr>
            <w:r>
              <w:rPr>
                <w:rFonts w:ascii="Arial" w:cs="Arial" w:eastAsia="Arial" w:hAnsi="Arial"/>
                <w:sz w:val="18"/>
                <w:szCs w:val="18"/>
                <w:color w:val="auto"/>
              </w:rPr>
              <w:t>80,834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75,693</w:t>
            </w: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52,932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50,200</w:t>
            </w: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20" w:type="dxa"/>
            <w:vAlign w:val="bottom"/>
          </w:tcPr>
          <w:p>
            <w:pPr>
              <w:spacing w:after="0"/>
              <w:rPr>
                <w:sz w:val="18"/>
                <w:szCs w:val="18"/>
                <w:color w:val="auto"/>
              </w:rPr>
            </w:pPr>
          </w:p>
        </w:tc>
        <w:tc>
          <w:tcPr>
            <w:tcW w:w="1340" w:type="dxa"/>
            <w:vAlign w:val="bottom"/>
            <w:gridSpan w:val="2"/>
          </w:tcPr>
          <w:p>
            <w:pPr>
              <w:jc w:val="right"/>
              <w:ind w:right="272"/>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877,934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875,512</w:t>
            </w:r>
          </w:p>
        </w:tc>
      </w:tr>
      <w:tr>
        <w:trPr>
          <w:trHeight w:val="222"/>
        </w:trPr>
        <w:tc>
          <w:tcPr>
            <w:tcW w:w="880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20" w:type="dxa"/>
            <w:vAlign w:val="bottom"/>
          </w:tcPr>
          <w:p>
            <w:pPr>
              <w:spacing w:after="0"/>
              <w:rPr>
                <w:sz w:val="19"/>
                <w:szCs w:val="19"/>
                <w:color w:val="auto"/>
              </w:rPr>
            </w:pPr>
          </w:p>
        </w:tc>
        <w:tc>
          <w:tcPr>
            <w:tcW w:w="1340" w:type="dxa"/>
            <w:vAlign w:val="bottom"/>
            <w:gridSpan w:val="2"/>
          </w:tcPr>
          <w:p>
            <w:pPr>
              <w:jc w:val="right"/>
              <w:ind w:right="412"/>
              <w:spacing w:after="0"/>
              <w:rPr>
                <w:sz w:val="20"/>
                <w:szCs w:val="20"/>
                <w:color w:val="auto"/>
              </w:rPr>
            </w:pPr>
            <w:r>
              <w:rPr>
                <w:rFonts w:ascii="Arial" w:cs="Arial" w:eastAsia="Arial" w:hAnsi="Arial"/>
                <w:sz w:val="18"/>
                <w:szCs w:val="18"/>
                <w:color w:val="auto"/>
              </w:rPr>
              <w:t>2,628</w:t>
            </w: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0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Rental income for the East region increased $35.6 million, or 14.3%, to $283.6 million in the nine months ended September 30, 2007 compared to $248.0 million in the nine months ended September 30, 2006 due primarily to the following:</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increase of $24.3 million attributable to properties acquired in 2007 and 2006 and the completion of the power-center at Assembly Square Mall,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$7.4 million at same-center properties due to increased rental rates on new leases and increased cost recoveries,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$5.1 million at redevelopment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$0.8 million related to the sale of Greenlawn Plaza to our unconsolidated real estate partnership in June 2006.</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Property operating income for the East region increased $25.3 million due primarily to the increase in rental income discussed above and an increase in lease and other termination fees. These increases in income were partially offset by a $10.1 million increase in rental expense due to the acquisition of properties, increased snow removal costs, repairs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maintenance costs, insurance costs, and additional legal costs and a $3.9 million increase in real estate taxes due primarily to the acquisition of properties and higher assessments on our same-center and redevelopment properties. As a result of these changes, the ratio of property operating income to total revenue for the East region decreased to 71.2% in the nine months ended September 30, 2007 from 72.2% in the nine months ended September 30,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Rental income for the West region increased $5.4 million, or 7.6%, to $77.1 million in the nine months ended September 30, 2007 from $71.6 million in the nine months ended September 30, 2006 due primarily to the following:</w:t>
      </w:r>
    </w:p>
    <w:p>
      <w:pPr>
        <w:spacing w:after="0" w:line="51" w:lineRule="exact"/>
        <w:rPr>
          <w:sz w:val="20"/>
          <w:szCs w:val="20"/>
          <w:color w:val="auto"/>
        </w:rPr>
      </w:pPr>
    </w:p>
    <w:p>
      <w:pPr>
        <w:ind w:left="900" w:right="1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$3.0 million at Santana Row due to leasing residential units throughout 2006, increased retail occupancy and increased rental rates on new retail leases,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$1.8 million at redevelopment projects.</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Property operating income for the West region increased $2.7 million due primarily to the increase in rental income discussed above partially offset by a $2.4 million increase in rental expense and real estate taxes primarily at Santana Row and a $0.4 million decrease in mortgage interest income due to an amendment of our $17.7 million mortgage note receivable secured by a hotel at our Santana Row project in San Jose, California, which was executed on August 14, 2006 and decreased the interest rate from 14% per annum to 9% per annum. As a result of these changes, the ratio of property operating income to total revenue for the West region decreased to 65.5% in the nine months ended September 30, 2007 from 66.3% in the nine months ended September 30,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SEPTEMBER 30, 2007 AND 2006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Dollars</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8"/>
              </w:rPr>
              <w:t>(Dollar amounts</w:t>
            </w:r>
          </w:p>
        </w:tc>
        <w:tc>
          <w:tcPr>
            <w:tcW w:w="3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w w:val="96"/>
              </w:rPr>
              <w:t>in</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123,559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109,371</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$14,188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property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4,650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1,787</w:t>
            </w:r>
          </w:p>
        </w:tc>
        <w:tc>
          <w:tcPr>
            <w:tcW w:w="1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2,863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1"/>
        </w:trPr>
        <w:tc>
          <w:tcPr>
            <w:tcW w:w="6300" w:type="dxa"/>
            <w:vAlign w:val="bottom"/>
          </w:tcPr>
          <w:p>
            <w:pPr>
              <w:ind w:left="440"/>
              <w:spacing w:after="0"/>
              <w:rPr>
                <w:sz w:val="20"/>
                <w:szCs w:val="20"/>
                <w:color w:val="auto"/>
              </w:rPr>
            </w:pPr>
            <w:r>
              <w:rPr>
                <w:rFonts w:ascii="Arial" w:cs="Arial" w:eastAsia="Arial" w:hAnsi="Arial"/>
                <w:sz w:val="18"/>
                <w:szCs w:val="18"/>
                <w:color w:val="auto"/>
              </w:rPr>
              <w:t>Total property revenue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129,338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112,265</w:t>
            </w:r>
          </w:p>
        </w:tc>
        <w:tc>
          <w:tcPr>
            <w:tcW w:w="18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17,073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20,768</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5,734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Real estate taxes</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expenses</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1"/>
        </w:trPr>
        <w:tc>
          <w:tcPr>
            <w:tcW w:w="6300" w:type="dxa"/>
            <w:vAlign w:val="bottom"/>
          </w:tcPr>
          <w:p>
            <w:pPr>
              <w:ind w:left="880"/>
              <w:spacing w:after="0"/>
              <w:rPr>
                <w:sz w:val="20"/>
                <w:szCs w:val="20"/>
                <w:color w:val="auto"/>
              </w:rPr>
            </w:pPr>
            <w:r>
              <w:rPr>
                <w:rFonts w:ascii="Arial" w:cs="Arial" w:eastAsia="Arial" w:hAnsi="Arial"/>
                <w:sz w:val="18"/>
                <w:szCs w:val="18"/>
                <w:color w:val="auto"/>
              </w:rPr>
              <w:t>Property operating income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89,851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79,895</w:t>
            </w:r>
          </w:p>
        </w:tc>
        <w:tc>
          <w:tcPr>
            <w:tcW w:w="18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9,956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277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(30,533)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9"/>
              </w:rPr>
              <w:t>(26,076)</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(6,631)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(6,265)</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(366)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(26,071)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9"/>
              </w:rPr>
              <w:t>(23,722)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Total other, net</w:t>
            </w: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line="20" w:lineRule="exact"/>
              <w:rPr>
                <w:sz w:val="1"/>
                <w:szCs w:val="1"/>
                <w:color w:val="auto"/>
              </w:rPr>
            </w:pPr>
          </w:p>
        </w:tc>
      </w:tr>
      <w:tr>
        <w:trPr>
          <w:trHeight w:val="230"/>
        </w:trPr>
        <w:tc>
          <w:tcPr>
            <w:tcW w:w="630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(62,449)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w w:val="89"/>
              </w:rPr>
              <w:t>(54,372)</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(8,077)</w:t>
            </w:r>
          </w:p>
        </w:tc>
        <w:tc>
          <w:tcPr>
            <w:tcW w:w="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25,523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Minority interests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(1,086)</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(543)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(Loss) gain on sale of real estate from discontinued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(2,995)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-3,152.6%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23,515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24,984</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(1,469)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Total property revenue increased $17.1 million, or 15.2%, to $129.3 million in the three months ended September 30, 2007 compared to $112.3 million in the three months ended September 30, 2006. The percentage leased at our shopping centers decreased slightly to 96.4% at September 30, 2007 compared to 97.3% at September 30, 2006 due primarily to vacancies caused by the Chapter 7 liquidation of Tower Records during the fourth quarter of 2006 and CompUSA during 2007. Changes in the components of property revenue are discussed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Rental income consists primarily of minimum rent, cost recoveries from tenants and percentage rent. Rental income increased $14.2 million, or 13.0%, to $123.6 million in the three months ended September 30, 2007 compared to $109.4 million in the three months ended September 30, 2006 due primarily to the following:</w:t>
      </w:r>
    </w:p>
    <w:p>
      <w:pPr>
        <w:spacing w:after="0" w:line="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$10.6 million attributable to properties acquired in 2007 and 2006,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$2.5 million at same-center properties due to increased rental rates on new leases and increased cost recoveries,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$1.1 million at redevelopment properties due to increased occupancy, increased rental rates on new leases and increased cost recoveries,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$0.3 million at Santana Row residential due primarily to leasing of residential units throughout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Other property income increased $2.9 million, or 160.2%, to $4.7 million in the three months ended September 30, 2007 compared to $1.8 million in the three months ended September 30, 2006. Included in other property income are items which, although recurring, tend to fluctuate more than rental income from period to period, such as lease termination fees. This increase is due primarily to an increase in lease and other termination fees at same-center properties.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Total property expenses increased $7.1 million, or 22.0%, to $39.5 million in the three months ended September 30, 2007 compared to $32.4 million in the three months ended September 30, 2006.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Rental expenses increased $5.7 million, or 27.6%, to $26.5 million in the three months ended September 30, 2007 compared to $20.8 million in the three months ended September 30, 2006. This increase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of $1.7 million attributable to properties acquired in 2007 and 2006,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of $1.3 million in repairs and maintenance and insurance at same-center and redevelopment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of $0.7 million in utility costs at same-center and redevelopment properties,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of $0.7 million in bad debt expense at same-center and redevelopment properties due to recoveries in 2006 of receivables previously considered uncollectible,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of $0.3 million in legal fees related to the litigation at a shopping center in New Jersey and at Santana Row.</w:t>
      </w: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increased to 20.7% in the three months ended September 30, 2007 from 18.7% in the three months ended September 30,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Real estate tax expense increased $1.4 million, or 11.9%, to $13.0 million in the three months ended September 30, 2007 compared to $11.6 million in the three months ended September 30, 2006. This increase is due primarily to increased taxes of $1.5 million related to properties acquired in 2007 and 2006.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Property operating income increased $10.0 million, or 12.5%, to $89.9 million in the three months ended September 30, 2007 compared to $79.9 million in the three months ended September 30, 2006. This increase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2007 and 2006,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in same-center earnings,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in earnings at redevelopment properties.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Interest expense increased $4.5 million, or 17.1%, to $30.5 million in the three months ended September 30, 2007 compared to $26.1 million in the three months ended September 30, 2006. This increase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$6.9 million due to higher borrowings to finance our acquisitions, offset by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of $1.5 million due to a lower overall weighted average borrowing rate,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$0.9 million in capitalized interest.</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Gross interest costs were $32.5 million and $27.1 million in the three months ended September 30, 2007 and 2006, respectively. Capitalized interest amounted to $1.9 million and $1.1 million in the three months ended September 30, 2007 and 2006, respectively. Capitalized interest increased due primarily to development at Linden Square which was acquired in August 2006 and redevelopment at Arlington East.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General and administrative expense increased $0.4 million, or 5.8%, to $6.6 million in the three months ended September 30, 2007 compared to $6.3 million in the three months ended September 30, 2006. This is primarily due to an increase in personnel, wages and legal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Depreciation and amortization expense increased $2.3 million, or 9.9%, to $26.1 million in the three months ended September 30, 2007 from $23.7 million in the three months ended September 30, 2006. This increase is due primarily to acquisitions and capital improvements at same-center and redevelopment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to minority partners increased $0.5 million, or 50.0%, to $1.6 million in the three months ended September 30, 2007 compared to $1.1 million in the three months ended September 30, 2006. This increase is due primarily to an increase in earnings at properties held in non-wholly owned partnerships and an increase in operating partnership units issued to acquire the White Marsh portfolio in March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The reported operating income of $0.6 million and $0.5 million for the three months ended September 30, 2007 and 2006, respectively, represents the operating income for the period during which we owned properties sold or to be sold in 2007 and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Sale of Real Estate from Discontinued Operations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loss on sale of real estate from discontinued operations of $2.9 million during the three months ended September 30, 2007 relates to an increase in the warranty reserve for condominiums sold in 2006 and 2005 at Santana Row. The gain of $0.1 million during the three months ended September 30, 2006 is related to the sale of condominiums at Santana Row.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our business on an asset management model, where asset management teams are responsible for a portfolio of assets. We manage our portfolio as two operating regions: East and West. Property management teams consist of asset managers, leasing agents, development staff and financial personnel, each of whom has responsibility for a distinct portfolio.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The following table provides selected key segment data for the three months ended September 30, 2007 and 2006. The results of properties classified as discontinued operations have been excluded for rental income, total revenue and property operating income from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Three Months Ended September 30,</w:t>
            </w:r>
          </w:p>
        </w:tc>
      </w:tr>
      <w:tr>
        <w:trPr>
          <w:trHeight w:val="142"/>
        </w:trPr>
        <w:tc>
          <w:tcPr>
            <w:tcW w:w="8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129"/>
        </w:trPr>
        <w:tc>
          <w:tcPr>
            <w:tcW w:w="8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5"/>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 thousands, except</w:t>
            </w:r>
          </w:p>
        </w:tc>
      </w:tr>
      <w:tr>
        <w:trPr>
          <w:trHeight w:val="161"/>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percentages and square feet)</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98,072</w:t>
            </w:r>
          </w:p>
        </w:tc>
        <w:tc>
          <w:tcPr>
            <w:tcW w:w="4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85,207</w:t>
            </w: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86,884</w:t>
            </w: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72,583</w:t>
            </w:r>
          </w:p>
        </w:tc>
        <w:tc>
          <w:tcPr>
            <w:tcW w:w="4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63,484</w:t>
            </w: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1,947,507</w:t>
            </w:r>
          </w:p>
        </w:tc>
        <w:tc>
          <w:tcPr>
            <w:tcW w:w="4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1,629,636</w:t>
            </w: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(square feet)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15,945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West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24,164</w:t>
            </w: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26,921</w:t>
            </w:r>
          </w:p>
        </w:tc>
        <w:tc>
          <w:tcPr>
            <w:tcW w:w="4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25,381</w:t>
            </w: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16,411</w:t>
            </w: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64.7%</w:t>
            </w: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877,934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875,512</w:t>
            </w:r>
          </w:p>
        </w:tc>
      </w:tr>
      <w:tr>
        <w:trPr>
          <w:trHeight w:val="222"/>
        </w:trPr>
        <w:tc>
          <w:tcPr>
            <w:tcW w:w="890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0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Rental income for the East region increased $12.9 million, or 15.1%, to $98.1 million in the three months ended September 30, 2007 compared to $85.2 million in the three months ended September 30, 2006 due primarily to the following:</w:t>
      </w:r>
    </w:p>
    <w:p>
      <w:pPr>
        <w:spacing w:after="0" w:line="5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$10.4 million attributable to properties acquired in 2007 and 2006,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$2.1 million at same-center properties due to increased rental rates on new leases and increased cost recoveries,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$0.7 million at redevelopment properties.</w:t>
      </w:r>
    </w:p>
    <w:p>
      <w:pPr>
        <w:spacing w:after="0" w:line="17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Property operating income for the East region increased $9.1 million due primarily to the increase in rental income discussed above and an increase in lease and other termination income. These increases in income were partially offset by a $4.7 million increase in rental expense due to the acquisition of properties and increases in expenses at same-center and redevelopment properties, and a $1.7 million increase in real estate taxes due primarily to the acquisition of properties and higher assessments on our same-center and redevelopment properties. As a result of these changes, the ratio of property operating income to total revenue for the East region decreased to 70.9% in the three months ended September 30, 2007 from 73.1% in the three months ended September 30,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Rental income for the West region increased $1.3 million, or 5.5%, to $25.5 million in the three months ended September 30, 2007 from $24.2 million in the three months ended September 30, 2006 due primarily to the following:</w:t>
      </w:r>
    </w:p>
    <w:p>
      <w:pPr>
        <w:spacing w:after="0" w:line="51" w:lineRule="exact"/>
        <w:rPr>
          <w:sz w:val="20"/>
          <w:szCs w:val="20"/>
          <w:color w:val="auto"/>
        </w:rPr>
      </w:pPr>
    </w:p>
    <w:p>
      <w:pPr>
        <w:ind w:left="900" w:right="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$0.5 million at Santana Row due to leasing residential units throughout 2006, increased retail occupancy, and increased rental rates on new retail leases,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$0.5 million at redevelopment projects.</w:t>
      </w:r>
    </w:p>
    <w:p>
      <w:pPr>
        <w:spacing w:after="0" w:line="17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Property operating income for the West region increased $0.9 million due primarily to the increase in rental income discussed above partially offset by a $0.7 million increase in rental expenses and real estate taxes. As a result of these changes, the ratio of property operating income to total revenue for the West region decreased to 64.1% in the three months ended September 30, 2007 from 64.7% in the three months ended September 30, 2006.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October 26, 2007, we acquired the fee interest in Mid-Pike Plaza located in Rockville, Maryland and Huntington Shopping Center located in Huntington, New York. Prior to the acquisition, we had a leasehold interest in these properties and a capital lease obligation. In addition, on October 26, 2007, we sold our leasehold interest in six properties, Allwood, Blue Star, Brunswick, Clifton, Hamilton and Rutgers Shopping Centers, located in New Jersey. The capital lease obligations of all 8 of the properties totaling $76.5 million at September 30, 2007, were extinguished as part of the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Implemented</w:t>
      </w:r>
    </w:p>
    <w:p>
      <w:pPr>
        <w:spacing w:after="0" w:line="9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 July 2006, the Financial Accounting Standards Board (“FASB”) issued FASB Interpretation No. 48 (“FIN 48”), “Accounting for Uncertainty in Income Taxes”—an interpretation of FASB Statement No. 109, “Accounting for Income Taxes.” FIN 48 was issued to reduce the diversity in practice associated with certain aspects of recognition, disclosure and measurement related to accounting for uncertain income tax positions. We adopted FIN 48 effective January 1, 2007. The adoption of FIN 48 did not have a material impact on our financial position, results of operations, or cash flows. We recognize penalties and interest accrued related to unrecognized tax benefits as income tax expense. With few exceptions, we are no longer subject to U.S. federal, state, and local tax examinations by tax authorities for years before 2003. As of September 30, 2007, we had no material unrecognized tax benefits.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to Be Implemented</w:t>
      </w:r>
    </w:p>
    <w:p>
      <w:pPr>
        <w:spacing w:after="0" w:line="9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September 2006, the FASB issued SFAS No. 157 “Fair Value Measurement”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are required to adopt SFAS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No. 157 effective January 1, 2008. We do not believe the adoption of SFAS No. 157 will have a material impact on our financial position, results of operations or cash flows.</w:t>
      </w:r>
    </w:p>
    <w:p>
      <w:pPr>
        <w:spacing w:after="0" w:line="13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do not expect SFAS No. 159 to have a material impact on our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As a REIT, we must generally make annual distributions to shareholders of at least 90% of our REIT taxable income.</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Overall capital requirements in 2007 will depend upon acquisition opportunities, the level of improvements and redevelopments on existing properties and the timing and cost of development of future phases of existing properties.</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long-term capital requirements consist primarily of maturities under our long-term debt, development and redevelopment costs and potential acquisitions.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0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cash needed to execute our strategy and invest in new properties, as well as to pay our debt at maturity, must come from one or more of the following sources:</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provided by operations that is not distributed to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from the issuance of new debt or equity securities,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from property dispositions.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2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 in a manner consistent with our intention to operate with a conservative capital structure.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90" w:lineRule="exact"/>
        <w:rPr>
          <w:sz w:val="20"/>
          <w:szCs w:val="20"/>
          <w:color w:val="auto"/>
        </w:rPr>
      </w:pPr>
    </w:p>
    <w:p>
      <w:pPr>
        <w:ind w:left="900" w:right="3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equity may prohibit us from incurring debt or issuing equity under certain circumstances, or on acceptable terms under then-prevailing market conditions;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jc w:val="both"/>
        <w:ind w:right="580"/>
        <w:spacing w:after="0" w:line="306" w:lineRule="auto"/>
        <w:rPr>
          <w:sz w:val="20"/>
          <w:szCs w:val="20"/>
          <w:color w:val="auto"/>
        </w:rPr>
      </w:pPr>
      <w:r>
        <w:rPr>
          <w:rFonts w:ascii="Arial" w:cs="Arial" w:eastAsia="Arial" w:hAnsi="Arial"/>
          <w:sz w:val="16"/>
          <w:szCs w:val="16"/>
          <w:color w:val="auto"/>
        </w:rPr>
        <w:t>We seek to maintain a laddered maturity schedule of debt maturities such that a disproportionate amount of debt maturities does not occur in any one year. Consistent therewith, we have less than $175 million of debt maturities occurring through December 31, 2008 and despite the current turmoil in the credit markets, we believe that we will be able to refinance these maturities at interest rates not materially higher than currently being paid on this debt.</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Cash and cash equivalents were $10.3 million at September 30, 2007, which is a $1.2 million decrease from the balance of cash and cash equivalents at December 31, 2006. Cash and cash equivalents are not a good indicator of our liquidity. We have a $300.0 million unsecured revolving credit facility that matures July 27, 2010, subject to a one-year extension at our option. We intend to utilize our revolving credit facility to initially finance the acquisition of properties and meet other short-term working capital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142"/>
        </w:trPr>
        <w:tc>
          <w:tcPr>
            <w:tcW w:w="9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76"/>
              </w:rPr>
              <w:t>thousands)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158,734</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Pr>
          <w:p>
            <w:pPr>
              <w:spacing w:after="0"/>
              <w:rPr>
                <w:sz w:val="18"/>
                <w:szCs w:val="18"/>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8"/>
                <w:szCs w:val="18"/>
                <w:color w:val="auto"/>
              </w:rPr>
              <w:t>(130,063)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(233,282)</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(29,885)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10,281</w:t>
            </w:r>
          </w:p>
        </w:tc>
        <w:tc>
          <w:tcPr>
            <w:tcW w:w="18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provided by operating activities increased $18.3 million to $158.7 million during the nine months ended September 30, 2007 from $140.5 million during the nine months ended September 30, 2006. The increase was primarily attributable to:</w:t>
      </w:r>
    </w:p>
    <w:p>
      <w:pPr>
        <w:spacing w:after="0" w:line="51" w:lineRule="exact"/>
        <w:rPr>
          <w:sz w:val="20"/>
          <w:szCs w:val="20"/>
          <w:color w:val="auto"/>
        </w:rPr>
      </w:pPr>
    </w:p>
    <w:p>
      <w:pPr>
        <w:ind w:left="900" w:right="4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$10.5 million higher net income before gain on sale of real estate, equity in income from real estate partnership, depreciation and amortization, minority interest, and other non-cash expenses,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$7.8 million decrease in cash used for working capital due primarily to higher accounts payable and lower prepaid balances.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cash used in investing activities decreased $103.2 million to $130.1 million during the nine months ended September 30, 2007 from $233.3 million during the nine months ended September 30, 2006. The decrease was primarily attributable to:</w:t>
      </w:r>
    </w:p>
    <w:p>
      <w:pPr>
        <w:spacing w:after="0" w:line="5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$174.7 million decrease in acquisitions of real estate,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$0.9 million increase in repayments of mortgage and note receivable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$30.5 million decrease in proceeds from the sale of real estate,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$26.0 million increase in capital expenditures primarily for development and redevelopment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$15.5 million increase in contributions to our unconsolidated real estate partnership due to additional acquisitions by the real estate partnership,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$0.8 million increase in leasing costs.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cash used in financing activities increased $180.5 million to $29.9 million during the nine months ended September 30, 2007 from $150.6 million provided during the nine months ended September 30, 2006. The increase was primarily attributable to:</w:t>
      </w:r>
    </w:p>
    <w:p>
      <w:pPr>
        <w:spacing w:after="0" w:line="51" w:lineRule="exact"/>
        <w:rPr>
          <w:sz w:val="20"/>
          <w:szCs w:val="20"/>
          <w:color w:val="auto"/>
        </w:rPr>
      </w:pPr>
    </w:p>
    <w:p>
      <w:pPr>
        <w:ind w:left="5620" w:right="5020" w:hanging="5045"/>
        <w:spacing w:after="0" w:line="525" w:lineRule="auto"/>
        <w:tabs>
          <w:tab w:leader="none" w:pos="893" w:val="left"/>
        </w:tabs>
        <w:numPr>
          <w:ilvl w:val="0"/>
          <w:numId w:val="40"/>
        </w:numPr>
        <w:rPr>
          <w:rFonts w:ascii="Arial" w:cs="Arial" w:eastAsia="Arial" w:hAnsi="Arial"/>
          <w:sz w:val="16"/>
          <w:szCs w:val="16"/>
          <w:color w:val="auto"/>
        </w:rPr>
      </w:pPr>
      <w:r>
        <w:rPr>
          <w:rFonts w:ascii="Arial" w:cs="Arial" w:eastAsia="Arial" w:hAnsi="Arial"/>
          <w:sz w:val="16"/>
          <w:szCs w:val="16"/>
          <w:color w:val="auto"/>
        </w:rPr>
        <w:t>$376.2 million in net proceeds from the issuance of senior debentures in 2006, 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$149.2 million in net proceeds from the issuance of common shares in a public offering in 2006,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$1.1 million increase in distributions to minority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$250.3 million repayment of three-year and five-year term loans in 2006,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$49.5 million increase in net borrowings on our revolving credit facility,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$40.5 million repayment of senior debentures in 2006,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$10.7 million decrease in dividends paid to shareholders due primarily to $10.6 million of special common dividends paid in 2006 and a $8.4 million decrease in preferred share dividends offset by an increase in the common dividend rate in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joint venture partners in eight restaurants at Santana Row. Our investment balance in the restaurant joint ventures was approximately $8.1 million and $8.6 million at September 30, 2007 and December 31, 2006, respectively. Our equity in earnings from the restaurant joint ventures was $1.6 million and $1.4 million for the nine months ended September 30, 2007 and 2006, respectively.</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July 2004, we entered into a joint venture arrangement (“the Partnership”) by forming a limited partnership with affiliates of a discretionary fund created and advised by ING Clarion Partners (“Clarion”). We own 30% of the equity in the Partnership, and Clarion owns 70%.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In total, at September 30, 2007, the Partnership had $81.6 million of mortgages payable outstanding. For mortgages payable totaling $36.7 million that are secured by three properties owned by subsidiaries of the Partnership, we are the guarantor for the obligations of the joint venture which are commonly referred to as “non-recourse carve-outs.” The guarantees do not have a finite term; however, once the lenders have been repaid in accordance with the loan documents, the only likely basis for a claim on the guarantee is for loss to the lender as a result of potential future environmental liability at the properties to which the loans relate. We are not guaranteeing repayment of the debt itself. The Partnership indemnifies us for any loss we incur under these guarantees. We are currently working with these lenders to substitute the Partnership for us as the guarantor of these loans and expect to complete the substitution this year.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Original</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 Balance</w:t>
            </w: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Stated Interest Rate</w:t>
            </w: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Debt</w:t>
            </w:r>
          </w:p>
        </w:tc>
        <w:tc>
          <w:tcPr>
            <w:tcW w:w="260" w:type="dxa"/>
            <w:vAlign w:val="bottom"/>
          </w:tcPr>
          <w:p>
            <w:pPr>
              <w:spacing w:after="0"/>
              <w:rPr>
                <w:sz w:val="12"/>
                <w:szCs w:val="12"/>
                <w:color w:val="auto"/>
              </w:rPr>
            </w:pPr>
          </w:p>
        </w:tc>
        <w:tc>
          <w:tcPr>
            <w:tcW w:w="134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as of</w:t>
            </w:r>
          </w:p>
        </w:tc>
        <w:tc>
          <w:tcPr>
            <w:tcW w:w="17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as of</w:t>
            </w:r>
          </w:p>
        </w:tc>
        <w:tc>
          <w:tcPr>
            <w:tcW w:w="1520" w:type="dxa"/>
            <w:vAlign w:val="bottom"/>
          </w:tcPr>
          <w:p>
            <w:pPr>
              <w:spacing w:after="0"/>
              <w:rPr>
                <w:sz w:val="12"/>
                <w:szCs w:val="12"/>
                <w:color w:val="auto"/>
              </w:rPr>
            </w:pPr>
          </w:p>
        </w:tc>
      </w:tr>
      <w:tr>
        <w:trPr>
          <w:trHeight w:val="161"/>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Issued</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September 30, 2007</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gridSpan w:val="5"/>
          </w:tcPr>
          <w:p>
            <w:pPr>
              <w:ind w:left="420"/>
              <w:spacing w:after="0" w:line="149"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164 E. Houston Street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6, 2008</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White Marsh other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December 31, 2008</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Mercer Mall</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Acquired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4,458</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8.375%</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2009</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33,803</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2011</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6,255</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7.400%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2011</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White Marsh Plaza (2)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2013</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Crow Canyon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Acquired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21,680</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11, 2013</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Melville Mall</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September 1, 2014</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THE AVENUE at White Marsh</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Acquired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61,281</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5.460%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 2015</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Barracks Road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42,149</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Hauppauge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15,889</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Lawrence Park</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29,875</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Wildwood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26,260</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Wynnewood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30,446</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Brick Plaza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31,257</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7.415%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Shoppers’ World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Mount Vernon (3)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13,250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12,041</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5.660%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15, 2028</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Subtotal</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376,233</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Net Discount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(632)</w:t>
            </w: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Total Mortgage Loans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375,601</w:t>
            </w: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Revolving credit facilities (4)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LIBOR + 0.425%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27, 2010</w:t>
            </w:r>
          </w:p>
        </w:tc>
      </w:tr>
      <w:tr>
        <w:trPr>
          <w:trHeight w:val="223"/>
        </w:trPr>
        <w:tc>
          <w:tcPr>
            <w:tcW w:w="20" w:type="dxa"/>
            <w:vAlign w:val="bottom"/>
          </w:tcPr>
          <w:p>
            <w:pPr>
              <w:spacing w:after="0"/>
              <w:rPr>
                <w:sz w:val="19"/>
                <w:szCs w:val="19"/>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9,400</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480" w:type="dxa"/>
            <w:vAlign w:val="bottom"/>
          </w:tcPr>
          <w:p>
            <w:pPr>
              <w:spacing w:after="0"/>
              <w:rPr>
                <w:sz w:val="19"/>
                <w:szCs w:val="19"/>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3.671%</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1, 2016</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Notes Payable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178,873</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2"/>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6.125% Notes (6)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6.325%</w:t>
            </w:r>
          </w:p>
        </w:tc>
        <w:tc>
          <w:tcPr>
            <w:tcW w:w="1520" w:type="dxa"/>
            <w:vAlign w:val="bottom"/>
          </w:tcPr>
          <w:p>
            <w:pPr>
              <w:jc w:val="right"/>
              <w:spacing w:after="0"/>
              <w:rPr>
                <w:sz w:val="20"/>
                <w:szCs w:val="20"/>
                <w:color w:val="auto"/>
              </w:rPr>
            </w:pPr>
            <w:r>
              <w:rPr>
                <w:rFonts w:ascii="Arial" w:cs="Arial" w:eastAsia="Arial" w:hAnsi="Arial"/>
                <w:sz w:val="18"/>
                <w:szCs w:val="18"/>
                <w:color w:val="auto"/>
                <w:w w:val="94"/>
              </w:rPr>
              <w:t>November 15, 2007</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8.75% Notes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2009</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4.50% Notes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4.500%</w:t>
            </w:r>
          </w:p>
        </w:tc>
        <w:tc>
          <w:tcPr>
            <w:tcW w:w="1520" w:type="dxa"/>
            <w:vAlign w:val="bottom"/>
          </w:tcPr>
          <w:p>
            <w:pPr>
              <w:jc w:val="right"/>
              <w:spacing w:after="0"/>
              <w:rPr>
                <w:sz w:val="20"/>
                <w:szCs w:val="20"/>
                <w:color w:val="auto"/>
              </w:rPr>
            </w:pPr>
            <w:r>
              <w:rPr>
                <w:rFonts w:ascii="Arial" w:cs="Arial" w:eastAsia="Arial" w:hAnsi="Arial"/>
                <w:sz w:val="18"/>
                <w:szCs w:val="18"/>
                <w:color w:val="auto"/>
              </w:rPr>
              <w:t>February 15, 2011</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6.00% Notes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2012</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5.40% Notes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135,000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135,000</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2013</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5.65% Notes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2016</w:t>
            </w:r>
          </w:p>
        </w:tc>
      </w:tr>
      <w:tr>
        <w:trPr>
          <w:trHeight w:val="216"/>
        </w:trPr>
        <w:tc>
          <w:tcPr>
            <w:tcW w:w="20" w:type="dxa"/>
            <w:vAlign w:val="bottom"/>
          </w:tcPr>
          <w:p>
            <w:pPr>
              <w:spacing w:after="0"/>
              <w:rPr>
                <w:sz w:val="18"/>
                <w:szCs w:val="18"/>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6.20% Notes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200,000</w:t>
            </w:r>
          </w:p>
        </w:tc>
        <w:tc>
          <w:tcPr>
            <w:tcW w:w="4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6.200%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15, 2017</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7.48% Debentures (7)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7.480%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15, 2026</w:t>
            </w:r>
          </w:p>
        </w:tc>
      </w:tr>
      <w:tr>
        <w:trPr>
          <w:trHeight w:val="223"/>
        </w:trPr>
        <w:tc>
          <w:tcPr>
            <w:tcW w:w="20" w:type="dxa"/>
            <w:vAlign w:val="bottom"/>
          </w:tcPr>
          <w:p>
            <w:pPr>
              <w:spacing w:after="0"/>
              <w:rPr>
                <w:sz w:val="19"/>
                <w:szCs w:val="19"/>
                <w:color w:val="auto"/>
              </w:rPr>
            </w:pP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6.82% Medium Term Notes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480" w:type="dxa"/>
            <w:vAlign w:val="bottom"/>
          </w:tcPr>
          <w:p>
            <w:pPr>
              <w:spacing w:after="0"/>
              <w:rPr>
                <w:sz w:val="19"/>
                <w:szCs w:val="19"/>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6.820%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 2027</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Unamortized Net Premium</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Senior Notes and Debentures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1,127,567</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Capital Lease Obligations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152,862</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Various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Various through 2106</w:t>
            </w: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1,834,903</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Mortgage loans do not include our 30% share ($24.5 million) of the $81.6 million debt of the partnership with Clarion Lion Properties Fund.</w:t>
      </w:r>
    </w:p>
    <w:p>
      <w:pPr>
        <w:spacing w:after="0" w:line="38" w:lineRule="exact"/>
        <w:rPr>
          <w:rFonts w:ascii="Arial" w:cs="Arial" w:eastAsia="Arial" w:hAnsi="Arial"/>
          <w:sz w:val="16"/>
          <w:szCs w:val="16"/>
          <w:color w:val="auto"/>
        </w:rPr>
      </w:pPr>
    </w:p>
    <w:p>
      <w:pPr>
        <w:ind w:left="460" w:right="32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notes secured by this property. The loan balance represents an interest only note of $4.4 million at a rate of 6.18% and the remaining balance at a rate of 5.96%.</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 time thereafter.</w:t>
      </w:r>
    </w:p>
    <w:p>
      <w:pPr>
        <w:jc w:val="both"/>
        <w:ind w:left="460" w:right="200" w:hanging="452"/>
        <w:spacing w:after="0" w:line="28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maximum amount drawn under our revolving credit facility during the nine and three months ended September 30, 2007 was $203 million and $200 million, respectively. The weighted average effective interest rate on borrowings under our revolving credit facility, before amortization of debt fees, was</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5.71% and 5.79% for the nine and three months ended September 30, 2007, respectively. This credit facility is subject to a one-year extension at our option.</w:t>
      </w:r>
    </w:p>
    <w:p>
      <w:pPr>
        <w:spacing w:after="0" w:line="43"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purchased an interest rate lock to hedge a planned note offering. A hedge loss of $1.5 million associated with this hedge is being amortized into the note offering, thereby increasing the effective interest rate on these notes to 6.325%. We are currently in the process of obtaining new financing to finance the maturity of those notes.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August 15, 2008, the debentures are redeemable by the holders thereof at the original purchase price of $1,000 per debenture.</w:t>
      </w:r>
    </w:p>
    <w:p>
      <w:pPr>
        <w:spacing w:after="0" w:line="16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September 30, 2007,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or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debt maturities as of September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52"/>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Secured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32"/>
              <w:spacing w:after="0"/>
              <w:rPr>
                <w:sz w:val="20"/>
                <w:szCs w:val="20"/>
                <w:color w:val="auto"/>
              </w:rPr>
            </w:pPr>
            <w:r>
              <w:rPr>
                <w:rFonts w:ascii="Arial" w:cs="Arial" w:eastAsia="Arial" w:hAnsi="Arial"/>
                <w:sz w:val="14"/>
                <w:szCs w:val="14"/>
                <w:b w:val="1"/>
                <w:bCs w:val="1"/>
                <w:color w:val="auto"/>
                <w:w w:val="80"/>
              </w:rPr>
              <w:t>Lease</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0"/>
              </w:rPr>
              <w:t>Unsecured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42"/>
        </w:trPr>
        <w:tc>
          <w:tcPr>
            <w:tcW w:w="7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Reminder of 2007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151,649</w:t>
            </w:r>
          </w:p>
        </w:tc>
        <w:tc>
          <w:tcPr>
            <w:tcW w:w="2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18,978</w:t>
            </w:r>
          </w:p>
        </w:tc>
        <w:tc>
          <w:tcPr>
            <w:tcW w:w="2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188,108</w:t>
            </w:r>
          </w:p>
        </w:tc>
        <w:tc>
          <w:tcPr>
            <w:tcW w:w="2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168,275(1)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177,376</w:t>
            </w:r>
          </w:p>
        </w:tc>
        <w:tc>
          <w:tcPr>
            <w:tcW w:w="2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75,304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121,848</w:t>
            </w:r>
          </w:p>
        </w:tc>
        <w:tc>
          <w:tcPr>
            <w:tcW w:w="2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2012 and thereafter (2)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294,524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145,720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734,765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1,175,009</w:t>
            </w:r>
          </w:p>
        </w:tc>
        <w:tc>
          <w:tcPr>
            <w:tcW w:w="220" w:type="dxa"/>
            <w:vAlign w:val="bottom"/>
          </w:tcPr>
          <w:p>
            <w:pPr>
              <w:spacing w:after="0"/>
              <w:rPr>
                <w:sz w:val="18"/>
                <w:szCs w:val="18"/>
                <w:color w:val="auto"/>
              </w:rPr>
            </w:pPr>
          </w:p>
        </w:tc>
      </w:tr>
      <w:tr>
        <w:trPr>
          <w:trHeight w:val="27"/>
        </w:trPr>
        <w:tc>
          <w:tcPr>
            <w:tcW w:w="7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376,233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152,862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1,303,873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1,832,968(3)</w:t>
            </w:r>
          </w:p>
        </w:tc>
      </w:tr>
      <w:tr>
        <w:trPr>
          <w:trHeight w:val="20"/>
        </w:trPr>
        <w:tc>
          <w:tcPr>
            <w:tcW w:w="7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organizational documents do not limit the level or amount of debt that we may incur.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$168.0 million outstanding under our revolving credit facility which is subject to a one-year extension.</w:t>
      </w:r>
    </w:p>
    <w:p>
      <w:pPr>
        <w:spacing w:after="0" w:line="15"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$10.0 million under the Mount Vernon mortgage loan that may be required to be paid on or after April 15, 2013 and $50 million of unsecured debt that may be called by the holders on August 15, 2008.</w:t>
      </w:r>
    </w:p>
    <w:p>
      <w:pPr>
        <w:ind w:left="460" w:right="4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discount on certain mortgage loans, senior notes and debentures as of September 30,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had no hedging instruments outstanding during the nine months ended September 30, 2007. However, we may enter into interest rate swaps and treasury rate locks that qualify as cash flow hedges under SFAS No. 133, “Accounting for 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 assess effectiveness of our cash flow hedges both at inception and on an ongoing basis. Hedge ineffectiveness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did not have a significant impact on earnings in the nine months ended September 30, 2007 and 2006, and we do not anticipate it will have a significant effect in the future. We had no hedging instruments outstanding during the nine months ended September 30,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8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304"/>
              <w:spacing w:after="0"/>
              <w:rPr>
                <w:sz w:val="20"/>
                <w:szCs w:val="20"/>
                <w:color w:val="auto"/>
              </w:rPr>
            </w:pPr>
            <w:r>
              <w:rPr>
                <w:rFonts w:ascii="Arial" w:cs="Arial" w:eastAsia="Arial" w:hAnsi="Arial"/>
                <w:sz w:val="14"/>
                <w:szCs w:val="14"/>
                <w:b w:val="1"/>
                <w:bCs w:val="1"/>
                <w:color w:val="auto"/>
                <w:w w:val="87"/>
              </w:rPr>
              <w:t>For the Nine Months Ended</w:t>
            </w: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6"/>
          </w:tcPr>
          <w:p>
            <w:pPr>
              <w:jc w:val="right"/>
              <w:ind w:right="70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3"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3"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2"/>
                <w:szCs w:val="12"/>
                <w:b w:val="1"/>
                <w:bCs w:val="1"/>
                <w:color w:val="auto"/>
                <w:w w:val="81"/>
              </w:rPr>
              <w:t>(In</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thousands,</w:t>
            </w: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w w:val="74"/>
              </w:rPr>
              <w:t>except</w:t>
            </w:r>
          </w:p>
        </w:tc>
        <w:tc>
          <w:tcPr>
            <w:tcW w:w="10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3"/>
              </w:rPr>
              <w:t>per share data)</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Loss (gain) on sale of real estate</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4"/>
              <w:spacing w:after="0"/>
              <w:rPr>
                <w:sz w:val="20"/>
                <w:szCs w:val="20"/>
                <w:color w:val="auto"/>
              </w:rPr>
            </w:pPr>
            <w:r>
              <w:rPr>
                <w:rFonts w:ascii="Arial" w:cs="Arial" w:eastAsia="Arial" w:hAnsi="Arial"/>
                <w:sz w:val="18"/>
                <w:szCs w:val="18"/>
                <w:color w:val="auto"/>
                <w:w w:val="98"/>
              </w:rPr>
              <w:t>(23,866)</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2,900</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23,651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5,378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1,945</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ind w:left="440"/>
              <w:spacing w:after="0"/>
              <w:rPr>
                <w:sz w:val="20"/>
                <w:szCs w:val="20"/>
                <w:color w:val="auto"/>
              </w:rPr>
            </w:pPr>
            <w:r>
              <w:rPr>
                <w:rFonts w:ascii="Arial" w:cs="Arial" w:eastAsia="Arial" w:hAnsi="Arial"/>
                <w:sz w:val="18"/>
                <w:szCs w:val="18"/>
                <w:color w:val="auto"/>
              </w:rPr>
              <w:t>Funds from operations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153,367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141,788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52,335</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(8,607)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from operations available for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153,983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133,841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diluted (1)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56,885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57,148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28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in the computation of diluted EPS for the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We had no hedging instruments outstanding during the nine months ended September 30,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September 30, 2007 we had $1.5 billion of fixed-rate debt outstanding. If interest rates on our fixed-rate debt instruments at September 30, 2007 had been 1.0% higher, the fair value of those debt instruments on that date would have decreased by approximately $67.0 million. If interest rates on our fixed-rate debt instruments at September 30, 2007 had been 1.0% lower, the fair value of those debt instruments on that date would have increased by approximately $74.9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that our primary interest rate risk is due to fluctuations in interest rates on our variable rate debt. At September 30, 2007, we had $177.4 million of variable rate debt outstanding. Based upon this amount of variable rate debt, if interest rates increased 1.0%, our annual interest expense would increase by approximately $1.8 million, and our net income and cash flows for the year would decrease by approximately $1.8 million. Conversely, if interest rates decreased 1.0%, our annual interest expense would decrease by approximately $1.8 million, and our net income and cash flows for the year would increase by approximately $1.8 million.</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2007. Based on this evaluation, our management, including our Chief Executive Officer and Chief Financial Officer, concluded that our disclosure controls and procedures were effective as of September 30, 2007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A trial as to liability only was held in June 2006 and a jury rendered a verdict against us. A trial on the issue of damages has been set for March 2008. The complaint did not specify the amount of damages claimed. We have now received reports from our experts and the plaintiff’s experts which show potential damages ranging from $600,000 to $24 million. We cannot make a reasonable estimate of potential damages until discovery is completed on the damages issue and the court rules on various legal issues impacting the calculation of damages. We intend to appeal the jury verdict; however, no appeal of the judgment can be taken until the trial on damages has been completed. If we are not successful in overturning the jury verdict, we will be liable for damages. Depending on the amount of damages awarded, it is possible, there could be a material adverse impact on our net income in the period in which it is both probable that we will have to pay the damages and such damages can be reasonably estimated. In any event, management does not believe it will have a material impact on our financial position.</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also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has been concluded and post-trial briefs have been filed, but no decision has been rendered. One of the plaintiffs in the matter has filed for bankruptcy protection and as a result, the judge in our case has stayed further proceedings in the case. If we are found liable once the stay has been lifted, a trial will be held to determine the amount of damages. Based on the information available to us, we believe there is a reasonable possibility that we will be found liable. If a verdict is rendered against us, we may seek indemnification from the third party management company that negotiated the lease on our behalf. We cannot assess with any certainty at this time the potential damages for which we would be liable if a verdict is rendered against us or the potential amounts we might recover against the third party management company; however, if a verdict is rendered against us, there may be a material adverse impact on our net income in the period during which our indemnification claim is pending.</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2006 filed with the Securities and Exchange Commission on March 1, 2007. These factors include, but are not limited to, the following:</w:t>
      </w:r>
    </w:p>
    <w:p>
      <w:pPr>
        <w:spacing w:after="0" w:line="5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interests of limited partners in those limited partnerships may be redeemed, subject to certain conditions, for cash or an equivalent number of our common shares, at our option. On August 3, 2007, we redeemed 146,248 operating partnership units for an equivalent number of our common shares. On September 14, 2007, we redeemed 30,508 operating partnership units for an equivalent number of our common shares.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25"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color w:val="auto"/>
        </w:rPr>
        <w:t>October 31, 2007</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99"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color w:val="auto"/>
        </w:rPr>
        <w:t>October 31, 2007</w:t>
      </w:r>
      <w:r>
        <w:rPr>
          <w:sz w:val="20"/>
          <w:szCs w:val="20"/>
          <w:color w:val="auto"/>
        </w:rPr>
        <w:tab/>
      </w:r>
      <w:r>
        <w:rPr>
          <w:rFonts w:ascii="Arial" w:cs="Arial" w:eastAsia="Arial" w:hAnsi="Arial"/>
          <w:sz w:val="16"/>
          <w:szCs w:val="16"/>
          <w:b w:val="1"/>
          <w:bCs w:val="1"/>
          <w:color w:val="auto"/>
        </w:rPr>
        <w:t>/s/ L</w:t>
      </w:r>
      <w:r>
        <w:rPr>
          <w:rFonts w:ascii="Arial" w:cs="Arial" w:eastAsia="Arial" w:hAnsi="Arial"/>
          <w:sz w:val="13"/>
          <w:szCs w:val="13"/>
          <w:b w:val="1"/>
          <w:bCs w:val="1"/>
          <w:color w:val="auto"/>
        </w:rPr>
        <w:t>ARRY</w:t>
      </w:r>
      <w:r>
        <w:rPr>
          <w:rFonts w:ascii="Arial" w:cs="Arial" w:eastAsia="Arial" w:hAnsi="Arial"/>
          <w:sz w:val="16"/>
          <w:szCs w:val="16"/>
          <w:b w:val="1"/>
          <w:bCs w:val="1"/>
          <w:color w:val="auto"/>
        </w:rPr>
        <w:t xml:space="preserve"> E. F</w:t>
      </w:r>
      <w:r>
        <w:rPr>
          <w:rFonts w:ascii="Arial" w:cs="Arial" w:eastAsia="Arial" w:hAnsi="Arial"/>
          <w:sz w:val="13"/>
          <w:szCs w:val="13"/>
          <w:b w:val="1"/>
          <w:bCs w:val="1"/>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Larry E. Finger,</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(Principal Accounting Officer)</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jc w:val="center"/>
              <w:ind w:right="993"/>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640" w:type="dxa"/>
            <w:vAlign w:val="bottom"/>
            <w:tcBorders>
              <w:top w:val="single" w:sz="8" w:color="auto"/>
            </w:tcBorders>
          </w:tcPr>
          <w:p>
            <w:pPr>
              <w:jc w:val="right"/>
              <w:ind w:right="252"/>
              <w:spacing w:after="0" w:line="201" w:lineRule="exact"/>
              <w:rPr>
                <w:sz w:val="20"/>
                <w:szCs w:val="20"/>
                <w:color w:val="auto"/>
              </w:rPr>
            </w:pPr>
            <w:r>
              <w:rPr>
                <w:rFonts w:ascii="Arial" w:cs="Arial" w:eastAsia="Arial" w:hAnsi="Arial"/>
                <w:sz w:val="18"/>
                <w:szCs w:val="18"/>
                <w:color w:val="auto"/>
              </w:rPr>
              <w:t>3.1</w:t>
            </w:r>
          </w:p>
        </w:tc>
        <w:tc>
          <w:tcPr>
            <w:tcW w:w="440" w:type="dxa"/>
            <w:vAlign w:val="bottom"/>
          </w:tcPr>
          <w:p>
            <w:pPr>
              <w:spacing w:after="0"/>
              <w:rPr>
                <w:sz w:val="17"/>
                <w:szCs w:val="17"/>
                <w:color w:val="auto"/>
              </w:rPr>
            </w:pPr>
          </w:p>
        </w:tc>
        <w:tc>
          <w:tcPr>
            <w:tcW w:w="10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 Trust of</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Federal Realty Investment Trust dated May 6, 2004, as corrected by the Certificate of Correction of Articles of Amendment of Declaration of</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Trust of Federal Realty Investment Trust dated June 17, 2004 (previously filed as Exhibit 3.1 to the Trust’s Quarterly Report on Form 10-Q for the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quarter ended June 30, 2005 (File No. 1-07533) (the “2005 2Q Form 10-Q”)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Amended and Restated Bylaws of Federal Realty Investment Trust dated February 12, 2003, as amended October 29, 2003, May 5, 2004 and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February 17, 2006 (previously filed as Exhibit 3.2 to the Trust’s Annual Report on Form 10-K for the year ended December 31, 2005 (File No. 1-</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07533) (the “2005 Form 10-K”)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Specimen Common Share certificate (previously filed as Exhibit 4(i) to the Trust’s Annual Report on Form 10-K for the year ended December 31,</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1999 (File No. 1-07533) (the “1999 Form 10-K”)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4"/>
              </w:rPr>
              <w:t>Exhibit 4.1 to the Trust’s Current Report on Form 8 filed on March 13, 2007, (File No. 333-142231)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filed as Exhibit 1 to the Trust’s Registration Statement on Form 8-A/A filed on March 11, 1999 (File No. 1-07533) and incorporated herein by</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First Amendment to Amended and Restated Rights Agreement, dated as of November , 2003, between the Trust and American Stock Transfer &amp;</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Trust Company (previously filed as Exhibit 4.5 to the Trust’s Annual Report on Form 10-K for the year ended December 31, 2003 (File No. 1-</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07533)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8"/>
              </w:rPr>
              <w:t>Indenture dated December 13, 1993 related to the Trust’s 7.48% Debentures due August 15, 2026; and 6.82% Medium Term Notes due August 1,</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2027; (previously filed as Exhibit 4(a) to the Trust’s Registration Statement on Form S-3 (File No. 33-51029), and amended on Form S-3 (File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No. 33-63687), filed on December 13, 1993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/8% Notes due November 15, 2007; 4.50% Notes</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due 2011; 5.65% Notes due 2016; 6.00% Notes due 2012; 6.20% Notes due 2017; and 5.40% Notes due 2013 (previously filed as Exhibit 4(a) to</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4"/>
              </w:rPr>
              <w:t>the Trust’s Registration Statement on Form S-3 (File No. 333-63619) filed on September 17, 1998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w w:val="85"/>
              </w:rPr>
              <w:t>10.1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Amended and Restated 1983 Stock Option Plan and 1985 Non-Qualified Stock Option Plan of Federal Realty Investment Trust (previously filed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as exhibits to the Trust’s Registration Statement in Form S-8 (File No. 33-55111), filed on August 17, 1994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w w:val="85"/>
              </w:rPr>
              <w:t>10.2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1985 Non-Qualified Stock Option Plan (previously filed as a portion of Exhibit 10 to the Trust’s Annual Report on Form 10-K for the year ended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December 31, 1985 (File No. 1-07533) and incorporated herein by reference)</w:t>
            </w: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760" w:type="dxa"/>
            <w:vAlign w:val="bottom"/>
            <w:gridSpan w:val="2"/>
          </w:tcPr>
          <w:p>
            <w:pPr>
              <w:jc w:val="right"/>
              <w:ind w:right="5533"/>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340" w:type="dxa"/>
            <w:vAlign w:val="bottom"/>
          </w:tcPr>
          <w:p>
            <w:pPr>
              <w:spacing w:after="0"/>
              <w:rPr>
                <w:sz w:val="15"/>
                <w:szCs w:val="15"/>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7"/>
                <w:szCs w:val="17"/>
                <w:color w:val="auto"/>
              </w:rPr>
            </w:pPr>
          </w:p>
        </w:tc>
        <w:tc>
          <w:tcPr>
            <w:tcW w:w="10420" w:type="dxa"/>
            <w:vAlign w:val="bottom"/>
          </w:tcPr>
          <w:p>
            <w:pPr>
              <w:spacing w:after="0" w:line="201" w:lineRule="exact"/>
              <w:rPr>
                <w:sz w:val="20"/>
                <w:szCs w:val="20"/>
                <w:color w:val="auto"/>
              </w:rPr>
            </w:pPr>
            <w:r>
              <w:rPr>
                <w:rFonts w:ascii="Arial" w:cs="Arial" w:eastAsia="Arial" w:hAnsi="Arial"/>
                <w:sz w:val="18"/>
                <w:szCs w:val="18"/>
                <w:color w:val="auto"/>
                <w:w w:val="89"/>
              </w:rPr>
              <w:t>1991 Share Purchase Plan (previously filed as a portion of Exhibit 10 to the Trust’s Annual Report on Form 10-K for the year ended December 31,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1990 (File No. 1-07533)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 filed as</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Exhibit 10.26 to the Trust’s Annual Report on Form 10-K for the year ended December 31, 1998 (File No. 1-07533) and incorporated herein by</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Fiscal Agency Agreement dated as of October 28, 1993 between the Trust and Citibank, N.A. (previously filed as an exhibit to the Trust’s Quarterly</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Report on Form 10-Q for the quarter ended September 30, 1993 (File No. 1-07533)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Form of Severance Agreement between the Trust and Certain of its Officers dated December 31, 1994 (previously filed as a portion of Exhibit 10 to</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5"/>
              </w:rPr>
              <w:t>the Trust’s Annual Report on Form 10-K for the year ended December 31, 1994 (File No. 1-07533)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Performance Share Award Agreement dated as of February 9, 2000 between the Trust and Donald C. Wood (previously filed as a portion of</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Restricted Share Award Agreement dated as of February 9, 2000 between the Trust and Donald C. Wood (previously filed as a portion of Exhibit 10</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to the 1999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Donald C. Wood dated February 22, 1999 (previously filed as a portion of Exhibit 10 to the Trust’s</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Quarterly Report on Form 10-Q for the quarter ended March 31, 1999 (File No. 1-07533) (the “1999 1Q Form 10-Q”) and incorporated herein by</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2"/>
              </w:rPr>
              <w:t>Executive Agreement between Federal Realty Investment Trust and Donald C. Wood dated February 22, 1999 (previously filed as a portion of</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 filed as</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Exhibit 10.12 to the Trust’s Annual Report on Form 10-K for the year ended December 31, 2004 (File No. 1-07533) (the “2004 Form 10-K”) and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Amendment to Restricted Share Award Agreement dated December 8, 2000 between the Trust and Donald C. Wood (previously filed as a portion of</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Exhibit 10 to the Trust’s Annual Report on Form 10-K for the year ended December 31, 2000 (File No. 1-07533) (the “2000 Form 10-K”) and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Split Dollar Life Insurance Agreement dated August 12, 1998 between the Trust and Donald C. Wood (previously filed as a portion of Exhibit 10 to</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the 2000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4"/>
              </w:rPr>
              <w:t>Restricted Share Award Agreement dated as of February 15, 2000 between the Trust and Jeffrey S. Berkes (previously filed as a portion of</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Exhibit 10 to the Trust’s Annual Report on Form 10-K for the year ended December 31, 2001 (File No. 1-07533) (the “2001 Form 10-K”) and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4"/>
              </w:rPr>
              <w:t>Severance Agreement between the Trust and Jeffrey S. Berkes dated March 1, 2000 (previously filed as a portion of Exhibit 10 to the 2001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Amendment to Severance Agreement between Federal Realty Investment Trust and Jeffrey S. Berkes dated February 16, 2005 (previously filed as</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Exhibit 10.17 to the 2004 Form 10-K and incorporated herein by reference)</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33"/>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340" w:type="dxa"/>
            <w:vAlign w:val="bottom"/>
          </w:tcPr>
          <w:p>
            <w:pPr>
              <w:spacing w:after="0"/>
              <w:rPr>
                <w:sz w:val="15"/>
                <w:szCs w:val="15"/>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rPr>
              <w:t>10.17</w:t>
            </w:r>
          </w:p>
        </w:tc>
        <w:tc>
          <w:tcPr>
            <w:tcW w:w="340" w:type="dxa"/>
            <w:vAlign w:val="bottom"/>
          </w:tcPr>
          <w:p>
            <w:pPr>
              <w:spacing w:after="0"/>
              <w:rPr>
                <w:sz w:val="17"/>
                <w:szCs w:val="17"/>
                <w:color w:val="auto"/>
              </w:rPr>
            </w:pPr>
          </w:p>
        </w:tc>
        <w:tc>
          <w:tcPr>
            <w:tcW w:w="10420" w:type="dxa"/>
            <w:vAlign w:val="bottom"/>
          </w:tcPr>
          <w:p>
            <w:pPr>
              <w:spacing w:after="0" w:line="201" w:lineRule="exact"/>
              <w:rPr>
                <w:sz w:val="20"/>
                <w:szCs w:val="20"/>
                <w:color w:val="auto"/>
              </w:rPr>
            </w:pPr>
            <w:r>
              <w:rPr>
                <w:rFonts w:ascii="Arial" w:cs="Arial" w:eastAsia="Arial" w:hAnsi="Arial"/>
                <w:sz w:val="18"/>
                <w:szCs w:val="18"/>
                <w:color w:val="auto"/>
                <w:w w:val="94"/>
              </w:rPr>
              <w:t>Severance Agreement dated March 1, 2002 between the Trust and Larry E. Finger (previously filed as a portion of Exhibit 10 to the Trust’s</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Quarterly Report on Form 10-Q for the quarter ended June 30, 2002 (File No. 1-07533) (the “2002 2Q Form 10-Q”) and incorporated herein by</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Amendment to Severance Agreement between Federal Realty Investment Trust and Larry E. Finger dated February 16, 2005 (previously filed as</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Exhibit 10.19 to the 2004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Combined Incentive and Non-Qualified Stock Option Agreement dated February 28, 2002 between the Trust and Larry E. Finger (previously filed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as a portion of Exhibit 10 to the 2002 2Q Form 10-Q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Performance Share Award Agreement between the Trust and Donald C. Wood dated February 28, 2002 (previously filed as a portion of Exhibit 10</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to the 2002 2Q Form 10-Q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Performance Share Award Agreement between the Trust and Jeffrey S. Berkes dated February 28, 2002 (previously filed as a portion of Exhibit 10</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to the 2002 2Q Form 10-Q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Amendment to Stock Option Agreement dated August 15, 2002 between the Trust and Dawn M. Becker (previously filed as a portion of Exhibit 10</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to the Trust’s Quarterly Report on Form 10-Q for the quarter ended September 30, 2002 (File No. 1-075330 (the “2002 3Q Form 10-Q”) and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Amendment to Stock Option Agreement dated August 15, 2002 between Federal Realty Investment Trust and Jeffrey S. Berkes (previously filed as</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a portion of Exhibit 10 to the 2002 3Q Form 10-Q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 Wood dated February 16, 2005 (previously filed as</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Exhibit 10.26 to the 2004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Severance Agreement between the Trust and Dawn Becker dated April 19, 2000 (previously filed as Exhibit 10.26 to the Trust’s 2005 2Q Form 10-</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Amendment to Severance Agreement between the Trust and Dawn M. Becker dated February 16, 2005 (previously filed as Exhibit 10.27 to the</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2004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Form of Restricted Share Award Agreement for awards made under the Trust’s 2003 Long-Term Incentive Award Program for shares issued out of</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Form of Restricted Share Award Agreement for awards made under the Trust’s Annual Incentive Bonus Program for shares issued out of 2001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Form of Option Award Agreement for options awarded under 2001 Long-Term Incentive Plan (previously filed as Exhibit 10.30 to the 2004 Form</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10.31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Form of Option Award Agreement for awards made under the Trust’s 2003 Long-Term Incentive Award Program for shares issued out of the 2001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10.28 to the 2004 Form 10-K and incorporated herein by reference)</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33"/>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340" w:type="dxa"/>
            <w:vAlign w:val="bottom"/>
          </w:tcPr>
          <w:p>
            <w:pPr>
              <w:spacing w:after="0"/>
              <w:rPr>
                <w:sz w:val="15"/>
                <w:szCs w:val="15"/>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rPr>
              <w:t>10.32</w:t>
            </w:r>
          </w:p>
        </w:tc>
        <w:tc>
          <w:tcPr>
            <w:tcW w:w="340" w:type="dxa"/>
            <w:vAlign w:val="bottom"/>
          </w:tcPr>
          <w:p>
            <w:pPr>
              <w:spacing w:after="0"/>
              <w:rPr>
                <w:sz w:val="17"/>
                <w:szCs w:val="17"/>
                <w:color w:val="auto"/>
              </w:rPr>
            </w:pPr>
          </w:p>
        </w:tc>
        <w:tc>
          <w:tcPr>
            <w:tcW w:w="10420" w:type="dxa"/>
            <w:vAlign w:val="bottom"/>
          </w:tcPr>
          <w:p>
            <w:pPr>
              <w:spacing w:after="0" w:line="201" w:lineRule="exact"/>
              <w:rPr>
                <w:sz w:val="20"/>
                <w:szCs w:val="20"/>
                <w:color w:val="auto"/>
              </w:rPr>
            </w:pPr>
            <w:r>
              <w:rPr>
                <w:rFonts w:ascii="Arial" w:cs="Arial" w:eastAsia="Arial" w:hAnsi="Arial"/>
                <w:sz w:val="18"/>
                <w:szCs w:val="18"/>
                <w:color w:val="auto"/>
                <w:w w:val="89"/>
              </w:rPr>
              <w:t>Form of Option Award Agreement for awards made under the Trust’s 2003 Long-Term Incentive Award Program for shares issued out of the 2001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10.32 to the 2005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Credit Agreement dated as of July 28, 2006, by and between the Trust, Wachovia Capital Markets LLC, Wachovia Bank, National Association and</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various other financial institutions (previously filed as Exhibit 10.1) to the Trust’s Current Report on Form 8-K (File No. 1-07533), filed on July 31,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2006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10.34</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Amended and Restated 2001 Long-Term Incentive Plan (previously filed as Exhibit 10.34 to the 2007 2Q Form 10-Q and incorporated herein by</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reference)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34"/>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45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October 31, 2007</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Larry E. Finger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October 31, 2007</w:t>
      </w:r>
      <w:r>
        <w:rPr>
          <w:sz w:val="20"/>
          <w:szCs w:val="20"/>
          <w:color w:val="auto"/>
        </w:rPr>
        <w:tab/>
      </w:r>
      <w:r>
        <w:rPr>
          <w:rFonts w:ascii="Arial" w:cs="Arial" w:eastAsia="Arial" w:hAnsi="Arial"/>
          <w:sz w:val="16"/>
          <w:szCs w:val="16"/>
          <w:b w:val="1"/>
          <w:bCs w:val="1"/>
          <w:color w:val="auto"/>
        </w:rPr>
        <w:t>/s/ L</w:t>
      </w:r>
      <w:r>
        <w:rPr>
          <w:rFonts w:ascii="Arial" w:cs="Arial" w:eastAsia="Arial" w:hAnsi="Arial"/>
          <w:sz w:val="13"/>
          <w:szCs w:val="13"/>
          <w:b w:val="1"/>
          <w:bCs w:val="1"/>
          <w:color w:val="auto"/>
        </w:rPr>
        <w:t>ARRY</w:t>
      </w:r>
      <w:r>
        <w:rPr>
          <w:rFonts w:ascii="Arial" w:cs="Arial" w:eastAsia="Arial" w:hAnsi="Arial"/>
          <w:sz w:val="16"/>
          <w:szCs w:val="16"/>
          <w:b w:val="1"/>
          <w:bCs w:val="1"/>
          <w:color w:val="auto"/>
        </w:rPr>
        <w:t xml:space="preserve"> E. F</w:t>
      </w:r>
      <w:r>
        <w:rPr>
          <w:rFonts w:ascii="Arial" w:cs="Arial" w:eastAsia="Arial" w:hAnsi="Arial"/>
          <w:sz w:val="13"/>
          <w:szCs w:val="13"/>
          <w:b w:val="1"/>
          <w:bCs w:val="1"/>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Larry E. Finger,</w:t>
      </w:r>
    </w:p>
    <w:p>
      <w:pPr>
        <w:spacing w:after="0" w:line="21"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Chief Financial Officer (Principal Accounting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2007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October 31, 2007</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8"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Larry E. Finger, the Executive Vice President and Chief Financial Officer of Federal Realty Investment Trust (the “Company”), has executed this certification in connection with the filing with the Securities and Exchange Commission of the Company’s Quarterly Report on Form 10-Q for the period ended September 30, 2007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October 31, 2007</w:t>
      </w:r>
      <w:r>
        <w:rPr>
          <w:sz w:val="20"/>
          <w:szCs w:val="20"/>
          <w:color w:val="auto"/>
        </w:rPr>
        <w:tab/>
      </w:r>
      <w:r>
        <w:rPr>
          <w:rFonts w:ascii="Arial" w:cs="Arial" w:eastAsia="Arial" w:hAnsi="Arial"/>
          <w:sz w:val="16"/>
          <w:szCs w:val="16"/>
          <w:b w:val="1"/>
          <w:bCs w:val="1"/>
          <w:color w:val="auto"/>
        </w:rPr>
        <w:t>/s/ L</w:t>
      </w:r>
      <w:r>
        <w:rPr>
          <w:rFonts w:ascii="Arial" w:cs="Arial" w:eastAsia="Arial" w:hAnsi="Arial"/>
          <w:sz w:val="13"/>
          <w:szCs w:val="13"/>
          <w:b w:val="1"/>
          <w:bCs w:val="1"/>
          <w:color w:val="auto"/>
        </w:rPr>
        <w:t>ARRY</w:t>
      </w:r>
      <w:r>
        <w:rPr>
          <w:rFonts w:ascii="Arial" w:cs="Arial" w:eastAsia="Arial" w:hAnsi="Arial"/>
          <w:sz w:val="16"/>
          <w:szCs w:val="16"/>
          <w:b w:val="1"/>
          <w:bCs w:val="1"/>
          <w:color w:val="auto"/>
        </w:rPr>
        <w:t xml:space="preserve"> E. F</w:t>
      </w:r>
      <w:r>
        <w:rPr>
          <w:rFonts w:ascii="Arial" w:cs="Arial" w:eastAsia="Arial" w:hAnsi="Arial"/>
          <w:sz w:val="13"/>
          <w:szCs w:val="13"/>
          <w:b w:val="1"/>
          <w:bCs w:val="1"/>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8"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Larry E. Finger,</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Chief Financial Officer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2"/>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3"/>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
      <w:numFmt w:val="bullet"/>
      <w:start w:val="1"/>
    </w:lvl>
    <w:lvl w:ilvl="1">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2019-12-13T00:56:13Z</dcterms:created>
  <dcterms:modified xsi:type="dcterms:W3CDTF">2019-12-13T00:56:13Z</dcterms:modified>
</cp:coreProperties>
</file>