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2017</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5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240" w:space="700"/>
            <w:col w:w="4480"/>
          </w:cols>
          <w:pgMar w:left="240" w:top="234" w:right="239" w:bottom="1440" w:gutter="0" w:footer="0" w:header="0"/>
          <w:type w:val="continuous"/>
        </w:sect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ectPr>
          <w:pgSz w:w="11900" w:h="16838" w:orient="portrait"/>
          <w:cols w:equalWidth="0" w:num="1">
            <w:col w:w="11420"/>
          </w:cols>
          <w:pgMar w:left="240" w:top="234" w:right="239" w:bottom="1440" w:gutter="0" w:footer="0" w:header="0"/>
          <w:type w:val="continuous"/>
        </w:sectPr>
      </w:pPr>
    </w:p>
    <w:p>
      <w:pPr>
        <w:spacing w:after="0" w:line="248" w:lineRule="exact"/>
        <w:rPr>
          <w:sz w:val="24"/>
          <w:szCs w:val="24"/>
          <w:color w:val="auto"/>
        </w:rPr>
      </w:pPr>
    </w:p>
    <w:p>
      <w:pPr>
        <w:ind w:left="2220"/>
        <w:spacing w:after="0"/>
        <w:rPr>
          <w:sz w:val="20"/>
          <w:szCs w:val="20"/>
          <w:color w:val="auto"/>
        </w:rPr>
      </w:pPr>
      <w:r>
        <w:rPr>
          <w:rFonts w:ascii="Arial" w:cs="Arial" w:eastAsia="Arial" w:hAnsi="Arial"/>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108" w:lineRule="exact"/>
        <w:rPr>
          <w:sz w:val="24"/>
          <w:szCs w:val="24"/>
          <w:color w:val="auto"/>
        </w:rPr>
      </w:pPr>
    </w:p>
    <w:p>
      <w:pPr>
        <w:sectPr>
          <w:pgSz w:w="11900" w:h="16838" w:orient="portrait"/>
          <w:cols w:equalWidth="0" w:num="2">
            <w:col w:w="7380" w:space="720"/>
            <w:col w:w="3320"/>
          </w:cols>
          <w:pgMar w:left="240" w:top="234" w:right="23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4" w:right="239" w:bottom="1440" w:gutter="0" w:footer="0" w:header="0"/>
          <w:type w:val="continuous"/>
        </w:sectPr>
      </w:pPr>
    </w:p>
    <w:p>
      <w:pPr>
        <w:spacing w:after="0" w:line="105"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w:t>
      </w:r>
    </w:p>
    <w:p>
      <w:pPr>
        <w:spacing w:after="0" w:line="108" w:lineRule="exact"/>
        <w:rPr>
          <w:sz w:val="24"/>
          <w:szCs w:val="24"/>
          <w:color w:val="auto"/>
        </w:rPr>
      </w:pPr>
    </w:p>
    <w:p>
      <w:pPr>
        <w:sectPr>
          <w:pgSz w:w="11900" w:h="16838" w:orient="portrait"/>
          <w:cols w:equalWidth="0" w:num="2">
            <w:col w:w="7600" w:space="720"/>
            <w:col w:w="3100"/>
          </w:cols>
          <w:pgMar w:left="240" w:top="234" w:right="2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480" w:space="720"/>
            <w:col w:w="322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4" w:right="239" w:bottom="1440" w:gutter="0" w:footer="0" w:header="0"/>
          <w:type w:val="continuous"/>
        </w:sectPr>
      </w:pPr>
    </w:p>
    <w:p>
      <w:pPr>
        <w:spacing w:after="0" w:line="103"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w w:val="94"/>
              </w:rPr>
              <w:t>submit and post such files).</w:t>
            </w:r>
          </w:p>
        </w:tc>
        <w:tc>
          <w:tcPr>
            <w:tcW w:w="50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5"/>
        </w:trPr>
        <w:tc>
          <w:tcPr>
            <w:tcW w:w="1108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or a smaller reporting company. See</w:t>
            </w:r>
          </w:p>
        </w:tc>
        <w:tc>
          <w:tcPr>
            <w:tcW w:w="200" w:type="dxa"/>
            <w:vAlign w:val="bottom"/>
          </w:tcPr>
          <w:p>
            <w:pPr>
              <w:spacing w:after="0"/>
              <w:rPr>
                <w:sz w:val="23"/>
                <w:szCs w:val="23"/>
                <w:color w:val="auto"/>
              </w:rPr>
            </w:pPr>
          </w:p>
        </w:tc>
      </w:tr>
      <w:tr>
        <w:trPr>
          <w:trHeight w:val="230"/>
        </w:trPr>
        <w:tc>
          <w:tcPr>
            <w:tcW w:w="11080" w:type="dxa"/>
            <w:vAlign w:val="bottom"/>
            <w:gridSpan w:val="3"/>
          </w:tcPr>
          <w:p>
            <w:pPr>
              <w:spacing w:after="0"/>
              <w:rPr>
                <w:sz w:val="20"/>
                <w:szCs w:val="20"/>
                <w:color w:val="auto"/>
              </w:rPr>
            </w:pPr>
            <w:r>
              <w:rPr>
                <w:rFonts w:ascii="Arial" w:cs="Arial" w:eastAsia="Arial" w:hAnsi="Arial"/>
                <w:sz w:val="18"/>
                <w:szCs w:val="18"/>
                <w:color w:val="auto"/>
              </w:rPr>
              <w:t>definitions of “large accelerated filer,” “accelerated filer” and “smaller reporting company” in Rule 12b-2 of the Exchange Act. (Check one):</w:t>
            </w:r>
          </w:p>
        </w:tc>
        <w:tc>
          <w:tcPr>
            <w:tcW w:w="200" w:type="dxa"/>
            <w:vAlign w:val="bottom"/>
          </w:tcPr>
          <w:p>
            <w:pPr>
              <w:spacing w:after="0"/>
              <w:rPr>
                <w:sz w:val="20"/>
                <w:szCs w:val="20"/>
                <w:color w:val="auto"/>
              </w:rPr>
            </w:pPr>
          </w:p>
        </w:tc>
      </w:tr>
      <w:tr>
        <w:trPr>
          <w:trHeight w:val="398"/>
        </w:trPr>
        <w:tc>
          <w:tcPr>
            <w:tcW w:w="208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11080" w:type="dxa"/>
            <w:vAlign w:val="bottom"/>
            <w:gridSpan w:val="3"/>
          </w:tcPr>
          <w:p>
            <w:pPr>
              <w:ind w:left="40"/>
              <w:spacing w:after="0"/>
              <w:rPr>
                <w:sz w:val="20"/>
                <w:szCs w:val="20"/>
                <w:color w:val="auto"/>
              </w:rPr>
            </w:pPr>
            <w:r>
              <w:rPr>
                <w:rFonts w:ascii="Arial" w:cs="Arial" w:eastAsia="Arial" w:hAnsi="Arial"/>
                <w:sz w:val="18"/>
                <w:szCs w:val="18"/>
                <w:color w:val="auto"/>
                <w:w w:val="92"/>
              </w:rPr>
              <w:t>If an emerging growth company, indicate by checkmark if the registrant has elected not use the extended transition period for complying with any new</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7100" w:type="dxa"/>
            <w:vAlign w:val="bottom"/>
            <w:gridSpan w:val="2"/>
          </w:tcPr>
          <w:p>
            <w:pPr>
              <w:ind w:left="40"/>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5" w:lineRule="exact"/>
        <w:rPr>
          <w:sz w:val="24"/>
          <w:szCs w:val="24"/>
          <w:color w:val="auto"/>
        </w:rPr>
      </w:pPr>
    </w:p>
    <w:p>
      <w:pPr>
        <w:ind w:right="180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July 28, 2017 was 72,255,197.</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QUARTER ENDED 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June 30, 2017 (unaudited) and December 31,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and six months ended June 30, 2017 and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six months ended June 30,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2017 and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consolidated balance sheet as of December 31, 2016,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six months ended June 30, 2017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5"/>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$1,265,976 and $1,226,918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6,371,714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Asset held for sale</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1"/>
              </w:rPr>
              <w:t>Less accumulated depreciation and amortization (including $226,193 and $209,239 of consolidated variable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$383,304 and $439,120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414,891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279,316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2,377,208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190,459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3,564,781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152,045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72,251,477 and 71,995,897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2,741,803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2,086,677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5,803,503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388,243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197,981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415,438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396,325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79,797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46,191</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96,234</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117,846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250,804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239,268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157,057</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(Loss) income from real estate partnerships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137,961</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132,896</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132,625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70,797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71,928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70,270</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70,451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134,778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129,713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8"/>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56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DECEMBER 31, 2016</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71,995,897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$2,718,325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(749,734)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99,102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$ 2,075,835</w:t>
            </w:r>
          </w:p>
        </w:tc>
        <w:tc>
          <w:tcPr>
            <w:tcW w:w="0" w:type="dxa"/>
            <w:vAlign w:val="bottom"/>
          </w:tcPr>
          <w:p>
            <w:pPr>
              <w:spacing w:after="0"/>
              <w:rPr>
                <w:sz w:val="1"/>
                <w:szCs w:val="1"/>
                <w:color w:val="auto"/>
              </w:rPr>
            </w:pP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w w:val="91"/>
              </w:rPr>
              <w:t>January 1, 2017 adoption of new accounting</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standard - See Note 2</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Net income, excluding $1,704 attributable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redeemable noncontrolling interests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132,481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134,499</w:t>
            </w:r>
          </w:p>
        </w:tc>
        <w:tc>
          <w:tcPr>
            <w:tcW w:w="0" w:type="dxa"/>
            <w:vAlign w:val="bottom"/>
          </w:tcPr>
          <w:p>
            <w:pPr>
              <w:spacing w:after="0"/>
              <w:rPr>
                <w:sz w:val="1"/>
                <w:szCs w:val="1"/>
                <w:color w:val="auto"/>
              </w:rPr>
            </w:pP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w w:val="98"/>
              </w:rPr>
              <w:t>Other comprehensive income - change in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fair value of interest rate swaps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(141,451)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(141,451)</w:t>
            </w:r>
          </w:p>
        </w:tc>
        <w:tc>
          <w:tcPr>
            <w:tcW w:w="0" w:type="dxa"/>
            <w:vAlign w:val="bottom"/>
          </w:tcPr>
          <w:p>
            <w:pPr>
              <w:spacing w:after="0"/>
              <w:rPr>
                <w:sz w:val="1"/>
                <w:szCs w:val="1"/>
                <w:color w:val="auto"/>
              </w:rPr>
            </w:pP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98,695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13,341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13,342</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20"/>
        </w:trPr>
        <w:tc>
          <w:tcPr>
            <w:tcW w:w="2940" w:type="dxa"/>
            <w:vAlign w:val="bottom"/>
          </w:tcPr>
          <w:p>
            <w:pPr>
              <w:ind w:left="40"/>
              <w:spacing w:after="0"/>
              <w:rPr>
                <w:sz w:val="20"/>
                <w:szCs w:val="20"/>
                <w:color w:val="auto"/>
              </w:rPr>
            </w:pPr>
            <w:r>
              <w:rPr>
                <w:rFonts w:ascii="Arial" w:cs="Arial" w:eastAsia="Arial" w:hAnsi="Arial"/>
                <w:sz w:val="16"/>
                <w:szCs w:val="16"/>
                <w:color w:val="auto"/>
                <w:w w:val="93"/>
              </w:rPr>
              <w:t>Shares issued under dividend reinvestment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40"/>
              <w:spacing w:after="0"/>
              <w:rPr>
                <w:sz w:val="20"/>
                <w:szCs w:val="20"/>
                <w:color w:val="auto"/>
              </w:rPr>
            </w:pPr>
            <w:r>
              <w:rPr>
                <w:rFonts w:ascii="Arial" w:cs="Arial" w:eastAsia="Arial" w:hAnsi="Arial"/>
                <w:sz w:val="16"/>
                <w:szCs w:val="16"/>
                <w:color w:val="auto"/>
              </w:rPr>
              <w:t>plan</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9,140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Share-based compensation expense, net of</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103,941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6,456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6,457</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and redemption of OP units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6"/>
                <w:szCs w:val="16"/>
                <w:color w:val="auto"/>
                <w:w w:val="96"/>
              </w:rPr>
              <w:t>Contributions from noncontrolling interests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4,547</w:t>
            </w: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4,547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Purchase of noncontrolling interest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7"/>
        </w:trPr>
        <w:tc>
          <w:tcPr>
            <w:tcW w:w="2940" w:type="dxa"/>
            <w:vAlign w:val="bottom"/>
          </w:tcPr>
          <w:p>
            <w:pPr>
              <w:ind w:left="40"/>
              <w:spacing w:after="0"/>
              <w:rPr>
                <w:sz w:val="20"/>
                <w:szCs w:val="20"/>
                <w:color w:val="auto"/>
              </w:rPr>
            </w:pPr>
            <w:r>
              <w:rPr>
                <w:rFonts w:ascii="Arial" w:cs="Arial" w:eastAsia="Arial" w:hAnsi="Arial"/>
                <w:sz w:val="16"/>
                <w:szCs w:val="16"/>
                <w:color w:val="auto"/>
              </w:rPr>
              <w:t>BALANCE AT JUNE 30, 2017</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399,896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2"/>
              </w:rPr>
              <w:t>72,251,477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$2,741,803</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(759,058)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94,310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$ 2,086,677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96,234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 accounts receivable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241,829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203,607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(142,091)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(389,979)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borrowings under revolving credit facility</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41,500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399,410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and capital leases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(37,233)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withheld for employee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221,108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94,871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23,368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21,046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2017</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June 30, 2017, we owned or had a majority interest in community and neighborhood shopping centers and mixed-use properties which are operated as 99 predominantly retail real estate projects.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2016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currently under construction on 221 condominium units at our Assembly Row and Pike &amp; Rose properties. Gains or losses on the sale of these condominium units are recognized in accordance with the provisions of ASC Topic 360-20, “Property, Plant and Equipment – Real Estate Sales.” We account for contracted condominium sales under the percentage-of-completion method, based on an evaluation of the criteria specified in ASC Topic 360-20 including: the legal commitment of the purchaser in the real estate contract, whether the construction of the project is beyond a preliminary phase, whether sufficient units have been contracted to ensure the project will not revert to a rental project, the ability to reasonably estimate the aggregate project sale proceeds and aggregate project costs, and the determination that the buyer has made an adequate initial and continuing cash investment under the contract. When the percentage-of-completion criteria have not been met, no profit is recognized. The application of this criteria can be complex and requires us to make assumptions.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ASU 2014-09 as amended and interpreted by ASU 2015-14, ASU 2016-08, ASU 2016-10, ASU 2016-12, and ASU 2016-20,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While we are still completing the assessment of the impact of these standards to our consolidated financial statements, we believe the majority of our revenue falls outside of the scope of this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guidance. However, the new guidance will affect the accounting method related to our gains on condominium sales. Currently, gains on contracted sales are recognized using the percentage-of-completion method, with the gain recognized once certain criteria have been met in advance of legal closing. Under the new guidance, condominium sale gains will be recognized as the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condominium units are legally sold, which will typically be upon closing. We intend to implement the new revenue recognition guidance retrospectively with the cumulative effect recognized in retained earnings at the date of initial application.</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2017, the FASB issued ASU 2017-05, "Other Income - Gains and Losses from the Derecognition of Nonfinancial Assets (Subtopic 610-20): Clarifying the Scope of Asset Derecognition Guidance and Accounting for Partial Sales of Nonfinancial Assets." ASU 2017-05 clarifies that ASC 610-20 applies to all nonfinancial assets (including real estate) for which the counterparty is not a customer and also clarifies that all businesses are derecognized using the deconsolidation guidance. Additionally, it defines an insubstance nonfinancial asset as a financial asset that is promised to a counterparty in a contract in which substantially all of the fair value of the assets promised in the contract is concentrated in nonfinancial assets, which excludes cash or cash equivalents and liabilities. The new guidance is expected to impact the gain recognized when a real estate asset is sold to a non-customer and a noncontrolling interest is retained. Under the current guidance, a partial sale is recognized and carryover basis is used for the retained interest, however, the new guidance eliminates the use of carryover basis and generally requires a full gain to be recognized. ASU 2017-05 is effective for us in the first quarter of 2018, and we are currently assessing the impact of this standard to our consolidated financial statements.</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ASU 2017-09 clarifies when changes to the terms or conditions of a share-based payment award must be accounted for as modifications. Under the new guidance, an entity will not apply modification accounting if the awards' fair value, vesting conditions, and the classification of the award as equity or a liability are the same immediately before and after the change. ASU 2017-09 is effective for us in the first quarter of 2018, is applied prospectively to awards granted or modified after the adoption date, and is not expected to have a significant impact to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Additionally, ASU 2016-09 requires the cash paid to a taxing authority when shares are withheld to pay employee taxes to be classified as a "financing activity" rather than an "operating activity," as was done previously on the Statement of Cash Flows. We adopted this standard effective January 1, 2017, and as a result, we are now accounting for forfeitures as they occur, and have recorded the cumulative impact on the adoption date as a $0.1 million adjustment to additional paid in capital and retained earnings. The amount reclassified from "operating activities" to "financing activities" for shares withheld for employee taxes was $4.4 million.</w:t>
      </w:r>
    </w:p>
    <w:p>
      <w:pPr>
        <w:spacing w:after="0" w:line="11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January 2017, the FASB issued ASU 2017-01, "Clarifying the Definition of a Business." ASU 2017-01 changes the definition of a business to exclude acquisitions where substantially all of the fair value of the assets acquired are concentrated in a single identifiable asset or a group of similar identifiable assets. Given this change in definition, we believe most of our shopping center acquisitions will no longer be considered business combinations but rather asset acquisitions. While there are various differences between the accounting for an asset acquisition and a business combination, the largest impact will be that transaction costs are capitalized for asset acquisitions rather than expensed when they were considered business combinations. Based on acquisitions in the past several years, transaction costs for a single shopping center acquisition have typically ranged from $0.2 million to $2.4 million with significantly higher transaction costs expected for an acquisition of a larger portfolio. We adopted this standard effective January 1, 2017, and are applying the new guidance prospectively. Our acquisitions in the first six months of 2017 (further discussed in Note 3 below) qualified as asset acquisitions and consequently, all transaction costs were capitalized.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6"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47,995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45,577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 of noncontrolling 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leased three parcels of land at our Assembly Row property to two ground lessees. During 2016, both lessees exercised purchase options under the related ground leases. The sale transaction related to the purchase option on one of our ground leases was completed on April 4, 2017 for a sales price of $36.0 million. On June 28, 2017, the sale transactions related to the purchase options on our other two ground lease parcels were completed for a total sales price of $17.3 million. The net gain recognized in connection with these transactions was approximately $15.4 million.</w:t>
      </w:r>
    </w:p>
    <w:p>
      <w:pPr>
        <w:spacing w:after="0" w:line="3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Additionally, approximately $2.4 million was allocated to noncontrolling interests.</w:t>
      </w:r>
    </w:p>
    <w:p>
      <w:pPr>
        <w:spacing w:after="0" w:line="52"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For the three and six months ended June 30, 2017 we recognized a $3.3 million gain, net of $1.7 million of income taxes, related to the sale of condominiums at our Assembly Row property based on the percentage-of-completion method. In connection with recording the gain, we recognized a receivable of $43.3 million. The closing of the Assembly Row condominium sales is expected to commence in 2018. As of June 30, 2017, no gain has been recognized for contracted condominium sales at Pike &amp; Rose, as not all of the criteria necessary for profit recognition have been met.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23, 2017, we issued $400.0 million aggregate principal amount of fixed rate senior unsecured notes in two separate series. We issued $300.0 million of 3.25% notes that mature on July 15, 2027, were offered at 99.083% of the principal amount, with a yield to maturity of 3.358%. Additionally, we issued $100.0 million of 4.50% notes due December 1, 2044. The 4.50%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notes were offered at 105.760% of the principal amount, with a yield to maturity of 4.143%, and have the same terms and are of the same series as the senior notes first issued on November 14, 2014. Our net proceeds from the June note offering after net issuance premium, underwriting fees and other costs was approximately $399.4 million.</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months ended June 30, 2017, the maximum amount of borrowings outstanding under our $800.0 million revolving credit facility was $344.0 million, and the weighted average interest rate, before amortization of debt fees, was 1.8%, for both periods. During the three and six months ended June 30, 2017, the weighted average borrowings outstanding were $252.1 million and $173.2 million, respectively. At June 30, 2017, there was no outstanding balance. Our revolving credit facility, term loan and certain notes require us to comply with various financial covenants, including the maintenance of minimum shareholders’ equity and debt coverage ratios and a maximum ratio of debt to net worth. As of June 30, 2017, we were in compliance with all default related debt covenants.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694,207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702,636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750,268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760,260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2,377,208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2,438,952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1,976,594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2,015,973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June 30, 2017,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$1.0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2017, and we do not anticipate it will have a significant effect in the future.</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2017 was a liability of $1.1 million and is included in "accounts payable and accrued expenses" on our consolidated balance sheet. For the three and six months ended June 30, 2017, the change in valuation on our interest rate swaps resulted in a $0.4 million and $1.5 million decrease in our derivative liability, respectively, (including $0.5 million and $1.1 million, respectively, reclassified from other comprehensive loss to interest expense). The change in valuation on our interest rate swaps is included in "accumulated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2,577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5" w:lineRule="exact"/>
        <w:rPr>
          <w:sz w:val="20"/>
          <w:szCs w:val="20"/>
          <w:color w:val="auto"/>
        </w:rPr>
      </w:pPr>
    </w:p>
    <w:p>
      <w:pPr>
        <w:ind w:right="12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787,962 downREIT operating partnership units are outstanding which have a total fair value of $99.6 million, based on our closing stock price on June 30, 2017.</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12, 2017, we exercised our purchase option on non-controlling interests in San Antonio Center for $2.6 million of cash and 44,195 of downREIT operating partnership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0.677</w:t>
            </w:r>
          </w:p>
        </w:tc>
      </w:tr>
    </w:tbl>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six months ended June 30, 2017, we issued 98,658 common shares at a weighted average price per share of $137.90 for net cash proceeds of $13.4 million and paid $0.1 million in commissions and $0.1 million in additional offering expenses related to the sales of these common shares. As of June 30, 2017, we had the capacity to issue up to $357.3 million in common shares under our ATM equity program.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144,276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137,432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286,419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272,018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39,877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36,637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81,395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78,439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8,715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204,246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408,693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388,243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2,908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6,457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2017 and 2016,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and six months ended June 30, 2017 and 2016.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7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59,137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57,111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117,029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110,448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57,091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54,949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112,858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105,834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75,905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55,650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131,742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132,261</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72,001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70,797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71,928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70,270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72,124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70,974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72,061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70,451</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57,477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55,240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113,597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106,469</w:t>
            </w:r>
          </w:p>
        </w:tc>
        <w:tc>
          <w:tcPr>
            <w:tcW w:w="0" w:type="dxa"/>
            <w:vAlign w:val="bottom"/>
          </w:tcPr>
          <w:p>
            <w:pPr>
              <w:spacing w:after="0"/>
              <w:rPr>
                <w:sz w:val="1"/>
                <w:szCs w:val="1"/>
                <w:color w:val="auto"/>
              </w:rPr>
            </w:pPr>
          </w:p>
        </w:tc>
      </w:tr>
      <w:tr>
        <w:trPr>
          <w:trHeight w:val="702"/>
        </w:trPr>
        <w:tc>
          <w:tcPr>
            <w:tcW w:w="7440" w:type="dxa"/>
            <w:vAlign w:val="bottom"/>
          </w:tcPr>
          <w:p>
            <w:pPr>
              <w:ind w:left="56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2016 filed with the Securities and Exchange Commission (the “SEC”) on February 13, 2017.</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2016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2017, we owned or had a majority interest in community and neighborhood shopping centers and mixed-use properties which are operated as 99 predominantly retail real estate projects comprising approximately 23.2 million square feet. In total, the real estate projects were 94.5% leased and 93.0% occupied at June 30,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Significant Property Acquisitions &amp; Dispositions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4, 2017 and June 28, 2017, the sale transactions at our Assembly Row property in Somerville, Massachusetts related to the purchase options on our Partners HealthCare and AvalonBay ground lease parcels, respectively, closed. The total sales price was $53.3 million, which resulted in a gain of $15.4 million.</w:t>
      </w:r>
    </w:p>
    <w:p>
      <w:pPr>
        <w:spacing w:after="0" w:line="4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Additionally, approximately $2.4 million was allocated to noncontrolling interests.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Significant Debt and Equity Transactions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June 23, 2017, we issued $400.0 million aggregate principal amount of fixed rate senior unsecured notes in two separate series. We issued $300.0 million of 3.25% notes that mature on July 15, 2027, were offered at 99.083% of the principal amount, with a yield to maturity of 3.358%. Additionally, we issued $100.0 million of 4.50% notes due December 1, 2044. The 4.50% notes were offered at 105.760% of the principal amount, with a yield to maturity of</w:t>
      </w:r>
    </w:p>
    <w:p>
      <w:pPr>
        <w:ind w:right="460"/>
        <w:spacing w:after="0" w:line="261" w:lineRule="auto"/>
        <w:rPr>
          <w:sz w:val="20"/>
          <w:szCs w:val="20"/>
          <w:color w:val="auto"/>
        </w:rPr>
      </w:pPr>
      <w:r>
        <w:rPr>
          <w:rFonts w:ascii="Arial" w:cs="Arial" w:eastAsia="Arial" w:hAnsi="Arial"/>
          <w:sz w:val="18"/>
          <w:szCs w:val="18"/>
          <w:color w:val="auto"/>
        </w:rPr>
        <w:t>4.143%, and have the same terms and are of the same series as our senior notes first issued on November 14, 2014. Our net proceeds from the June note offering after net issuance premium, underwriting fees and other costs was approximately $399.4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six months ended June 30, 2017, we issued 98,658 common shares at a weighted average price per share of $137.90 for net cash proceeds of $13.4 million and paid $0.1 million in commissions and $0.1 million in additional offering expenses related to the sales of these common shares. As of June 30, 2017, we had the capacity to issue up to $357.3 million in common shares under our ATM equity program.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$212 million and $4 million, respectively, for the six months ended June 30, 2017, and $161 million and $4 million, respectively, for the six months ended June 30, 2016. We capitalized external and internal costs related to other property improvements of $30 million and $1 million, respectively, for the six months ended June 30, 2017, and $21 million and $1 million for the six months ended June 30, 2016. We capitalized external and internal costs related to leasing activities of $3 million and $3 million, respectively, for the six months ended June 30, 2017, and $4 million and $3 million, respectively, for the six months ended June 30, 2016. The amount of capitalized internal costs for salaries and related benefits for development and redevelopment activities, other property improvements, and leasing activities were $4 million, $1 million, and $3 million, for both the six months ended June 30, 2017 and 2016. Total capitalized costs were $254 million and $195 million for the six months ended June 30, 2017 and 2016,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 recent uptick in the number of retail tenants closing early and/or filing for bankruptcy. We believe the locations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2017, no single tenant accounted for more than 3.0% of annualized base rent.</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$238 million that we expect to stabilize in the next several years.</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continue our ongoing redevelopment efforts at Santana Row and are proceeding with an eight story 284,000 square foot office building which will include 29,000 square feet of retail space and 1,300 parking spaces. The building is expected to cost between $205 million and $215 million and to deliver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Construction of Phase II of Assembly Row which will include 161,000 square feet of retail space, a 159 room boutique hotel and 447 residential units is underway. The hotel will be owned and operated by a joint venture in which we are a partner. Total expected costs range from $280 million to $295 million and delivery is expected in 2017/2018. Phase II will also include 122 for-sale condominium units with an expected total cost of $74 million to $79 million. Additionally, as part of the second phase, we entered into a ground lease agreement with Partners HealthCare to bring 741,500 square feet of office space to Assembly Row. The ground lease agreement included a purchase option, which was exercised and the related sale closed on April 4, 2017.</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Construction of Phase II of Pike &amp; Rose is also underway. Phase II will include approximately 216,000 square feet of retail space, a 177 room select-service hotel and 272 residential units. Total expected costs range from $200 million to $207 million and delivery is expected in 2017/2018. The hotel will be owned and operated by a joint venture in which we are a partner. Phase II will also include 99 for-sale condominium units with an expected cost of $53 million to $58 million.</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costs incurred in the first six months of 2017, we expect to invest between $270 million and $300 million at Assembly Row and Pike &amp; Rose in 2017, net of public funding.</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2017, the leasable square feet in our properties was 94.5% leased and 93.0%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second quarter of 2017, we signed leases for a total of 432,000 square feet of retail space including 398,000 square feet of comparable space leases (leases for which there was a prior tenant) at an average rental increase of 13% on a cash basis and 27% on a straight-line basis. New leases for comparable spaces were signed for 162,000 square feet at an average rental increase of 18% on a cash basis and 31% on a straight-line basis. Renewals for comparable spaces were signed for 236,000 square feet at an average rental increase of 12% on a cash basis and 25% on a straight-line basis. Tenant improvements and incentives for comparable spaces were $66.26 per square foot for new leases and $33.13 per square foot for renewals for the three months ended June 30, 2017.</w:t>
      </w:r>
    </w:p>
    <w:p>
      <w:pPr>
        <w:spacing w:after="0" w:line="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June 30, 2017, we signed leases for a total of 1,024,000 square feet of retail space including 921,000 square feet of comparable space leases (leases for which there was a prior tenant) at an average rental increase of 12% on a cash basis and 25% on a straight-line basis. New leases for comparable spaces were signed for 450,000 square feet at an average rental increase of 18% on a cash basis and 31% on a straight-line basis. Renewals for comparable spaces were signed for 471,000 square feet at an average rental increase of 9% on a cash basis and 21% on a straight-line basis. Tenant improvements and incentives for comparable spaces were $66.52 per square foot for new leases and $17.53 per square foot for renewals for the six months ended June 30, 2017.</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2017 generally become effective over the following two years though some may not become effective until 2020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2017 will be in line with, or slightly above,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six months ended June 30, 2017, all or a portion of 77 and 72 properties, respectively, were considered same-center and 16 and 15 properties, respectively, were considered redevelopment or expansion. For the six months ended June 30, 2017, one property and one portion of a property were moved from redevelopment to same-center, compared to the designations as of December 31, 2016. For the three months ended June 30, 2017, five properties were moved from acquisitions to same-center. While there is judgment surrounding changes in designations, we typically move redevelopment properties to same-center once they have stabilized, which is typically considered 95% physical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208,049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197,981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10,068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137,606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6,793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19,235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55,941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20,350</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Total property revenue increased $10.1 million, or 5.1%, to $208.0 million in the three months ended June 30, 2017 compared to $198.0 million in the three months ended June 30, 2016. The percentage occupied at our shopping centers was 93.0% at June 30, 2017 compared to 92.9% at June 30, 2016.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$11.3 million, or 5.9%, to $204.2 million in the three months ended June 30, 2017 compared to $192.9 million in the three months ended June 30, 2016 due primarily to the following:</w:t>
      </w:r>
    </w:p>
    <w:p>
      <w:pPr>
        <w:jc w:val="both"/>
        <w:ind w:left="1700" w:right="20" w:hanging="801"/>
        <w:spacing w:after="0" w:line="317" w:lineRule="auto"/>
        <w:tabs>
          <w:tab w:leader="none" w:pos="1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$5.0 million at redevelopment properties due to the opening of our new office building at Santana Row in late 2016, the lease-up of four of our retail redevelopments, and the lease-up of the new residential building at Congressional Plaza throughout 2016,</w:t>
      </w: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$3.1 million from acquisitions, primarily related to Riverpoint Center and Hastings Ranch Plaza,</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$1.7 million from Assembly Row and Pike &amp; Rose due primarily to the lease-up of residential units at Pike &amp; Rose, and</w:t>
      </w:r>
    </w:p>
    <w:p>
      <w:pPr>
        <w:spacing w:after="0" w:line="86" w:lineRule="exact"/>
        <w:rPr>
          <w:rFonts w:ascii="Arial" w:cs="Arial" w:eastAsia="Arial" w:hAnsi="Arial"/>
          <w:sz w:val="16"/>
          <w:szCs w:val="16"/>
          <w:color w:val="auto"/>
        </w:rPr>
      </w:pPr>
    </w:p>
    <w:p>
      <w:pPr>
        <w:ind w:left="1700" w:right="280" w:hanging="801"/>
        <w:spacing w:after="0" w:line="308"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$1.6 million at same-center properties due primarily to higher real estate tax recoveries of $1.1 million, higher rental rates of approximately $0.8 million, partially offset by lower average occupancy of approximately $0.4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Mortgage interest income decreased $0.8 million, or 52.8%, to $0.7 million in the three months ended June 30, 2017 compared to $1.6 million in the three months ended June 30, 2016. This decrease is related to a mortgage note receivable that was repaid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property expenses increased $3.3 million, or 5.4%, to $63.7 million in the three months ended June 30, 2017 compared to $60.4 million in the three months ended June 30, 2016.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Rental expenses increased $0.2 million, or 0.4%, to $37.1 million in the three months ended June 30, 2017 compared to $37.0 million in the three months ended June 30, 2016.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$0.6 million from acquisitions, primarily related to Hastings Ranch Plaza and Riverpoint Center,</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from redevelopment and same-center properties primarily due to lower bad debt expense.</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17.9% in the three months ended June 30, 2017 from 18.8% in the three months ended June 30,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 estate tax expense increased $3.1 million, or 13.4%, to $26.5 million in the three months ended June 30, 2017 compared to $23.4 million in the three months ended June 30, 2016 due primarily to:</w:t>
      </w:r>
    </w:p>
    <w:p>
      <w:pPr>
        <w:spacing w:after="0" w:line="8" w:lineRule="exact"/>
        <w:rPr>
          <w:sz w:val="20"/>
          <w:szCs w:val="20"/>
          <w:color w:val="auto"/>
        </w:rPr>
      </w:pPr>
    </w:p>
    <w:p>
      <w:pPr>
        <w:ind w:left="1700" w:hanging="801"/>
        <w:spacing w:after="0" w:line="277"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$2.3 million at same-center and redevelopment properties due primarily to higher assessments, and $0.4 million related to our new office building at Santana Row,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$0.7 million from acquisitions, primarily related to Riverpoint Center and Hastings Ranch Plaza.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operating income increased $6.8 million, or 4.9%, to $144.4 million in the three months ended June 30, 2017 compared to $137.6 million in the three months ended June 30, 2016. This increase is primarily due to growth in earnings at redevelopment properties, the acquisitions of Riverpoint Center in March 2017 and Hastings Ranch Plaza in February 2017, and Assembly Row and Pike &amp; Rose (primarily the lease-up of residential units at Pike &amp; Rose).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Depreciation and amortization expense increased $4.2 million, or 8.7%, to $52.7 million in the three months ended June 30, 2017 from $48.4 million in the three months ended June 30, 2016. This increase is primarily due to redevelopment properties (largely the new office building at Santana Row), 2017 acquisitions, and Assembly Row and Pike &amp; Rose.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Operating income increased $3.0 million, or 3.7%, to $83.1 million in the three months ended June 30, 2017 compared to $80.1 million in the three months ended June 30, 2016. This increase is primarily due to growth in earnings at redevelopment properties, earnings growth at Assembly Row and Pike &amp; Rose, and 2017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increased $0.8 million, or 3.5%, to $23.9 million in the three months ended June 30, 2017 compared to $23.1 million in the three months ended June 30, 2016. This increase is due primarily to the following: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6"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$3.6 million due to higher borrowings primarily attributable to the 3.625% senior notes issued in July 2016 and higher weighted average borrowings on our revolving credit facility,</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$2.0 million in capitalized interest,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$0.8 million due to a lower overall weighted average borrowing rate.</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interest costs were $30.1 million and $27.2 million in the three months ended June 30, 2017 and 2016, respectively. Capitalized interest was $6.2 million and $4.1 million in the three months ended June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$19.0 million gain on sale of real estate, net for the three months ended June 30, 2017 is primarily due to the following:</w:t>
      </w:r>
    </w:p>
    <w:p>
      <w:pPr>
        <w:spacing w:after="0" w:line="63"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$15.4 million gain related to the sale of three ground lease parcels at our Assembly Row property,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$3.3 million net percentage-of-completion gain, related to condominiums under binding contract at our Assembly Row property.</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$1.8 million gain for the three months ended June 30, 2016 is related to the sale of a building in Coconut Grove, Florida. Our share of the gain, net of noncontrolling interests, was $0.7 million.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26"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396,325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19,113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5,421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285,589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270,337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15,252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117,029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110,448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6,581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136,203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132,481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132,896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8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property revenue increased $19.1 million, or 4.8%, to $415.4 million in the six months ended June 30, 2017 compared to $396.3 million in the six months ended June 30, 2016. The percentage occupied at our shopping centers was 93.0% at June 30, 2017 compared to 92.9% at June 30, 2016.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$20.5 million, or 5.3%, to $408.7 million in the six months ended June 30, 2017 compared to $388.2 million in the six months ended June 30, 2016 due primarily to the following:</w:t>
      </w:r>
    </w:p>
    <w:p>
      <w:pPr>
        <w:ind w:left="1700" w:right="40" w:hanging="801"/>
        <w:spacing w:after="0" w:line="264"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$9.7 million at redevelopment properties due to the opening of our new office building at Santana Row in late 2016, the lease-up of three of our retail redevelopments, and the lease-up of the new residential building at Congressional Plaza throughout 2016,</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$3.8 million from acquisitions, primarily related to Riverpoint Center and Hastings Ranch Plaza.</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$3.2 million from Assembly Row and Pike &amp; Rose due primarily to the lease-up of residential units at Pike &amp; Rose,</w:t>
      </w:r>
    </w:p>
    <w:p>
      <w:pPr>
        <w:spacing w:after="0" w:line="74" w:lineRule="exact"/>
        <w:rPr>
          <w:rFonts w:ascii="Arial" w:cs="Arial" w:eastAsia="Arial" w:hAnsi="Arial"/>
          <w:sz w:val="17"/>
          <w:szCs w:val="17"/>
          <w:color w:val="auto"/>
        </w:rPr>
      </w:pPr>
    </w:p>
    <w:p>
      <w:pPr>
        <w:ind w:left="1700" w:right="360" w:hanging="801"/>
        <w:spacing w:after="0" w:line="264"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$2.2 million at same-center properties due primarily to higher rental rates of approximately $2.8 million and higher recoveries of $0.2 million primarily the net result of higher real estate tax assessments, partially offset by lower snow removal expense, and lower average occupancy of approximately $0.6 million,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$1.8 million from the acquisition of six previously unconsolidated Clarion joint venture properties in January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Other property income decreased $0.5 million, or 9.3%, to $5.3 million in the six months ended June 30, 2017 compared to $5.8 million in the six months ended June 30, 2016. Included in other property income are items which, although recurring, inherently tend to fluctuate more than rental income from period to period, such as lease termination fees. This decrease is primarily related to lower lease termination fees at our same-center properties.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Mortgage interest income decreased $0.8 million, or 34.8%, to $1.5 million in the six months ended June 30, 2017 compared to $2.3 million in the six months ended June 30, 2016. This decrease is related to a mortgage note receivable that was repaid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property expenses increased $3.9 million, or 3.1%, to $129.8 million in the six months ended June 30, 2017 compared to $126.0 million in the six months ended June 30, 2016.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$1.6 million, or 2.0%, to $78.2 million in the six months ended June 30, 2017 compared to $79.8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This decrease is primarily due to the following:</w:t>
      </w:r>
    </w:p>
    <w:p>
      <w:pPr>
        <w:spacing w:after="0" w:line="49" w:lineRule="exact"/>
        <w:rPr>
          <w:sz w:val="20"/>
          <w:szCs w:val="20"/>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$2.0 million at same-center and redevelopment properties primarily due to lower snow removal costs,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$0.4 million from Assembly Row and Pike &amp; Rose primarily attributable to lower marketing costs,</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$0.8 million from acquisitions, primarily related to Hastings Ranch Plaza and Riverpoint Center.</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18.9% in the six months ended June 30, 2017 from 20.3% in the six months ended June 30,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Real estate tax expense increased $5.4 million, or 11.7%, to $51.6 million in the six months ended June 30, 2017 compared to $46.2 million in the six months ended June 30, 2016 due primarily to:</w:t>
      </w:r>
    </w:p>
    <w:p>
      <w:pPr>
        <w:spacing w:after="0" w:line="8"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$2.8 million at same-center properties due primarily to higher assessments,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$0.9 million from redevelopment properties, primarily related to our new office building at Santana Row,</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$0.9 million from acquisitions, primarily related to Riverpoint Center and Hastings Ranch Plaza,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$0.7 million from Assembly Row and Pike &amp; Rose.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Property operating income increased $15.3 million, or 5.6%, to $285.6 million in the six months ended June 30, 2017 compared to $270.3 million in the six months ended June 30, 2016. This increase is primarily due to growth in earnings at redevelopment properties, Assembly Row and Pike &amp; Rose (primarily the lease-up of residential units at Pike &amp; Rose), the acquisitions of Riverpoint Center in March 2017 and Hastings Ranch Plaza in February 2017, and the acquisition of the six previously unconsolidated Clarion joint venture properties in January 2016, partially offset by lower mortgage interest income related to a note receivable that was repaid in 2016.</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Depreciation and amortization expense increased $7.8 million, or 8.1%, to $104.0 million in the six months ended June 30, 2017 from $96.2 million in the six months ended June 30, 2016. This increase is primarily due to redevelopment properties (largely the new office building at Santana Row), Assembly Row and Pike &amp; Rose, and the acquisitions of Riverpoint Center in March 2017 and Hastings Ranch Plaza in February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increased $7.6 million, or 4.8%, to $164.6 million in the six months ended June 30, 2017 compared to $157.1 million in the six months ended June 30, 2016. This increase is primarily due to growth in earnings at redevelopment properties, Assembly Row and Pike &amp; Rose, the acquisition of the six previously unconsolidated Clarion joint venture properties in January 2016, and the acquisitions of Riverpoint Center in March 2017 and Hastings Ranch Plaza in February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$0.8 million, or 1.8%, to $47.7 million in the six months ended June 30, 2017 compared to $46.8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This increase is due primarily to the following:</w:t>
      </w:r>
    </w:p>
    <w:p>
      <w:pPr>
        <w:spacing w:after="0" w:line="49" w:lineRule="exact"/>
        <w:rPr>
          <w:sz w:val="20"/>
          <w:szCs w:val="20"/>
          <w:color w:val="auto"/>
        </w:rPr>
      </w:pPr>
    </w:p>
    <w:p>
      <w:pPr>
        <w:ind w:left="1700" w:right="14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$4.9 million due to higher borrowings primarily attributable to the 3.625% senior notes issued in July 2016 and higher weighted average borrowings on our revolving credit facility,</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$3.7 million in capitalized interest,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$0.4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$59.3 million and $54.8 million in the six months ended June 30, 2017 and 2016, respectively. Capitalized interest was $11.6 million and $8.0 million in the six months ended June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 Net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$19.2 million gain on sale of real estate and change in control of interests, net for the six months ended June 30, 2017 is primarily due to the following:</w:t>
      </w:r>
    </w:p>
    <w:p>
      <w:pPr>
        <w:spacing w:after="0" w:line="86" w:lineRule="exact"/>
        <w:rPr>
          <w:sz w:val="20"/>
          <w:szCs w:val="20"/>
          <w:color w:val="auto"/>
        </w:rPr>
      </w:pPr>
    </w:p>
    <w:p>
      <w:pPr>
        <w:ind w:left="1700" w:hanging="801"/>
        <w:spacing w:after="0"/>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$15.4 million gain related to the sale of three ground lease parcels at our Assembly Row property in Somerville, Massachusetts, and</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$3.3 million net percentage-of-completion gain, related to condominiums under binding contract at our Assembly Row property.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$27.5 million gain on sale of real estate and change in control of interests, net for the six months ended June 30, 2017 is primarily due to the following:</w:t>
      </w:r>
    </w:p>
    <w:p>
      <w:pPr>
        <w:spacing w:after="0" w:line="46" w:lineRule="exact"/>
        <w:rPr>
          <w:sz w:val="20"/>
          <w:szCs w:val="20"/>
          <w:color w:val="auto"/>
        </w:rPr>
      </w:pPr>
    </w:p>
    <w:p>
      <w:pPr>
        <w:ind w:left="1700" w:right="160" w:hanging="801"/>
        <w:spacing w:after="0" w:line="277" w:lineRule="auto"/>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$25.7 million gain related to our obtaining control of six properties when we acquired Clarion’s 70% interest in the partnership that owned those properties. The properties were previously accounted for under the equity method of accounting. We consolidated these assets effective January 13, 2016, and consequently recognized a gain on obtaining the controlling interest.</w:t>
      </w:r>
    </w:p>
    <w:p>
      <w:pPr>
        <w:spacing w:after="0" w:line="11" w:lineRule="exact"/>
        <w:rPr>
          <w:rFonts w:ascii="Arial" w:cs="Arial" w:eastAsia="Arial" w:hAnsi="Arial"/>
          <w:sz w:val="17"/>
          <w:szCs w:val="17"/>
          <w:color w:val="auto"/>
        </w:rPr>
      </w:pPr>
    </w:p>
    <w:p>
      <w:pPr>
        <w:ind w:left="1700" w:right="20" w:hanging="801"/>
        <w:spacing w:after="0" w:line="277"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 million gain related to the sale of a building in Coconut Grove, Florida. Our share of the gain, net of noncontrolling interests, was $0.7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redevelopments) and dividends to common and preferred shareholders. Our long-term capital requirements consist primarily of maturities under our long-term debt agreements, development and redevelopment costs and potential acquisitions.</w:t>
      </w:r>
    </w:p>
    <w:p>
      <w:pPr>
        <w:spacing w:after="0" w:line="1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June 30, 2017, we had cash and cash equivalents of $96.3 million and no outstanding balance on our $800.0 million unsecured revolving credit facility which matures on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June 30, 2017, we had the capacity to issue up to $357.3 million in common shares under our ATM equity program.</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the six months ended June 30, 2017, the maximum amount of borrowings outstanding under our revolving credit facility was $344.0 million, the weighted average amount of borrowings outstanding was $173.2 million and the weighted average interest rate, before amortization of debt fees, was 1.8%. On June 23, 2017, we issued $300.0 million of 3.25% senior unsecured notes that mature on July 15, 2027, and $100.0 million of 4.50% notes that mature on December 1, 2044 for net proceeds (after net issuance premium, underwriting fees and other costs) of approximately $399.4 million. For the remainder of 2017, we have $42.0 million of mortgage debt maturing.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overall capital requirements for the remainder of 2017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the construction of our next phase of Santana Row, and our redevelopment pipeline. With respect to other capital investments related to our existing properties, we expect to incur levels consistent with prior years. In third quarter 2017, we expect to close on an acquisition of an approximately 90% interest in a joint venture that owns six shopping centers and that owns a 25% interest in a seventh shopping center. We expect our initial investment to be funded with assumed debt and approximately $260 million of cash.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241,829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203,607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(389,979)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(300,902)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221,108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94,871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72,958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96,326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18,622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increased $38.2 million to $241.8 million during the six months ended June 30, 2017 from $203.6 million during the six months ended June 30, 2016. The increase was primarily attributable to higher net income before certain non-cash items, lower escrow balances, and higher prepaid rent.</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$89.1 million to $390.0 million during the six months ended June 30, 2017 from $300.9 million during the six months ended June 30, 2016. The increase was primarily attributable to:</w:t>
      </w:r>
    </w:p>
    <w:p>
      <w:pPr>
        <w:spacing w:after="0" w:line="8" w:lineRule="exact"/>
        <w:rPr>
          <w:sz w:val="20"/>
          <w:szCs w:val="20"/>
          <w:color w:val="auto"/>
        </w:rPr>
      </w:pPr>
    </w:p>
    <w:p>
      <w:pPr>
        <w:ind w:left="1700" w:right="34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$96.2 million increase in capital investments and leasing costs as we continue to invest in Pike &amp; Rose, Assembly Row, Santana Row, and other current redevelopments,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$38.6 million increase in acquisitions of real estate,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$46.7 million in proceeds from the sale of three land parcels at Assembly Row.</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financing activities increased $126.2 million to $221.1 million during the six months ended June 30, 2017 from $94.9 million during the six months ended June 30, 2016. The increase was primarily attributable to:</w:t>
      </w:r>
    </w:p>
    <w:p>
      <w:pPr>
        <w:spacing w:after="0" w:line="8" w:lineRule="exact"/>
        <w:rPr>
          <w:sz w:val="20"/>
          <w:szCs w:val="20"/>
          <w:color w:val="auto"/>
        </w:rPr>
      </w:pPr>
    </w:p>
    <w:p>
      <w:pPr>
        <w:ind w:left="1700" w:right="22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$399.4 million net proceeds from the June 2017 issuance of $300.0 million of 3.25% senior unsecured notes that mature on July 15, 2027 and $100.0 million of 4.50% notes that mature on December 1, 2044,</w:t>
      </w:r>
    </w:p>
    <w:p>
      <w:pPr>
        <w:spacing w:after="0" w:line="8" w:lineRule="exact"/>
        <w:rPr>
          <w:rFonts w:ascii="Arial" w:cs="Arial" w:eastAsia="Arial" w:hAnsi="Arial"/>
          <w:sz w:val="18"/>
          <w:szCs w:val="18"/>
          <w:color w:val="auto"/>
        </w:rPr>
      </w:pPr>
    </w:p>
    <w:p>
      <w:pPr>
        <w:ind w:left="1700" w:right="74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$13.0 million increase in contributions from noncontrolling interests primarily due to contributions to fund the $50.0 million repayment of the Plaza El Segundo mortgage loan, and</w:t>
      </w:r>
    </w:p>
    <w:p>
      <w:pPr>
        <w:spacing w:after="0" w:line="8" w:lineRule="exact"/>
        <w:rPr>
          <w:rFonts w:ascii="Arial" w:cs="Arial" w:eastAsia="Arial" w:hAnsi="Arial"/>
          <w:sz w:val="18"/>
          <w:szCs w:val="18"/>
          <w:color w:val="auto"/>
        </w:rPr>
      </w:pPr>
    </w:p>
    <w:p>
      <w:pPr>
        <w:ind w:left="1700" w:right="12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$8.9 million decrease in distributions to and redemptions of noncontrolling interests primarily due to the 2016 acquisition of the 10% noncontrolling interest of a partnership which owns a project in Southern California,</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0" w:hanging="801"/>
        <w:spacing w:after="0" w:line="259"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$227.8 million decrease in net proceeds from the issuance of common shares primarily due to our March 2016 issuance of 1.0 million common shares at $149.43 per share in an underwritten public offering, and 0.6 million common shares under our ATM equity program at a weighted average price of $153.24 during the six months ended June 30, 2016, compared to only 0.1 million common shares in 2017,</w:t>
      </w:r>
    </w:p>
    <w:p>
      <w:pPr>
        <w:spacing w:after="0" w:line="24"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$41.5 million decrease in net borrowings on our revolving credit facility,</w:t>
      </w:r>
    </w:p>
    <w:p>
      <w:pPr>
        <w:spacing w:after="0" w:line="63" w:lineRule="exact"/>
        <w:rPr>
          <w:rFonts w:ascii="Arial" w:cs="Arial" w:eastAsia="Arial" w:hAnsi="Arial"/>
          <w:sz w:val="18"/>
          <w:szCs w:val="18"/>
          <w:color w:val="auto"/>
        </w:rPr>
      </w:pPr>
    </w:p>
    <w:p>
      <w:pPr>
        <w:ind w:left="1700" w:right="520" w:hanging="801"/>
        <w:spacing w:after="0" w:line="317" w:lineRule="auto"/>
        <w:tabs>
          <w:tab w:leader="none" w:pos="1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$16.7 million increase in repayment of mortgages and capital leases due to the $50.0 million pay down of the Plaza El Segundo mortgage loan on June 5, 2017, as compared to the payoff of $34.4 million of mortgage loans on April 1, 2016, and</w:t>
      </w:r>
    </w:p>
    <w:p>
      <w:pPr>
        <w:ind w:left="1700" w:right="340" w:hanging="801"/>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$9.4 million increase in dividends paid to shareholders due to an increase in the dividend rate and an increased number of shares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of June 30, 2017</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June 30, 2017</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(West)</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10,670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67,628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52,705</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71,898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6,423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413,330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414,891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Term loan (1)</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5,141</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800,000</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280,141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notes payable</w:t>
            </w: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279,316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2,394,200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2,377,208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71,573</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3,142,988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2017 was $344.0 million, and the weighted average interest rate on borrowings under our revolving credit facility, before amortization of debt fees, was 1.8%.</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June 30, 2017, we were in compliance with all financial and other covenants related to our revolving credit facility, term loan and senior notes. Additionally, as of June 30, 2017, we were in compliance with all of</w:t>
      </w:r>
    </w:p>
    <w:p>
      <w:pPr>
        <w:sectPr>
          <w:pgSz w:w="11900" w:h="16838" w:orient="portrait"/>
          <w:cols w:equalWidth="0" w:num="1">
            <w:col w:w="11420"/>
          </w:cols>
          <w:pgMar w:left="240" w:top="126"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6" w:right="23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44,470</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44,847</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275,513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15,477</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291,027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150,629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64,687</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215,362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250,700</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256,735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1,996,576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257,706</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2,325,658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2,674,341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413,330</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71,573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3,159,244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3"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June 30, 2017, there was no balance outstanding under this credit facility.</w:t>
      </w:r>
    </w:p>
    <w:p>
      <w:pPr>
        <w:spacing w:after="0" w:line="8"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premium/(discount) and debt issuance costs on mortgage loans, notes payable, and senior notes as of June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June 30, 2017, we are party to two interest rate swap agreements that effectively fixed the rate on the term loan at 2.62%. Both swaps were designated and qualified as cash flow hedges and were recorded at fair value. Hedge ineffectiveness has not impacted earnings as of June 30, 2017, and we do not anticipate it will have a significant effect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136,203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90,316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84,027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108,177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101,804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213,663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198,965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108,603</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102,197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214,523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199,772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71,327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three and six months ended June 30, 2017, dividends on preferred stock are not deducted in the calculation of FFO available to common shareholders, as the related shares are dilutive and included in "weighted average common shares, diluted."</w:t>
      </w:r>
    </w:p>
    <w:p>
      <w:pPr>
        <w:spacing w:after="0" w:line="8" w:lineRule="exact"/>
        <w:rPr>
          <w:rFonts w:ascii="Arial" w:cs="Arial" w:eastAsia="Arial" w:hAnsi="Arial"/>
          <w:sz w:val="18"/>
          <w:szCs w:val="18"/>
          <w:color w:val="auto"/>
        </w:rPr>
      </w:pPr>
    </w:p>
    <w:p>
      <w:pPr>
        <w:jc w:val="both"/>
        <w:ind w:left="660" w:right="6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2017,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outstanding debt obligations (maturing at various times through 2046 or, with respect to capital lease obligations, through 2106)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fixed interest rates which limit the risk of fluctuating interest rates. However, interest rate fluctuations may affect the fair value of our fixed rate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instruments. At June 30, 2017, we had $3.1 billion of fixed-rate debt outstanding, including our $275.0 million term loan as the rate is effectively fixed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interest rate swap agreements; we also had $71.6 million of capital lease obligations. If market interest rates used to calculate the fair value on our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instruments at June 30, 2017 had been 1.0% higher, the fair value of those debt instruments on that date would have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$221.6 million. If market interest rates used to calculate the fair value on our fixed-rate debt instruments at June 30, 2017 had been 1.0% lower,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those debt instruments on that date would have increased by approximately $256.4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outstanding variable rate debt. Our $800.0 million revolving credit facility is currently our only variable rate debt and, as of June 30, 2017, there was no amount outstanding.</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2017. Based on this evaluation, our management, including our Chief Executive Officer and Chief Financial Officer, concluded that our disclosure controls and procedures were effective as of June 30, 2017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2016.</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2016 filed with the SEC on February 13, 2017.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64"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June 30, 2017, we redeemed 12,000 downREIT operating partnership units for common shares.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ectPr>
          <w:pgSz w:w="11900" w:h="16838" w:orient="portrait"/>
          <w:cols w:equalWidth="0" w:num="1">
            <w:col w:w="11200"/>
          </w:cols>
          <w:pgMar w:left="240" w:top="126" w:right="4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64"/>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161" w:lineRule="exact"/>
        <w:rPr>
          <w:sz w:val="20"/>
          <w:szCs w:val="20"/>
          <w:color w:val="auto"/>
        </w:rPr>
      </w:pPr>
    </w:p>
    <w:p>
      <w:pPr>
        <w:ind w:left="1200" w:right="340" w:hanging="1165"/>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2017,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2017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2017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2,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lvl w:ilvl="1">
      <w:lvlJc w:val="left"/>
      <w:lvlText w:val="•"/>
      <w:numFmt w:val="bullet"/>
      <w:start w:val="1"/>
    </w:lvl>
  </w:abstractNum>
  <w:abstractNum w:abstractNumId="30">
    <w:nsid w:val="4516DDE9"/>
    <w:multiLevelType w:val="hybridMultilevel"/>
    <w:lvl w:ilvl="0">
      <w:lvlJc w:val="left"/>
      <w:lvlText w:val="%1"/>
      <w:numFmt w:val="decimal"/>
      <w:start w:val="10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2019-12-29T05:23:11Z</dcterms:created>
  <dcterms:modified xsi:type="dcterms:W3CDTF">2019-12-29T05:23:11Z</dcterms:modified>
</cp:coreProperties>
</file>