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6"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July 10,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u w:val="single" w:color="auto"/>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422" w:right="63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43" w:lineRule="exact"/>
        <w:rPr>
          <w:sz w:val="24"/>
          <w:szCs w:val="24"/>
          <w:color w:val="auto"/>
        </w:rPr>
      </w:pPr>
    </w:p>
    <w:p>
      <w:pPr>
        <w:sectPr>
          <w:pgSz w:w="11900" w:h="16838" w:orient="portrait"/>
          <w:cols w:equalWidth="0" w:num="3">
            <w:col w:w="4340" w:space="720"/>
            <w:col w:w="3280" w:space="720"/>
            <w:col w:w="1960"/>
          </w:cols>
          <w:pgMar w:left="240" w:top="422"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422"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422"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w:t>
      </w:r>
      <w:r>
        <w:rPr>
          <w:rFonts w:ascii="Arial" w:cs="Arial" w:eastAsia="Arial" w:hAnsi="Arial"/>
          <w:sz w:val="18"/>
          <w:szCs w:val="18"/>
          <w:color w:val="auto"/>
        </w:rPr>
        <w:t>.</w:t>
      </w:r>
      <w:r>
        <w:rPr>
          <w:rFonts w:ascii="Arial" w:cs="Arial" w:eastAsia="Arial" w:hAnsi="Arial"/>
          <w:sz w:val="18"/>
          <w:szCs w:val="18"/>
          <w:b w:val="1"/>
          <w:bCs w:val="1"/>
          <w:color w:val="auto"/>
        </w:rPr>
        <w:t xml:space="preserve"> Departure of Directors or Principal Officers; Election of Directors; Appointment of Principal Officers.</w:t>
      </w:r>
    </w:p>
    <w:p>
      <w:pPr>
        <w:spacing w:after="0" w:line="8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Effective as of July 10, 2006, the Board of Trustees (the “Board”) of Federal Realty Investment Trust (the “Trust”): (a) increased the number of Trustees from seven to eight and categorized the new Trustee position as part of the class of Trustees designated as “Class I” Trustees, which is the class of Trustees that will next stand for election at the Annual Meeting of Shareholders to be held in May 2009; and (b) elected Ms. Gail P. Steinel to serve as a Class I Trustee to fill the vacancy created by the increase in the size of the Board.</w:t>
      </w:r>
    </w:p>
    <w:p>
      <w:pPr>
        <w:spacing w:after="0" w:line="130"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For her service on the Board, Ms. Steinel will receive the same compensation as that paid to all other non-executive Trustees (other than the Chairman of the Board). Specifically, Ms. Steinel will be paid an annual retainer of $80,000, pro rated for the portion of the calendar year during which she serves as a Trustee, with a minimum of 20% of that annual fee required to be paid in the form of common shares of beneficial interest of the Trust, subject to Ms. Steinel’s right to elect to take up to 100% of that annual fee in common shares. Ms. Steinel will not receive any additional compensation for her attendance at any Board meetings.</w:t>
      </w:r>
    </w:p>
    <w:p>
      <w:pPr>
        <w:spacing w:after="0" w:line="8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Payment of the portion of the annual fee that Ms. Steinel elects to receive in common shares (the “Equity Fee”) will be contingent on the Trust’s achieving pre-established performance levels for three separate performance measures, with those performance levels calculated for the prior three-year period. 50% of the Equity Fee will be contingent on the Trust’s relative total return to shareholders (taking into account both stock price appreciation and dividends, assuming all dividends are reinvested) as compared with the Bloomberg REIT Shopping Center Index, 25% of the Equity Fee will be contingent on the Trust’s absolute total return to shareholders (taking into account both stock price appreciation and dividends, assuming all dividends are reinvested), and the remaining 25% of the Equity Fee will be contingent on the Trust’s return on invested capital.</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each of these three performance measures, threshold, target, and stretch levels of performance were established at the beginning of 2006. If the Trust performs below the threshold level on any one or more of the performance measures, the portion(s) of the Equity Fee contingent on that measure(s) will not be paid. For any performance measure as to which the Trust performs between the threshold and target levels, between 50% and 100% of the portion of the Equity Fee contingent on that measure will be paid, with between 100% and 150% of the Equity Fee to be paid for any performance measure as to which the Trust performs between the target and stretch levels. For any performance measure as to which the Trust performs beyond the stretch level, 150% of the portion of the Equity Fee contingent on that measure will be paid. For each performance measure, target levels of performance are intended to reflect the performance required by the Trust to meet its business objectives for 2006, with stretch levels representing a substantial achievement that puts the Trust at or near the top of its peer group and threshold levels representing minimally acceptable levels of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At this time, Ms. Steinel has not been appointed to any Board committees.</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11, 2006, the Trust issued a press release announcing the election of Ms. Gail P. Steinel to the Board of Trustees of the Trust. In accordance with General Instruction B.2 of Form 8-K, the press release, which is included as Exhibit 99.1 to this Form 8-K, shall not be deemed “filed” for purposes of Section 18 of the Securities Exchange Act of 1934, as amended (the “Exchange Act”), nor shall such exhibit be deemed incorporated by reference in any filing under the Securities Act of 1933, as amended, except to the extent, if any, expressly set forth by specific reference in such a filing. This report on Form 8-K (including Exhibit 99.1 hereto) shall not be deemed an admission as to the materiality of any information in this report that is required to be disclosed solely to satisfy the requirements of Regulation FD.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900" w:right="9060" w:hanging="446"/>
        <w:spacing w:after="0" w:line="394"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Statements Not applicable.</w:t>
      </w:r>
    </w:p>
    <w:p>
      <w:pPr>
        <w:ind w:left="900" w:right="8200" w:hanging="446"/>
        <w:spacing w:after="0" w:line="32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spacing w:after="0" w:line="1" w:lineRule="exact"/>
        <w:rPr>
          <w:rFonts w:ascii="Arial" w:cs="Arial" w:eastAsia="Arial" w:hAnsi="Arial"/>
          <w:sz w:val="18"/>
          <w:szCs w:val="18"/>
          <w:color w:val="auto"/>
        </w:rPr>
      </w:pPr>
    </w:p>
    <w:p>
      <w:pPr>
        <w:ind w:left="900" w:right="8500" w:hanging="446"/>
        <w:spacing w:after="0" w:line="369"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Shell Company Transactions Not applicable.</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included in the Form 8-K: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0" w:type="dxa"/>
            <w:vAlign w:val="bottom"/>
          </w:tcPr>
          <w:p>
            <w:pPr>
              <w:jc w:val="right"/>
              <w:ind w:right="2"/>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5"/>
                <w:szCs w:val="15"/>
                <w:color w:val="auto"/>
              </w:rPr>
            </w:pPr>
          </w:p>
        </w:tc>
        <w:tc>
          <w:tcPr>
            <w:tcW w:w="10260" w:type="dxa"/>
            <w:vAlign w:val="bottom"/>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260" w:type="dxa"/>
            <w:vAlign w:val="bottom"/>
            <w:tcBorders>
              <w:bottom w:val="single" w:sz="8" w:color="auto"/>
            </w:tcBorders>
          </w:tcPr>
          <w:p>
            <w:pPr>
              <w:spacing w:after="0"/>
              <w:rPr>
                <w:sz w:val="8"/>
                <w:szCs w:val="8"/>
                <w:color w:val="auto"/>
              </w:rPr>
            </w:pPr>
          </w:p>
        </w:tc>
      </w:tr>
      <w:tr>
        <w:trPr>
          <w:trHeight w:val="316"/>
        </w:trPr>
        <w:tc>
          <w:tcPr>
            <w:tcW w:w="600" w:type="dxa"/>
            <w:vAlign w:val="bottom"/>
          </w:tcPr>
          <w:p>
            <w:pPr>
              <w:jc w:val="right"/>
              <w:ind w:right="202"/>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July 11, 2006 of Federal Realty Investment Trust</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July 13, 2006</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00"/>
          </w:cols>
          <w:pgMar w:left="240" w:top="27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4560" w:type="dxa"/>
            <w:vAlign w:val="bottom"/>
          </w:tcPr>
          <w:p>
            <w:pPr>
              <w:spacing w:after="0"/>
              <w:rPr>
                <w:sz w:val="19"/>
                <w:szCs w:val="19"/>
                <w:color w:val="auto"/>
              </w:rPr>
            </w:pPr>
          </w:p>
        </w:tc>
      </w:tr>
      <w:tr>
        <w:trPr>
          <w:trHeight w:val="326"/>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45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Blocher</w:t>
            </w:r>
          </w:p>
        </w:tc>
        <w:tc>
          <w:tcPr>
            <w:tcW w:w="2240" w:type="dxa"/>
            <w:vAlign w:val="bottom"/>
          </w:tcPr>
          <w:p>
            <w:pPr>
              <w:spacing w:after="0"/>
              <w:rPr>
                <w:sz w:val="19"/>
                <w:szCs w:val="19"/>
                <w:color w:val="auto"/>
              </w:rPr>
            </w:pPr>
          </w:p>
        </w:tc>
        <w:tc>
          <w:tcPr>
            <w:tcW w:w="4560" w:type="dxa"/>
            <w:vAlign w:val="bottom"/>
          </w:tcPr>
          <w:p>
            <w:pPr>
              <w:ind w:left="1660"/>
              <w:spacing w:after="0"/>
              <w:rPr>
                <w:sz w:val="20"/>
                <w:szCs w:val="20"/>
                <w:color w:val="auto"/>
              </w:rPr>
            </w:pPr>
            <w:r>
              <w:rPr>
                <w:rFonts w:ascii="Arial" w:cs="Arial" w:eastAsia="Arial" w:hAnsi="Arial"/>
                <w:sz w:val="18"/>
                <w:szCs w:val="18"/>
                <w:color w:val="auto"/>
              </w:rPr>
              <w:t>Vikki Quinn, SCMD</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4560" w:type="dxa"/>
            <w:vAlign w:val="bottom"/>
          </w:tcPr>
          <w:p>
            <w:pPr>
              <w:ind w:left="1660"/>
              <w:spacing w:after="0"/>
              <w:rPr>
                <w:sz w:val="20"/>
                <w:szCs w:val="20"/>
                <w:color w:val="auto"/>
              </w:rPr>
            </w:pPr>
            <w:r>
              <w:rPr>
                <w:rFonts w:ascii="Arial" w:cs="Arial" w:eastAsia="Arial" w:hAnsi="Arial"/>
                <w:sz w:val="18"/>
                <w:szCs w:val="18"/>
                <w:color w:val="auto"/>
              </w:rPr>
              <w:t>Vice President,</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Capital Markets &amp; Investor Relations</w:t>
            </w:r>
          </w:p>
        </w:tc>
        <w:tc>
          <w:tcPr>
            <w:tcW w:w="4560" w:type="dxa"/>
            <w:vAlign w:val="bottom"/>
          </w:tcPr>
          <w:p>
            <w:pPr>
              <w:ind w:left="1660"/>
              <w:spacing w:after="0"/>
              <w:rPr>
                <w:sz w:val="20"/>
                <w:szCs w:val="20"/>
                <w:color w:val="auto"/>
              </w:rPr>
            </w:pPr>
            <w:r>
              <w:rPr>
                <w:rFonts w:ascii="Arial" w:cs="Arial" w:eastAsia="Arial" w:hAnsi="Arial"/>
                <w:sz w:val="18"/>
                <w:szCs w:val="18"/>
                <w:color w:val="auto"/>
                <w:w w:val="89"/>
              </w:rPr>
              <w:t>Marketing &amp; 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301/998-8166</w:t>
            </w:r>
          </w:p>
        </w:tc>
        <w:tc>
          <w:tcPr>
            <w:tcW w:w="2240" w:type="dxa"/>
            <w:vAlign w:val="bottom"/>
          </w:tcPr>
          <w:p>
            <w:pPr>
              <w:spacing w:after="0"/>
              <w:rPr>
                <w:sz w:val="18"/>
                <w:szCs w:val="18"/>
                <w:color w:val="auto"/>
              </w:rPr>
            </w:pPr>
          </w:p>
        </w:tc>
        <w:tc>
          <w:tcPr>
            <w:tcW w:w="4560" w:type="dxa"/>
            <w:vAlign w:val="bottom"/>
          </w:tcPr>
          <w:p>
            <w:pPr>
              <w:ind w:left="1660"/>
              <w:spacing w:after="0"/>
              <w:rPr>
                <w:sz w:val="20"/>
                <w:szCs w:val="20"/>
                <w:color w:val="auto"/>
              </w:rPr>
            </w:pPr>
            <w:r>
              <w:rPr>
                <w:rFonts w:ascii="Arial" w:cs="Arial" w:eastAsia="Arial" w:hAnsi="Arial"/>
                <w:sz w:val="18"/>
                <w:szCs w:val="18"/>
                <w:color w:val="auto"/>
              </w:rPr>
              <w:t>301/998-8178</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ablocher@federalrealty.com</w:t>
            </w:r>
          </w:p>
        </w:tc>
        <w:tc>
          <w:tcPr>
            <w:tcW w:w="4560" w:type="dxa"/>
            <w:vAlign w:val="bottom"/>
          </w:tcPr>
          <w:p>
            <w:pPr>
              <w:ind w:left="1660"/>
              <w:spacing w:after="0"/>
              <w:rPr>
                <w:sz w:val="20"/>
                <w:szCs w:val="20"/>
                <w:color w:val="auto"/>
              </w:rPr>
            </w:pPr>
            <w:r>
              <w:rPr>
                <w:rFonts w:ascii="Arial" w:cs="Arial" w:eastAsia="Arial" w:hAnsi="Arial"/>
                <w:sz w:val="18"/>
                <w:szCs w:val="18"/>
                <w:i w:val="1"/>
                <w:iCs w:val="1"/>
                <w:color w:val="auto"/>
              </w:rPr>
              <w:t>vquinn@federalrealty.com</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 APPOINTS GAIL P. STEINEL TO BOARD OF TRUSTEES</w:t>
      </w:r>
    </w:p>
    <w:p>
      <w:pPr>
        <w:spacing w:after="0" w:line="83"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ROCKVILLE, Md. (July 11, 2006) – Federal Realty Investment Trust (NYSE:FRT) today announced that Gail P. Steinel, executive vice president of BearingPoint Inc. was nominated and appointed to serve on Federal Realty’s board of trustees.</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“We’re pleased to have attracted such an established and respected business leader to Federal Realty’s board of trustees,” commented Kristin Gamble, chairperson of the nominating and corporate governance committee of Federal Realty’s board of trustees. “We look forward to utilizing the breadth of knowledge and experience that has made Gail a recognized leader in the consulting industry, as a resource for Federal Realty in the years to come.”</w:t>
      </w:r>
    </w:p>
    <w:p>
      <w:pPr>
        <w:spacing w:after="0" w:line="9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her more than 25 years of service with BearingPoint and Arthur Andersen, Ms. Steinel has frequently advised public company Boards of Directors and management teams on a variety of business issues. In her current role at BearingPoint, Ms. Steinel leads BearingPoint’s Global Commercial Services business which provides management and technology consulting services to companies in industries including Retail/Consumer markets; Technology and Manufacturing; Communications and Content; Life Sciences; Transportation; and Energy/Chemicals.</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Prior to joining BearingPoint in July 2002, Ms. Steinel was the global managing partner of Arthur Andersen’s business consulting practice, a $2 billion business, which under her leadership was one of the fastest growing global consultancies. </w:t>
      </w:r>
      <w:r>
        <w:rPr>
          <w:rFonts w:ascii="Arial" w:cs="Arial" w:eastAsia="Arial" w:hAnsi="Arial"/>
          <w:sz w:val="18"/>
          <w:szCs w:val="18"/>
          <w:i w:val="1"/>
          <w:iCs w:val="1"/>
          <w:color w:val="auto"/>
        </w:rPr>
        <w:t>Consulting Magazine</w:t>
      </w:r>
      <w:r>
        <w:rPr>
          <w:rFonts w:ascii="Arial" w:cs="Arial" w:eastAsia="Arial" w:hAnsi="Arial"/>
          <w:sz w:val="18"/>
          <w:szCs w:val="18"/>
          <w:color w:val="auto"/>
        </w:rPr>
        <w:t xml:space="preserve"> named Ms. Steinel one of the 25 most influential consultants in both 2003 and 2001.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17.5 million square feet located primarily in strategic metropolitan markets in the Northeast, Mid-Atlantic, and California. In addition, the Trust has an ownership interest in approximately 0.7 million square feet of retail space through its joint venture with Clarion Lion Properties Fund in which the Trust has a 30% interest. Our operating portfolio (excluding joint venture properties) was 96.2% leased to national, regional, and local retailers as of March 31, 2006, with no single tenant accounting for more than approximately 2.5% of annualized base rent. Federal Realty has paid quarterly dividends to its shareholders continuously since its founding in 1962, and has increased its dividend rate for 38 consecutive years, the longest record in the REIT industry. Shares of Federal Realty are traded on the NYSE under the symbol FRT.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2019-12-13T00:45:28Z</dcterms:created>
  <dcterms:modified xsi:type="dcterms:W3CDTF">2019-12-13T00:45:28Z</dcterms:modified>
</cp:coreProperties>
</file>