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333-160009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5.90% Notes due 2020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$150,000,000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$10,695</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8" w:lineRule="exact"/>
        <w:rPr>
          <w:sz w:val="24"/>
          <w:szCs w:val="24"/>
          <w:color w:val="auto"/>
        </w:rPr>
      </w:pPr>
    </w:p>
    <w:p>
      <w:pPr>
        <w:ind w:left="460" w:right="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filing fee is calculated in accordance with Rule 457(r) under the Securities Act of 1933, as amended, and relates to the Registration Statement on Form S-3 (No. 333-160009) filed on June 16, 2009.</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JUNE 16, 2009)</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5.90%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203200</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280" w:firstLine="799"/>
        <w:spacing w:after="0" w:line="306" w:lineRule="auto"/>
        <w:rPr>
          <w:sz w:val="20"/>
          <w:szCs w:val="20"/>
          <w:color w:val="auto"/>
        </w:rPr>
      </w:pPr>
      <w:r>
        <w:rPr>
          <w:rFonts w:ascii="Arial" w:cs="Arial" w:eastAsia="Arial" w:hAnsi="Arial"/>
          <w:sz w:val="16"/>
          <w:szCs w:val="16"/>
          <w:color w:val="auto"/>
        </w:rPr>
        <w:t>The notes offered by this prospectus supplement will bear interest at the rate of 5.90% per year. Interest on the notes will be payable on April 1 and October 1 of each year, beginning on October 1, 2010. The notes will mature on April 1, 2020. We may redeem some or all of the notes at any time before maturity. The redemption price is discussed under the caption “Description of Notes—Optional Redemption.”</w:t>
      </w:r>
    </w:p>
    <w:p>
      <w:pPr>
        <w:spacing w:after="0" w:line="10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notes will be unsecured senior obligations of our company and will rank equally with all of our other unsecured senior indebtedness. The notes will be effectively subordinated to the prior claims of each secured mortgage lender to any specified property that secures such lender’s mortgage and to all of the unsecured indebtedness of our subsidiaries.</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52" w:lineRule="exact"/>
        <w:rPr>
          <w:sz w:val="20"/>
          <w:szCs w:val="20"/>
          <w:color w:val="auto"/>
        </w:rPr>
      </w:pPr>
    </w:p>
    <w:p>
      <w:pPr>
        <w:ind w:right="280" w:firstLine="799"/>
        <w:spacing w:after="0" w:line="301" w:lineRule="auto"/>
        <w:rPr>
          <w:sz w:val="20"/>
          <w:szCs w:val="20"/>
          <w:color w:val="auto"/>
        </w:rPr>
      </w:pPr>
      <w:r>
        <w:rPr>
          <w:rFonts w:ascii="Arial" w:cs="Arial" w:eastAsia="Arial" w:hAnsi="Arial"/>
          <w:sz w:val="19"/>
          <w:szCs w:val="19"/>
          <w:b w:val="1"/>
          <w:bCs w:val="1"/>
          <w:color w:val="auto"/>
        </w:rPr>
        <w:t>Investing in the notes involves risks. See “Risk Factors” beginning on page S-5 of this prospectus supplement, on page 2 of the accompanying prospectus and in our Annual Report on Form 10-K for the year ended December 31, 2009, filed with the Securities and Exchange Commission, or the SEC, on February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138430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99.812%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149,718,000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0.650%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975,000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11"/>
                <w:szCs w:val="11"/>
                <w:color w:val="auto"/>
              </w:rPr>
              <w:t>(1)</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99.162%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148,743,000</w:t>
            </w:r>
          </w:p>
        </w:tc>
      </w:tr>
    </w:tbl>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Plus accrued interest from March 1, 2010,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6"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March 1, 2010.</w:t>
      </w:r>
    </w:p>
    <w:p>
      <w:pPr>
        <w:spacing w:after="0" w:line="126" w:lineRule="exact"/>
        <w:rPr>
          <w:sz w:val="20"/>
          <w:szCs w:val="20"/>
          <w:color w:val="auto"/>
        </w:rPr>
      </w:pPr>
    </w:p>
    <w:p>
      <w:pPr>
        <w:ind w:right="680" w:firstLine="799"/>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Wells Fargo Securities</w:t>
      </w:r>
    </w:p>
    <w:p>
      <w:pPr>
        <w:spacing w:after="0" w:line="222" w:lineRule="exact"/>
        <w:rPr>
          <w:sz w:val="20"/>
          <w:szCs w:val="20"/>
          <w:color w:val="auto"/>
        </w:rPr>
      </w:pPr>
    </w:p>
    <w:p>
      <w:pPr>
        <w:sectPr>
          <w:pgSz w:w="11900" w:h="16838" w:orient="portrait"/>
          <w:cols w:equalWidth="0" w:num="2">
            <w:col w:w="7600" w:space="720"/>
            <w:col w:w="3100"/>
          </w:cols>
          <w:pgMar w:left="240" w:top="459"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Citi</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Goldman, Sachs &amp; Co.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RBC Capital Markets</w:t>
      </w:r>
    </w:p>
    <w:p>
      <w:pPr>
        <w:spacing w:after="0" w:line="227" w:lineRule="exact"/>
        <w:rPr>
          <w:sz w:val="20"/>
          <w:szCs w:val="20"/>
          <w:color w:val="auto"/>
        </w:rPr>
      </w:pPr>
    </w:p>
    <w:p>
      <w:pPr>
        <w:sectPr>
          <w:pgSz w:w="11900" w:h="16838" w:orient="portrait"/>
          <w:cols w:equalWidth="0" w:num="4">
            <w:col w:w="640" w:space="720"/>
            <w:col w:w="2740" w:space="720"/>
            <w:col w:w="3860" w:space="720"/>
            <w:col w:w="2020"/>
          </w:cols>
          <w:pgMar w:left="240" w:top="459"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Capital One Southcoast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Sandler O’Neill +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SunTrust Robinson Humphrey</w:t>
      </w:r>
    </w:p>
    <w:p>
      <w:pPr>
        <w:spacing w:after="0" w:line="200" w:lineRule="exact"/>
        <w:rPr>
          <w:sz w:val="20"/>
          <w:szCs w:val="20"/>
          <w:color w:val="auto"/>
        </w:rPr>
      </w:pPr>
    </w:p>
    <w:p>
      <w:pPr>
        <w:sectPr>
          <w:pgSz w:w="11900" w:h="16838" w:orient="portrait"/>
          <w:cols w:equalWidth="0" w:num="3">
            <w:col w:w="2280" w:space="720"/>
            <w:col w:w="4860" w:space="720"/>
            <w:col w:w="2840"/>
          </w:cols>
          <w:pgMar w:left="240" w:top="459" w:right="239" w:bottom="1440"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date of this prospectus supplement is February 24, 2010.</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4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4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w w:val="85"/>
              </w:rPr>
              <w:t>Prospectus Supplement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440" w:type="dxa"/>
            <w:vAlign w:val="bottom"/>
            <w:gridSpan w:val="12"/>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8600" w:type="dxa"/>
            <w:vAlign w:val="bottom"/>
            <w:gridSpan w:val="8"/>
            <w:vMerge w:val="restart"/>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440" w:type="dxa"/>
            <w:vAlign w:val="bottom"/>
            <w:tcBorders>
              <w:bottom w:val="single" w:sz="8" w:color="0000EE"/>
            </w:tcBorders>
            <w:gridSpan w:val="12"/>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Concerning Forward-Looking Statements</w:t>
              </w:r>
            </w:hyperlink>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65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1014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Ratios of Earnings to Fixed Charges</w:t>
              </w:r>
            </w:hyperlink>
          </w:p>
        </w:tc>
        <w:tc>
          <w:tcPr>
            <w:tcW w:w="848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Notes</w:t>
              </w:r>
            </w:hyperlink>
          </w:p>
        </w:tc>
        <w:tc>
          <w:tcPr>
            <w:tcW w:w="95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Additional Material U.S. Federal Income Tax Considerations</w:t>
              </w:r>
            </w:hyperlink>
          </w:p>
        </w:tc>
        <w:tc>
          <w:tcPr>
            <w:tcW w:w="67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Underwriting</w:t>
              </w:r>
            </w:hyperlink>
          </w:p>
        </w:tc>
        <w:tc>
          <w:tcPr>
            <w:tcW w:w="10080" w:type="dxa"/>
            <w:vAlign w:val="bottom"/>
            <w:gridSpan w:val="17"/>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4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3"/>
              </w:rPr>
              <w:t>Prospectus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20"/>
            <w:vMerge w:val="restart"/>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8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40" w:type="dxa"/>
            <w:vAlign w:val="bottom"/>
            <w:gridSpan w:val="20"/>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640" w:type="dxa"/>
            <w:vAlign w:val="bottom"/>
            <w:tcBorders>
              <w:top w:val="single" w:sz="8" w:color="0000EE"/>
            </w:tcBorders>
            <w:gridSpan w:val="7"/>
          </w:tcPr>
          <w:p>
            <w:pPr>
              <w:spacing w:after="0"/>
              <w:rPr>
                <w:sz w:val="17"/>
                <w:szCs w:val="17"/>
                <w:color w:val="auto"/>
              </w:rPr>
            </w:pPr>
          </w:p>
        </w:tc>
        <w:tc>
          <w:tcPr>
            <w:tcW w:w="9500" w:type="dxa"/>
            <w:vAlign w:val="bottom"/>
            <w:gridSpan w:val="11"/>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Forward-Looking Information</w:t>
              </w:r>
            </w:hyperlink>
          </w:p>
        </w:tc>
        <w:tc>
          <w:tcPr>
            <w:tcW w:w="8900" w:type="dxa"/>
            <w:vAlign w:val="bottom"/>
            <w:gridSpan w:val="10"/>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The Company</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Ratios of Earnings to Combined Fixed Charges and Preferred Share Dividends</w:t>
              </w:r>
            </w:hyperlink>
          </w:p>
        </w:tc>
        <w:tc>
          <w:tcPr>
            <w:tcW w:w="5500" w:type="dxa"/>
            <w:vAlign w:val="bottom"/>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Debt Securities</w:t>
              </w:r>
            </w:hyperlink>
          </w:p>
        </w:tc>
        <w:tc>
          <w:tcPr>
            <w:tcW w:w="8900" w:type="dxa"/>
            <w:vAlign w:val="bottom"/>
            <w:gridSpan w:val="10"/>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Shares of Beneficial Interest</w:t>
              </w:r>
            </w:hyperlink>
          </w:p>
        </w:tc>
        <w:tc>
          <w:tcPr>
            <w:tcW w:w="7980" w:type="dxa"/>
            <w:vAlign w:val="bottom"/>
            <w:gridSpan w:val="5"/>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790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9640" w:type="dxa"/>
            <w:vAlign w:val="bottom"/>
            <w:gridSpan w:val="1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10060" w:type="dxa"/>
            <w:vAlign w:val="bottom"/>
            <w:gridSpan w:val="16"/>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824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Where You Can Find More Information</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240" w:firstLine="799"/>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contained or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05" w:lineRule="exact"/>
        <w:rPr>
          <w:sz w:val="20"/>
          <w:szCs w:val="20"/>
          <w:color w:val="auto"/>
        </w:rPr>
      </w:pPr>
    </w:p>
    <w:p>
      <w:pPr>
        <w:ind w:right="320" w:firstLine="799"/>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07" w:lineRule="exact"/>
        <w:rPr>
          <w:sz w:val="20"/>
          <w:szCs w:val="20"/>
          <w:color w:val="auto"/>
        </w:rPr>
      </w:pPr>
    </w:p>
    <w:p>
      <w:pPr>
        <w:ind w:right="100" w:firstLine="799"/>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26"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or incorporated by reference in this prospectus supplement and the accompanying prospectus describe forward-looking information. The risk factors, including those contained on page S-5 of this prospectus supplement, on page 2 of the accompanying prospectus and in our Annual Report on Form 10-K for the year ended December 31, 2009, filed with the SEC on February 17, 2010,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60" w:lineRule="exact"/>
        <w:rPr>
          <w:sz w:val="20"/>
          <w:szCs w:val="20"/>
          <w:color w:val="auto"/>
        </w:rPr>
      </w:pPr>
    </w:p>
    <w:p>
      <w:pPr>
        <w:ind w:left="1240" w:right="180" w:hanging="327"/>
        <w:spacing w:after="0" w:line="268"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72" w:lineRule="exact"/>
        <w:rPr>
          <w:rFonts w:ascii="Arial" w:cs="Arial" w:eastAsia="Arial" w:hAnsi="Arial"/>
          <w:sz w:val="18"/>
          <w:szCs w:val="18"/>
          <w:color w:val="auto"/>
        </w:rPr>
      </w:pPr>
    </w:p>
    <w:p>
      <w:pPr>
        <w:jc w:val="both"/>
        <w:ind w:left="1240" w:right="60" w:hanging="327"/>
        <w:spacing w:after="0" w:line="370" w:lineRule="auto"/>
        <w:tabs>
          <w:tab w:leader="none" w:pos="1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 or renovation project may cost more, take more time to complete or fail to perform as expected;</w:t>
      </w:r>
    </w:p>
    <w:p>
      <w:pPr>
        <w:spacing w:after="0" w:line="102" w:lineRule="exact"/>
        <w:rPr>
          <w:rFonts w:ascii="Arial" w:cs="Arial" w:eastAsia="Arial" w:hAnsi="Arial"/>
          <w:sz w:val="15"/>
          <w:szCs w:val="15"/>
          <w:color w:val="auto"/>
        </w:rPr>
      </w:pPr>
    </w:p>
    <w:p>
      <w:pPr>
        <w:ind w:left="1240" w:right="580" w:hanging="327"/>
        <w:spacing w:after="0" w:line="268"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3"/>
        </w:numPr>
        <w:rPr>
          <w:rFonts w:ascii="Arial" w:cs="Arial" w:eastAsia="Arial" w:hAnsi="Arial"/>
          <w:sz w:val="16"/>
          <w:szCs w:val="16"/>
          <w:color w:val="auto"/>
        </w:rPr>
      </w:pPr>
      <w:r>
        <w:rPr>
          <w:rFonts w:ascii="Arial" w:cs="Arial" w:eastAsia="Arial" w:hAnsi="Arial"/>
          <w:sz w:val="16"/>
          <w:szCs w:val="16"/>
          <w:color w:val="auto"/>
        </w:rPr>
        <w:t>occupancy levels at our properties and the amount of rent that we receive from our properties may be lower than expected,</w:t>
      </w:r>
    </w:p>
    <w:p>
      <w:pPr>
        <w:spacing w:after="0" w:line="234" w:lineRule="exact"/>
        <w:rPr>
          <w:rFonts w:ascii="Arial" w:cs="Arial" w:eastAsia="Arial" w:hAnsi="Arial"/>
          <w:sz w:val="16"/>
          <w:szCs w:val="16"/>
          <w:color w:val="auto"/>
        </w:rPr>
      </w:pPr>
    </w:p>
    <w:p>
      <w:pPr>
        <w:ind w:left="1700" w:hanging="44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211" w:lineRule="exact"/>
        <w:rPr>
          <w:rFonts w:ascii="Arial" w:cs="Arial" w:eastAsia="Arial" w:hAnsi="Arial"/>
          <w:sz w:val="18"/>
          <w:szCs w:val="18"/>
          <w:color w:val="auto"/>
        </w:rPr>
      </w:pPr>
    </w:p>
    <w:p>
      <w:pPr>
        <w:ind w:left="1240" w:right="240" w:hanging="327"/>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180" w:lineRule="exact"/>
        <w:rPr>
          <w:rFonts w:ascii="Arial" w:cs="Arial" w:eastAsia="Arial" w:hAnsi="Arial"/>
          <w:sz w:val="18"/>
          <w:szCs w:val="18"/>
          <w:color w:val="auto"/>
        </w:rPr>
      </w:pPr>
    </w:p>
    <w:p>
      <w:pPr>
        <w:ind w:left="1240" w:right="220" w:hanging="327"/>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or REIT, for U.S.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17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117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775"/>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200" w:firstLine="775"/>
        <w:spacing w:after="0" w:line="283"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December 31, 2009, we owned or had a majority interest in community and neighborhood shopping centers and mixed-use properties which are operated as 84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18.2 million square feet. In total, the real estate projects were 94.5% leased and 93.2% occupied at December 31, 2009. A joint venture in which we own a 30% interest owned seven retail real estate projects totaling approximately 1.0 million square feet as of December 31, 2009. In total, the joint venture properties in which we own an interest were 85.0% leased and occupied at December 31, 2009. We have paid quarterly dividends to our shareholders continuously since our founding in 1962 and have increased our dividends per common share for 42 consecutive years.</w:t>
      </w:r>
    </w:p>
    <w:p>
      <w:pPr>
        <w:spacing w:after="0" w:line="115" w:lineRule="exact"/>
        <w:rPr>
          <w:sz w:val="20"/>
          <w:szCs w:val="20"/>
          <w:color w:val="auto"/>
        </w:rPr>
      </w:pPr>
    </w:p>
    <w:p>
      <w:pPr>
        <w:ind w:left="200" w:right="120" w:firstLine="775"/>
        <w:spacing w:after="0" w:line="303" w:lineRule="auto"/>
        <w:rPr>
          <w:sz w:val="20"/>
          <w:szCs w:val="20"/>
          <w:color w:val="auto"/>
        </w:rPr>
      </w:pPr>
      <w:r>
        <w:rPr>
          <w:rFonts w:ascii="Arial" w:cs="Arial" w:eastAsia="Arial" w:hAnsi="Arial"/>
          <w:sz w:val="15"/>
          <w:szCs w:val="15"/>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w:t>
      </w:r>
    </w:p>
    <w:p>
      <w:pPr>
        <w:spacing w:after="0" w:line="1" w:lineRule="exact"/>
        <w:rPr>
          <w:sz w:val="20"/>
          <w:szCs w:val="20"/>
          <w:color w:val="auto"/>
        </w:rPr>
      </w:pPr>
    </w:p>
    <w:p>
      <w:pPr>
        <w:ind w:left="200" w:right="60" w:hanging="3"/>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200" w:firstLine="775"/>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7980" w:type="dxa"/>
            <w:vAlign w:val="bottom"/>
          </w:tcPr>
          <w:p>
            <w:pPr>
              <w:ind w:left="920"/>
              <w:spacing w:after="0"/>
              <w:rPr>
                <w:sz w:val="20"/>
                <w:szCs w:val="20"/>
                <w:color w:val="auto"/>
              </w:rPr>
            </w:pPr>
            <w:r>
              <w:rPr>
                <w:rFonts w:ascii="Arial" w:cs="Arial" w:eastAsia="Arial" w:hAnsi="Arial"/>
                <w:sz w:val="18"/>
                <w:szCs w:val="18"/>
                <w:color w:val="auto"/>
              </w:rPr>
              <w:t>$150 million aggregate principal amount of 5.90% notes due 2020.</w:t>
            </w:r>
          </w:p>
        </w:tc>
      </w:tr>
      <w:tr>
        <w:trPr>
          <w:trHeight w:val="432"/>
        </w:trPr>
        <w:tc>
          <w:tcPr>
            <w:tcW w:w="3480" w:type="dxa"/>
            <w:vAlign w:val="bottom"/>
          </w:tcPr>
          <w:p>
            <w:pPr>
              <w:ind w:left="200"/>
              <w:spacing w:after="0"/>
              <w:rPr>
                <w:sz w:val="20"/>
                <w:szCs w:val="20"/>
                <w:color w:val="auto"/>
              </w:rPr>
            </w:pPr>
            <w:r>
              <w:rPr>
                <w:rFonts w:ascii="Arial" w:cs="Arial" w:eastAsia="Arial" w:hAnsi="Arial"/>
                <w:sz w:val="18"/>
                <w:szCs w:val="18"/>
                <w:color w:val="auto"/>
              </w:rPr>
              <w:t>Maturity</w:t>
            </w: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Unless redeemed prior to maturity as described below, the notes will mature on April 1, 2020.</w:t>
            </w:r>
          </w:p>
        </w:tc>
      </w:tr>
      <w:tr>
        <w:trPr>
          <w:trHeight w:val="426"/>
        </w:trPr>
        <w:tc>
          <w:tcPr>
            <w:tcW w:w="34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980" w:type="dxa"/>
            <w:vAlign w:val="bottom"/>
          </w:tcPr>
          <w:p>
            <w:pPr>
              <w:ind w:left="920"/>
              <w:spacing w:after="0"/>
              <w:rPr>
                <w:sz w:val="20"/>
                <w:szCs w:val="20"/>
                <w:color w:val="auto"/>
              </w:rPr>
            </w:pPr>
            <w:r>
              <w:rPr>
                <w:rFonts w:ascii="Arial" w:cs="Arial" w:eastAsia="Arial" w:hAnsi="Arial"/>
                <w:sz w:val="18"/>
                <w:szCs w:val="18"/>
                <w:color w:val="auto"/>
              </w:rPr>
              <w:t>Interest on the notes will be payable semi-annually in arrears on April 1 and October 1,</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beginning on October 1, 2010, and at maturity.</w:t>
            </w: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Ranking</w:t>
            </w: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 xml:space="preserve">The notes will rank </w:t>
            </w:r>
            <w:r>
              <w:rPr>
                <w:rFonts w:ascii="Arial" w:cs="Arial" w:eastAsia="Arial" w:hAnsi="Arial"/>
                <w:sz w:val="18"/>
                <w:szCs w:val="18"/>
                <w:i w:val="1"/>
                <w:iCs w:val="1"/>
                <w:color w:val="auto"/>
                <w:w w:val="94"/>
              </w:rPr>
              <w:t>pari passu</w:t>
            </w:r>
            <w:r>
              <w:rPr>
                <w:rFonts w:ascii="Arial" w:cs="Arial" w:eastAsia="Arial" w:hAnsi="Arial"/>
                <w:sz w:val="18"/>
                <w:szCs w:val="18"/>
                <w:color w:val="auto"/>
                <w:w w:val="94"/>
              </w:rPr>
              <w:t>, or equally, with all of our other unsecured and unsubordinated</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indebtedness, and the notes will be effectively subordinated to the prior claims of each secured</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mortgage lender to any specific property that secures such lender’s mortgage and to all of the</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unsecured indebtedness of our subsidiaries. After giving effect to this offering and to the use of</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proceeds from this offering, we will have outstanding approximately $540 million (excluding net</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2"/>
              </w:rPr>
              <w:t>unamortized discount) of secured indebtedness collateralized by all or parts of 22 properties (of</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which approximately $286 million was issued by our subsidiaries), approximately $12 million of</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unsecured indebtedness issued by our subsidiaries (which will be senior to the notes) and</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approximately $1,181 million of other unsecured indebtedness (excluding net unamortized</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premium) ranking equally with the notes.</w:t>
            </w: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We intend to use the net proceeds from this offering to fund potential acquisition opportunities,</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2"/>
              </w:rPr>
              <w:t>fund our redevelopment pipeline, reduce amounts outstanding under our $250 million term loan,</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1"/>
              </w:rPr>
              <w:t>and/or for general corporate purposes. See “Use of Proceeds” on page S-6 for more information.</w:t>
            </w:r>
          </w:p>
        </w:tc>
      </w:tr>
      <w:tr>
        <w:trPr>
          <w:trHeight w:val="419"/>
        </w:trPr>
        <w:tc>
          <w:tcPr>
            <w:tcW w:w="3480" w:type="dxa"/>
            <w:vAlign w:val="bottom"/>
          </w:tcPr>
          <w:p>
            <w:pPr>
              <w:ind w:left="200"/>
              <w:spacing w:after="0"/>
              <w:rPr>
                <w:sz w:val="20"/>
                <w:szCs w:val="20"/>
                <w:color w:val="auto"/>
              </w:rPr>
            </w:pPr>
            <w:r>
              <w:rPr>
                <w:rFonts w:ascii="Arial" w:cs="Arial" w:eastAsia="Arial" w:hAnsi="Arial"/>
                <w:sz w:val="18"/>
                <w:szCs w:val="18"/>
                <w:color w:val="auto"/>
              </w:rPr>
              <w:t>Limitations on incurrence of debt</w:t>
            </w:r>
          </w:p>
        </w:tc>
        <w:tc>
          <w:tcPr>
            <w:tcW w:w="7980" w:type="dxa"/>
            <w:vAlign w:val="bottom"/>
          </w:tcPr>
          <w:p>
            <w:pPr>
              <w:ind w:left="92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426"/>
        </w:trPr>
        <w:tc>
          <w:tcPr>
            <w:tcW w:w="3480" w:type="dxa"/>
            <w:vAlign w:val="bottom"/>
          </w:tcPr>
          <w:p>
            <w:pPr>
              <w:spacing w:after="0"/>
              <w:rPr>
                <w:sz w:val="24"/>
                <w:szCs w:val="24"/>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(1) we will not, and will not permit any subsidiary to, incur any Debt if, immediately after giving</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effect to the incurrence of such Debt and the application of the proceeds thereof, the aggregate</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6"/>
              </w:rPr>
              <w:t>principal amount of all of our and our subsidiaries’ outstanding Debt on a consolidated basis</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determined in accordance with generally accepted accounting principles is greater than 60% of</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2"/>
              </w:rPr>
              <w:t>the sum of (without duplication) (a) Total Assets as of the end of the calendar quarter covered in</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3"/>
              </w:rPr>
              <w:t>our Annual Report on Form 10-K or Quarterly Report on Form 10-Q, as the case may be, most</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4"/>
              </w:rPr>
              <w:t>recently filed with the SEC (or, if such filing is not permitted under the Exchange Act, with U.S.</w:t>
            </w:r>
          </w:p>
        </w:tc>
      </w:tr>
      <w:tr>
        <w:trPr>
          <w:trHeight w:val="216"/>
        </w:trPr>
        <w:tc>
          <w:tcPr>
            <w:tcW w:w="348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w w:val="98"/>
              </w:rPr>
              <w:t>Bank National Association, the trustee) prior to the incurrence of such additional Debt and</w:t>
            </w:r>
          </w:p>
        </w:tc>
      </w:tr>
      <w:tr>
        <w:trPr>
          <w:trHeight w:val="222"/>
        </w:trPr>
        <w:tc>
          <w:tcPr>
            <w:tcW w:w="3480" w:type="dxa"/>
            <w:vAlign w:val="bottom"/>
          </w:tcPr>
          <w:p>
            <w:pPr>
              <w:spacing w:after="0"/>
              <w:rPr>
                <w:sz w:val="19"/>
                <w:szCs w:val="19"/>
                <w:color w:val="auto"/>
              </w:rPr>
            </w:pPr>
          </w:p>
        </w:tc>
        <w:tc>
          <w:tcPr>
            <w:tcW w:w="7980" w:type="dxa"/>
            <w:vAlign w:val="bottom"/>
          </w:tcPr>
          <w:p>
            <w:pPr>
              <w:ind w:left="920"/>
              <w:spacing w:after="0"/>
              <w:rPr>
                <w:sz w:val="20"/>
                <w:szCs w:val="20"/>
                <w:color w:val="auto"/>
              </w:rPr>
            </w:pPr>
            <w:r>
              <w:rPr>
                <w:rFonts w:ascii="Arial" w:cs="Arial" w:eastAsia="Arial" w:hAnsi="Arial"/>
                <w:sz w:val="18"/>
                <w:szCs w:val="18"/>
                <w:color w:val="auto"/>
              </w:rPr>
              <w:t>(b) the purchase price of any real estate assets or</w:t>
            </w:r>
          </w:p>
        </w:tc>
      </w:tr>
      <w:tr>
        <w:trPr>
          <w:trHeight w:val="161"/>
        </w:trPr>
        <w:tc>
          <w:tcPr>
            <w:tcW w:w="348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7980" w:type="dxa"/>
            <w:vAlign w:val="bottom"/>
          </w:tcPr>
          <w:p>
            <w:pPr>
              <w:ind w:left="212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200"/>
        <w:spacing w:after="0" w:line="323" w:lineRule="auto"/>
        <w:rPr>
          <w:sz w:val="20"/>
          <w:szCs w:val="20"/>
          <w:color w:val="auto"/>
        </w:rPr>
      </w:pPr>
      <w:r>
        <w:rPr>
          <w:rFonts w:ascii="Arial" w:cs="Arial" w:eastAsia="Arial" w:hAnsi="Arial"/>
          <w:sz w:val="15"/>
          <w:szCs w:val="15"/>
          <w:color w:val="auto"/>
        </w:rPr>
        <w:t>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52" w:lineRule="exact"/>
        <w:rPr>
          <w:sz w:val="20"/>
          <w:szCs w:val="20"/>
          <w:color w:val="auto"/>
        </w:rPr>
      </w:pPr>
    </w:p>
    <w:p>
      <w:pPr>
        <w:ind w:left="4400" w:hanging="3"/>
        <w:spacing w:after="0" w:line="285" w:lineRule="auto"/>
        <w:tabs>
          <w:tab w:leader="none" w:pos="4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61" w:lineRule="exact"/>
        <w:rPr>
          <w:rFonts w:ascii="Arial" w:cs="Arial" w:eastAsia="Arial" w:hAnsi="Arial"/>
          <w:sz w:val="16"/>
          <w:szCs w:val="16"/>
          <w:color w:val="auto"/>
        </w:rPr>
      </w:pPr>
    </w:p>
    <w:p>
      <w:pPr>
        <w:ind w:left="4400" w:right="80" w:hanging="3"/>
        <w:spacing w:after="0" w:line="283" w:lineRule="auto"/>
        <w:tabs>
          <w:tab w:leader="none" w:pos="4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w:t>
      </w:r>
    </w:p>
    <w:p>
      <w:pPr>
        <w:spacing w:after="0" w:line="2" w:lineRule="exact"/>
        <w:rPr>
          <w:rFonts w:ascii="Arial" w:cs="Arial" w:eastAsia="Arial" w:hAnsi="Arial"/>
          <w:sz w:val="16"/>
          <w:szCs w:val="16"/>
          <w:color w:val="auto"/>
        </w:rPr>
      </w:pPr>
    </w:p>
    <w:p>
      <w:pPr>
        <w:ind w:left="4400"/>
        <w:spacing w:after="0" w:line="287" w:lineRule="auto"/>
        <w:rPr>
          <w:rFonts w:ascii="Arial" w:cs="Arial" w:eastAsia="Arial" w:hAnsi="Arial"/>
          <w:sz w:val="16"/>
          <w:szCs w:val="16"/>
          <w:color w:val="auto"/>
        </w:rPr>
      </w:pPr>
      <w:r>
        <w:rPr>
          <w:rFonts w:ascii="Arial" w:cs="Arial" w:eastAsia="Arial" w:hAnsi="Arial"/>
          <w:sz w:val="16"/>
          <w:szCs w:val="16"/>
          <w:color w:val="auto"/>
        </w:rPr>
        <w:t>(a)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980" w:type="dxa"/>
            <w:vAlign w:val="bottom"/>
            <w:tcBorders>
              <w:top w:val="single" w:sz="8" w:color="auto"/>
              <w:left w:val="single" w:sz="8" w:color="auto"/>
            </w:tcBorders>
          </w:tcPr>
          <w:p>
            <w:pPr>
              <w:spacing w:after="0"/>
              <w:rPr>
                <w:sz w:val="24"/>
                <w:szCs w:val="24"/>
                <w:color w:val="auto"/>
              </w:rPr>
            </w:pPr>
          </w:p>
        </w:tc>
        <w:tc>
          <w:tcPr>
            <w:tcW w:w="74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92"/>
              </w:rPr>
              <w:t>acquisition had occurred as of the first day of such period, with the appropriate adjustments with</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respect to such acquisition being included in such unaudited pro forma calculation; and (d) in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case of any acquisition or disposition by us or our subsidiaries of any asset or group of assets</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89"/>
              </w:rPr>
              <w:t>since the first day of such four-quarter period, whether by merger, stock purchase or sale, or asset</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purchase or sale, such acquisition or disposition or any related repayment of Debt had occurred</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as of the first day of such period, with the appropriate adjustments with respect to such</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acquisition or disposition being included in such unaudited pro forma calculation; and</w:t>
            </w:r>
          </w:p>
        </w:tc>
      </w:tr>
      <w:tr>
        <w:trPr>
          <w:trHeight w:val="426"/>
        </w:trPr>
        <w:tc>
          <w:tcPr>
            <w:tcW w:w="398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(4) we, together with our subsidiaries, will maintain an Unencumbered Total Asset Value in an</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amount not less than 150% of the aggregate outstanding principal amount of all of our and our</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subsidiaries’ unsecured Debt, taken as a whole.</w:t>
            </w:r>
          </w:p>
        </w:tc>
      </w:tr>
      <w:tr>
        <w:trPr>
          <w:trHeight w:val="412"/>
        </w:trPr>
        <w:tc>
          <w:tcPr>
            <w:tcW w:w="39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The notes are redeemable at any time at our option, in whole or in part, at a redemption price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equal to the greater of (1) 100% of the principal amount of the notes being redeemed, or (2)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0"/>
              </w:rPr>
              <w:t>sum of the present values of the remaining scheduled payments of principal and interest thereon,</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discounted to the redemption date on a semi-annual basis at the Adjusted Treasury Rate plus 35</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basis points (0.35%), plus, in each case, accrued interest thereon to the redemption date. A</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detailed description is in “Description of Notes—Optional Redemption.”</w:t>
            </w:r>
          </w:p>
        </w:tc>
      </w:tr>
      <w:tr>
        <w:trPr>
          <w:trHeight w:val="412"/>
        </w:trPr>
        <w:tc>
          <w:tcPr>
            <w:tcW w:w="39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9"/>
              </w:rPr>
              <w:t>Material U.S. federal income tax considerations</w:t>
            </w: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For a description of the material U.S. federal income tax considerations of an investment in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notes, please review the disclosure in this prospectus supplement under “Additional Material</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U.S. Federal Income Tax Considerations” and in the accompanying prospectus under “Material</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Federal Income Tax Considerations.”</w:t>
            </w:r>
          </w:p>
        </w:tc>
      </w:tr>
      <w:tr>
        <w:trPr>
          <w:trHeight w:val="412"/>
        </w:trPr>
        <w:tc>
          <w:tcPr>
            <w:tcW w:w="39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Investing in the notes involves risks. Please review the risk factors discussed beginning on page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0"/>
              </w:rPr>
              <w:t>S-5 of this prospectus supplement, on page 2 of the accompanying prospectus and in our Annual</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Report on Form 10-K for the year ended December 31, 2009, filed with the SEC on February 17,</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2010, and the other information contained or incorporated by reference in this prospectus</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supplement and the accompanying prospectus for a discussion of factors you should consider</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before deciding to invest in the notes. You may obtain a copy of our Annual Report on Form 10-</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K and the other documents incorporated by reference in this prospectus supplement and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accompanying prospectus by following the procedures described under “Where You Can Find</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More Information” on page 55 of the accompanying prospectus.</w:t>
            </w:r>
          </w:p>
        </w:tc>
      </w:tr>
      <w:tr>
        <w:trPr>
          <w:trHeight w:val="161"/>
        </w:trPr>
        <w:tc>
          <w:tcPr>
            <w:tcW w:w="3980" w:type="dxa"/>
            <w:vAlign w:val="bottom"/>
            <w:tcBorders>
              <w:left w:val="single" w:sz="8" w:color="auto"/>
              <w:bottom w:val="single" w:sz="8" w:color="auto"/>
            </w:tcBorders>
          </w:tcPr>
          <w:p>
            <w:pPr>
              <w:spacing w:after="0"/>
              <w:rPr>
                <w:sz w:val="13"/>
                <w:szCs w:val="13"/>
                <w:color w:val="auto"/>
              </w:rPr>
            </w:pPr>
          </w:p>
        </w:tc>
        <w:tc>
          <w:tcPr>
            <w:tcW w:w="7480" w:type="dxa"/>
            <w:vAlign w:val="bottom"/>
            <w:tcBorders>
              <w:bottom w:val="single" w:sz="8" w:color="auto"/>
              <w:right w:val="single" w:sz="8" w:color="auto"/>
            </w:tcBorders>
          </w:tcPr>
          <w:p>
            <w:pPr>
              <w:spacing w:after="0"/>
              <w:rPr>
                <w:sz w:val="13"/>
                <w:szCs w:val="13"/>
                <w:color w:val="auto"/>
              </w:rPr>
            </w:pPr>
          </w:p>
        </w:tc>
      </w:tr>
      <w:tr>
        <w:trPr>
          <w:trHeight w:val="359"/>
        </w:trPr>
        <w:tc>
          <w:tcPr>
            <w:tcW w:w="3980" w:type="dxa"/>
            <w:vAlign w:val="bottom"/>
          </w:tcPr>
          <w:p>
            <w:pPr>
              <w:spacing w:after="0"/>
              <w:rPr>
                <w:sz w:val="24"/>
                <w:szCs w:val="24"/>
                <w:color w:val="auto"/>
              </w:rPr>
            </w:pPr>
          </w:p>
        </w:tc>
        <w:tc>
          <w:tcPr>
            <w:tcW w:w="7480" w:type="dxa"/>
            <w:vAlign w:val="bottom"/>
          </w:tcPr>
          <w:p>
            <w:pPr>
              <w:ind w:left="16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2 of the accompanying prospectus and the risk factors included in our Annual Report on Form 10-K filed with the SEC on February 17, 2010 before you decide to purchase the notes. The risks and uncertainties described below and in the referenced Form 10-K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77"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177"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December 31, 2009, after giving effect to this offering, and to the issuance of the notes and the application of the net proceeds of this offering, our subsidiaries had approximately $298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177"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December 31, 2009, after giving effect to this offering and the application of the net proceeds of this offering, we had approximately $540 million (excluding net unamortized discount) of secured debt outstanding, all of which was effectively senior to the notes to the extent of the value of the securing assets.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7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212" w:lineRule="exact"/>
        <w:rPr>
          <w:sz w:val="20"/>
          <w:szCs w:val="20"/>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right="80" w:firstLine="799"/>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60" w:firstLine="799"/>
        <w:spacing w:after="0" w:line="294"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approximately $148.4 million after deducting the underwriting discount and other estimated expenses of this offering payable by us. We intend to use these net proceeds to fund potential acquisition opportunities, fund our redevelopment pipeline, reduce amounts outstanding under our $250 million term loan, and/or for general corporate purposes. Our $250 million term loan bears interest at LIBOR, subject to a 1.50% floor, plus 300 basis points and matures on July 27, 2011. Affiliates of certain of the underwriters are lenders under our term loan and will receive a pro rata portion of any proceeds used to reduce amounts outstanding under the term loan.</w:t>
      </w:r>
    </w:p>
    <w:p>
      <w:pPr>
        <w:spacing w:after="0" w:line="1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87"/>
              </w:rPr>
              <w:t>For the Years Ended December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2.1x</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1.7x</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1.9x</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right="120" w:firstLine="8"/>
        <w:spacing w:after="0" w:line="331" w:lineRule="auto"/>
        <w:tabs>
          <w:tab w:leader="none" w:pos="239" w:val="left"/>
        </w:tabs>
        <w:numPr>
          <w:ilvl w:val="0"/>
          <w:numId w:val="7"/>
        </w:numPr>
        <w:rPr>
          <w:rFonts w:ascii="Arial" w:cs="Arial" w:eastAsia="Arial" w:hAnsi="Arial"/>
          <w:sz w:val="15"/>
          <w:szCs w:val="15"/>
          <w:color w:val="auto"/>
        </w:rPr>
      </w:pPr>
      <w:r>
        <w:rPr>
          <w:rFonts w:ascii="Arial" w:cs="Arial" w:eastAsia="Arial" w:hAnsi="Arial"/>
          <w:sz w:val="15"/>
          <w:szCs w:val="15"/>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are offering $150 million of our 5.90% notes maturing on April 1, 2020, which may be redeemed prior to that date in accordance with their terms.</w:t>
      </w:r>
    </w:p>
    <w:p>
      <w:pPr>
        <w:spacing w:after="0" w:line="194"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We will pay interest on the notes semi-annually in arrears on April 1 and October 1 of each year, beginning October 1, 2010, to the registered holders of the notes on the preceding March 15 and September 15.</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77"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$540 million (excluding net unamortized discount) of secured indebtedness collateralized by all or parts of 22 properties (of which approximately $286 million was issued by our subsidiaries), approximately $12 million of unsecured indebtedness issued by our subsidiaries (which will be senior to the notes) and approximately $1,181 million of other unsecured indebtedness (excluding net unamortized premium) ranking equally with the notes.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77" w:lineRule="exact"/>
        <w:rPr>
          <w:sz w:val="20"/>
          <w:szCs w:val="20"/>
          <w:color w:val="auto"/>
        </w:rPr>
      </w:pPr>
    </w:p>
    <w:p>
      <w:pPr>
        <w:ind w:right="100" w:firstLine="799"/>
        <w:spacing w:after="0" w:line="294" w:lineRule="auto"/>
        <w:rPr>
          <w:sz w:val="20"/>
          <w:szCs w:val="20"/>
          <w:color w:val="auto"/>
        </w:rPr>
      </w:pPr>
      <w:r>
        <w:rPr>
          <w:rFonts w:ascii="Arial" w:cs="Arial" w:eastAsia="Arial" w:hAnsi="Arial"/>
          <w:sz w:val="16"/>
          <w:szCs w:val="16"/>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35 basis points (0.35%), plus, in each case, accrued interest thereon to the redemption date.</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herein:</w:t>
      </w:r>
    </w:p>
    <w:p>
      <w:pPr>
        <w:spacing w:after="0" w:line="171"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Comparable Treasury Issue (expressed as a percentage of its principal amount) equal to the Comparable Treasury Price for such redemption date.</w:t>
      </w:r>
    </w:p>
    <w:p>
      <w:pPr>
        <w:spacing w:after="0" w:line="194" w:lineRule="exact"/>
        <w:rPr>
          <w:sz w:val="20"/>
          <w:szCs w:val="20"/>
          <w:color w:val="auto"/>
        </w:rPr>
      </w:pPr>
    </w:p>
    <w:p>
      <w:pPr>
        <w:ind w:right="280"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71" w:lineRule="exact"/>
        <w:rPr>
          <w:sz w:val="20"/>
          <w:szCs w:val="20"/>
          <w:color w:val="auto"/>
        </w:rPr>
      </w:pPr>
    </w:p>
    <w:p>
      <w:pPr>
        <w:ind w:right="180" w:firstLine="79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Banc of America Securities LLC and a Primary Treasury Dealer (as defined below) selected by Wells Fargo Securities, LLC,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either of the Reference Treasury Dealers ceases to be a primary U.S. Government securities dealer, or a Primary Treasury Dealer, we will substitute therefor another Primary Treasury Dealer; and (2) any two other Primary Treasury Dealers selected by us.</w:t>
      </w:r>
    </w:p>
    <w:p>
      <w:pPr>
        <w:spacing w:after="0" w:line="143" w:lineRule="exact"/>
        <w:rPr>
          <w:sz w:val="20"/>
          <w:szCs w:val="20"/>
          <w:color w:val="auto"/>
        </w:rPr>
      </w:pPr>
    </w:p>
    <w:p>
      <w:pPr>
        <w:ind w:right="80" w:firstLine="79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220" w:firstLine="799"/>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b w:val="1"/>
          <w:bCs w:val="1"/>
          <w:i w:val="1"/>
          <w:iCs w:val="1"/>
          <w:color w:val="auto"/>
        </w:rPr>
        <w:t xml:space="preserve">Limitations on Incurrence of Debt.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8" w:lineRule="exact"/>
        <w:rPr>
          <w:sz w:val="20"/>
          <w:szCs w:val="20"/>
          <w:color w:val="auto"/>
        </w:rPr>
      </w:pPr>
    </w:p>
    <w:p>
      <w:pPr>
        <w:ind w:right="220" w:firstLine="799"/>
        <w:spacing w:after="0" w:line="255" w:lineRule="auto"/>
        <w:rPr>
          <w:sz w:val="20"/>
          <w:szCs w:val="20"/>
          <w:color w:val="auto"/>
        </w:rPr>
      </w:pPr>
      <w:r>
        <w:rPr>
          <w:rFonts w:ascii="Arial" w:cs="Arial" w:eastAsia="Arial" w:hAnsi="Arial"/>
          <w:sz w:val="18"/>
          <w:szCs w:val="18"/>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for purposes of this limitation, the amount of obligations under capital leases shown as a liability on our consolidated balance sheet shall be deducted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Debt and from Total Assets.</w:t>
      </w:r>
    </w:p>
    <w:p>
      <w:pPr>
        <w:spacing w:after="0" w:line="118"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b w:val="1"/>
          <w:bCs w:val="1"/>
          <w:i w:val="1"/>
          <w:iCs w:val="1"/>
          <w:color w:val="auto"/>
        </w:rPr>
        <w:t xml:space="preserve">Maintenance of Unencumbered Total Asset Value.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40" w:lineRule="exact"/>
        <w:rPr>
          <w:sz w:val="20"/>
          <w:szCs w:val="20"/>
          <w:color w:val="auto"/>
        </w:rPr>
      </w:pPr>
    </w:p>
    <w:p>
      <w:pPr>
        <w:ind w:right="180" w:firstLine="799"/>
        <w:spacing w:after="0" w:line="294" w:lineRule="auto"/>
        <w:rPr>
          <w:sz w:val="20"/>
          <w:szCs w:val="20"/>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dated as of July 28, 2006)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herein:</w:t>
      </w:r>
    </w:p>
    <w:p>
      <w:pPr>
        <w:spacing w:after="0" w:line="171"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43" w:lineRule="exact"/>
        <w:rPr>
          <w:sz w:val="20"/>
          <w:szCs w:val="20"/>
          <w:color w:val="auto"/>
        </w:rPr>
      </w:pPr>
    </w:p>
    <w:p>
      <w:pPr>
        <w:ind w:right="14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40" w:lineRule="exact"/>
        <w:rPr>
          <w:sz w:val="20"/>
          <w:szCs w:val="20"/>
          <w:color w:val="auto"/>
        </w:rPr>
      </w:pPr>
    </w:p>
    <w:p>
      <w:pPr>
        <w:ind w:right="22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28" w:lineRule="exact"/>
        <w:rPr>
          <w:sz w:val="20"/>
          <w:szCs w:val="20"/>
          <w:color w:val="auto"/>
        </w:rPr>
      </w:pPr>
    </w:p>
    <w:p>
      <w:pPr>
        <w:ind w:right="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3" w:lineRule="exact"/>
        <w:rPr>
          <w:sz w:val="20"/>
          <w:szCs w:val="20"/>
          <w:color w:val="auto"/>
        </w:rPr>
      </w:pPr>
    </w:p>
    <w:p>
      <w:pPr>
        <w:ind w:right="22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32" w:lineRule="exact"/>
        <w:rPr>
          <w:sz w:val="20"/>
          <w:szCs w:val="20"/>
          <w:color w:val="auto"/>
        </w:rPr>
      </w:pPr>
    </w:p>
    <w:p>
      <w:pPr>
        <w:ind w:right="660" w:firstLine="79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85" w:lineRule="exact"/>
        <w:rPr>
          <w:sz w:val="20"/>
          <w:szCs w:val="20"/>
          <w:color w:val="auto"/>
        </w:rPr>
      </w:pPr>
    </w:p>
    <w:p>
      <w:pPr>
        <w:ind w:right="320" w:firstLine="799"/>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Undepreciated Real Estate Assets</w:t>
      </w:r>
      <w:r>
        <w:rPr>
          <w:rFonts w:ascii="Arial" w:cs="Arial" w:eastAsia="Arial" w:hAnsi="Arial"/>
          <w:sz w:val="15"/>
          <w:szCs w:val="15"/>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62"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Total Asset Value</w:t>
      </w:r>
      <w:r>
        <w:rPr>
          <w:rFonts w:ascii="Arial" w:cs="Arial" w:eastAsia="Arial" w:hAnsi="Arial"/>
          <w:sz w:val="18"/>
          <w:szCs w:val="18"/>
          <w:color w:val="auto"/>
        </w:rPr>
        <w:t>” as of any date means the sum of (a) those Undepreciated Real Estate Assets not encumbered by any mortgage, lien, 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799"/>
        <w:spacing w:after="0" w:line="438" w:lineRule="auto"/>
        <w:rPr>
          <w:sz w:val="20"/>
          <w:szCs w:val="20"/>
          <w:color w:val="auto"/>
        </w:rPr>
      </w:pPr>
      <w:r>
        <w:rPr>
          <w:rFonts w:ascii="Arial" w:cs="Arial" w:eastAsia="Arial" w:hAnsi="Arial"/>
          <w:sz w:val="18"/>
          <w:szCs w:val="18"/>
          <w:color w:val="auto"/>
        </w:rPr>
        <w:t xml:space="preserve">See “Description of Debt Securities—Certain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43" w:lineRule="exact"/>
        <w:rPr>
          <w:sz w:val="20"/>
          <w:szCs w:val="20"/>
          <w:color w:val="auto"/>
        </w:rPr>
      </w:pPr>
    </w:p>
    <w:p>
      <w:pPr>
        <w:ind w:right="40" w:firstLine="799"/>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18" w:lineRule="exact"/>
        <w:rPr>
          <w:sz w:val="20"/>
          <w:szCs w:val="20"/>
          <w:color w:val="auto"/>
        </w:rPr>
      </w:pPr>
    </w:p>
    <w:p>
      <w:pPr>
        <w:ind w:right="40" w:firstLine="799"/>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20" w:lineRule="exact"/>
        <w:rPr>
          <w:sz w:val="20"/>
          <w:szCs w:val="20"/>
          <w:color w:val="auto"/>
        </w:rPr>
      </w:pPr>
    </w:p>
    <w:p>
      <w:pPr>
        <w:ind w:right="40" w:firstLine="799"/>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43"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13"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120" w:firstLine="799"/>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6" w:lineRule="exact"/>
        <w:rPr>
          <w:sz w:val="20"/>
          <w:szCs w:val="20"/>
          <w:color w:val="auto"/>
        </w:rPr>
      </w:pPr>
    </w:p>
    <w:p>
      <w:pPr>
        <w:ind w:right="440" w:firstLine="799"/>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60" w:firstLine="799"/>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8" w:lineRule="exact"/>
        <w:rPr>
          <w:sz w:val="20"/>
          <w:szCs w:val="20"/>
          <w:color w:val="auto"/>
        </w:rPr>
      </w:pPr>
    </w:p>
    <w:p>
      <w:pPr>
        <w:ind w:right="140" w:firstLine="799"/>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32"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U.S. FEDERAL INCOME TAX CONSIDERATIONS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20" w:firstLine="799"/>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36 of the accompanying prospectus. The following is a summary of the additional material U.S. federal income tax considerations pertaining to the acquisition, ownership and disposition of the notes and should be read in conjunction with the referenced sections in the accompanying prospectus. This discussion applies only to initial holders of notes that acquire their notes pursuant to this offering and hold the notes as capital assets (generally property held for investment) within the meaning of Section 1221 of the Code. This discussion is based on the Code, income tax regulations promulgated thereunder, judicial positions, published positions of the Internal Revenue Service, or the IRS, and other applicable authorities, all as in effect as of the date hereof and all of which are subject to change, possibly with retroactive effect. This discussion of additional considerations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of additional considerations is based on current law and does not purport to deal with all aspects of U.S. federal income taxation that may be relevant to a prospective holder of the notes in light of its particular circumstances or to certain types of holders subject to special treatment under the U.S. federal income tax laws, such as financial institutions, brokers, dealers in securities and commodities, insurance companies, certain former U.S. citizens or long-term residents, regulated investment companies, REITs, tax-exempt organizations, controlled foreign corporations, passive foreign investment companies, persons that acquire their notes in connection with employment or other performance of personal services, persons subject to the alternative minimum tax, persons that are, or that hold their notes through, partnerships or other pass-through entities, U.S. holders whose functional currency is not the U.S. dollar, or persons that hold notes as part of a straddle, hedge, conversion, synthetic security or constructive sale transaction for U.S. federal income tax purposes. We have not requested and will not request a ruling from the IRS with respect to any of the U.S. federal income tax issues discussed below or in the accompanying prospectus.</w:t>
      </w:r>
    </w:p>
    <w:p>
      <w:pPr>
        <w:spacing w:after="0" w:line="115" w:lineRule="exact"/>
        <w:rPr>
          <w:sz w:val="20"/>
          <w:szCs w:val="20"/>
          <w:color w:val="auto"/>
        </w:rPr>
      </w:pPr>
    </w:p>
    <w:p>
      <w:pPr>
        <w:ind w:right="100" w:firstLine="799"/>
        <w:spacing w:after="0" w:line="339" w:lineRule="auto"/>
        <w:rPr>
          <w:sz w:val="20"/>
          <w:szCs w:val="20"/>
          <w:color w:val="auto"/>
        </w:rPr>
      </w:pPr>
      <w:r>
        <w:rPr>
          <w:rFonts w:ascii="Arial" w:cs="Arial" w:eastAsia="Arial" w:hAnsi="Arial"/>
          <w:sz w:val="16"/>
          <w:szCs w:val="16"/>
          <w:b w:val="1"/>
          <w:bCs w:val="1"/>
          <w:color w:val="auto"/>
        </w:rPr>
        <w:t>PROSPECTIVE INVESTORS ARE URGED TO CONSULT THEIR OWN TAX ADVISORS REGARDING THE U.S. FEDERAL, STATE, LOCAL, FOREIGN AND OTHER TAX CONSEQUENCES OF THE ACQUISITION, OWNERSHIP AND DISPOSITION OF THE NOTES.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herein, the term “U.S. Holder” means a beneficial owner of a note that for U.S. federal income tax purposes is</w:t>
      </w:r>
    </w:p>
    <w:p>
      <w:pPr>
        <w:spacing w:after="0" w:line="212" w:lineRule="exact"/>
        <w:rPr>
          <w:sz w:val="20"/>
          <w:szCs w:val="20"/>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1240" w:right="80" w:hanging="327"/>
        <w:spacing w:after="0" w:line="268"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1240" w:right="320" w:hanging="327"/>
        <w:spacing w:after="0" w:line="33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the trust has a valid election in effect to be treated as a U.S. person.</w:t>
      </w:r>
    </w:p>
    <w:p>
      <w:pPr>
        <w:spacing w:after="0" w:line="85" w:lineRule="exact"/>
        <w:rPr>
          <w:sz w:val="20"/>
          <w:szCs w:val="20"/>
          <w:color w:val="auto"/>
        </w:rPr>
      </w:pPr>
    </w:p>
    <w:p>
      <w:pPr>
        <w:ind w:right="40" w:firstLine="799"/>
        <w:spacing w:after="0" w:line="268" w:lineRule="auto"/>
        <w:rPr>
          <w:sz w:val="20"/>
          <w:szCs w:val="20"/>
          <w:color w:val="auto"/>
        </w:rPr>
      </w:pPr>
      <w:r>
        <w:rPr>
          <w:rFonts w:ascii="Arial" w:cs="Arial" w:eastAsia="Arial" w:hAnsi="Arial"/>
          <w:sz w:val="18"/>
          <w:szCs w:val="18"/>
          <w:color w:val="auto"/>
        </w:rPr>
        <w:t>A “Non-U.S. Holder” means a beneficial owner of a note that is not a U.S. Holder and that is not a partnership or an entity or arrangement treated as a partnership for U.S. federal income tax purposes.</w:t>
      </w:r>
    </w:p>
    <w:p>
      <w:pPr>
        <w:spacing w:after="0" w:line="132"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a note, the treatment of a partner in the partnership will generally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depend on the status of the partner and the activities of the partnership. Holders that are partnerships holding notes (and partners in such partnerships) are encouraged to consult their tax advisors.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7" w:lineRule="exact"/>
        <w:rPr>
          <w:sz w:val="20"/>
          <w:szCs w:val="20"/>
          <w:color w:val="auto"/>
        </w:rPr>
      </w:pPr>
    </w:p>
    <w:p>
      <w:pPr>
        <w:jc w:val="both"/>
        <w:ind w:right="320" w:firstLine="799"/>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 Holder generally will be required to include stated interest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stated interest is “qualified stated interest.” Stated interest is qualified stated interest if it is unconditionally payable in cash at least annually. The stated interest on the notes is qualified stated interest.</w:t>
      </w:r>
    </w:p>
    <w:p>
      <w:pPr>
        <w:spacing w:after="0" w:line="107"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its “issue price” by an amount that is equal to or greater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43" w:lineRule="exact"/>
        <w:rPr>
          <w:sz w:val="20"/>
          <w:szCs w:val="20"/>
          <w:color w:val="auto"/>
        </w:rPr>
      </w:pPr>
    </w:p>
    <w:p>
      <w:pPr>
        <w:jc w:val="both"/>
        <w:ind w:right="280" w:firstLine="799"/>
        <w:spacing w:after="0" w:line="303" w:lineRule="auto"/>
        <w:rPr>
          <w:sz w:val="20"/>
          <w:szCs w:val="20"/>
          <w:color w:val="auto"/>
        </w:rPr>
      </w:pPr>
      <w:r>
        <w:rPr>
          <w:rFonts w:ascii="Arial" w:cs="Arial" w:eastAsia="Arial" w:hAnsi="Arial"/>
          <w:sz w:val="15"/>
          <w:szCs w:val="15"/>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44"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are encouraged to consult their own tax advisors regarding the determination of the issue price of the notes and the possible application of the OID rules.</w:t>
      </w:r>
    </w:p>
    <w:p>
      <w:pPr>
        <w:spacing w:after="0" w:line="140" w:lineRule="exact"/>
        <w:rPr>
          <w:sz w:val="20"/>
          <w:szCs w:val="20"/>
          <w:color w:val="auto"/>
        </w:rPr>
      </w:pPr>
    </w:p>
    <w:p>
      <w:pPr>
        <w:ind w:firstLine="799"/>
        <w:spacing w:after="0" w:line="312" w:lineRule="auto"/>
        <w:rPr>
          <w:sz w:val="20"/>
          <w:szCs w:val="20"/>
          <w:color w:val="auto"/>
        </w:rPr>
      </w:pPr>
      <w:r>
        <w:rPr>
          <w:rFonts w:ascii="Arial" w:cs="Arial" w:eastAsia="Arial" w:hAnsi="Arial"/>
          <w:sz w:val="15"/>
          <w:szCs w:val="15"/>
          <w:b w:val="1"/>
          <w:bCs w:val="1"/>
          <w:i w:val="1"/>
          <w:iCs w:val="1"/>
          <w:color w:val="auto"/>
        </w:rPr>
        <w:t xml:space="preserve">Sale, Exchange, Redemption or Retirement of the Notes. </w:t>
      </w:r>
      <w:r>
        <w:rPr>
          <w:rFonts w:ascii="Arial" w:cs="Arial" w:eastAsia="Arial" w:hAnsi="Arial"/>
          <w:sz w:val="15"/>
          <w:szCs w:val="15"/>
          <w:color w:val="auto"/>
        </w:rPr>
        <w:t>Unless a non-recognition provision applies, upon the sale, exchange, redemption, retirement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other taxable disposition of a note, a U.S. Holder will generally recognize capital gain or loss equal to the difference (if any) between the amount realized (other than amounts attributable to accrued but unpaid stated interest, which amounts will be treated as interest, taxable to the U.S. Holder in accordance with its regular method of accounting, as described above) and such U.S. Holder’s adjusted tax basis in the note. The U.S. Holder’s adjusted tax basis in a note generally will be the purchase price for the note, reduced by the amount of any payments previously received by the U.S. Holder (other than qualified stated interest). Such gain or loss shall be treated as long-term capital gain or loss if the notes are held for more than one year at the time of disposition. Long-term capital gain of a non-corporate U.S. Holder is generally subject to preferential rates of taxation. The ability of U.S. Holders to deduct capital losses is subject to limitations.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7"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encouraged to consult with their tax advisors to determine the impact of U.S. federal, state, local and non-U.S. tax laws with regard to the notes.</w:t>
      </w:r>
    </w:p>
    <w:p>
      <w:pPr>
        <w:spacing w:after="0" w:line="194"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withholding tax on payments of interest (including OID) on a note,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72" w:lineRule="exact"/>
        <w:rPr>
          <w:sz w:val="20"/>
          <w:szCs w:val="20"/>
          <w:color w:val="auto"/>
        </w:rPr>
      </w:pPr>
    </w:p>
    <w:p>
      <w:pPr>
        <w:jc w:val="both"/>
        <w:ind w:left="1240" w:right="80" w:hanging="327"/>
        <w:spacing w:after="0" w:line="259"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180" w:lineRule="exact"/>
        <w:rPr>
          <w:rFonts w:ascii="Arial" w:cs="Arial" w:eastAsia="Arial" w:hAnsi="Arial"/>
          <w:sz w:val="18"/>
          <w:szCs w:val="18"/>
          <w:color w:val="auto"/>
        </w:rPr>
      </w:pPr>
    </w:p>
    <w:p>
      <w:pPr>
        <w:ind w:left="1240" w:right="220" w:hanging="327"/>
        <w:spacing w:after="0" w:line="268"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172" w:lineRule="exact"/>
        <w:rPr>
          <w:rFonts w:ascii="Arial" w:cs="Arial" w:eastAsia="Arial" w:hAnsi="Arial"/>
          <w:sz w:val="18"/>
          <w:szCs w:val="18"/>
          <w:color w:val="auto"/>
        </w:rPr>
      </w:pPr>
    </w:p>
    <w:p>
      <w:pPr>
        <w:ind w:left="1240" w:right="300" w:hanging="327"/>
        <w:spacing w:after="0" w:line="33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205" w:lineRule="exact"/>
        <w:rPr>
          <w:sz w:val="20"/>
          <w:szCs w:val="20"/>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71"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appropriate IRS form (generally, IRS Form W-8ECI). To claim the benefit of an income tax treaty, the Non-U.S. Holder must timely provide the appropriate, properly executed IRS forms (generally, IRS Form W-8BEN). These forms may be required to be periodically updated.</w:t>
      </w:r>
    </w:p>
    <w:p>
      <w:pPr>
        <w:spacing w:after="0" w:line="118" w:lineRule="exact"/>
        <w:rPr>
          <w:sz w:val="20"/>
          <w:szCs w:val="20"/>
          <w:color w:val="auto"/>
        </w:rPr>
      </w:pPr>
    </w:p>
    <w:p>
      <w:pPr>
        <w:ind w:right="160" w:firstLine="799"/>
        <w:spacing w:after="0" w:line="332" w:lineRule="auto"/>
        <w:rPr>
          <w:sz w:val="20"/>
          <w:szCs w:val="20"/>
          <w:color w:val="auto"/>
        </w:rPr>
      </w:pPr>
      <w:r>
        <w:rPr>
          <w:rFonts w:ascii="Arial" w:cs="Arial" w:eastAsia="Arial" w:hAnsi="Arial"/>
          <w:sz w:val="16"/>
          <w:szCs w:val="16"/>
          <w:b w:val="1"/>
          <w:bCs w:val="1"/>
          <w:i w:val="1"/>
          <w:iCs w:val="1"/>
          <w:color w:val="auto"/>
        </w:rPr>
        <w:t xml:space="preserve">Sale, Exchange, Redemption or Retirement of the Notes. </w:t>
      </w:r>
      <w:r>
        <w:rPr>
          <w:rFonts w:ascii="Arial" w:cs="Arial" w:eastAsia="Arial" w:hAnsi="Arial"/>
          <w:sz w:val="16"/>
          <w:szCs w:val="16"/>
          <w:color w:val="auto"/>
        </w:rPr>
        <w:t>Subject to the discussion on backup withholding below, a Non-U.S. Holder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federal income or withholding tax on gain from the sale, exchange, redemption, retirement or other disposition of a note unless:</w:t>
      </w:r>
    </w:p>
    <w:p>
      <w:pPr>
        <w:spacing w:after="0" w:line="126" w:lineRule="exact"/>
        <w:rPr>
          <w:sz w:val="20"/>
          <w:szCs w:val="20"/>
          <w:color w:val="auto"/>
        </w:rPr>
      </w:pPr>
    </w:p>
    <w:p>
      <w:pPr>
        <w:ind w:left="1240" w:right="180" w:hanging="327"/>
        <w:spacing w:after="0" w:line="332"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125" w:lineRule="exact"/>
        <w:rPr>
          <w:rFonts w:ascii="Arial" w:cs="Arial" w:eastAsia="Arial" w:hAnsi="Arial"/>
          <w:sz w:val="16"/>
          <w:szCs w:val="16"/>
          <w:color w:val="auto"/>
        </w:rPr>
      </w:pPr>
    </w:p>
    <w:p>
      <w:pPr>
        <w:ind w:left="1240" w:right="380" w:hanging="327"/>
        <w:spacing w:after="0" w:line="268"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32" w:lineRule="exact"/>
        <w:rPr>
          <w:sz w:val="20"/>
          <w:szCs w:val="20"/>
          <w:color w:val="auto"/>
        </w:rPr>
      </w:pPr>
    </w:p>
    <w:p>
      <w:pPr>
        <w:jc w:val="both"/>
        <w:ind w:right="180" w:firstLine="799"/>
        <w:spacing w:after="0" w:line="306"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or exemption under an applicable tax treaty) on the amount by which capital gains from U.S. sources (including gains from the sale or other disposition of the notes) exceed certain capital losses allocable to U.S. sources. Any amount attributable to accrued but unpaid interest on the notes will be treated in the same manner as payments of interest made to such Non-U.S. Holder, as described above under “—Interest on the Notes.” Non-U.S. Holders are encouraged to consult their own tax advisors on the treatment of any accrued but unpaid interest on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7" w:lineRule="exact"/>
        <w:rPr>
          <w:sz w:val="20"/>
          <w:szCs w:val="20"/>
          <w:color w:val="auto"/>
        </w:rPr>
      </w:pPr>
    </w:p>
    <w:p>
      <w:pPr>
        <w:ind w:right="40" w:firstLine="799"/>
        <w:spacing w:after="0" w:line="294" w:lineRule="auto"/>
        <w:rPr>
          <w:sz w:val="20"/>
          <w:szCs w:val="20"/>
          <w:color w:val="auto"/>
        </w:rPr>
      </w:pPr>
      <w:r>
        <w:rPr>
          <w:rFonts w:ascii="Arial" w:cs="Arial" w:eastAsia="Arial" w:hAnsi="Arial"/>
          <w:sz w:val="16"/>
          <w:szCs w:val="16"/>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(currently at 28%) may apply.</w:t>
      </w:r>
    </w:p>
    <w:p>
      <w:pPr>
        <w:spacing w:after="0" w:line="116"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 xml:space="preserve">In general, information reporting on IRS Form 1099 and backup withholding will not apply to payments of principal, interest and any premium made by us or a paying agent to a Non-U.S. Holder on the notes if the certification described above under “—Interest on the Notes” is received,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payor does not have actual knowledge or reason to know that the Non-U.S. Holder is a U.S. person. However, interest generally will be reported annually to the IRS and the Non-U.S. Holder on IRS Form 1042-S. Copies of these information returns may also be made available under the provisions of a specific treaty or agreement to the tax authorities of the country in which the payee resides.</w:t>
      </w:r>
    </w:p>
    <w:p>
      <w:pPr>
        <w:spacing w:after="0" w:line="143"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Payments of the proceeds from a sale by a Non-U.S. Holder made to or through a foreign office of a broker generally will not be subject to information reporting or backup withholding. Information reporting may apply to such payments, however, if the broker is a U.S. person, a controlled foreign corporation for U.S. tax purposes, the U.S. branch of a foreign bank or a foreign insurance company, a foreign partnership controlled by U.S. persons or engaged in a U.S. trade or business, or a foreign person 50% or more of whose gross income is effectively connected with a U.S. trade or business for a specified three-year period. Payments of the proceeds from the sale of notes through the U.S. office of a broker is subject to information reporting and backup withholding unless the Non-U.S. Holder certifies as to its non-U.S. status or otherwise establishes an exemption from information reporting and backup withholding.</w:t>
      </w:r>
    </w:p>
    <w:p>
      <w:pPr>
        <w:spacing w:after="0" w:line="120"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Backup withholding does not represent an additional income tax, and any amounts deducted and withheld pursuant to the backup withholding rules should generally be allowed as a credit against the recipient’s U.S. federal income tax liability or as a refund, provided the required information is timely furnished to the IRS. Certain penalties may be imposed by the IRS on a recipient of payments that is required to supply information but that does not do so in the proper manner.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 Potentially Affecting Taxation of Notes Held By or Through Foreign Entities</w:t>
      </w:r>
    </w:p>
    <w:p>
      <w:pPr>
        <w:spacing w:after="0" w:line="177" w:lineRule="exact"/>
        <w:rPr>
          <w:sz w:val="20"/>
          <w:szCs w:val="20"/>
          <w:color w:val="auto"/>
        </w:rPr>
      </w:pPr>
    </w:p>
    <w:p>
      <w:pPr>
        <w:ind w:right="180" w:firstLine="799"/>
        <w:spacing w:after="0" w:line="306" w:lineRule="auto"/>
        <w:rPr>
          <w:sz w:val="20"/>
          <w:szCs w:val="20"/>
          <w:color w:val="auto"/>
        </w:rPr>
      </w:pPr>
      <w:r>
        <w:rPr>
          <w:rFonts w:ascii="Arial" w:cs="Arial" w:eastAsia="Arial" w:hAnsi="Arial"/>
          <w:sz w:val="16"/>
          <w:szCs w:val="16"/>
          <w:color w:val="auto"/>
        </w:rPr>
        <w:t>Proposed legislation recently introduced in the U.S. Congress would generally impose a withholding tax of 30 percent on interest income (including OID) from the notes and the gross proceeds of a disposition of the notes paid to a foreign financial institution, unless such institution enters into an agreement with the U.S. government to collect and provide to the U.S. tax authorities substantial information regarding U.S.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holders of such institution (which would include certain equity and debt holders of such institution, as well as certain account holders that are foreign entities with U.S. owners). The proposed legislation would also generally impose a withholding tax of 30 percent on interest income from the notes and the gross proceeds of a disposition of the notes paid to a non-financial foreign entity unless such entity provides the withholding agent with a certification identifying the direct and indirect U.S. owners of the entity. We will not pay any additional amounts to a Non-U.S. Holder in respect of any amounts withheld under these provisions. Under certain circumstances, a Non-U.S. Holder of the notes might be eligible for refunds or credits of such taxes. If enacted in its current form, these new withholding rules generally would be effective for payments made after December 31, 2012. The provisions of this proposed legislation may change and there can be no assurance that this proposal or other similar proposals will not have an adverse impact on an investment in the notes. Investors are encouraged to consult with their own tax advisors regarding the possible implications of this proposed legislation on their investment in the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100" w:firstLine="799"/>
        <w:spacing w:after="0" w:line="256" w:lineRule="auto"/>
        <w:rPr>
          <w:sz w:val="20"/>
          <w:szCs w:val="20"/>
          <w:color w:val="auto"/>
        </w:rPr>
      </w:pPr>
      <w:r>
        <w:rPr>
          <w:rFonts w:ascii="Arial" w:cs="Arial" w:eastAsia="Arial" w:hAnsi="Arial"/>
          <w:sz w:val="18"/>
          <w:szCs w:val="18"/>
          <w:color w:val="auto"/>
        </w:rPr>
        <w:t>We intend to offer the notes through the underwriters. Banc of America Securities LLC and Wells Fargo Securities, LLC are acting as representatives of the underwriters named below.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1"/>
        </w:trPr>
        <w:tc>
          <w:tcPr>
            <w:tcW w:w="92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3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RBC Capital Markets Corporation</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Sandler O’Neill &amp; Partners, L.P.</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0.40% of the principal amount of the notes. The underwriters may allow, and the dealers may reallow, a discount not in excess of 0.25% of the principal amount of the notes on sales to other dealers. After the initial offering, the public offering price and concession to dealers may be changed.</w:t>
      </w:r>
    </w:p>
    <w:p>
      <w:pPr>
        <w:spacing w:after="0" w:line="143"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8" w:lineRule="exact"/>
        <w:rPr>
          <w:sz w:val="20"/>
          <w:szCs w:val="20"/>
          <w:color w:val="auto"/>
        </w:rPr>
      </w:pPr>
    </w:p>
    <w:p>
      <w:pPr>
        <w:ind w:left="10580"/>
        <w:spacing w:after="0"/>
        <w:rPr>
          <w:sz w:val="20"/>
          <w:szCs w:val="20"/>
          <w:color w:val="auto"/>
        </w:rPr>
      </w:pPr>
      <w:r>
        <w:rPr>
          <w:rFonts w:ascii="Arial" w:cs="Arial" w:eastAsia="Arial" w:hAnsi="Arial"/>
          <w:sz w:val="14"/>
          <w:szCs w:val="14"/>
          <w:b w:val="1"/>
          <w:bCs w:val="1"/>
          <w:color w:val="auto"/>
        </w:rPr>
        <w:t>Paid by Us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10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Per note</w:t>
            </w: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0.65%</w:t>
            </w:r>
          </w:p>
        </w:tc>
      </w:tr>
    </w:tbl>
    <w:p>
      <w:pPr>
        <w:spacing w:after="0" w:line="154" w:lineRule="exact"/>
        <w:rPr>
          <w:sz w:val="20"/>
          <w:szCs w:val="20"/>
          <w:color w:val="auto"/>
        </w:rPr>
      </w:pPr>
    </w:p>
    <w:p>
      <w:pPr>
        <w:ind w:right="60" w:firstLine="799"/>
        <w:spacing w:after="0" w:line="318" w:lineRule="auto"/>
        <w:rPr>
          <w:sz w:val="20"/>
          <w:szCs w:val="20"/>
          <w:color w:val="auto"/>
        </w:rPr>
      </w:pPr>
      <w:r>
        <w:rPr>
          <w:rFonts w:ascii="Arial" w:cs="Arial" w:eastAsia="Arial" w:hAnsi="Arial"/>
          <w:sz w:val="15"/>
          <w:szCs w:val="15"/>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00" w:lineRule="exact"/>
        <w:rPr>
          <w:sz w:val="20"/>
          <w:szCs w:val="20"/>
          <w:color w:val="auto"/>
        </w:rPr>
      </w:pPr>
    </w:p>
    <w:p>
      <w:pPr>
        <w:ind w:right="180" w:firstLine="799"/>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799"/>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$300,000.</w:t>
      </w:r>
    </w:p>
    <w:p>
      <w:pPr>
        <w:spacing w:after="0" w:line="171" w:lineRule="exact"/>
        <w:rPr>
          <w:sz w:val="20"/>
          <w:szCs w:val="20"/>
          <w:color w:val="auto"/>
        </w:rPr>
      </w:pPr>
    </w:p>
    <w:p>
      <w:pPr>
        <w:ind w:right="520" w:firstLine="799"/>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Affiliates of certain of the underwriters are lenders under our $250 million term loan maturing on July 27, 2011 and will receive a pro rata portion of any proceeds used to reduce amounts outstanding under the term loan.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77" w:lineRule="exact"/>
        <w:rPr>
          <w:sz w:val="20"/>
          <w:szCs w:val="20"/>
          <w:color w:val="auto"/>
        </w:rPr>
      </w:pPr>
    </w:p>
    <w:p>
      <w:pPr>
        <w:ind w:right="820" w:firstLine="799"/>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80" w:firstLine="799"/>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2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4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6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2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5.90%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434340</wp:posOffset>
            </wp:positionV>
            <wp:extent cx="30441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40"/>
        <w:spacing w:after="0"/>
        <w:tabs>
          <w:tab w:leader="none" w:pos="5760" w:val="left"/>
        </w:tabs>
        <w:rPr>
          <w:sz w:val="20"/>
          <w:szCs w:val="20"/>
          <w:color w:val="auto"/>
        </w:rPr>
      </w:pPr>
      <w:r>
        <w:rPr>
          <w:rFonts w:ascii="Arial" w:cs="Arial" w:eastAsia="Arial" w:hAnsi="Arial"/>
          <w:sz w:val="18"/>
          <w:szCs w:val="18"/>
          <w:b w:val="1"/>
          <w:bCs w:val="1"/>
          <w:color w:val="auto"/>
        </w:rPr>
        <w:t>PROSPECTUS</w:t>
      </w:r>
      <w:r>
        <w:rPr>
          <w:sz w:val="20"/>
          <w:szCs w:val="20"/>
          <w:color w:val="auto"/>
        </w:rPr>
        <w:tab/>
      </w:r>
      <w:r>
        <w:rPr>
          <w:rFonts w:ascii="Arial" w:cs="Arial" w:eastAsia="Arial" w:hAnsi="Arial"/>
          <w:sz w:val="16"/>
          <w:szCs w:val="16"/>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66040</wp:posOffset>
            </wp:positionV>
            <wp:extent cx="3044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0"/>
          <w:szCs w:val="30"/>
          <w:b w:val="1"/>
          <w:bCs w:val="1"/>
          <w:color w:val="auto"/>
        </w:rPr>
        <w:t>Wells Fargo Securities</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Citi</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Goldman, Sachs &amp; Co.</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PNC Capital Markets LLC</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RBC Capital Markets</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Capital One Southcoast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Sandler O’Neill + Partners, L.P.</w:t>
      </w:r>
    </w:p>
    <w:p>
      <w:pPr>
        <w:spacing w:after="0" w:line="19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February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
      <w:numFmt w:val="bullet"/>
      <w:start w:val="1"/>
    </w:lvl>
    <w:lvl w:ilvl="1">
      <w:lvlJc w:val="left"/>
      <w:lvlText w:val="•"/>
      <w:numFmt w:val="bullet"/>
      <w:start w:val="1"/>
    </w:lvl>
  </w:abstractNum>
  <w:abstractNum w:abstractNumId="3">
    <w:nsid w:val="725A06FB"/>
    <w:multiLevelType w:val="hybridMultilevel"/>
    <w:lvl w:ilvl="0">
      <w:lvlJc w:val="left"/>
      <w:lvlText w:val="(%1)"/>
      <w:numFmt w:val="decimal"/>
      <w:start w:val="800"/>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lowerLetter"/>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decimal"/>
      <w:start w:val="30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lvl w:ilvl="1">
      <w:lvlJc w:val="left"/>
      <w:lvlText w:val="•"/>
      <w:numFmt w:val="bullet"/>
      <w:start w:val="1"/>
    </w:lvl>
  </w:abstractNum>
  <w:abstractNum w:abstractNumId="27">
    <w:nsid w:val="275AC794"/>
    <w:multiLevelType w:val="hybridMultilevel"/>
    <w:lvl w:ilvl="0">
      <w:lvlJc w:val="left"/>
      <w:lvlText w:val="•"/>
      <w:numFmt w:val="bullet"/>
      <w:start w:val="1"/>
    </w:lvl>
    <w:lvl w:ilvl="1">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2"/>
    </w:lvl>
    <w:lvl w:ilvl="1">
      <w:lvlJc w:val="left"/>
      <w:lvlText w:val="(%2)"/>
      <w:numFmt w:val="lowerLetter"/>
      <w:start w:val="1"/>
    </w:lvl>
  </w:abstractNum>
  <w:abstractNum w:abstractNumId="34">
    <w:nsid w:val="15B5AF5C"/>
    <w:multiLevelType w:val="hybridMultilevel"/>
    <w:lvl w:ilvl="0">
      <w:lvlJc w:val="left"/>
      <w:lvlText w:val="%1."/>
      <w:numFmt w:val="decimal"/>
      <w:start w:val="7"/>
    </w:lvl>
    <w:lvl w:ilvl="1">
      <w:lvlJc w:val="left"/>
      <w:lvlText w:val="(%2)"/>
      <w:numFmt w:val="lowerLetter"/>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lvl w:ilvl="1">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lvl w:ilvl="1">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lowerRoman"/>
      <w:start w:val="3"/>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lvl w:ilvl="1">
      <w:lvlJc w:val="left"/>
      <w:lvlText w:val="•"/>
      <w:numFmt w:val="bullet"/>
      <w:start w:val="1"/>
    </w:lvl>
  </w:abstractNum>
  <w:abstractNum w:abstractNumId="75">
    <w:nsid w:val="68EB2F63"/>
    <w:multiLevelType w:val="hybridMultilevel"/>
    <w:lvl w:ilvl="0">
      <w:lvlJc w:val="left"/>
      <w:lvlText w:val="(%1)"/>
      <w:numFmt w:val="lowerRoman"/>
      <w:start w:val="2"/>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1)"/>
      <w:numFmt w:val="decimal"/>
      <w:start w:val="4"/>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2019-12-10T00:01:20Z</dcterms:created>
  <dcterms:modified xsi:type="dcterms:W3CDTF">2019-12-10T00:01:20Z</dcterms:modified>
</cp:coreProperties>
</file>