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17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May 05, 2022</w:t>
      </w:r>
    </w:p>
    <w:p>
      <w:pPr>
        <w:spacing w:after="0" w:line="1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1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Federal Realty OP LP</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06" w:lineRule="exact"/>
        <w:rPr>
          <w:sz w:val="24"/>
          <w:szCs w:val="24"/>
          <w:color w:val="auto"/>
        </w:rPr>
      </w:pPr>
    </w:p>
    <w:tbl>
      <w:tblPr>
        <w:tblLayout w:type="fixed"/>
        <w:tblInd w:w="460" w:type="dxa"/>
        <w:tblCellMar>
          <w:top w:w="0" w:type="dxa"/>
          <w:left w:w="0" w:type="dxa"/>
          <w:bottom w:w="0" w:type="dxa"/>
          <w:right w:w="0" w:type="dxa"/>
        </w:tblCellMar>
      </w:tblPr>
      <w:tr>
        <w:trPr>
          <w:trHeight w:val="226"/>
        </w:trPr>
        <w:tc>
          <w:tcPr>
            <w:tcW w:w="4240" w:type="dxa"/>
            <w:vAlign w:val="bottom"/>
          </w:tcPr>
          <w:p>
            <w:pPr>
              <w:jc w:val="center"/>
              <w:ind w:right="904"/>
              <w:spacing w:after="0"/>
              <w:rPr>
                <w:sz w:val="20"/>
                <w:szCs w:val="20"/>
                <w:color w:val="auto"/>
              </w:rPr>
            </w:pPr>
            <w:r>
              <w:rPr>
                <w:rFonts w:ascii="Times New Roman" w:cs="Times New Roman" w:eastAsia="Times New Roman" w:hAnsi="Times New Roman"/>
                <w:sz w:val="17"/>
                <w:szCs w:val="17"/>
                <w:b w:val="1"/>
                <w:bCs w:val="1"/>
                <w:color w:val="auto"/>
              </w:rPr>
              <w:t>Maryland (Federal Realty Investment Trust)</w:t>
            </w:r>
          </w:p>
        </w:tc>
        <w:tc>
          <w:tcPr>
            <w:tcW w:w="1700" w:type="dxa"/>
            <w:vAlign w:val="bottom"/>
          </w:tcPr>
          <w:p>
            <w:pPr>
              <w:jc w:val="right"/>
              <w:ind w:right="444"/>
              <w:spacing w:after="0"/>
              <w:rPr>
                <w:sz w:val="20"/>
                <w:szCs w:val="20"/>
                <w:color w:val="auto"/>
              </w:rPr>
            </w:pPr>
            <w:r>
              <w:rPr>
                <w:rFonts w:ascii="Times New Roman" w:cs="Times New Roman" w:eastAsia="Times New Roman" w:hAnsi="Times New Roman"/>
                <w:sz w:val="17"/>
                <w:szCs w:val="17"/>
                <w:b w:val="1"/>
                <w:bCs w:val="1"/>
                <w:color w:val="auto"/>
              </w:rPr>
              <w:t>1-07533</w:t>
            </w:r>
          </w:p>
        </w:tc>
        <w:tc>
          <w:tcPr>
            <w:tcW w:w="1340" w:type="dxa"/>
            <w:vAlign w:val="bottom"/>
          </w:tcPr>
          <w:p>
            <w:pPr>
              <w:spacing w:after="0"/>
              <w:rPr>
                <w:sz w:val="19"/>
                <w:szCs w:val="19"/>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7"/>
                <w:szCs w:val="17"/>
                <w:b w:val="1"/>
                <w:bCs w:val="1"/>
                <w:color w:val="auto"/>
                <w:w w:val="99"/>
              </w:rPr>
              <w:t>87-3916363</w:t>
            </w:r>
          </w:p>
        </w:tc>
      </w:tr>
      <w:tr>
        <w:trPr>
          <w:trHeight w:val="229"/>
        </w:trPr>
        <w:tc>
          <w:tcPr>
            <w:tcW w:w="4240" w:type="dxa"/>
            <w:vAlign w:val="bottom"/>
          </w:tcPr>
          <w:p>
            <w:pPr>
              <w:jc w:val="center"/>
              <w:ind w:right="904"/>
              <w:spacing w:after="0"/>
              <w:rPr>
                <w:sz w:val="20"/>
                <w:szCs w:val="20"/>
                <w:color w:val="auto"/>
              </w:rPr>
            </w:pPr>
            <w:r>
              <w:rPr>
                <w:rFonts w:ascii="Times New Roman" w:cs="Times New Roman" w:eastAsia="Times New Roman" w:hAnsi="Times New Roman"/>
                <w:sz w:val="17"/>
                <w:szCs w:val="17"/>
                <w:b w:val="1"/>
                <w:bCs w:val="1"/>
                <w:color w:val="auto"/>
              </w:rPr>
              <w:t>Delaware (Federal Realty OP LP)</w:t>
            </w:r>
          </w:p>
        </w:tc>
        <w:tc>
          <w:tcPr>
            <w:tcW w:w="1700" w:type="dxa"/>
            <w:vAlign w:val="bottom"/>
          </w:tcPr>
          <w:p>
            <w:pPr>
              <w:jc w:val="right"/>
              <w:ind w:right="184"/>
              <w:spacing w:after="0"/>
              <w:rPr>
                <w:sz w:val="20"/>
                <w:szCs w:val="20"/>
                <w:color w:val="auto"/>
              </w:rPr>
            </w:pPr>
            <w:r>
              <w:rPr>
                <w:rFonts w:ascii="Times New Roman" w:cs="Times New Roman" w:eastAsia="Times New Roman" w:hAnsi="Times New Roman"/>
                <w:sz w:val="17"/>
                <w:szCs w:val="17"/>
                <w:b w:val="1"/>
                <w:bCs w:val="1"/>
                <w:color w:val="auto"/>
              </w:rPr>
              <w:t>333-262016-01</w:t>
            </w:r>
          </w:p>
        </w:tc>
        <w:tc>
          <w:tcPr>
            <w:tcW w:w="1340" w:type="dxa"/>
            <w:vAlign w:val="bottom"/>
          </w:tcPr>
          <w:p>
            <w:pPr>
              <w:spacing w:after="0"/>
              <w:rPr>
                <w:sz w:val="19"/>
                <w:szCs w:val="19"/>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7"/>
                <w:szCs w:val="17"/>
                <w:b w:val="1"/>
                <w:bCs w:val="1"/>
                <w:color w:val="auto"/>
                <w:w w:val="99"/>
              </w:rPr>
              <w:t>52-0782497</w:t>
            </w:r>
          </w:p>
        </w:tc>
      </w:tr>
      <w:tr>
        <w:trPr>
          <w:trHeight w:val="144"/>
        </w:trPr>
        <w:tc>
          <w:tcPr>
            <w:tcW w:w="4240" w:type="dxa"/>
            <w:vAlign w:val="bottom"/>
          </w:tcPr>
          <w:p>
            <w:pPr>
              <w:jc w:val="center"/>
              <w:ind w:right="884"/>
              <w:spacing w:after="0" w:line="144" w:lineRule="exact"/>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1700" w:type="dxa"/>
            <w:vAlign w:val="bottom"/>
          </w:tcPr>
          <w:p>
            <w:pPr>
              <w:ind w:left="560"/>
              <w:spacing w:after="0" w:line="144"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1340" w:type="dxa"/>
            <w:vAlign w:val="bottom"/>
          </w:tcPr>
          <w:p>
            <w:pPr>
              <w:spacing w:after="0"/>
              <w:rPr>
                <w:sz w:val="12"/>
                <w:szCs w:val="12"/>
                <w:color w:val="auto"/>
              </w:rPr>
            </w:pPr>
          </w:p>
        </w:tc>
        <w:tc>
          <w:tcPr>
            <w:tcW w:w="1900" w:type="dxa"/>
            <w:vAlign w:val="bottom"/>
          </w:tcPr>
          <w:p>
            <w:pPr>
              <w:jc w:val="center"/>
              <w:ind w:left="844"/>
              <w:spacing w:after="0" w:line="144"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4240" w:type="dxa"/>
            <w:vAlign w:val="bottom"/>
          </w:tcPr>
          <w:p>
            <w:pPr>
              <w:jc w:val="center"/>
              <w:ind w:right="884"/>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170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1340" w:type="dxa"/>
            <w:vAlign w:val="bottom"/>
          </w:tcPr>
          <w:p>
            <w:pPr>
              <w:spacing w:after="0"/>
              <w:rPr>
                <w:sz w:val="14"/>
                <w:szCs w:val="14"/>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442"/>
        </w:trPr>
        <w:tc>
          <w:tcPr>
            <w:tcW w:w="4240" w:type="dxa"/>
            <w:vAlign w:val="bottom"/>
          </w:tcPr>
          <w:p>
            <w:pPr>
              <w:ind w:left="2140"/>
              <w:spacing w:after="0"/>
              <w:rPr>
                <w:sz w:val="20"/>
                <w:szCs w:val="20"/>
                <w:color w:val="auto"/>
              </w:rPr>
            </w:pPr>
            <w:r>
              <w:rPr>
                <w:rFonts w:ascii="Times New Roman" w:cs="Times New Roman" w:eastAsia="Times New Roman" w:hAnsi="Times New Roman"/>
                <w:sz w:val="16"/>
                <w:szCs w:val="16"/>
                <w:b w:val="1"/>
                <w:bCs w:val="1"/>
                <w:color w:val="auto"/>
              </w:rPr>
              <w:t>909 Rose Avenue, Suite 200</w:t>
            </w:r>
          </w:p>
        </w:tc>
        <w:tc>
          <w:tcPr>
            <w:tcW w:w="17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North Bethesda,</w:t>
            </w:r>
          </w:p>
        </w:tc>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1900" w:type="dxa"/>
            <w:vAlign w:val="bottom"/>
          </w:tcPr>
          <w:p>
            <w:pPr>
              <w:jc w:val="right"/>
              <w:ind w:right="724"/>
              <w:spacing w:after="0"/>
              <w:rPr>
                <w:sz w:val="20"/>
                <w:szCs w:val="20"/>
                <w:color w:val="auto"/>
              </w:rPr>
            </w:pPr>
            <w:r>
              <w:rPr>
                <w:rFonts w:ascii="Times New Roman" w:cs="Times New Roman" w:eastAsia="Times New Roman" w:hAnsi="Times New Roman"/>
                <w:sz w:val="16"/>
                <w:szCs w:val="16"/>
                <w:b w:val="1"/>
                <w:bCs w:val="1"/>
                <w:color w:val="auto"/>
              </w:rPr>
              <w:t>20852</w:t>
            </w:r>
          </w:p>
        </w:tc>
      </w:tr>
      <w:tr>
        <w:trPr>
          <w:trHeight w:val="216"/>
        </w:trPr>
        <w:tc>
          <w:tcPr>
            <w:tcW w:w="5940" w:type="dxa"/>
            <w:vAlign w:val="bottom"/>
            <w:gridSpan w:val="2"/>
          </w:tcPr>
          <w:p>
            <w:pPr>
              <w:ind w:left="310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340" w:type="dxa"/>
            <w:vAlign w:val="bottom"/>
          </w:tcPr>
          <w:p>
            <w:pPr>
              <w:spacing w:after="0"/>
              <w:rPr>
                <w:sz w:val="18"/>
                <w:szCs w:val="18"/>
                <w:color w:val="auto"/>
              </w:rPr>
            </w:pPr>
          </w:p>
        </w:tc>
        <w:tc>
          <w:tcPr>
            <w:tcW w:w="190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1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301/998-8100</w:t>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36"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4"/>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2"/>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30"/>
        </w:trPr>
        <w:tc>
          <w:tcPr>
            <w:tcW w:w="44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auto"/>
              </w:rPr>
              <w:t>Common Shares of Beneficial Interest</w:t>
            </w:r>
          </w:p>
        </w:tc>
        <w:tc>
          <w:tcPr>
            <w:tcW w:w="580" w:type="dxa"/>
            <w:vAlign w:val="bottom"/>
          </w:tcPr>
          <w:p>
            <w:pPr>
              <w:spacing w:after="0"/>
              <w:rPr>
                <w:sz w:val="20"/>
                <w:szCs w:val="20"/>
                <w:color w:val="auto"/>
              </w:rPr>
            </w:pPr>
          </w:p>
        </w:tc>
        <w:tc>
          <w:tcPr>
            <w:tcW w:w="1960" w:type="dxa"/>
            <w:vAlign w:val="bottom"/>
            <w:gridSpan w:val="2"/>
          </w:tcPr>
          <w:p>
            <w:pPr>
              <w:jc w:val="center"/>
              <w:ind w:right="840"/>
              <w:spacing w:after="0"/>
              <w:rPr>
                <w:sz w:val="20"/>
                <w:szCs w:val="20"/>
                <w:color w:val="auto"/>
              </w:rPr>
            </w:pPr>
            <w:r>
              <w:rPr>
                <w:rFonts w:ascii="Times New Roman" w:cs="Times New Roman" w:eastAsia="Times New Roman" w:hAnsi="Times New Roman"/>
                <w:sz w:val="16"/>
                <w:szCs w:val="16"/>
                <w:color w:val="auto"/>
                <w:w w:val="95"/>
              </w:rPr>
              <w:t>FRT</w:t>
            </w:r>
          </w:p>
        </w:tc>
        <w:tc>
          <w:tcPr>
            <w:tcW w:w="280" w:type="dxa"/>
            <w:vAlign w:val="bottom"/>
          </w:tcPr>
          <w:p>
            <w:pPr>
              <w:spacing w:after="0"/>
              <w:rPr>
                <w:sz w:val="20"/>
                <w:szCs w:val="20"/>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168"/>
        </w:trPr>
        <w:tc>
          <w:tcPr>
            <w:tcW w:w="4480" w:type="dxa"/>
            <w:vAlign w:val="bottom"/>
            <w:gridSpan w:val="3"/>
          </w:tcPr>
          <w:p>
            <w:pPr>
              <w:jc w:val="center"/>
              <w:ind w:left="99"/>
              <w:spacing w:after="0" w:line="168" w:lineRule="exact"/>
              <w:rPr>
                <w:sz w:val="20"/>
                <w:szCs w:val="20"/>
                <w:color w:val="auto"/>
              </w:rPr>
            </w:pPr>
            <w:r>
              <w:rPr>
                <w:rFonts w:ascii="Times New Roman" w:cs="Times New Roman" w:eastAsia="Times New Roman" w:hAnsi="Times New Roman"/>
                <w:sz w:val="16"/>
                <w:szCs w:val="16"/>
                <w:color w:val="auto"/>
              </w:rPr>
              <w:t>$.01 par value per share, with associated Common Share Purchase</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10"/>
        </w:trPr>
        <w:tc>
          <w:tcPr>
            <w:tcW w:w="1680" w:type="dxa"/>
            <w:vAlign w:val="bottom"/>
          </w:tcPr>
          <w:p>
            <w:pPr>
              <w:spacing w:after="0"/>
              <w:rPr>
                <w:sz w:val="18"/>
                <w:szCs w:val="18"/>
                <w:color w:val="auto"/>
              </w:rPr>
            </w:pPr>
          </w:p>
        </w:tc>
        <w:tc>
          <w:tcPr>
            <w:tcW w:w="2800" w:type="dxa"/>
            <w:vAlign w:val="bottom"/>
            <w:gridSpan w:val="2"/>
          </w:tcPr>
          <w:p>
            <w:pPr>
              <w:jc w:val="center"/>
              <w:ind w:right="1500"/>
              <w:spacing w:after="0"/>
              <w:rPr>
                <w:sz w:val="20"/>
                <w:szCs w:val="20"/>
                <w:color w:val="auto"/>
              </w:rPr>
            </w:pPr>
            <w:r>
              <w:rPr>
                <w:rFonts w:ascii="Times New Roman" w:cs="Times New Roman" w:eastAsia="Times New Roman" w:hAnsi="Times New Roman"/>
                <w:sz w:val="16"/>
                <w:szCs w:val="16"/>
                <w:color w:val="auto"/>
              </w:rPr>
              <w:t>Rights</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4"/>
        </w:trPr>
        <w:tc>
          <w:tcPr>
            <w:tcW w:w="44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auto"/>
              </w:rPr>
              <w:t>Depositary Shares, each representing 1/1000 of a share</w:t>
            </w:r>
          </w:p>
        </w:tc>
        <w:tc>
          <w:tcPr>
            <w:tcW w:w="580" w:type="dxa"/>
            <w:vAlign w:val="bottom"/>
          </w:tcPr>
          <w:p>
            <w:pPr>
              <w:spacing w:after="0"/>
              <w:rPr>
                <w:sz w:val="24"/>
                <w:szCs w:val="24"/>
                <w:color w:val="auto"/>
              </w:rPr>
            </w:pPr>
          </w:p>
        </w:tc>
        <w:tc>
          <w:tcPr>
            <w:tcW w:w="1960" w:type="dxa"/>
            <w:vAlign w:val="bottom"/>
            <w:gridSpan w:val="2"/>
          </w:tcPr>
          <w:p>
            <w:pPr>
              <w:jc w:val="center"/>
              <w:ind w:right="840"/>
              <w:spacing w:after="0"/>
              <w:rPr>
                <w:sz w:val="20"/>
                <w:szCs w:val="20"/>
                <w:color w:val="auto"/>
              </w:rPr>
            </w:pPr>
            <w:r>
              <w:rPr>
                <w:rFonts w:ascii="Times New Roman" w:cs="Times New Roman" w:eastAsia="Times New Roman" w:hAnsi="Times New Roman"/>
                <w:sz w:val="16"/>
                <w:szCs w:val="16"/>
                <w:color w:val="auto"/>
                <w:w w:val="96"/>
              </w:rPr>
              <w:t>FRT-C</w:t>
            </w:r>
          </w:p>
        </w:tc>
        <w:tc>
          <w:tcPr>
            <w:tcW w:w="28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168"/>
        </w:trPr>
        <w:tc>
          <w:tcPr>
            <w:tcW w:w="7020" w:type="dxa"/>
            <w:vAlign w:val="bottom"/>
            <w:gridSpan w:val="6"/>
          </w:tcPr>
          <w:p>
            <w:pPr>
              <w:jc w:val="center"/>
              <w:ind w:right="2380"/>
              <w:spacing w:after="0" w:line="168" w:lineRule="exact"/>
              <w:rPr>
                <w:sz w:val="20"/>
                <w:szCs w:val="20"/>
                <w:color w:val="auto"/>
              </w:rPr>
            </w:pPr>
            <w:r>
              <w:rPr>
                <w:rFonts w:ascii="Times New Roman" w:cs="Times New Roman" w:eastAsia="Times New Roman" w:hAnsi="Times New Roman"/>
                <w:sz w:val="16"/>
                <w:szCs w:val="16"/>
                <w:color w:val="auto"/>
              </w:rPr>
              <w:t>of 5.00% Series C Cumulative Redeemable Preferred Stock, $.01 par</w:t>
            </w: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10"/>
        </w:trPr>
        <w:tc>
          <w:tcPr>
            <w:tcW w:w="1680" w:type="dxa"/>
            <w:vAlign w:val="bottom"/>
          </w:tcPr>
          <w:p>
            <w:pPr>
              <w:spacing w:after="0"/>
              <w:rPr>
                <w:sz w:val="18"/>
                <w:szCs w:val="18"/>
                <w:color w:val="auto"/>
              </w:rPr>
            </w:pPr>
          </w:p>
        </w:tc>
        <w:tc>
          <w:tcPr>
            <w:tcW w:w="2800" w:type="dxa"/>
            <w:vAlign w:val="bottom"/>
            <w:gridSpan w:val="2"/>
          </w:tcPr>
          <w:p>
            <w:pPr>
              <w:jc w:val="center"/>
              <w:ind w:right="1500"/>
              <w:spacing w:after="0"/>
              <w:rPr>
                <w:sz w:val="20"/>
                <w:szCs w:val="20"/>
                <w:color w:val="auto"/>
              </w:rPr>
            </w:pPr>
            <w:r>
              <w:rPr>
                <w:rFonts w:ascii="Times New Roman" w:cs="Times New Roman" w:eastAsia="Times New Roman" w:hAnsi="Times New Roman"/>
                <w:sz w:val="16"/>
                <w:szCs w:val="16"/>
                <w:color w:val="auto"/>
              </w:rPr>
              <w:t>value per share</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10"/>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Federal Realty OP LP</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2"/>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0"/>
        </w:trPr>
        <w:tc>
          <w:tcPr>
            <w:tcW w:w="1680" w:type="dxa"/>
            <w:vAlign w:val="bottom"/>
          </w:tcPr>
          <w:p>
            <w:pPr>
              <w:spacing w:after="0"/>
              <w:rPr>
                <w:sz w:val="20"/>
                <w:szCs w:val="20"/>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r>
    </w:tbl>
    <w:p>
      <w:pPr>
        <w:spacing w:after="0" w:line="208" w:lineRule="exact"/>
        <w:rPr>
          <w:sz w:val="24"/>
          <w:szCs w:val="24"/>
          <w:color w:val="auto"/>
        </w:rPr>
      </w:pPr>
    </w:p>
    <w:p>
      <w:pPr>
        <w:ind w:left="20" w:right="600"/>
        <w:spacing w:after="0" w:line="242"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or Rule 12b-2 of the Securities Exchange Act of 1934.</w:t>
      </w:r>
    </w:p>
    <w:p>
      <w:pPr>
        <w:spacing w:after="0" w:line="1" w:lineRule="exact"/>
        <w:rPr>
          <w:sz w:val="24"/>
          <w:szCs w:val="24"/>
          <w:color w:val="auto"/>
        </w:rPr>
      </w:pPr>
    </w:p>
    <w:p>
      <w:pPr>
        <w:ind w:left="20"/>
        <w:spacing w:after="0" w:line="184" w:lineRule="exact"/>
        <w:tabs>
          <w:tab w:leader="none" w:pos="3940" w:val="left"/>
        </w:tabs>
        <w:rPr>
          <w:sz w:val="20"/>
          <w:szCs w:val="20"/>
          <w:color w:val="auto"/>
        </w:rPr>
      </w:pPr>
      <w:r>
        <w:rPr>
          <w:rFonts w:ascii="Times New Roman" w:cs="Times New Roman" w:eastAsia="Times New Roman" w:hAnsi="Times New Roman"/>
          <w:sz w:val="16"/>
          <w:szCs w:val="16"/>
          <w:color w:val="auto"/>
        </w:rPr>
        <w:t xml:space="preserve">Federal Realty Investment Trust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Federal Realty OP LP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59" w:lineRule="exact"/>
        <w:rPr>
          <w:sz w:val="24"/>
          <w:szCs w:val="24"/>
          <w:color w:val="auto"/>
        </w:rPr>
      </w:pPr>
    </w:p>
    <w:p>
      <w:pPr>
        <w:ind w:left="20" w:right="100"/>
        <w:spacing w:after="0" w:line="242" w:lineRule="auto"/>
        <w:rPr>
          <w:sz w:val="20"/>
          <w:szCs w:val="20"/>
          <w:color w:val="auto"/>
        </w:rPr>
      </w:pPr>
      <w:r>
        <w:rPr>
          <w:rFonts w:ascii="Times New Roman" w:cs="Times New Roman" w:eastAsia="Times New Roman" w:hAnsi="Times New Roman"/>
          <w:sz w:val="16"/>
          <w:szCs w:val="16"/>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20"/>
        <w:spacing w:after="0" w:line="184" w:lineRule="exact"/>
        <w:tabs>
          <w:tab w:leader="none" w:pos="3940" w:val="left"/>
        </w:tabs>
        <w:rPr>
          <w:sz w:val="20"/>
          <w:szCs w:val="20"/>
          <w:color w:val="auto"/>
        </w:rPr>
      </w:pPr>
      <w:r>
        <w:rPr>
          <w:rFonts w:ascii="Times New Roman" w:cs="Times New Roman" w:eastAsia="Times New Roman" w:hAnsi="Times New Roman"/>
          <w:sz w:val="16"/>
          <w:szCs w:val="16"/>
          <w:color w:val="auto"/>
        </w:rPr>
        <w:t xml:space="preserve">Federal Realty Investment Trust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Federal Realty OP LP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620395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3"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51" w:lineRule="exact"/>
        <w:rPr>
          <w:sz w:val="20"/>
          <w:szCs w:val="20"/>
          <w:color w:val="auto"/>
        </w:rPr>
      </w:pPr>
    </w:p>
    <w:p>
      <w:pPr>
        <w:ind w:firstLine="180"/>
        <w:spacing w:after="0" w:line="268" w:lineRule="auto"/>
        <w:rPr>
          <w:sz w:val="20"/>
          <w:szCs w:val="20"/>
          <w:color w:val="auto"/>
        </w:rPr>
      </w:pPr>
      <w:r>
        <w:rPr>
          <w:rFonts w:ascii="Times New Roman" w:cs="Times New Roman" w:eastAsia="Times New Roman" w:hAnsi="Times New Roman"/>
          <w:sz w:val="21"/>
          <w:szCs w:val="21"/>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91" w:lineRule="exact"/>
        <w:rPr>
          <w:sz w:val="20"/>
          <w:szCs w:val="20"/>
          <w:color w:val="auto"/>
        </w:rPr>
      </w:pPr>
    </w:p>
    <w:p>
      <w:pPr>
        <w:ind w:right="20" w:firstLine="180"/>
        <w:spacing w:after="0" w:line="263" w:lineRule="auto"/>
        <w:rPr>
          <w:sz w:val="20"/>
          <w:szCs w:val="20"/>
          <w:color w:val="auto"/>
        </w:rPr>
      </w:pPr>
      <w:r>
        <w:rPr>
          <w:rFonts w:ascii="Times New Roman" w:cs="Times New Roman" w:eastAsia="Times New Roman" w:hAnsi="Times New Roman"/>
          <w:sz w:val="22"/>
          <w:szCs w:val="22"/>
          <w:color w:val="auto"/>
        </w:rPr>
        <w:t>On May 05, 2022, Federal Realty Investment Trust issued supplemental data pertaining to its operations, as well as a press release, to report its financial results for the quarter ended March 31, 2022. The supplemental data and press release are furnished as Exhibit 99.1 hereto.</w:t>
      </w:r>
    </w:p>
    <w:p>
      <w:pPr>
        <w:spacing w:after="0" w:line="19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51" w:lineRule="exact"/>
        <w:rPr>
          <w:sz w:val="20"/>
          <w:szCs w:val="20"/>
          <w:color w:val="auto"/>
        </w:rPr>
      </w:pPr>
    </w:p>
    <w:p>
      <w:pPr>
        <w:ind w:left="180"/>
        <w:spacing w:after="0"/>
        <w:tabs>
          <w:tab w:leader="none" w:pos="58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Exhibits</w:t>
      </w:r>
    </w:p>
    <w:p>
      <w:pPr>
        <w:spacing w:after="0" w:line="247" w:lineRule="exact"/>
        <w:rPr>
          <w:sz w:val="20"/>
          <w:szCs w:val="20"/>
          <w:color w:val="auto"/>
        </w:rPr>
      </w:pPr>
    </w:p>
    <w:p>
      <w:pPr>
        <w:ind w:left="180"/>
        <w:spacing w:after="0"/>
        <w:tabs>
          <w:tab w:leader="none" w:pos="72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1"/>
          <w:szCs w:val="21"/>
          <w:color w:val="auto"/>
        </w:rPr>
        <w:t>Supplemental information at March 31, 2022 (including press release dated May 05,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00" w:lineRule="exact"/>
        <w:rPr>
          <w:sz w:val="20"/>
          <w:szCs w:val="20"/>
          <w:color w:val="auto"/>
        </w:rPr>
      </w:pPr>
    </w:p>
    <w:p>
      <w:pPr>
        <w:spacing w:after="0" w:line="294" w:lineRule="exact"/>
        <w:rPr>
          <w:sz w:val="20"/>
          <w:szCs w:val="20"/>
          <w:color w:val="auto"/>
        </w:rPr>
      </w:pPr>
    </w:p>
    <w:p>
      <w:pPr>
        <w:ind w:right="200" w:firstLine="180"/>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registrants have duly caused this report to be signed on their behalf by the undersigned hereunto duly authorized.</w:t>
      </w:r>
    </w:p>
    <w:p>
      <w:pPr>
        <w:spacing w:after="0" w:line="19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FEDERAL REALTY INVESTMENT TRUST</w:t>
      </w:r>
    </w:p>
    <w:p>
      <w:pPr>
        <w:spacing w:after="0" w:line="3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FEDERAL REALTY OP LP</w:t>
      </w:r>
    </w:p>
    <w:p>
      <w:pPr>
        <w:spacing w:after="0" w:line="275" w:lineRule="exact"/>
        <w:rPr>
          <w:sz w:val="20"/>
          <w:szCs w:val="20"/>
          <w:color w:val="auto"/>
        </w:rPr>
      </w:pPr>
    </w:p>
    <w:p>
      <w:pPr>
        <w:ind w:left="40"/>
        <w:spacing w:after="0"/>
        <w:tabs>
          <w:tab w:leader="none" w:pos="840" w:val="left"/>
          <w:tab w:leader="none" w:pos="4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May 05, 2022</w:t>
      </w:r>
      <w:r>
        <w:rPr>
          <w:sz w:val="20"/>
          <w:szCs w:val="20"/>
          <w:color w:val="auto"/>
        </w:rPr>
        <w:tab/>
      </w:r>
      <w:r>
        <w:rPr>
          <w:rFonts w:ascii="Times New Roman" w:cs="Times New Roman" w:eastAsia="Times New Roman" w:hAnsi="Times New Roman"/>
          <w:sz w:val="21"/>
          <w:szCs w:val="21"/>
          <w:u w:val="single" w:color="auto"/>
          <w:color w:val="auto"/>
        </w:rPr>
        <w:t>/s/ Daniel Guglielmone</w:t>
      </w:r>
    </w:p>
    <w:p>
      <w:pPr>
        <w:spacing w:after="0" w:line="28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Daniel Guglielmone</w:t>
      </w:r>
    </w:p>
    <w:p>
      <w:pPr>
        <w:spacing w:after="0" w:line="2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Executive Vice President-</w:t>
      </w:r>
    </w:p>
    <w:p>
      <w:pPr>
        <w:spacing w:after="0" w:line="1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2"/>
        </w:trPr>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80" w:type="dxa"/>
            <w:vAlign w:val="bottom"/>
          </w:tcPr>
          <w:p>
            <w:pPr>
              <w:ind w:left="2980"/>
              <w:spacing w:after="0"/>
              <w:rPr>
                <w:sz w:val="20"/>
                <w:szCs w:val="20"/>
                <w:color w:val="auto"/>
              </w:rPr>
            </w:pPr>
            <w:r>
              <w:rPr>
                <w:rFonts w:ascii="Times New Roman" w:cs="Times New Roman" w:eastAsia="Times New Roman" w:hAnsi="Times New Roman"/>
                <w:sz w:val="22"/>
                <w:szCs w:val="22"/>
                <w:color w:val="auto"/>
              </w:rPr>
              <w:t>EXHIBIT INDEX</w:t>
            </w:r>
          </w:p>
        </w:tc>
      </w:tr>
      <w:tr>
        <w:trPr>
          <w:trHeight w:val="555"/>
        </w:trPr>
        <w:tc>
          <w:tcPr>
            <w:tcW w:w="1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170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15"/>
                <w:szCs w:val="15"/>
                <w:color w:val="auto"/>
              </w:rPr>
            </w:pPr>
          </w:p>
        </w:tc>
        <w:tc>
          <w:tcPr>
            <w:tcW w:w="93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Supplemental Information at March 31, 2022</w:t>
            </w:r>
          </w:p>
        </w:tc>
      </w:tr>
      <w:tr>
        <w:trPr>
          <w:trHeight w:val="304"/>
        </w:trPr>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(the Cover Page Interactive Data File is embedded within the Inline XBRL document)</w:t>
            </w:r>
          </w:p>
        </w:tc>
      </w:tr>
    </w:tbl>
    <w:p>
      <w:pPr>
        <w:sectPr>
          <w:pgSz w:w="11900" w:h="16838" w:orient="portrait"/>
          <w:cols w:equalWidth="0" w:num="1">
            <w:col w:w="11180"/>
          </w:cols>
          <w:pgMar w:left="360" w:top="895" w:right="35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SUPPLEMENTAL INFORMATION</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March 31, 2022</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1</w:t>
            </w:r>
          </w:p>
        </w:tc>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First Quarter 2022 Earnings Press Release</w:t>
            </w:r>
          </w:p>
        </w:tc>
        <w:tc>
          <w:tcPr>
            <w:tcW w:w="18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16"/>
        </w:trPr>
        <w:tc>
          <w:tcPr>
            <w:tcW w:w="460" w:type="dxa"/>
            <w:vAlign w:val="bottom"/>
            <w:tcBorders>
              <w:top w:val="single" w:sz="8" w:color="CCEEFF"/>
            </w:tcBorders>
          </w:tcPr>
          <w:p>
            <w:pPr>
              <w:spacing w:after="0"/>
              <w:rPr>
                <w:sz w:val="18"/>
                <w:szCs w:val="18"/>
                <w:color w:val="auto"/>
              </w:rPr>
            </w:pPr>
          </w:p>
        </w:tc>
        <w:tc>
          <w:tcPr>
            <w:tcW w:w="69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29"/>
        </w:trPr>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2</w:t>
            </w:r>
          </w:p>
        </w:tc>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Financial Highlights</w:t>
            </w: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460" w:type="dxa"/>
            <w:vAlign w:val="bottom"/>
          </w:tcPr>
          <w:p>
            <w:pPr>
              <w:spacing w:after="0"/>
              <w:rPr>
                <w:sz w:val="16"/>
                <w:szCs w:val="16"/>
                <w:color w:val="auto"/>
              </w:rPr>
            </w:pPr>
          </w:p>
        </w:tc>
        <w:tc>
          <w:tcPr>
            <w:tcW w:w="6980" w:type="dxa"/>
            <w:vAlign w:val="bottom"/>
          </w:tcPr>
          <w:p>
            <w:pPr>
              <w:ind w:left="1140"/>
              <w:spacing w:after="0" w:line="189" w:lineRule="exact"/>
              <w:rPr>
                <w:sz w:val="20"/>
                <w:szCs w:val="20"/>
                <w:color w:val="auto"/>
              </w:rPr>
            </w:pPr>
            <w:r>
              <w:rPr>
                <w:rFonts w:ascii="Times New Roman" w:cs="Times New Roman" w:eastAsia="Times New Roman" w:hAnsi="Times New Roman"/>
                <w:sz w:val="18"/>
                <w:szCs w:val="18"/>
                <w:color w:val="auto"/>
              </w:rPr>
              <w:t>Consolidated Income Statements</w:t>
            </w:r>
          </w:p>
        </w:tc>
        <w:tc>
          <w:tcPr>
            <w:tcW w:w="18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1"/>
        </w:trPr>
        <w:tc>
          <w:tcPr>
            <w:tcW w:w="4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60" w:type="dxa"/>
            <w:vAlign w:val="bottom"/>
            <w:tcBorders>
              <w:bottom w:val="single" w:sz="8" w:color="CCEEFF"/>
            </w:tcBorders>
            <w:shd w:val="clear" w:color="auto" w:fill="CCEEFF"/>
          </w:tcPr>
          <w:p>
            <w:pPr>
              <w:spacing w:after="0"/>
              <w:rPr>
                <w:sz w:val="18"/>
                <w:szCs w:val="18"/>
                <w:color w:val="auto"/>
              </w:rPr>
            </w:pPr>
          </w:p>
        </w:tc>
        <w:tc>
          <w:tcPr>
            <w:tcW w:w="6980" w:type="dxa"/>
            <w:vAlign w:val="bottom"/>
            <w:tcBorders>
              <w:bottom w:val="single" w:sz="8" w:color="CCEEFF"/>
            </w:tcBorders>
            <w:shd w:val="clear" w:color="auto" w:fill="CCEEFF"/>
          </w:tcPr>
          <w:p>
            <w:pPr>
              <w:ind w:left="1140"/>
              <w:spacing w:after="0" w:line="189" w:lineRule="exact"/>
              <w:rPr>
                <w:sz w:val="20"/>
                <w:szCs w:val="20"/>
                <w:color w:val="auto"/>
              </w:rPr>
            </w:pPr>
            <w:r>
              <w:rPr>
                <w:rFonts w:ascii="Times New Roman" w:cs="Times New Roman" w:eastAsia="Times New Roman" w:hAnsi="Times New Roman"/>
                <w:sz w:val="18"/>
                <w:szCs w:val="18"/>
                <w:color w:val="auto"/>
              </w:rPr>
              <w:t>Consolidated Balance Sheets</w:t>
            </w:r>
          </w:p>
        </w:tc>
        <w:tc>
          <w:tcPr>
            <w:tcW w:w="17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460" w:type="dxa"/>
            <w:vAlign w:val="bottom"/>
          </w:tcPr>
          <w:p>
            <w:pPr>
              <w:spacing w:after="0"/>
              <w:rPr>
                <w:sz w:val="16"/>
                <w:szCs w:val="16"/>
                <w:color w:val="auto"/>
              </w:rPr>
            </w:pPr>
          </w:p>
        </w:tc>
        <w:tc>
          <w:tcPr>
            <w:tcW w:w="6980" w:type="dxa"/>
            <w:vAlign w:val="bottom"/>
          </w:tcPr>
          <w:p>
            <w:pPr>
              <w:ind w:left="1140"/>
              <w:spacing w:after="0" w:line="189" w:lineRule="exact"/>
              <w:rPr>
                <w:sz w:val="20"/>
                <w:szCs w:val="20"/>
                <w:color w:val="auto"/>
              </w:rPr>
            </w:pPr>
            <w:r>
              <w:rPr>
                <w:rFonts w:ascii="Times New Roman" w:cs="Times New Roman" w:eastAsia="Times New Roman" w:hAnsi="Times New Roman"/>
                <w:sz w:val="18"/>
                <w:szCs w:val="18"/>
                <w:color w:val="auto"/>
              </w:rPr>
              <w:t>Funds From Operations / Other Supplemental Information</w:t>
            </w:r>
          </w:p>
        </w:tc>
        <w:tc>
          <w:tcPr>
            <w:tcW w:w="18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w:t>
            </w:r>
          </w:p>
        </w:tc>
      </w:tr>
      <w:tr>
        <w:trPr>
          <w:trHeight w:val="20"/>
        </w:trPr>
        <w:tc>
          <w:tcPr>
            <w:tcW w:w="4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60" w:type="dxa"/>
            <w:vAlign w:val="bottom"/>
            <w:shd w:val="clear" w:color="auto" w:fill="CCEEFF"/>
          </w:tcPr>
          <w:p>
            <w:pPr>
              <w:spacing w:after="0"/>
              <w:rPr>
                <w:sz w:val="18"/>
                <w:szCs w:val="18"/>
                <w:color w:val="auto"/>
              </w:rPr>
            </w:pPr>
          </w:p>
        </w:tc>
        <w:tc>
          <w:tcPr>
            <w:tcW w:w="6980" w:type="dxa"/>
            <w:vAlign w:val="bottom"/>
            <w:shd w:val="clear" w:color="auto" w:fill="CCEEFF"/>
          </w:tcPr>
          <w:p>
            <w:pPr>
              <w:ind w:left="1140"/>
              <w:spacing w:after="0" w:line="189" w:lineRule="exact"/>
              <w:rPr>
                <w:sz w:val="20"/>
                <w:szCs w:val="20"/>
                <w:color w:val="auto"/>
              </w:rPr>
            </w:pPr>
            <w:r>
              <w:rPr>
                <w:rFonts w:ascii="Times New Roman" w:cs="Times New Roman" w:eastAsia="Times New Roman" w:hAnsi="Times New Roman"/>
                <w:sz w:val="18"/>
                <w:szCs w:val="18"/>
                <w:color w:val="auto"/>
              </w:rPr>
              <w:t>Components of Rental Income and Other Information</w:t>
            </w:r>
          </w:p>
        </w:tc>
        <w:tc>
          <w:tcPr>
            <w:tcW w:w="18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20" w:type="dxa"/>
            <w:vAlign w:val="bottom"/>
            <w:shd w:val="clear" w:color="auto" w:fill="CCEEFF"/>
          </w:tcPr>
          <w:p>
            <w:pPr>
              <w:spacing w:after="0"/>
              <w:rPr>
                <w:sz w:val="18"/>
                <w:szCs w:val="18"/>
                <w:color w:val="auto"/>
              </w:rPr>
            </w:pPr>
          </w:p>
        </w:tc>
      </w:tr>
      <w:tr>
        <w:trPr>
          <w:trHeight w:val="189"/>
        </w:trPr>
        <w:tc>
          <w:tcPr>
            <w:tcW w:w="460" w:type="dxa"/>
            <w:vAlign w:val="bottom"/>
            <w:tcBorders>
              <w:top w:val="single" w:sz="8" w:color="CCEEFF"/>
            </w:tcBorders>
          </w:tcPr>
          <w:p>
            <w:pPr>
              <w:spacing w:after="0"/>
              <w:rPr>
                <w:sz w:val="16"/>
                <w:szCs w:val="16"/>
                <w:color w:val="auto"/>
              </w:rPr>
            </w:pPr>
          </w:p>
        </w:tc>
        <w:tc>
          <w:tcPr>
            <w:tcW w:w="6980" w:type="dxa"/>
            <w:vAlign w:val="bottom"/>
            <w:tcBorders>
              <w:top w:val="single" w:sz="8" w:color="CCEEFF"/>
            </w:tcBorders>
          </w:tcPr>
          <w:p>
            <w:pPr>
              <w:ind w:left="1140"/>
              <w:spacing w:after="0" w:line="189" w:lineRule="exact"/>
              <w:rPr>
                <w:sz w:val="20"/>
                <w:szCs w:val="20"/>
                <w:color w:val="auto"/>
              </w:rPr>
            </w:pPr>
            <w:r>
              <w:rPr>
                <w:rFonts w:ascii="Times New Roman" w:cs="Times New Roman" w:eastAsia="Times New Roman" w:hAnsi="Times New Roman"/>
                <w:sz w:val="18"/>
                <w:szCs w:val="18"/>
                <w:color w:val="auto"/>
              </w:rPr>
              <w:t>Comparable Property Information</w:t>
            </w:r>
          </w:p>
        </w:tc>
        <w:tc>
          <w:tcPr>
            <w:tcW w:w="1660" w:type="dxa"/>
            <w:vAlign w:val="bottom"/>
            <w:tcBorders>
              <w:top w:val="single" w:sz="8" w:color="CCEEFF"/>
            </w:tcBorders>
          </w:tcPr>
          <w:p>
            <w:pPr>
              <w:spacing w:after="0"/>
              <w:rPr>
                <w:sz w:val="16"/>
                <w:szCs w:val="16"/>
                <w:color w:val="auto"/>
              </w:rPr>
            </w:pPr>
          </w:p>
        </w:tc>
        <w:tc>
          <w:tcPr>
            <w:tcW w:w="180" w:type="dxa"/>
            <w:vAlign w:val="bottom"/>
            <w:tcBorders>
              <w:top w:val="single" w:sz="8" w:color="0000FF"/>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11</w:t>
            </w:r>
          </w:p>
        </w:tc>
        <w:tc>
          <w:tcPr>
            <w:tcW w:w="20" w:type="dxa"/>
            <w:vAlign w:val="bottom"/>
            <w:tcBorders>
              <w:top w:val="single" w:sz="8" w:color="CCEEFF"/>
            </w:tcBorders>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60" w:type="dxa"/>
            <w:vAlign w:val="bottom"/>
            <w:shd w:val="clear" w:color="auto" w:fill="CCEEFF"/>
          </w:tcPr>
          <w:p>
            <w:pPr>
              <w:spacing w:after="0"/>
              <w:rPr>
                <w:sz w:val="16"/>
                <w:szCs w:val="16"/>
                <w:color w:val="auto"/>
              </w:rPr>
            </w:pPr>
          </w:p>
        </w:tc>
        <w:tc>
          <w:tcPr>
            <w:tcW w:w="6980" w:type="dxa"/>
            <w:vAlign w:val="bottom"/>
            <w:shd w:val="clear" w:color="auto" w:fill="CCEEFF"/>
          </w:tcPr>
          <w:p>
            <w:pPr>
              <w:ind w:left="1140"/>
              <w:spacing w:after="0" w:line="189" w:lineRule="exact"/>
              <w:rPr>
                <w:sz w:val="20"/>
                <w:szCs w:val="20"/>
                <w:color w:val="auto"/>
              </w:rPr>
            </w:pPr>
            <w:r>
              <w:rPr>
                <w:rFonts w:ascii="Times New Roman" w:cs="Times New Roman" w:eastAsia="Times New Roman" w:hAnsi="Times New Roman"/>
                <w:sz w:val="18"/>
                <w:szCs w:val="18"/>
                <w:color w:val="auto"/>
              </w:rPr>
              <w:t>Market Data</w:t>
            </w:r>
          </w:p>
        </w:tc>
        <w:tc>
          <w:tcPr>
            <w:tcW w:w="18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shd w:val="clear" w:color="auto" w:fill="CCEEFF"/>
          </w:tcPr>
          <w:p>
            <w:pPr>
              <w:spacing w:after="0"/>
              <w:rPr>
                <w:sz w:val="16"/>
                <w:szCs w:val="16"/>
                <w:color w:val="auto"/>
              </w:rPr>
            </w:pP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69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11" w:lineRule="exact"/>
        <w:rPr>
          <w:sz w:val="20"/>
          <w:szCs w:val="20"/>
          <w:color w:val="auto"/>
        </w:rPr>
      </w:pPr>
    </w:p>
    <w:p>
      <w:pPr>
        <w:ind w:left="800" w:hanging="789"/>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5906135" cy="145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6135" cy="145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61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Summary of Outstanding Debt</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7"/>
                <w:szCs w:val="17"/>
                <w:color w:val="auto"/>
              </w:rPr>
            </w:pPr>
          </w:p>
        </w:tc>
      </w:tr>
      <w:tr>
        <w:trPr>
          <w:trHeight w:val="21"/>
        </w:trPr>
        <w:tc>
          <w:tcPr>
            <w:tcW w:w="5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00" w:type="dxa"/>
            <w:vAlign w:val="bottom"/>
            <w:shd w:val="clear" w:color="auto" w:fill="CCEEFF"/>
          </w:tcPr>
          <w:p>
            <w:pPr>
              <w:spacing w:after="0"/>
              <w:rPr>
                <w:sz w:val="18"/>
                <w:szCs w:val="18"/>
                <w:color w:val="auto"/>
              </w:rPr>
            </w:pPr>
          </w:p>
        </w:tc>
        <w:tc>
          <w:tcPr>
            <w:tcW w:w="6180" w:type="dxa"/>
            <w:vAlign w:val="bottom"/>
            <w:shd w:val="clear" w:color="auto" w:fill="CCEEFF"/>
          </w:tcPr>
          <w:p>
            <w:pPr>
              <w:ind w:left="1100"/>
              <w:spacing w:after="0" w:line="189" w:lineRule="exact"/>
              <w:rPr>
                <w:sz w:val="20"/>
                <w:szCs w:val="20"/>
                <w:color w:val="auto"/>
              </w:rPr>
            </w:pPr>
            <w:r>
              <w:rPr>
                <w:rFonts w:ascii="Times New Roman" w:cs="Times New Roman" w:eastAsia="Times New Roman" w:hAnsi="Times New Roman"/>
                <w:sz w:val="18"/>
                <w:szCs w:val="18"/>
                <w:color w:val="auto"/>
              </w:rPr>
              <w:t>Summary of Debt Maturities</w:t>
            </w:r>
          </w:p>
        </w:tc>
        <w:tc>
          <w:tcPr>
            <w:tcW w:w="26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15</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18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w:t>
            </w:r>
          </w:p>
        </w:tc>
        <w:tc>
          <w:tcPr>
            <w:tcW w:w="618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Summary of Redevelopment Opportunities</w:t>
            </w:r>
          </w:p>
        </w:tc>
        <w:tc>
          <w:tcPr>
            <w:tcW w:w="26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18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5</w:t>
            </w:r>
          </w:p>
        </w:tc>
        <w:tc>
          <w:tcPr>
            <w:tcW w:w="618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Assembly Row, Pike &amp; Rose, and Santana Row</w:t>
            </w:r>
          </w:p>
        </w:tc>
        <w:tc>
          <w:tcPr>
            <w:tcW w:w="26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17</w:t>
            </w:r>
          </w:p>
        </w:tc>
        <w:tc>
          <w:tcPr>
            <w:tcW w:w="20" w:type="dxa"/>
            <w:vAlign w:val="bottom"/>
            <w:shd w:val="clear" w:color="auto" w:fill="CCEEFF"/>
          </w:tcPr>
          <w:p>
            <w:pPr>
              <w:spacing w:after="0"/>
              <w:rPr>
                <w:sz w:val="18"/>
                <w:szCs w:val="18"/>
                <w:color w:val="auto"/>
              </w:rPr>
            </w:pPr>
          </w:p>
        </w:tc>
      </w:tr>
      <w:tr>
        <w:trPr>
          <w:trHeight w:val="270"/>
        </w:trPr>
        <w:tc>
          <w:tcPr>
            <w:tcW w:w="500" w:type="dxa"/>
            <w:vAlign w:val="bottom"/>
            <w:tcBorders>
              <w:top w:val="single" w:sz="8" w:color="CCEEFF"/>
            </w:tcBorders>
          </w:tcPr>
          <w:p>
            <w:pPr>
              <w:spacing w:after="0"/>
              <w:rPr>
                <w:sz w:val="23"/>
                <w:szCs w:val="23"/>
                <w:color w:val="auto"/>
              </w:rPr>
            </w:pPr>
          </w:p>
        </w:tc>
        <w:tc>
          <w:tcPr>
            <w:tcW w:w="6180" w:type="dxa"/>
            <w:vAlign w:val="bottom"/>
            <w:tcBorders>
              <w:top w:val="single" w:sz="8" w:color="CCEEFF"/>
            </w:tcBorders>
          </w:tcPr>
          <w:p>
            <w:pPr>
              <w:spacing w:after="0"/>
              <w:rPr>
                <w:sz w:val="23"/>
                <w:szCs w:val="23"/>
                <w:color w:val="auto"/>
              </w:rPr>
            </w:pPr>
          </w:p>
        </w:tc>
        <w:tc>
          <w:tcPr>
            <w:tcW w:w="24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6</w:t>
            </w:r>
          </w:p>
        </w:tc>
        <w:tc>
          <w:tcPr>
            <w:tcW w:w="618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Future Redevelopment Opportunities</w:t>
            </w:r>
          </w:p>
        </w:tc>
        <w:tc>
          <w:tcPr>
            <w:tcW w:w="26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18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618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Property Acquisition</w:t>
            </w:r>
          </w:p>
        </w:tc>
        <w:tc>
          <w:tcPr>
            <w:tcW w:w="26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19</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18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8</w:t>
            </w:r>
          </w:p>
        </w:tc>
        <w:tc>
          <w:tcPr>
            <w:tcW w:w="618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Real Estate Status Report</w:t>
            </w:r>
          </w:p>
        </w:tc>
        <w:tc>
          <w:tcPr>
            <w:tcW w:w="26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20</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18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9</w:t>
            </w:r>
          </w:p>
        </w:tc>
        <w:tc>
          <w:tcPr>
            <w:tcW w:w="618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Retail Leasing Summary</w:t>
            </w:r>
          </w:p>
        </w:tc>
        <w:tc>
          <w:tcPr>
            <w:tcW w:w="26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18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618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Lease Expirations</w:t>
            </w:r>
          </w:p>
        </w:tc>
        <w:tc>
          <w:tcPr>
            <w:tcW w:w="26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18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618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Portfolio Leased Statistics</w:t>
            </w:r>
          </w:p>
        </w:tc>
        <w:tc>
          <w:tcPr>
            <w:tcW w:w="26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18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12</w:t>
            </w:r>
          </w:p>
        </w:tc>
        <w:tc>
          <w:tcPr>
            <w:tcW w:w="618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Summary of Top 25 Tenants</w:t>
            </w:r>
          </w:p>
        </w:tc>
        <w:tc>
          <w:tcPr>
            <w:tcW w:w="26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27</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18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13</w:t>
            </w:r>
          </w:p>
        </w:tc>
        <w:tc>
          <w:tcPr>
            <w:tcW w:w="618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Reconciliation of FFO Guidance</w:t>
            </w:r>
          </w:p>
        </w:tc>
        <w:tc>
          <w:tcPr>
            <w:tcW w:w="26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28</w:t>
            </w:r>
          </w:p>
        </w:tc>
        <w:tc>
          <w:tcPr>
            <w:tcW w:w="20" w:type="dxa"/>
            <w:vAlign w:val="bottom"/>
            <w:shd w:val="clear" w:color="auto" w:fill="CCEEFF"/>
          </w:tcPr>
          <w:p>
            <w:pPr>
              <w:spacing w:after="0"/>
              <w:rPr>
                <w:sz w:val="18"/>
                <w:szCs w:val="18"/>
                <w:color w:val="auto"/>
              </w:rPr>
            </w:pPr>
          </w:p>
        </w:tc>
      </w:tr>
      <w:tr>
        <w:trPr>
          <w:trHeight w:val="270"/>
        </w:trPr>
        <w:tc>
          <w:tcPr>
            <w:tcW w:w="500" w:type="dxa"/>
            <w:vAlign w:val="bottom"/>
            <w:tcBorders>
              <w:top w:val="single" w:sz="8" w:color="CCEEFF"/>
            </w:tcBorders>
          </w:tcPr>
          <w:p>
            <w:pPr>
              <w:spacing w:after="0"/>
              <w:rPr>
                <w:sz w:val="23"/>
                <w:szCs w:val="23"/>
                <w:color w:val="auto"/>
              </w:rPr>
            </w:pPr>
          </w:p>
        </w:tc>
        <w:tc>
          <w:tcPr>
            <w:tcW w:w="6180" w:type="dxa"/>
            <w:vAlign w:val="bottom"/>
            <w:tcBorders>
              <w:top w:val="single" w:sz="8" w:color="CCEEFF"/>
            </w:tcBorders>
          </w:tcPr>
          <w:p>
            <w:pPr>
              <w:spacing w:after="0"/>
              <w:rPr>
                <w:sz w:val="23"/>
                <w:szCs w:val="23"/>
                <w:color w:val="auto"/>
              </w:rPr>
            </w:pPr>
          </w:p>
        </w:tc>
        <w:tc>
          <w:tcPr>
            <w:tcW w:w="24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14</w:t>
            </w:r>
          </w:p>
        </w:tc>
        <w:tc>
          <w:tcPr>
            <w:tcW w:w="618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Glossary of Terms</w:t>
            </w:r>
          </w:p>
        </w:tc>
        <w:tc>
          <w:tcPr>
            <w:tcW w:w="26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29</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18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50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bl>
    <w:p>
      <w:pPr>
        <w:jc w:val="center"/>
        <w:ind w:right="20"/>
        <w:spacing w:after="0"/>
        <w:rPr>
          <w:sz w:val="20"/>
          <w:szCs w:val="20"/>
          <w:color w:val="auto"/>
        </w:rPr>
      </w:pPr>
      <w:r>
        <w:rPr>
          <w:rFonts w:ascii="Times New Roman" w:cs="Times New Roman" w:eastAsia="Times New Roman" w:hAnsi="Times New Roman"/>
          <w:sz w:val="18"/>
          <w:szCs w:val="18"/>
          <w:color w:val="auto"/>
        </w:rPr>
        <w:t>909 Rose Avenue, Suite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906135" cy="146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6135" cy="146050"/>
                    </a:xfrm>
                    <a:prstGeom prst="rect">
                      <a:avLst/>
                    </a:prstGeom>
                    <a:noFill/>
                  </pic:spPr>
                </pic:pic>
              </a:graphicData>
            </a:graphic>
          </wp:anchor>
        </w:drawing>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North Bethesda, Maryland 20852</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301-998-8100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300"/>
          </w:cols>
          <w:pgMar w:left="1300" w:top="1022" w:right="1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Language</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10, 2022, and include the following:</w:t>
      </w:r>
    </w:p>
    <w:p>
      <w:pPr>
        <w:spacing w:after="0" w:line="214" w:lineRule="exact"/>
        <w:rPr>
          <w:sz w:val="20"/>
          <w:szCs w:val="20"/>
          <w:color w:val="auto"/>
        </w:rPr>
      </w:pPr>
    </w:p>
    <w:p>
      <w:pPr>
        <w:ind w:left="980" w:right="160" w:hanging="324"/>
        <w:spacing w:after="0" w:line="26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our tenants will not pay rent, may vacate early or may file for bankruptcy or that we may be unable to renew leases or re-let space at favorable rents as leases expire or to fill existing vacancy;</w:t>
      </w:r>
    </w:p>
    <w:p>
      <w:pPr>
        <w:ind w:left="98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1" w:lineRule="exact"/>
        <w:rPr>
          <w:rFonts w:ascii="Times New Roman" w:cs="Times New Roman" w:eastAsia="Times New Roman" w:hAnsi="Times New Roman"/>
          <w:sz w:val="18"/>
          <w:szCs w:val="18"/>
          <w:color w:val="auto"/>
        </w:rPr>
      </w:pPr>
    </w:p>
    <w:p>
      <w:pPr>
        <w:ind w:left="980" w:right="100" w:hanging="324"/>
        <w:spacing w:after="0" w:line="250" w:lineRule="auto"/>
        <w:tabs>
          <w:tab w:leader="none" w:pos="97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our growth will be limited if we cannot obtain additional capital;</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general economic conditions, including local economic conditions in our geographic markets;</w:t>
      </w:r>
    </w:p>
    <w:p>
      <w:pPr>
        <w:spacing w:after="0" w:line="9" w:lineRule="exact"/>
        <w:rPr>
          <w:rFonts w:ascii="Times New Roman" w:cs="Times New Roman" w:eastAsia="Times New Roman" w:hAnsi="Times New Roman"/>
          <w:sz w:val="18"/>
          <w:szCs w:val="18"/>
          <w:i w:val="1"/>
          <w:iCs w:val="1"/>
          <w:color w:val="auto"/>
        </w:rPr>
      </w:pPr>
    </w:p>
    <w:p>
      <w:pPr>
        <w:ind w:left="980" w:right="36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jc w:val="both"/>
        <w:ind w:left="980" w:right="42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1" w:lineRule="exact"/>
        <w:rPr>
          <w:rFonts w:ascii="Times New Roman" w:cs="Times New Roman" w:eastAsia="Times New Roman" w:hAnsi="Times New Roman"/>
          <w:sz w:val="18"/>
          <w:szCs w:val="18"/>
          <w:color w:val="auto"/>
        </w:rPr>
      </w:pPr>
    </w:p>
    <w:p>
      <w:pPr>
        <w:ind w:left="980" w:right="40" w:hanging="324"/>
        <w:spacing w:after="0" w:line="253" w:lineRule="auto"/>
        <w:tabs>
          <w:tab w:leader="none" w:pos="97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2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10, 2022.</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87"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2548255</wp:posOffset>
            </wp:positionH>
            <wp:positionV relativeFrom="page">
              <wp:posOffset>757555</wp:posOffset>
            </wp:positionV>
            <wp:extent cx="2451735" cy="960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45173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NEWS RELEASE</w:t>
            </w:r>
          </w:p>
        </w:tc>
        <w:tc>
          <w:tcPr>
            <w:tcW w:w="5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www.federalrealty.com</w:t>
            </w:r>
          </w:p>
        </w:tc>
      </w:tr>
      <w:tr>
        <w:trPr>
          <w:trHeight w:val="321"/>
        </w:trPr>
        <w:tc>
          <w:tcPr>
            <w:tcW w:w="5340" w:type="dxa"/>
            <w:vAlign w:val="bottom"/>
          </w:tcPr>
          <w:p>
            <w:pPr>
              <w:ind w:left="20"/>
              <w:spacing w:after="0"/>
              <w:rPr>
                <w:sz w:val="20"/>
                <w:szCs w:val="20"/>
                <w:color w:val="auto"/>
              </w:rPr>
            </w:pPr>
            <w:r>
              <w:rPr>
                <w:rFonts w:ascii="Arial" w:cs="Arial" w:eastAsia="Arial" w:hAnsi="Arial"/>
                <w:sz w:val="17"/>
                <w:szCs w:val="17"/>
                <w:b w:val="1"/>
                <w:bCs w:val="1"/>
                <w:color w:val="auto"/>
              </w:rPr>
              <w:t>FOR IMMEDIATE RELEASE</w:t>
            </w:r>
          </w:p>
        </w:tc>
        <w:tc>
          <w:tcPr>
            <w:tcW w:w="5540" w:type="dxa"/>
            <w:vAlign w:val="bottom"/>
          </w:tcPr>
          <w:p>
            <w:pPr>
              <w:spacing w:after="0"/>
              <w:rPr>
                <w:sz w:val="24"/>
                <w:szCs w:val="24"/>
                <w:color w:val="auto"/>
              </w:rPr>
            </w:pPr>
          </w:p>
        </w:tc>
      </w:tr>
      <w:tr>
        <w:trPr>
          <w:trHeight w:val="390"/>
        </w:trPr>
        <w:tc>
          <w:tcPr>
            <w:tcW w:w="5340" w:type="dxa"/>
            <w:vAlign w:val="bottom"/>
          </w:tcPr>
          <w:p>
            <w:pPr>
              <w:ind w:left="20"/>
              <w:spacing w:after="0"/>
              <w:rPr>
                <w:sz w:val="20"/>
                <w:szCs w:val="20"/>
                <w:color w:val="auto"/>
              </w:rPr>
            </w:pPr>
            <w:r>
              <w:rPr>
                <w:rFonts w:ascii="Arial" w:cs="Arial" w:eastAsia="Arial" w:hAnsi="Arial"/>
                <w:sz w:val="18"/>
                <w:szCs w:val="18"/>
                <w:i w:val="1"/>
                <w:iCs w:val="1"/>
                <w:color w:val="auto"/>
              </w:rPr>
              <w:t>Investor Inquiries:</w:t>
            </w:r>
          </w:p>
        </w:tc>
        <w:tc>
          <w:tcPr>
            <w:tcW w:w="5540" w:type="dxa"/>
            <w:vAlign w:val="bottom"/>
          </w:tcPr>
          <w:p>
            <w:pPr>
              <w:jc w:val="right"/>
              <w:spacing w:after="0"/>
              <w:rPr>
                <w:sz w:val="20"/>
                <w:szCs w:val="20"/>
                <w:color w:val="auto"/>
              </w:rPr>
            </w:pPr>
            <w:r>
              <w:rPr>
                <w:rFonts w:ascii="Arial" w:cs="Arial" w:eastAsia="Arial" w:hAnsi="Arial"/>
                <w:sz w:val="18"/>
                <w:szCs w:val="18"/>
                <w:i w:val="1"/>
                <w:iCs w:val="1"/>
                <w:color w:val="auto"/>
              </w:rPr>
              <w:t>Media Inquiries:</w:t>
            </w: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Leah Andress Brady</w:t>
            </w:r>
          </w:p>
        </w:tc>
        <w:tc>
          <w:tcPr>
            <w:tcW w:w="5540" w:type="dxa"/>
            <w:vAlign w:val="bottom"/>
          </w:tcPr>
          <w:p>
            <w:pPr>
              <w:jc w:val="right"/>
              <w:spacing w:after="0"/>
              <w:rPr>
                <w:sz w:val="20"/>
                <w:szCs w:val="20"/>
                <w:color w:val="auto"/>
              </w:rPr>
            </w:pPr>
            <w:r>
              <w:rPr>
                <w:rFonts w:ascii="Arial" w:cs="Arial" w:eastAsia="Arial" w:hAnsi="Arial"/>
                <w:sz w:val="18"/>
                <w:szCs w:val="18"/>
                <w:color w:val="auto"/>
              </w:rPr>
              <w:t>Brenda Pomar</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Vice President, Investor Relations</w:t>
            </w:r>
          </w:p>
        </w:tc>
        <w:tc>
          <w:tcPr>
            <w:tcW w:w="5540" w:type="dxa"/>
            <w:vAlign w:val="bottom"/>
          </w:tcPr>
          <w:p>
            <w:pPr>
              <w:jc w:val="right"/>
              <w:spacing w:after="0"/>
              <w:rPr>
                <w:sz w:val="20"/>
                <w:szCs w:val="20"/>
                <w:color w:val="auto"/>
              </w:rPr>
            </w:pPr>
            <w:r>
              <w:rPr>
                <w:rFonts w:ascii="Arial" w:cs="Arial" w:eastAsia="Arial" w:hAnsi="Arial"/>
                <w:sz w:val="18"/>
                <w:szCs w:val="18"/>
                <w:color w:val="auto"/>
              </w:rPr>
              <w:t>Director, Corporate Communications</w:t>
            </w: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301.998.8265</w:t>
            </w:r>
          </w:p>
        </w:tc>
        <w:tc>
          <w:tcPr>
            <w:tcW w:w="5540" w:type="dxa"/>
            <w:vAlign w:val="bottom"/>
          </w:tcPr>
          <w:p>
            <w:pPr>
              <w:jc w:val="right"/>
              <w:spacing w:after="0"/>
              <w:rPr>
                <w:sz w:val="20"/>
                <w:szCs w:val="20"/>
                <w:color w:val="auto"/>
              </w:rPr>
            </w:pPr>
            <w:r>
              <w:rPr>
                <w:rFonts w:ascii="Arial" w:cs="Arial" w:eastAsia="Arial" w:hAnsi="Arial"/>
                <w:sz w:val="18"/>
                <w:szCs w:val="18"/>
                <w:color w:val="auto"/>
              </w:rPr>
              <w:t>301.998.8316</w:t>
            </w:r>
          </w:p>
        </w:tc>
      </w:tr>
      <w:tr>
        <w:trPr>
          <w:trHeight w:val="239"/>
        </w:trPr>
        <w:tc>
          <w:tcPr>
            <w:tcW w:w="5340" w:type="dxa"/>
            <w:vAlign w:val="bottom"/>
          </w:tcPr>
          <w:p>
            <w:pPr>
              <w:ind w:left="20"/>
              <w:spacing w:after="0"/>
              <w:rPr>
                <w:sz w:val="20"/>
                <w:szCs w:val="20"/>
                <w:color w:val="auto"/>
              </w:rPr>
            </w:pPr>
            <w:r>
              <w:rPr>
                <w:rFonts w:ascii="Arial" w:cs="Arial" w:eastAsia="Arial" w:hAnsi="Arial"/>
                <w:sz w:val="18"/>
                <w:szCs w:val="18"/>
                <w:color w:val="auto"/>
              </w:rPr>
              <w:t>lbrady@federalrealty.com</w:t>
            </w:r>
          </w:p>
        </w:tc>
        <w:tc>
          <w:tcPr>
            <w:tcW w:w="5540" w:type="dxa"/>
            <w:vAlign w:val="bottom"/>
          </w:tcPr>
          <w:p>
            <w:pPr>
              <w:jc w:val="right"/>
              <w:spacing w:after="0"/>
              <w:rPr>
                <w:sz w:val="20"/>
                <w:szCs w:val="20"/>
                <w:color w:val="auto"/>
              </w:rPr>
            </w:pPr>
            <w:r>
              <w:rPr>
                <w:rFonts w:ascii="Arial" w:cs="Arial" w:eastAsia="Arial" w:hAnsi="Arial"/>
                <w:sz w:val="18"/>
                <w:szCs w:val="18"/>
                <w:color w:val="auto"/>
              </w:rPr>
              <w:t>bpomar@federalrealty.com</w:t>
            </w: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Announces First Quarter 2022 Operating Results</w:t>
      </w:r>
    </w:p>
    <w:p>
      <w:pPr>
        <w:spacing w:after="0" w:line="306" w:lineRule="exact"/>
        <w:rPr>
          <w:sz w:val="20"/>
          <w:szCs w:val="20"/>
          <w:color w:val="auto"/>
        </w:rPr>
      </w:pPr>
    </w:p>
    <w:p>
      <w:pPr>
        <w:ind w:right="200"/>
        <w:spacing w:after="0" w:line="378" w:lineRule="auto"/>
        <w:rPr>
          <w:sz w:val="20"/>
          <w:szCs w:val="20"/>
          <w:color w:val="auto"/>
        </w:rPr>
      </w:pPr>
      <w:r>
        <w:rPr>
          <w:rFonts w:ascii="Arial" w:cs="Arial" w:eastAsia="Arial" w:hAnsi="Arial"/>
          <w:sz w:val="18"/>
          <w:szCs w:val="18"/>
          <w:color w:val="auto"/>
        </w:rPr>
        <w:t xml:space="preserve">NORTH BETHESDA, Md. (May 5, 2022) - </w:t>
      </w:r>
      <w:r>
        <w:rPr>
          <w:rFonts w:ascii="Arial" w:cs="Arial" w:eastAsia="Arial" w:hAnsi="Arial"/>
          <w:sz w:val="18"/>
          <w:szCs w:val="18"/>
          <w:u w:val="single" w:color="auto"/>
          <w:color w:val="auto"/>
        </w:rPr>
        <w:t>Federal Realty Investment Trust</w:t>
      </w:r>
      <w:r>
        <w:rPr>
          <w:rFonts w:ascii="Arial" w:cs="Arial" w:eastAsia="Arial" w:hAnsi="Arial"/>
          <w:sz w:val="18"/>
          <w:szCs w:val="18"/>
          <w:color w:val="auto"/>
        </w:rPr>
        <w:t xml:space="preserve"> (NYSE:FRT) today reported operating results for its first quarter ended March 31, 2022. For the three months ended March 31, 2022 and 2021, net income available for common shareholders was $0.63 per diluted share and $0.60 per diluted share,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Highlights for the quarter and subsequent events include:</w:t>
      </w:r>
    </w:p>
    <w:p>
      <w:pPr>
        <w:spacing w:after="0" w:line="252" w:lineRule="exact"/>
        <w:rPr>
          <w:sz w:val="20"/>
          <w:szCs w:val="20"/>
          <w:color w:val="auto"/>
        </w:rPr>
      </w:pPr>
    </w:p>
    <w:p>
      <w:pPr>
        <w:ind w:left="660" w:right="20" w:hanging="328"/>
        <w:spacing w:after="0" w:line="3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funds from operations available to common shareholders (FFO) per diluted share of $1.50 for the quarter compared to $1.17 for the first quarter 2021.</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comparable property operating income (POI) growth of 14.5% for the first quarter.</w:t>
      </w:r>
    </w:p>
    <w:p>
      <w:pPr>
        <w:spacing w:after="0" w:line="117" w:lineRule="exact"/>
        <w:rPr>
          <w:rFonts w:ascii="Arial" w:cs="Arial" w:eastAsia="Arial" w:hAnsi="Arial"/>
          <w:sz w:val="18"/>
          <w:szCs w:val="18"/>
          <w:color w:val="auto"/>
        </w:rPr>
      </w:pPr>
    </w:p>
    <w:p>
      <w:pPr>
        <w:ind w:left="660" w:right="140" w:hanging="328"/>
        <w:spacing w:after="0" w:line="3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record levels of leasing with 119 signed leases for 444,398 square feet of comparable space in the first quarter, our most active first quarter on record.</w:t>
      </w:r>
    </w:p>
    <w:p>
      <w:pPr>
        <w:ind w:left="660" w:hanging="328"/>
        <w:spacing w:after="0" w:line="3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Federal Realty’s portfolio was 91.2% occupied and 93.7% leased, representing year-over-year increases of 170 basis points and 190 basis points, respectively.</w:t>
      </w: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Maintained a 250 basis point spread between leased and occupied.</w:t>
      </w:r>
    </w:p>
    <w:p>
      <w:pPr>
        <w:spacing w:after="0" w:line="117" w:lineRule="exact"/>
        <w:rPr>
          <w:rFonts w:ascii="Arial" w:cs="Arial" w:eastAsia="Arial" w:hAnsi="Arial"/>
          <w:sz w:val="18"/>
          <w:szCs w:val="18"/>
          <w:color w:val="auto"/>
        </w:rPr>
      </w:pPr>
    </w:p>
    <w:p>
      <w:pPr>
        <w:ind w:left="660" w:right="20" w:hanging="328"/>
        <w:spacing w:after="0" w:line="3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strong small shop leasing, ending the quarter at 88.7% leased, an increase of 130 basis points over the fourth quarter and an increase of 490 basis points year over year.</w:t>
      </w:r>
    </w:p>
    <w:p>
      <w:pPr>
        <w:jc w:val="both"/>
        <w:ind w:left="660" w:hanging="328"/>
        <w:spacing w:after="0" w:line="3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Subsequent to quarter end, closed on phase one of the acquisition of Kingstowne Towne Center in Kingstowne, Virginia, for $100 million and expect to close on phase two for $100 million in July 2022, subject to customary closing conditions. Combined, the property comprises 410,000 square feet of retail space on 45 acres of land.</w:t>
      </w:r>
    </w:p>
    <w:p>
      <w:pPr>
        <w:ind w:left="660" w:right="20" w:hanging="328"/>
        <w:spacing w:after="0" w:line="41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2022 earnings per diluted share guidance to $2.36 - $2.56 and increased 2022 FFO per diluted share guidance to $5.85 - $6.05, an increase of 10 cents at the midpoint.</w:t>
      </w:r>
    </w:p>
    <w:p>
      <w:pPr>
        <w:spacing w:after="0" w:line="72" w:lineRule="exact"/>
        <w:rPr>
          <w:sz w:val="20"/>
          <w:szCs w:val="20"/>
          <w:color w:val="auto"/>
        </w:rPr>
      </w:pPr>
    </w:p>
    <w:p>
      <w:pPr>
        <w:ind w:right="80"/>
        <w:spacing w:after="0" w:line="372" w:lineRule="auto"/>
        <w:rPr>
          <w:sz w:val="20"/>
          <w:szCs w:val="20"/>
          <w:color w:val="auto"/>
        </w:rPr>
      </w:pPr>
      <w:r>
        <w:rPr>
          <w:rFonts w:ascii="Arial" w:cs="Arial" w:eastAsia="Arial" w:hAnsi="Arial"/>
          <w:sz w:val="18"/>
          <w:szCs w:val="18"/>
          <w:color w:val="auto"/>
        </w:rPr>
        <w:t>“Demand for our product has outpaced even our continually raised expectations,” said Donald C. Wood, Chief Executive Officer. “Record leasing combined with in-process expansion at our established mixed-use centers, our continued redevelopment and property improvement efforts and recent selective acquisitions continue to drive bottom line earnings growth. These multiple drivers of growth are what differentiate us over cycles.”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440"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Financial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w:t>
      </w:r>
      <w:r>
        <w:rPr>
          <w:rFonts w:ascii="Arial" w:cs="Arial" w:eastAsia="Arial" w:hAnsi="Arial"/>
          <w:sz w:val="18"/>
          <w:szCs w:val="18"/>
          <w:color w:val="auto"/>
        </w:rPr>
        <w:t>e</w:t>
      </w:r>
    </w:p>
    <w:p>
      <w:pPr>
        <w:spacing w:after="0" w:line="252" w:lineRule="exact"/>
        <w:rPr>
          <w:sz w:val="20"/>
          <w:szCs w:val="20"/>
          <w:color w:val="auto"/>
        </w:rPr>
      </w:pPr>
    </w:p>
    <w:p>
      <w:pPr>
        <w:ind w:right="380"/>
        <w:spacing w:after="0" w:line="396" w:lineRule="auto"/>
        <w:rPr>
          <w:sz w:val="20"/>
          <w:szCs w:val="20"/>
          <w:color w:val="auto"/>
        </w:rPr>
      </w:pPr>
      <w:r>
        <w:rPr>
          <w:rFonts w:ascii="Arial" w:cs="Arial" w:eastAsia="Arial" w:hAnsi="Arial"/>
          <w:sz w:val="18"/>
          <w:szCs w:val="18"/>
          <w:color w:val="auto"/>
        </w:rPr>
        <w:t>Net income available for common shareholders was $50.0 million and earnings per diluted share was $0.63 for first quarter 2022 versus $46.2 million and $0.60, respectively, for first quarter 2021.</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FFO</w:t>
      </w:r>
    </w:p>
    <w:p>
      <w:pPr>
        <w:spacing w:after="0" w:line="250" w:lineRule="exact"/>
        <w:rPr>
          <w:sz w:val="20"/>
          <w:szCs w:val="20"/>
          <w:color w:val="auto"/>
        </w:rPr>
      </w:pPr>
    </w:p>
    <w:p>
      <w:pPr>
        <w:ind w:right="80"/>
        <w:spacing w:after="0" w:line="396" w:lineRule="auto"/>
        <w:rPr>
          <w:sz w:val="20"/>
          <w:szCs w:val="20"/>
          <w:color w:val="auto"/>
        </w:rPr>
      </w:pPr>
      <w:r>
        <w:rPr>
          <w:rFonts w:ascii="Arial" w:cs="Arial" w:eastAsia="Arial" w:hAnsi="Arial"/>
          <w:sz w:val="18"/>
          <w:szCs w:val="18"/>
          <w:color w:val="auto"/>
        </w:rPr>
        <w:t>In the first quarter 2022, Federal Realty generated FFO of $119.1 million, or $1.50 per diluted share. This compares to FFO of $91.1 million, or $1.17 per diluted share, in first quarter 2021.</w:t>
      </w:r>
    </w:p>
    <w:p>
      <w:pPr>
        <w:spacing w:after="0" w:line="86" w:lineRule="exact"/>
        <w:rPr>
          <w:sz w:val="20"/>
          <w:szCs w:val="20"/>
          <w:color w:val="auto"/>
        </w:rPr>
      </w:pPr>
    </w:p>
    <w:p>
      <w:pPr>
        <w:ind w:right="560"/>
        <w:spacing w:after="0" w:line="396"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Results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w:t>
      </w:r>
    </w:p>
    <w:p>
      <w:pPr>
        <w:spacing w:after="0" w:line="250"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The portfolio was 91.2% occupied as of March 31, 2022, an increase of 170 basis points over the first quarter 2021. The portfolio was 93.7% leased as of March 31, 2022, an increase of 190 basis points over the first quarter 2021. Both portfolio occupancy and leased rate increased 10 basis points over the fourth quarter 2021, a strong result given that occupancy and leased metrics typically trend down in the first quarter due to traditional seasonality of the business. The spread between our leased and occupied percentages was 250 basis points at the end of the first quarter.</w:t>
      </w:r>
    </w:p>
    <w:p>
      <w:pPr>
        <w:spacing w:after="0" w:line="106" w:lineRule="exact"/>
        <w:rPr>
          <w:sz w:val="20"/>
          <w:szCs w:val="20"/>
          <w:color w:val="auto"/>
        </w:rPr>
      </w:pPr>
    </w:p>
    <w:p>
      <w:pPr>
        <w:ind w:right="220"/>
        <w:spacing w:after="0" w:line="396" w:lineRule="auto"/>
        <w:rPr>
          <w:sz w:val="20"/>
          <w:szCs w:val="20"/>
          <w:color w:val="auto"/>
        </w:rPr>
      </w:pPr>
      <w:r>
        <w:rPr>
          <w:rFonts w:ascii="Arial" w:cs="Arial" w:eastAsia="Arial" w:hAnsi="Arial"/>
          <w:sz w:val="18"/>
          <w:szCs w:val="18"/>
          <w:color w:val="auto"/>
        </w:rPr>
        <w:t>Additionally, our comparable residential properties were 97.7% leased as of March 31, 2022, a sequential increase of 50 basis points over fourth quarter and year-over-year increase of 160 basis points.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 Activity</w:t>
      </w:r>
    </w:p>
    <w:p>
      <w:pPr>
        <w:spacing w:after="0" w:line="250" w:lineRule="exact"/>
        <w:rPr>
          <w:sz w:val="20"/>
          <w:szCs w:val="20"/>
          <w:color w:val="auto"/>
        </w:rPr>
      </w:pPr>
    </w:p>
    <w:p>
      <w:pPr>
        <w:ind w:right="200"/>
        <w:spacing w:after="0" w:line="372" w:lineRule="auto"/>
        <w:rPr>
          <w:sz w:val="20"/>
          <w:szCs w:val="20"/>
          <w:color w:val="auto"/>
        </w:rPr>
      </w:pPr>
      <w:r>
        <w:rPr>
          <w:rFonts w:ascii="Arial" w:cs="Arial" w:eastAsia="Arial" w:hAnsi="Arial"/>
          <w:sz w:val="18"/>
          <w:szCs w:val="18"/>
          <w:color w:val="auto"/>
        </w:rPr>
        <w:t>During the first quarter 2022, Federal Realty signed 124 leases for 460,062 square feet of retail space. On a comparable space basis (i.e., spaces for which there was a former tenant), Federal Realty leased 444,398 square feet at an average rent of $36.77 per square foot compared to the average contractual rent of $34.31 per square foot for the last year of the prior leases, representing a cash basis rollover growth on those comparable spaces of 7%, 17% on a straight-line basis.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Activity</w:t>
      </w:r>
    </w:p>
    <w:p>
      <w:pPr>
        <w:spacing w:after="0" w:line="250" w:lineRule="exact"/>
        <w:rPr>
          <w:sz w:val="20"/>
          <w:szCs w:val="20"/>
          <w:color w:val="auto"/>
        </w:rPr>
      </w:pPr>
    </w:p>
    <w:p>
      <w:pPr>
        <w:ind w:right="140"/>
        <w:spacing w:after="0" w:line="377" w:lineRule="auto"/>
        <w:rPr>
          <w:sz w:val="20"/>
          <w:szCs w:val="20"/>
          <w:color w:val="auto"/>
        </w:rPr>
      </w:pPr>
      <w:r>
        <w:rPr>
          <w:rFonts w:ascii="Arial" w:cs="Arial" w:eastAsia="Arial" w:hAnsi="Arial"/>
          <w:sz w:val="18"/>
          <w:szCs w:val="18"/>
          <w:color w:val="auto"/>
        </w:rPr>
        <w:t>Subsequent to quarter end, Federal Realty closed on phase one of the acquisition of Kingstowne Towne Center in Kingstowne, Virginia, for $100 million and expects to close on phase two for $100 million in July 2022, subject to customary closing conditions. Combined, the property comprises 410,000 square feet of retail space on 45 acres of land and is anchored by Safeway, Giant, T.J. Maxx, Ross and HomeGoods.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80"/>
          </w:cols>
          <w:pgMar w:left="320" w:top="1228"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Regular Quarterly Dividends</w:t>
      </w:r>
    </w:p>
    <w:p>
      <w:pPr>
        <w:spacing w:after="0" w:line="252" w:lineRule="exact"/>
        <w:rPr>
          <w:sz w:val="20"/>
          <w:szCs w:val="20"/>
          <w:color w:val="auto"/>
        </w:rPr>
      </w:pPr>
    </w:p>
    <w:p>
      <w:pPr>
        <w:ind w:right="140"/>
        <w:spacing w:after="0" w:line="378" w:lineRule="auto"/>
        <w:rPr>
          <w:sz w:val="20"/>
          <w:szCs w:val="20"/>
          <w:color w:val="auto"/>
        </w:rPr>
      </w:pPr>
      <w:r>
        <w:rPr>
          <w:rFonts w:ascii="Arial" w:cs="Arial" w:eastAsia="Arial" w:hAnsi="Arial"/>
          <w:sz w:val="18"/>
          <w:szCs w:val="18"/>
          <w:color w:val="auto"/>
        </w:rPr>
        <w:t>Federal Realty announced today that its Board of Trustees declared a regular quarterly cash dividend of $1.07 per common share, resulting in an indicated annual rate of $4.28 per common share. The regular common dividend will be payable on July 15, 2022 to common shareholders of record as of June 22, 2022.</w:t>
      </w:r>
    </w:p>
    <w:p>
      <w:pPr>
        <w:spacing w:after="0" w:line="102" w:lineRule="exact"/>
        <w:rPr>
          <w:sz w:val="20"/>
          <w:szCs w:val="20"/>
          <w:color w:val="auto"/>
        </w:rPr>
      </w:pPr>
    </w:p>
    <w:p>
      <w:pPr>
        <w:jc w:val="both"/>
        <w:ind w:right="160"/>
        <w:spacing w:after="0" w:line="378" w:lineRule="auto"/>
        <w:rPr>
          <w:sz w:val="20"/>
          <w:szCs w:val="20"/>
          <w:color w:val="auto"/>
        </w:rPr>
      </w:pPr>
      <w:r>
        <w:rPr>
          <w:rFonts w:ascii="Arial" w:cs="Arial" w:eastAsia="Arial" w:hAnsi="Arial"/>
          <w:sz w:val="18"/>
          <w:szCs w:val="18"/>
          <w:color w:val="auto"/>
        </w:rPr>
        <w:t>Federal Realty’s Board of Trustees also declared a quarterly cash dividend on its Class C depositary shares, each representing 1/1000 of a 5.000% Series C Cumulative Preferred Share of Beneficial Interest, of $0.3125 per depositary share. All dividends on the depositary shares will be payable on July 15, 2022 to shareholders of record as of July 1, 2022.</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Guidance</w:t>
      </w:r>
    </w:p>
    <w:p>
      <w:pPr>
        <w:spacing w:after="0" w:line="104" w:lineRule="exact"/>
        <w:rPr>
          <w:sz w:val="20"/>
          <w:szCs w:val="20"/>
          <w:color w:val="auto"/>
        </w:rPr>
      </w:pPr>
    </w:p>
    <w:p>
      <w:pPr>
        <w:ind w:right="440"/>
        <w:spacing w:after="0" w:line="412" w:lineRule="auto"/>
        <w:rPr>
          <w:sz w:val="20"/>
          <w:szCs w:val="20"/>
          <w:color w:val="auto"/>
        </w:rPr>
      </w:pPr>
      <w:r>
        <w:rPr>
          <w:rFonts w:ascii="Arial" w:cs="Arial" w:eastAsia="Arial" w:hAnsi="Arial"/>
          <w:sz w:val="18"/>
          <w:szCs w:val="18"/>
          <w:color w:val="auto"/>
        </w:rPr>
        <w:t>Federal Realty increased its 2022 guidance for earnings per diluted share from $2.30 - $2.50 to $2.36 - $2.56 and 2022 FFO per diluted share from $5.75 to $5.95 to $5.85 - $6.05.</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39" w:lineRule="exact"/>
        <w:rPr>
          <w:sz w:val="20"/>
          <w:szCs w:val="20"/>
          <w:color w:val="auto"/>
        </w:rPr>
      </w:pPr>
    </w:p>
    <w:p>
      <w:pPr>
        <w:spacing w:after="0" w:line="370" w:lineRule="auto"/>
        <w:rPr>
          <w:sz w:val="20"/>
          <w:szCs w:val="20"/>
          <w:color w:val="auto"/>
        </w:rPr>
      </w:pPr>
      <w:r>
        <w:rPr>
          <w:rFonts w:ascii="Arial" w:cs="Arial" w:eastAsia="Arial" w:hAnsi="Arial"/>
          <w:sz w:val="18"/>
          <w:szCs w:val="18"/>
          <w:color w:val="auto"/>
        </w:rPr>
        <w:t>Federal Realty’s management team will present an in-depth discussion of Federal Realty’s operating performance on its first quarter 2022 earnings conference call, which is scheduled for Thursday, May 5, 2022 at 11:00 AM ET. To participate, please call 877.407.9208 five to ten minutes prior to the call start time and use the passcode 13729384 (required). The teleconference can also be accessed via a live webcast at www.federalrealty.com in the Investors section. A replay of the webcast will be available on Federal Realty’s website at www.federalrealty.com. A telephonic replay of the conference call will also be available through May 19, 2022 by dialing 844.512.2921; Passcode: 13729384.</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Federal Realty</w:t>
      </w:r>
    </w:p>
    <w:p>
      <w:pPr>
        <w:spacing w:after="0" w:line="252" w:lineRule="exact"/>
        <w:rPr>
          <w:sz w:val="20"/>
          <w:szCs w:val="20"/>
          <w:color w:val="auto"/>
        </w:rPr>
      </w:pPr>
    </w:p>
    <w:p>
      <w:pPr>
        <w:jc w:val="both"/>
        <w:spacing w:after="0" w:line="368"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retail-based properties located primarily in major coastal markets from Washington, D.C. to Boston as well as San Francisco and Los Angeles. Founded in 1962, Federal Realty’s mission is to deliver long-term, sustainable growth through investing in communities where retail demand exceeds supply. Its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104 properties include approximately 3,100 tenants, in 25 million square feet, and approximately 3,400 residential units.</w:t>
      </w:r>
    </w:p>
    <w:p>
      <w:pPr>
        <w:spacing w:after="0" w:line="114" w:lineRule="exact"/>
        <w:rPr>
          <w:sz w:val="20"/>
          <w:szCs w:val="20"/>
          <w:color w:val="auto"/>
        </w:rPr>
      </w:pPr>
    </w:p>
    <w:p>
      <w:pPr>
        <w:ind w:right="120"/>
        <w:spacing w:after="0" w:line="378" w:lineRule="auto"/>
        <w:rPr>
          <w:sz w:val="20"/>
          <w:szCs w:val="20"/>
          <w:color w:val="auto"/>
        </w:rPr>
      </w:pPr>
      <w:r>
        <w:rPr>
          <w:rFonts w:ascii="Arial" w:cs="Arial" w:eastAsia="Arial" w:hAnsi="Arial"/>
          <w:sz w:val="18"/>
          <w:szCs w:val="18"/>
          <w:color w:val="auto"/>
        </w:rPr>
        <w:t>Federal Realty has increased its quarterly dividends to its shareholders for 54 consecutive years, the longest record in the REIT industry. Federal Realty is an S&amp;P 500 index member and its shares are traded on the NYSE under the symbol FRT. For additional information about Federal Realty and its properties, visit www.federalrealty.com.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22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Safe Harbor Language</w:t>
      </w:r>
    </w:p>
    <w:p>
      <w:pPr>
        <w:spacing w:after="0" w:line="210" w:lineRule="exact"/>
        <w:rPr>
          <w:sz w:val="20"/>
          <w:szCs w:val="20"/>
          <w:color w:val="auto"/>
        </w:rPr>
      </w:pPr>
    </w:p>
    <w:p>
      <w:pPr>
        <w:spacing w:after="0" w:line="259"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10, 2022, and include the following:</w:t>
      </w:r>
    </w:p>
    <w:p>
      <w:pPr>
        <w:spacing w:after="0" w:line="19" w:lineRule="exact"/>
        <w:rPr>
          <w:sz w:val="20"/>
          <w:szCs w:val="20"/>
          <w:color w:val="auto"/>
        </w:rPr>
      </w:pPr>
    </w:p>
    <w:p>
      <w:pPr>
        <w:ind w:left="980" w:right="60" w:hanging="324"/>
        <w:spacing w:after="0" w:line="245" w:lineRule="auto"/>
        <w:tabs>
          <w:tab w:leader="none" w:pos="975" w:val="left"/>
        </w:tabs>
        <w:numPr>
          <w:ilvl w:val="0"/>
          <w:numId w:val="5"/>
        </w:numPr>
        <w:rPr>
          <w:rFonts w:ascii="Times New Roman" w:cs="Times New Roman" w:eastAsia="Times New Roman" w:hAnsi="Times New Roman"/>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 or to fill existing vacancy;</w:t>
      </w:r>
    </w:p>
    <w:p>
      <w:pPr>
        <w:ind w:left="980" w:right="200" w:hanging="324"/>
        <w:spacing w:after="0" w:line="254" w:lineRule="auto"/>
        <w:tabs>
          <w:tab w:leader="none" w:pos="97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1" w:lineRule="exact"/>
        <w:rPr>
          <w:rFonts w:ascii="Arial" w:cs="Arial" w:eastAsia="Arial" w:hAnsi="Arial"/>
          <w:sz w:val="14"/>
          <w:szCs w:val="14"/>
          <w:i w:val="1"/>
          <w:iCs w:val="1"/>
          <w:color w:val="auto"/>
        </w:rPr>
      </w:pPr>
    </w:p>
    <w:p>
      <w:pPr>
        <w:ind w:left="980" w:hanging="324"/>
        <w:spacing w:after="0" w:line="257" w:lineRule="auto"/>
        <w:tabs>
          <w:tab w:leader="none" w:pos="97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2" w:lineRule="exact"/>
        <w:rPr>
          <w:rFonts w:ascii="Arial" w:cs="Arial" w:eastAsia="Arial" w:hAnsi="Arial"/>
          <w:sz w:val="14"/>
          <w:szCs w:val="14"/>
          <w:i w:val="1"/>
          <w:iCs w:val="1"/>
          <w:color w:val="auto"/>
        </w:rPr>
      </w:pPr>
    </w:p>
    <w:p>
      <w:pPr>
        <w:ind w:left="980" w:hanging="324"/>
        <w:spacing w:after="0"/>
        <w:tabs>
          <w:tab w:leader="none" w:pos="98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that our growth will be limited if we cannot obtain additional capital;</w:t>
      </w:r>
    </w:p>
    <w:p>
      <w:pPr>
        <w:spacing w:after="0" w:line="14" w:lineRule="exact"/>
        <w:rPr>
          <w:rFonts w:ascii="Arial" w:cs="Arial" w:eastAsia="Arial" w:hAnsi="Arial"/>
          <w:sz w:val="14"/>
          <w:szCs w:val="14"/>
          <w:i w:val="1"/>
          <w:iCs w:val="1"/>
          <w:color w:val="auto"/>
        </w:rPr>
      </w:pPr>
    </w:p>
    <w:p>
      <w:pPr>
        <w:ind w:left="980" w:hanging="324"/>
        <w:spacing w:after="0"/>
        <w:tabs>
          <w:tab w:leader="none" w:pos="98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14" w:lineRule="exact"/>
        <w:rPr>
          <w:rFonts w:ascii="Arial" w:cs="Arial" w:eastAsia="Arial" w:hAnsi="Arial"/>
          <w:sz w:val="14"/>
          <w:szCs w:val="14"/>
          <w:i w:val="1"/>
          <w:iCs w:val="1"/>
          <w:color w:val="auto"/>
        </w:rPr>
      </w:pPr>
    </w:p>
    <w:p>
      <w:pPr>
        <w:ind w:left="980" w:right="320" w:hanging="324"/>
        <w:spacing w:after="0" w:line="261" w:lineRule="auto"/>
        <w:tabs>
          <w:tab w:leader="none" w:pos="97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ind w:left="980" w:hanging="324"/>
        <w:spacing w:after="0" w:line="254" w:lineRule="auto"/>
        <w:tabs>
          <w:tab w:leader="none" w:pos="97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1" w:lineRule="exact"/>
        <w:rPr>
          <w:rFonts w:ascii="Arial" w:cs="Arial" w:eastAsia="Arial" w:hAnsi="Arial"/>
          <w:sz w:val="14"/>
          <w:szCs w:val="14"/>
          <w:i w:val="1"/>
          <w:iCs w:val="1"/>
          <w:color w:val="auto"/>
        </w:rPr>
      </w:pPr>
    </w:p>
    <w:p>
      <w:pPr>
        <w:ind w:left="980" w:right="40" w:hanging="324"/>
        <w:spacing w:after="0" w:line="262" w:lineRule="auto"/>
        <w:tabs>
          <w:tab w:leader="none" w:pos="97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36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10, 2022.</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228"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4"/>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1"/>
        </w:trPr>
        <w:tc>
          <w:tcPr>
            <w:tcW w:w="8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left="61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7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7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0"/>
        </w:trPr>
        <w:tc>
          <w:tcPr>
            <w:tcW w:w="8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4"/>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191"/>
        </w:trPr>
        <w:tc>
          <w:tcPr>
            <w:tcW w:w="8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left="61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Rental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256,507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217,135</w:t>
            </w:r>
          </w:p>
        </w:tc>
        <w:tc>
          <w:tcPr>
            <w:tcW w:w="0" w:type="dxa"/>
            <w:vAlign w:val="bottom"/>
          </w:tcPr>
          <w:p>
            <w:pPr>
              <w:spacing w:after="0"/>
              <w:rPr>
                <w:sz w:val="1"/>
                <w:szCs w:val="1"/>
                <w:color w:val="auto"/>
              </w:rPr>
            </w:pPr>
          </w:p>
        </w:tc>
      </w:tr>
      <w:tr>
        <w:trPr>
          <w:trHeight w:val="229"/>
        </w:trPr>
        <w:tc>
          <w:tcPr>
            <w:tcW w:w="8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Mortgage interest income</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23"/>
        </w:trPr>
        <w:tc>
          <w:tcPr>
            <w:tcW w:w="8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256,771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218,161</w:t>
            </w:r>
          </w:p>
        </w:tc>
        <w:tc>
          <w:tcPr>
            <w:tcW w:w="0" w:type="dxa"/>
            <w:vAlign w:val="bottom"/>
          </w:tcPr>
          <w:p>
            <w:pPr>
              <w:spacing w:after="0"/>
              <w:rPr>
                <w:sz w:val="1"/>
                <w:szCs w:val="1"/>
                <w:color w:val="auto"/>
              </w:rPr>
            </w:pPr>
          </w:p>
        </w:tc>
      </w:tr>
      <w:tr>
        <w:trPr>
          <w:trHeight w:val="209"/>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Rental expenses</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49,238</w:t>
            </w:r>
          </w:p>
        </w:tc>
        <w:tc>
          <w:tcPr>
            <w:tcW w:w="0" w:type="dxa"/>
            <w:vAlign w:val="bottom"/>
          </w:tcPr>
          <w:p>
            <w:pPr>
              <w:spacing w:after="0"/>
              <w:rPr>
                <w:sz w:val="1"/>
                <w:szCs w:val="1"/>
                <w:color w:val="auto"/>
              </w:rPr>
            </w:pPr>
          </w:p>
        </w:tc>
      </w:tr>
      <w:tr>
        <w:trPr>
          <w:trHeight w:val="229"/>
        </w:trPr>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estate taxes</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29,420</w:t>
            </w:r>
          </w:p>
        </w:tc>
        <w:tc>
          <w:tcPr>
            <w:tcW w:w="0" w:type="dxa"/>
            <w:vAlign w:val="bottom"/>
          </w:tcPr>
          <w:p>
            <w:pPr>
              <w:spacing w:after="0"/>
              <w:rPr>
                <w:sz w:val="1"/>
                <w:szCs w:val="1"/>
                <w:color w:val="auto"/>
              </w:rPr>
            </w:pPr>
          </w:p>
        </w:tc>
      </w:tr>
      <w:tr>
        <w:trPr>
          <w:trHeight w:val="229"/>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10,258</w:t>
            </w:r>
          </w:p>
        </w:tc>
        <w:tc>
          <w:tcPr>
            <w:tcW w:w="0" w:type="dxa"/>
            <w:vAlign w:val="bottom"/>
          </w:tcPr>
          <w:p>
            <w:pPr>
              <w:spacing w:after="0"/>
              <w:rPr>
                <w:sz w:val="1"/>
                <w:szCs w:val="1"/>
                <w:color w:val="auto"/>
              </w:rPr>
            </w:pPr>
          </w:p>
        </w:tc>
      </w:tr>
      <w:tr>
        <w:trPr>
          <w:trHeight w:val="230"/>
        </w:trPr>
        <w:tc>
          <w:tcPr>
            <w:tcW w:w="8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71,674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63,874</w:t>
            </w:r>
          </w:p>
        </w:tc>
        <w:tc>
          <w:tcPr>
            <w:tcW w:w="0" w:type="dxa"/>
            <w:vAlign w:val="bottom"/>
          </w:tcPr>
          <w:p>
            <w:pPr>
              <w:spacing w:after="0"/>
              <w:rPr>
                <w:sz w:val="1"/>
                <w:szCs w:val="1"/>
                <w:color w:val="auto"/>
              </w:rPr>
            </w:pPr>
          </w:p>
        </w:tc>
      </w:tr>
      <w:tr>
        <w:trPr>
          <w:trHeight w:val="223"/>
        </w:trPr>
        <w:tc>
          <w:tcPr>
            <w:tcW w:w="8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170,787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152,790</w:t>
            </w:r>
          </w:p>
        </w:tc>
        <w:tc>
          <w:tcPr>
            <w:tcW w:w="0" w:type="dxa"/>
            <w:vAlign w:val="bottom"/>
          </w:tcPr>
          <w:p>
            <w:pPr>
              <w:spacing w:after="0"/>
              <w:rPr>
                <w:sz w:val="1"/>
                <w:szCs w:val="1"/>
                <w:color w:val="auto"/>
              </w:rPr>
            </w:pPr>
          </w:p>
        </w:tc>
      </w:tr>
      <w:tr>
        <w:trPr>
          <w:trHeight w:val="250"/>
        </w:trPr>
        <w:tc>
          <w:tcPr>
            <w:tcW w:w="8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17,428</w:t>
            </w:r>
          </w:p>
        </w:tc>
        <w:tc>
          <w:tcPr>
            <w:tcW w:w="0" w:type="dxa"/>
            <w:vAlign w:val="bottom"/>
          </w:tcPr>
          <w:p>
            <w:pPr>
              <w:spacing w:after="0"/>
              <w:rPr>
                <w:sz w:val="1"/>
                <w:szCs w:val="1"/>
                <w:color w:val="auto"/>
              </w:rPr>
            </w:pPr>
          </w:p>
        </w:tc>
      </w:tr>
      <w:tr>
        <w:trPr>
          <w:trHeight w:val="250"/>
        </w:trPr>
        <w:tc>
          <w:tcPr>
            <w:tcW w:w="87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82,799</w:t>
            </w: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INCOME/(EXPENSE)</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interest income</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29"/>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(32,085)</w:t>
            </w:r>
          </w:p>
        </w:tc>
        <w:tc>
          <w:tcPr>
            <w:tcW w:w="0" w:type="dxa"/>
            <w:vAlign w:val="bottom"/>
          </w:tcPr>
          <w:p>
            <w:pPr>
              <w:spacing w:after="0"/>
              <w:rPr>
                <w:sz w:val="1"/>
                <w:szCs w:val="1"/>
                <w:color w:val="auto"/>
              </w:rPr>
            </w:pPr>
          </w:p>
        </w:tc>
      </w:tr>
      <w:tr>
        <w:trPr>
          <w:trHeight w:val="230"/>
        </w:trPr>
        <w:tc>
          <w:tcPr>
            <w:tcW w:w="8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(loss) from partnerships</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23"/>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49,739</w:t>
            </w:r>
          </w:p>
        </w:tc>
        <w:tc>
          <w:tcPr>
            <w:tcW w:w="0" w:type="dxa"/>
            <w:vAlign w:val="bottom"/>
          </w:tcPr>
          <w:p>
            <w:pPr>
              <w:spacing w:after="0"/>
              <w:rPr>
                <w:sz w:val="1"/>
                <w:szCs w:val="1"/>
                <w:color w:val="auto"/>
              </w:rPr>
            </w:pPr>
          </w:p>
        </w:tc>
      </w:tr>
      <w:tr>
        <w:trPr>
          <w:trHeight w:val="230"/>
        </w:trPr>
        <w:tc>
          <w:tcPr>
            <w:tcW w:w="87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23"/>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48,236</w:t>
            </w:r>
          </w:p>
        </w:tc>
        <w:tc>
          <w:tcPr>
            <w:tcW w:w="0" w:type="dxa"/>
            <w:vAlign w:val="bottom"/>
          </w:tcPr>
          <w:p>
            <w:pPr>
              <w:spacing w:after="0"/>
              <w:rPr>
                <w:sz w:val="1"/>
                <w:szCs w:val="1"/>
                <w:color w:val="auto"/>
              </w:rPr>
            </w:pPr>
          </w:p>
        </w:tc>
      </w:tr>
      <w:tr>
        <w:trPr>
          <w:trHeight w:val="230"/>
        </w:trPr>
        <w:tc>
          <w:tcPr>
            <w:tcW w:w="8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Dividends on preferred shares</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248"/>
        </w:trPr>
        <w:tc>
          <w:tcPr>
            <w:tcW w:w="8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46,226</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0"/>
        </w:trPr>
        <w:tc>
          <w:tcPr>
            <w:tcW w:w="8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1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76,842</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6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Weighted average number of common shares</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78,543</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76,842</w:t>
            </w:r>
          </w:p>
        </w:tc>
        <w:tc>
          <w:tcPr>
            <w:tcW w:w="0" w:type="dxa"/>
            <w:vAlign w:val="bottom"/>
          </w:tcPr>
          <w:p>
            <w:pPr>
              <w:spacing w:after="0"/>
              <w:rPr>
                <w:sz w:val="1"/>
                <w:szCs w:val="1"/>
                <w:color w:val="auto"/>
              </w:rPr>
            </w:pPr>
          </w:p>
        </w:tc>
      </w:tr>
      <w:tr>
        <w:trPr>
          <w:trHeight w:val="21"/>
        </w:trPr>
        <w:tc>
          <w:tcPr>
            <w:tcW w:w="8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02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560" w:type="dxa"/>
            <w:vAlign w:val="bottom"/>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r>
      <w:tr>
        <w:trPr>
          <w:trHeight w:val="128"/>
        </w:trPr>
        <w:tc>
          <w:tcPr>
            <w:tcW w:w="8560" w:type="dxa"/>
            <w:vAlign w:val="bottom"/>
          </w:tcPr>
          <w:p>
            <w:pPr>
              <w:spacing w:after="0"/>
              <w:rPr>
                <w:sz w:val="11"/>
                <w:szCs w:val="11"/>
                <w:color w:val="auto"/>
              </w:rPr>
            </w:pPr>
          </w:p>
        </w:tc>
        <w:tc>
          <w:tcPr>
            <w:tcW w:w="2620" w:type="dxa"/>
            <w:vAlign w:val="bottom"/>
            <w:gridSpan w:val="5"/>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w:t>
            </w:r>
          </w:p>
        </w:tc>
      </w:tr>
      <w:tr>
        <w:trPr>
          <w:trHeight w:val="190"/>
        </w:trPr>
        <w:tc>
          <w:tcPr>
            <w:tcW w:w="8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data)</w:t>
            </w:r>
          </w:p>
        </w:tc>
        <w:tc>
          <w:tcPr>
            <w:tcW w:w="1100" w:type="dxa"/>
            <w:vAlign w:val="bottom"/>
          </w:tcPr>
          <w:p>
            <w:pPr>
              <w:spacing w:after="0"/>
              <w:rPr>
                <w:sz w:val="16"/>
                <w:szCs w:val="16"/>
                <w:color w:val="auto"/>
              </w:rPr>
            </w:pPr>
          </w:p>
        </w:tc>
      </w:tr>
      <w:tr>
        <w:trPr>
          <w:trHeight w:val="191"/>
        </w:trPr>
        <w:tc>
          <w:tcPr>
            <w:tcW w:w="8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Real estate, at cost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Operating (including $2,210,901 and $2,207,648 of consolidated variable interest entities, respectively)</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8,843,063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8,814,791</w:t>
            </w: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Construction-in-progress (including $21,677 and $18,752 of consolidated variable interest entities,</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662,985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607,271</w:t>
            </w:r>
          </w:p>
        </w:tc>
      </w:tr>
      <w:tr>
        <w:trPr>
          <w:trHeight w:val="223"/>
        </w:trPr>
        <w:tc>
          <w:tcPr>
            <w:tcW w:w="8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9,506,048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9,422,062</w:t>
            </w: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Less accumulated depreciation and amortization (including $403,533 and $389,950 of consolidated variable</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interest entities, respectively)</w:t>
            </w: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(2,587,121)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(2,531,095)</w:t>
            </w:r>
          </w:p>
        </w:tc>
      </w:tr>
      <w:tr>
        <w:trPr>
          <w:trHeight w:val="223"/>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real estate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6,918,927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6,890,967</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162,132</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169,007</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Mortgage notes receivable, net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9,543</w:t>
            </w: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13,027</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90,743</w:t>
            </w: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Finance lease right of use assets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49,832</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245,581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237,069</w:t>
            </w: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7,668,375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7,622,320</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8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 AND SHAREHOLDERS’ EQUITY</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76"/>
        </w:trPr>
        <w:tc>
          <w:tcPr>
            <w:tcW w:w="856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Mortgages payable, net (including $334,640 and $335,301 of consolidated variable interest entities,</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339,236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339,993</w:t>
            </w: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Notes payable, net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301,466</w:t>
            </w:r>
          </w:p>
        </w:tc>
      </w:tr>
      <w:tr>
        <w:trPr>
          <w:trHeight w:val="229"/>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Senior notes and debentures, net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3,406,491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3,406,088</w:t>
            </w: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235,168</w:t>
            </w: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Dividends payable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86,538</w:t>
            </w: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Security deposits payable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25,331</w:t>
            </w:r>
          </w:p>
        </w:tc>
      </w:tr>
      <w:tr>
        <w:trPr>
          <w:trHeight w:val="229"/>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72,661</w:t>
            </w: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72,032</w:t>
            </w: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201,680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206,187</w:t>
            </w:r>
          </w:p>
        </w:tc>
      </w:tr>
      <w:tr>
        <w:trPr>
          <w:trHeight w:val="223"/>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4,739,755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4,745,464</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213,708</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Preferred shares, authorized 15,000,000 shares, $.01 par:</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75"/>
        </w:trPr>
        <w:tc>
          <w:tcPr>
            <w:tcW w:w="8560" w:type="dxa"/>
            <w:vAlign w:val="bottom"/>
            <w:shd w:val="clear" w:color="auto" w:fill="CCEEFF"/>
          </w:tcPr>
          <w:p>
            <w:pPr>
              <w:ind w:left="780"/>
              <w:spacing w:after="0" w:line="176" w:lineRule="exact"/>
              <w:rPr>
                <w:sz w:val="20"/>
                <w:szCs w:val="20"/>
                <w:color w:val="auto"/>
              </w:rPr>
            </w:pPr>
            <w:r>
              <w:rPr>
                <w:rFonts w:ascii="Times New Roman" w:cs="Times New Roman" w:eastAsia="Times New Roman" w:hAnsi="Times New Roman"/>
                <w:sz w:val="18"/>
                <w:szCs w:val="18"/>
                <w:color w:val="auto"/>
              </w:rPr>
              <w:t>5.0% Series C Cumulative Redeemable Preferred Shares, (stated at liquidation preference $25,000 per</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share), 6,000 shares issued and outstanding</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176"/>
        </w:trPr>
        <w:tc>
          <w:tcPr>
            <w:tcW w:w="8560" w:type="dxa"/>
            <w:vAlign w:val="bottom"/>
          </w:tcPr>
          <w:p>
            <w:pPr>
              <w:ind w:left="780"/>
              <w:spacing w:after="0" w:line="176" w:lineRule="exact"/>
              <w:rPr>
                <w:sz w:val="20"/>
                <w:szCs w:val="20"/>
                <w:color w:val="auto"/>
              </w:rPr>
            </w:pPr>
            <w:r>
              <w:rPr>
                <w:rFonts w:ascii="Times New Roman" w:cs="Times New Roman" w:eastAsia="Times New Roman" w:hAnsi="Times New Roman"/>
                <w:sz w:val="18"/>
                <w:szCs w:val="18"/>
                <w:color w:val="auto"/>
              </w:rPr>
              <w:t>5.417% Series 1 Cumulative Convertible Preferred Shares, (stated at liquidation preference $25 per share),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8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399,896 shares issued and outstanding</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9,997</w:t>
            </w: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Common shares of beneficial interest, $.01 par, 100,000,000 shares authorized, 79,417,472 and 78,603,305</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shares issued and outstanding, respectively</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29"/>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3,572,591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3,488,794</w:t>
            </w: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Accumulated dividends in excess of net income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(1,101,154)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(1,066,932)</w:t>
            </w:r>
          </w:p>
        </w:tc>
      </w:tr>
      <w:tr>
        <w:trPr>
          <w:trHeight w:val="230"/>
        </w:trPr>
        <w:tc>
          <w:tcPr>
            <w:tcW w:w="85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w:t>
            </w:r>
          </w:p>
        </w:tc>
      </w:tr>
      <w:tr>
        <w:trPr>
          <w:trHeight w:val="223"/>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 of the Trust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2,633,758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2,580,602</w:t>
            </w:r>
          </w:p>
        </w:tc>
      </w:tr>
      <w:tr>
        <w:trPr>
          <w:trHeight w:val="229"/>
        </w:trPr>
        <w:tc>
          <w:tcPr>
            <w:tcW w:w="85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80,819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82,546</w:t>
            </w:r>
          </w:p>
        </w:tc>
      </w:tr>
      <w:tr>
        <w:trPr>
          <w:trHeight w:val="223"/>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2,714,577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2,663,148</w:t>
            </w: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7,668,375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7,622,320</w:t>
            </w:r>
          </w:p>
        </w:tc>
      </w:tr>
      <w:tr>
        <w:trPr>
          <w:trHeight w:val="20"/>
        </w:trPr>
        <w:tc>
          <w:tcPr>
            <w:tcW w:w="8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10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180"/>
          </w:cols>
          <w:pgMar w:left="360" w:top="1022" w:right="359" w:bottom="1440" w:gutter="0" w:footer="0" w:header="0"/>
          <w:type w:val="continuous"/>
        </w:sectPr>
      </w:pPr>
    </w:p>
    <w:bookmarkStart w:id="11" w:name="page12"/>
    <w:bookmarkEnd w:id="11"/>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Funds From Operations / Other Supplemental Information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gridSpan w:val="3"/>
          </w:tcPr>
          <w:p>
            <w:pPr>
              <w:jc w:val="center"/>
              <w:ind w:left="5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gridSpan w:val="3"/>
          </w:tcPr>
          <w:p>
            <w:pPr>
              <w:jc w:val="center"/>
              <w:ind w:left="53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20" w:type="dxa"/>
            <w:vAlign w:val="bottom"/>
            <w:gridSpan w:val="4"/>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14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Funds from Operations available for common shareholders (FFO) (1)</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50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Net income</w:t>
            </w:r>
          </w:p>
        </w:tc>
        <w:tc>
          <w:tcPr>
            <w:tcW w:w="31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tcBorders>
          </w:tcPr>
          <w:p>
            <w:pPr>
              <w:jc w:val="right"/>
              <w:ind w:right="133"/>
              <w:spacing w:after="0"/>
              <w:rPr>
                <w:sz w:val="20"/>
                <w:szCs w:val="20"/>
                <w:color w:val="auto"/>
              </w:rPr>
            </w:pPr>
            <w:r>
              <w:rPr>
                <w:rFonts w:ascii="Times New Roman" w:cs="Times New Roman" w:eastAsia="Times New Roman" w:hAnsi="Times New Roman"/>
                <w:sz w:val="18"/>
                <w:szCs w:val="18"/>
                <w:color w:val="auto"/>
              </w:rPr>
              <w:t>54,728</w:t>
            </w: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CCEEFF"/>
            </w:tcBorders>
          </w:tcPr>
          <w:p>
            <w:pPr>
              <w:jc w:val="right"/>
              <w:ind w:right="131"/>
              <w:spacing w:after="0"/>
              <w:rPr>
                <w:sz w:val="20"/>
                <w:szCs w:val="20"/>
                <w:color w:val="auto"/>
              </w:rPr>
            </w:pPr>
            <w:r>
              <w:rPr>
                <w:rFonts w:ascii="Times New Roman" w:cs="Times New Roman" w:eastAsia="Times New Roman" w:hAnsi="Times New Roman"/>
                <w:sz w:val="18"/>
                <w:szCs w:val="18"/>
                <w:color w:val="auto"/>
              </w:rPr>
              <w:t>49,739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(2,744)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w:t>
            </w:r>
          </w:p>
        </w:tc>
        <w:tc>
          <w:tcPr>
            <w:tcW w:w="26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8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(17,428)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of real estate assets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62,977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57,103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14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Amortization of initial direct costs of leases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5,793</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4,744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1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Funds from operations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120,754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92,655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Dividends on preferred shares (2)</w:t>
            </w:r>
          </w:p>
        </w:tc>
        <w:tc>
          <w:tcPr>
            <w:tcW w:w="260" w:type="dxa"/>
            <w:vAlign w:val="bottom"/>
          </w:tcPr>
          <w:p>
            <w:pPr>
              <w:spacing w:after="0"/>
              <w:rPr>
                <w:sz w:val="19"/>
                <w:szCs w:val="19"/>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1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attributable to downREIT operating partnership units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14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Income attributable to unvested shares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8140" w:type="dxa"/>
            <w:vAlign w:val="bottom"/>
            <w:tcBorders>
              <w:bottom w:val="single" w:sz="8" w:color="CCEEFF"/>
            </w:tcBorders>
            <w:gridSpan w:val="5"/>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FFO</w:t>
            </w: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3"/>
              <w:spacing w:after="0" w:line="196" w:lineRule="exact"/>
              <w:rPr>
                <w:sz w:val="20"/>
                <w:szCs w:val="20"/>
                <w:color w:val="auto"/>
              </w:rPr>
            </w:pPr>
            <w:r>
              <w:rPr>
                <w:rFonts w:ascii="Times New Roman" w:cs="Times New Roman" w:eastAsia="Times New Roman" w:hAnsi="Times New Roman"/>
                <w:sz w:val="18"/>
                <w:szCs w:val="18"/>
                <w:color w:val="auto"/>
              </w:rPr>
              <w:t>119,149</w:t>
            </w: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31"/>
              <w:spacing w:after="0" w:line="196" w:lineRule="exact"/>
              <w:rPr>
                <w:sz w:val="20"/>
                <w:szCs w:val="20"/>
                <w:color w:val="auto"/>
              </w:rPr>
            </w:pPr>
            <w:r>
              <w:rPr>
                <w:rFonts w:ascii="Times New Roman" w:cs="Times New Roman" w:eastAsia="Times New Roman" w:hAnsi="Times New Roman"/>
                <w:sz w:val="18"/>
                <w:szCs w:val="18"/>
                <w:color w:val="auto"/>
              </w:rPr>
              <w:t>91,105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140" w:type="dxa"/>
            <w:vAlign w:val="bottom"/>
            <w:tcBorders>
              <w:top w:val="single" w:sz="8" w:color="CCEEFF"/>
              <w:bottom w:val="single" w:sz="8" w:color="CCEEFF"/>
            </w:tcBorders>
            <w:gridSpan w:val="5"/>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common shares, diluted (2)(3)</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8140" w:type="dxa"/>
            <w:vAlign w:val="bottom"/>
            <w:gridSpan w:val="5"/>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33"/>
              <w:spacing w:after="0" w:line="176" w:lineRule="exact"/>
              <w:rPr>
                <w:sz w:val="20"/>
                <w:szCs w:val="20"/>
                <w:color w:val="auto"/>
              </w:rPr>
            </w:pPr>
            <w:r>
              <w:rPr>
                <w:rFonts w:ascii="Times New Roman" w:cs="Times New Roman" w:eastAsia="Times New Roman" w:hAnsi="Times New Roman"/>
                <w:sz w:val="18"/>
                <w:szCs w:val="18"/>
                <w:color w:val="auto"/>
              </w:rPr>
              <w:t>79,299</w:t>
            </w:r>
          </w:p>
        </w:tc>
        <w:tc>
          <w:tcPr>
            <w:tcW w:w="1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31"/>
              <w:spacing w:after="0" w:line="176" w:lineRule="exact"/>
              <w:rPr>
                <w:sz w:val="20"/>
                <w:szCs w:val="20"/>
                <w:color w:val="auto"/>
              </w:rPr>
            </w:pPr>
            <w:r>
              <w:rPr>
                <w:rFonts w:ascii="Times New Roman" w:cs="Times New Roman" w:eastAsia="Times New Roman" w:hAnsi="Times New Roman"/>
                <w:sz w:val="18"/>
                <w:szCs w:val="18"/>
                <w:color w:val="auto"/>
              </w:rPr>
              <w:t>77,582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Borders>
              <w:bottom w:val="single" w:sz="8" w:color="CCEEFF"/>
            </w:tcBorders>
            <w:shd w:val="clear" w:color="auto" w:fill="CCEEFF"/>
          </w:tcPr>
          <w:p>
            <w:pPr>
              <w:spacing w:after="0"/>
              <w:rPr>
                <w:sz w:val="18"/>
                <w:szCs w:val="18"/>
                <w:color w:val="auto"/>
              </w:rPr>
            </w:pPr>
          </w:p>
        </w:tc>
        <w:tc>
          <w:tcPr>
            <w:tcW w:w="8140" w:type="dxa"/>
            <w:vAlign w:val="bottom"/>
            <w:tcBorders>
              <w:bottom w:val="single" w:sz="8" w:color="CCEEFF"/>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FFO per diluted share (3)</w:t>
            </w: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3"/>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31"/>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Dividends and Payout Ratios</w:t>
            </w:r>
          </w:p>
        </w:tc>
        <w:tc>
          <w:tcPr>
            <w:tcW w:w="6040" w:type="dxa"/>
            <w:vAlign w:val="bottom"/>
            <w:tcBorders>
              <w:bottom w:val="single" w:sz="8" w:color="CCEEFF"/>
            </w:tcBorders>
            <w:gridSpan w:val="4"/>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Regular common dividends declared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84,196</w:t>
            </w:r>
          </w:p>
        </w:tc>
        <w:tc>
          <w:tcPr>
            <w:tcW w:w="12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82,371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1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payout ratio as a percentage of FFO</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46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Summary of Capital Expenditures</w:t>
            </w:r>
          </w:p>
        </w:tc>
        <w:tc>
          <w:tcPr>
            <w:tcW w:w="5680" w:type="dxa"/>
            <w:vAlign w:val="bottom"/>
            <w:tcBorders>
              <w:bottom w:val="single" w:sz="8" w:color="CCEEFF"/>
            </w:tcBorders>
            <w:gridSpan w:val="3"/>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Non-maintenance capital expenditures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1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Development, redevelopment and expansions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71,643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84,701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14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8"/>
                <w:szCs w:val="18"/>
                <w:color w:val="auto"/>
              </w:rPr>
              <w:t>Tenant improvements and incentives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16,969</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12,771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1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non-maintenance capital expenditures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88,612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97,472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14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5,423</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3,861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1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94,035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101,333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960" w:type="dxa"/>
            <w:vAlign w:val="bottom"/>
            <w:tcBorders>
              <w:bottom w:val="single" w:sz="8" w:color="auto"/>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Noncontrolling Interests Supplemental Information (4)</w:t>
            </w:r>
          </w:p>
        </w:tc>
        <w:tc>
          <w:tcPr>
            <w:tcW w:w="418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Property operating income (1)</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4,820</w:t>
            </w:r>
          </w:p>
        </w:tc>
        <w:tc>
          <w:tcPr>
            <w:tcW w:w="12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2,646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(2,344)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(1,464)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14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1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2,037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59"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Glossary of Terms.</w:t>
      </w:r>
    </w:p>
    <w:p>
      <w:pPr>
        <w:spacing w:after="0" w:line="72" w:lineRule="exact"/>
        <w:rPr>
          <w:rFonts w:ascii="Times New Roman" w:cs="Times New Roman" w:eastAsia="Times New Roman" w:hAnsi="Times New Roman"/>
          <w:sz w:val="16"/>
          <w:szCs w:val="16"/>
          <w:color w:val="auto"/>
        </w:rPr>
      </w:pPr>
    </w:p>
    <w:p>
      <w:pPr>
        <w:ind w:left="660" w:right="700" w:hanging="652"/>
        <w:spacing w:after="0" w:line="280"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March 31, 2022, dividends on our Series 1 preferred stock were not deducted in the calculation of FFO available to common shareholders, as the related shares were dilutive and included in "weighted average common shares, diluted."</w:t>
      </w:r>
    </w:p>
    <w:p>
      <w:pPr>
        <w:spacing w:after="0" w:line="16" w:lineRule="exact"/>
        <w:rPr>
          <w:rFonts w:ascii="Times New Roman" w:cs="Times New Roman" w:eastAsia="Times New Roman" w:hAnsi="Times New Roman"/>
          <w:sz w:val="16"/>
          <w:szCs w:val="16"/>
          <w:color w:val="auto"/>
        </w:rPr>
      </w:pPr>
    </w:p>
    <w:p>
      <w:pPr>
        <w:ind w:left="660" w:right="120" w:hanging="652"/>
        <w:spacing w:after="0" w:line="263"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common shares used to compute FFO per diluted common share includes downREIT operating partnership units that were excluded from the computation of diluted EPS. Conversion of these operating partnership units is dilutive in the computation of FFO per diluted share but is anti-dilutive for the computation of dilutive EPS for these periods.</w:t>
      </w:r>
    </w:p>
    <w:p>
      <w:pPr>
        <w:spacing w:after="0" w:line="29" w:lineRule="exact"/>
        <w:rPr>
          <w:rFonts w:ascii="Times New Roman" w:cs="Times New Roman" w:eastAsia="Times New Roman" w:hAnsi="Times New Roman"/>
          <w:sz w:val="16"/>
          <w:szCs w:val="16"/>
          <w:color w:val="auto"/>
        </w:rPr>
      </w:pPr>
    </w:p>
    <w:p>
      <w:pPr>
        <w:ind w:left="660" w:right="280" w:hanging="652"/>
        <w:spacing w:after="0" w:line="280"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the components of "net income attributable to noncontrolling interests," but excludes "income attributable to downREIT operating partnership units."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900" w:right="3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Components of Rental Income and Other Information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Rental Income (1)</w:t>
            </w:r>
          </w:p>
        </w:tc>
        <w:tc>
          <w:tcPr>
            <w:tcW w:w="300" w:type="dxa"/>
            <w:vAlign w:val="bottom"/>
          </w:tcPr>
          <w:p>
            <w:pPr>
              <w:spacing w:after="0"/>
              <w:rPr>
                <w:sz w:val="19"/>
                <w:szCs w:val="19"/>
                <w:color w:val="auto"/>
              </w:rPr>
            </w:pPr>
          </w:p>
        </w:tc>
        <w:tc>
          <w:tcPr>
            <w:tcW w:w="2220" w:type="dxa"/>
            <w:vAlign w:val="bottom"/>
            <w:gridSpan w:val="4"/>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8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3"/>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Pr>
          <w:p>
            <w:pPr>
              <w:spacing w:after="0"/>
              <w:rPr>
                <w:sz w:val="16"/>
                <w:szCs w:val="16"/>
                <w:color w:val="auto"/>
              </w:rPr>
            </w:pPr>
          </w:p>
        </w:tc>
      </w:tr>
      <w:tr>
        <w:trPr>
          <w:trHeight w:val="23"/>
        </w:trPr>
        <w:tc>
          <w:tcPr>
            <w:tcW w:w="8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8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0"/>
        </w:trPr>
        <w:tc>
          <w:tcPr>
            <w:tcW w:w="8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3"/>
          </w:tcPr>
          <w:p>
            <w:pPr>
              <w:jc w:val="center"/>
              <w:ind w:left="3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6"/>
                <w:szCs w:val="16"/>
                <w:color w:val="auto"/>
              </w:rPr>
            </w:pPr>
          </w:p>
        </w:tc>
      </w:tr>
      <w:tr>
        <w:trPr>
          <w:trHeight w:val="242"/>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Minimum rents (2)</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9"/>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156,838</w:t>
            </w:r>
          </w:p>
        </w:tc>
      </w:tr>
      <w:tr>
        <w:trPr>
          <w:trHeight w:val="229"/>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19,297</w:t>
            </w: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reimbursements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46,092</w:t>
            </w: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rents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8,214</w:t>
            </w:r>
          </w:p>
        </w:tc>
      </w:tr>
      <w:tr>
        <w:trPr>
          <w:trHeight w:val="230"/>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Collectibility related impact (3)</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(14,351)</w:t>
            </w:r>
          </w:p>
        </w:tc>
      </w:tr>
      <w:tr>
        <w:trPr>
          <w:trHeight w:val="248"/>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rental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217,135</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Notes:</w:t>
      </w:r>
    </w:p>
    <w:p>
      <w:pPr>
        <w:spacing w:after="0" w:line="75" w:lineRule="exact"/>
        <w:rPr>
          <w:sz w:val="20"/>
          <w:szCs w:val="20"/>
          <w:color w:val="auto"/>
        </w:rPr>
      </w:pPr>
    </w:p>
    <w:p>
      <w:pPr>
        <w:ind w:left="660" w:right="260" w:hanging="652"/>
        <w:spacing w:after="0" w:line="265" w:lineRule="auto"/>
        <w:tabs>
          <w:tab w:leader="none" w:pos="65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income from tenant leases is reported as a single line item called "rental income." We have provided the above supplemental information with a breakout of the contractual components of the rental income line, however, these breakouts are provided for informational purposes only and should be considered a non-GAAP presentation.</w:t>
      </w:r>
    </w:p>
    <w:p>
      <w:pPr>
        <w:spacing w:after="0" w:line="13"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rents include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2140" w:type="dxa"/>
            <w:vAlign w:val="bottom"/>
            <w:gridSpan w:val="3"/>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6"/>
                <w:szCs w:val="16"/>
                <w:color w:val="auto"/>
              </w:rPr>
            </w:pPr>
          </w:p>
        </w:tc>
      </w:tr>
      <w:tr>
        <w:trPr>
          <w:trHeight w:val="203"/>
        </w:trPr>
        <w:tc>
          <w:tcPr>
            <w:tcW w:w="8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20" w:type="dxa"/>
            <w:vAlign w:val="bottom"/>
            <w:gridSpan w:val="2"/>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17"/>
                <w:szCs w:val="17"/>
                <w:color w:val="auto"/>
              </w:rPr>
            </w:pPr>
          </w:p>
        </w:tc>
      </w:tr>
      <w:tr>
        <w:trPr>
          <w:trHeight w:val="24"/>
        </w:trPr>
        <w:tc>
          <w:tcPr>
            <w:tcW w:w="87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90"/>
        </w:trPr>
        <w:tc>
          <w:tcPr>
            <w:tcW w:w="872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r>
      <w:tr>
        <w:trPr>
          <w:trHeight w:val="190"/>
        </w:trPr>
        <w:tc>
          <w:tcPr>
            <w:tcW w:w="8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6"/>
                <w:szCs w:val="16"/>
                <w:color w:val="auto"/>
              </w:rPr>
            </w:pPr>
          </w:p>
        </w:tc>
      </w:tr>
      <w:tr>
        <w:trPr>
          <w:trHeight w:val="336"/>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Straight-line rents</w:t>
            </w:r>
          </w:p>
        </w:tc>
        <w:tc>
          <w:tcPr>
            <w:tcW w:w="82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5.0</w:t>
            </w:r>
          </w:p>
        </w:tc>
        <w:tc>
          <w:tcPr>
            <w:tcW w:w="90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in-place leases</w:t>
            </w:r>
          </w:p>
        </w:tc>
        <w:tc>
          <w:tcPr>
            <w:tcW w:w="82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2.8</w:t>
            </w:r>
          </w:p>
        </w:tc>
        <w:tc>
          <w:tcPr>
            <w:tcW w:w="90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127" w:lineRule="exact"/>
        <w:rPr>
          <w:sz w:val="20"/>
          <w:szCs w:val="20"/>
          <w:color w:val="auto"/>
        </w:rPr>
      </w:pPr>
    </w:p>
    <w:p>
      <w:pPr>
        <w:ind w:left="660" w:right="160" w:hanging="652"/>
        <w:spacing w:after="0" w:line="243" w:lineRule="auto"/>
        <w:tabs>
          <w:tab w:leader="none" w:pos="65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primary drivers of our collectibility impacts in the quarter include the impacts of cash basis tenants who did not make full contractual rent payments as well as COVID-19 abatements partially offset by the collection of rents from previous quarters. In Q1 2022, our collectability related impact includes approximately $2 million related to the abatement of Q1 2022 contractual rents due to COVID-19 and is offset by the collection of approximately $5 million of rents due from previous quarters.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Information on Cash Basis Tenants (4)</w:t>
            </w:r>
          </w:p>
        </w:tc>
        <w:tc>
          <w:tcPr>
            <w:tcW w:w="3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As of March 31, 2022</w:t>
            </w:r>
          </w:p>
        </w:tc>
        <w:tc>
          <w:tcPr>
            <w:tcW w:w="0" w:type="dxa"/>
            <w:vAlign w:val="bottom"/>
          </w:tcPr>
          <w:p>
            <w:pPr>
              <w:spacing w:after="0"/>
              <w:rPr>
                <w:sz w:val="1"/>
                <w:szCs w:val="1"/>
                <w:color w:val="auto"/>
              </w:rPr>
            </w:pPr>
          </w:p>
        </w:tc>
      </w:tr>
      <w:tr>
        <w:trPr>
          <w:trHeight w:val="155"/>
        </w:trPr>
        <w:tc>
          <w:tcPr>
            <w:tcW w:w="7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 Recognized on a</w:t>
            </w:r>
          </w:p>
        </w:tc>
        <w:tc>
          <w:tcPr>
            <w:tcW w:w="0" w:type="dxa"/>
            <w:vAlign w:val="bottom"/>
          </w:tcPr>
          <w:p>
            <w:pPr>
              <w:spacing w:after="0"/>
              <w:rPr>
                <w:sz w:val="1"/>
                <w:szCs w:val="1"/>
                <w:color w:val="auto"/>
              </w:rPr>
            </w:pPr>
          </w:p>
        </w:tc>
      </w:tr>
      <w:tr>
        <w:trPr>
          <w:trHeight w:val="214"/>
        </w:trPr>
        <w:tc>
          <w:tcPr>
            <w:tcW w:w="7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Cash Basis</w:t>
            </w:r>
          </w:p>
        </w:tc>
        <w:tc>
          <w:tcPr>
            <w:tcW w:w="0" w:type="dxa"/>
            <w:vAlign w:val="bottom"/>
          </w:tcPr>
          <w:p>
            <w:pPr>
              <w:spacing w:after="0"/>
              <w:rPr>
                <w:sz w:val="1"/>
                <w:szCs w:val="1"/>
                <w:color w:val="auto"/>
              </w:rPr>
            </w:pPr>
          </w:p>
        </w:tc>
      </w:tr>
      <w:tr>
        <w:trPr>
          <w:trHeight w:val="225"/>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Active commercial tenant leases</w:t>
            </w:r>
          </w:p>
        </w:tc>
        <w:tc>
          <w:tcPr>
            <w:tcW w:w="3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3,064</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22"/>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Annualized base rent from commercial tenants (in millions) (5)</w:t>
            </w: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w:t>
            </w:r>
          </w:p>
        </w:tc>
        <w:tc>
          <w:tcPr>
            <w:tcW w:w="1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Notes:</w:t>
      </w:r>
    </w:p>
    <w:p>
      <w:pPr>
        <w:spacing w:after="0" w:line="48" w:lineRule="exact"/>
        <w:rPr>
          <w:sz w:val="20"/>
          <w:szCs w:val="20"/>
          <w:color w:val="auto"/>
        </w:rPr>
      </w:pPr>
    </w:p>
    <w:p>
      <w:pPr>
        <w:ind w:left="660" w:right="180" w:hanging="652"/>
        <w:spacing w:after="0" w:line="265" w:lineRule="auto"/>
        <w:tabs>
          <w:tab w:leader="none" w:pos="65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Tenants are recognized on a cash basis of accounting when we determine collection of substantially all lease payments during the lease term is not considered probable; revenue is then limited to the lesser of revenue recognized under accrual accounting or cash received. Our full revenue recognition policy with respect to leases can be found in Note 2 of our December 31, 2021 Annual Report on Form 10-K.</w:t>
      </w:r>
    </w:p>
    <w:p>
      <w:pPr>
        <w:spacing w:after="0" w:line="27"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Glossary of Terms.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Rent Deferrals</w:t>
            </w:r>
          </w:p>
        </w:tc>
        <w:tc>
          <w:tcPr>
            <w:tcW w:w="27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23"/>
        </w:trPr>
        <w:tc>
          <w:tcPr>
            <w:tcW w:w="75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Cumulative contractual rent deferred (in millions) (6)</w:t>
            </w:r>
          </w:p>
        </w:tc>
        <w:tc>
          <w:tcPr>
            <w:tcW w:w="274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22"/>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Cumulative deferral payments collected through March 31, 2022 (in millions) (7)</w:t>
            </w:r>
          </w:p>
        </w:tc>
        <w:tc>
          <w:tcPr>
            <w:tcW w:w="2740" w:type="dxa"/>
            <w:vAlign w:val="bottom"/>
          </w:tcPr>
          <w:p>
            <w:pPr>
              <w:jc w:val="right"/>
              <w:ind w:right="63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Notes:</w:t>
      </w:r>
    </w:p>
    <w:p>
      <w:pPr>
        <w:spacing w:after="0" w:line="61" w:lineRule="exact"/>
        <w:rPr>
          <w:sz w:val="20"/>
          <w:szCs w:val="20"/>
          <w:color w:val="auto"/>
        </w:rPr>
      </w:pPr>
    </w:p>
    <w:p>
      <w:pPr>
        <w:ind w:left="660" w:right="320" w:hanging="652"/>
        <w:spacing w:after="0" w:line="281" w:lineRule="auto"/>
        <w:tabs>
          <w:tab w:leader="none" w:pos="65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contractual rent for April 2020 through March 2022 that has been deferred pursuant to modification agreements signed through March 31, 2022. Accrual basis tenants comprise approximately 50% of this cumulative deferred rent for executed agreements in place as of March 31, 2022.</w:t>
      </w:r>
    </w:p>
    <w:p>
      <w:pPr>
        <w:spacing w:after="0" w:line="1"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Deferral payments collected to date represent approximately 90% of the amounts agreed to be repaid by March 31, 2022.</w:t>
      </w:r>
    </w:p>
    <w:p>
      <w:pPr>
        <w:sectPr>
          <w:pgSz w:w="11900" w:h="16838" w:orient="portrait"/>
          <w:cols w:equalWidth="0" w:num="1">
            <w:col w:w="11240"/>
          </w:cols>
          <w:pgMar w:left="320" w:top="1022" w:right="33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022" w:right="339" w:bottom="1440" w:gutter="0" w:footer="0" w:header="0"/>
          <w:type w:val="continuous"/>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Comparable Property Information</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76" w:lineRule="exact"/>
        <w:rPr>
          <w:sz w:val="20"/>
          <w:szCs w:val="20"/>
          <w:color w:val="auto"/>
        </w:rPr>
      </w:pPr>
    </w:p>
    <w:p>
      <w:pPr>
        <w:ind w:left="40" w:right="40"/>
        <w:spacing w:after="0" w:line="221" w:lineRule="auto"/>
        <w:rPr>
          <w:sz w:val="20"/>
          <w:szCs w:val="20"/>
          <w:color w:val="auto"/>
        </w:rPr>
      </w:pPr>
      <w:r>
        <w:rPr>
          <w:rFonts w:ascii="Times New Roman" w:cs="Times New Roman" w:eastAsia="Times New Roman" w:hAnsi="Times New Roman"/>
          <w:sz w:val="16"/>
          <w:szCs w:val="16"/>
          <w:color w:val="auto"/>
        </w:rPr>
        <w:t>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The assets excluded from Comparable Properties in Q1 include: Assembly Row Phase 3, CocoWalk, Darien Commons, Pike &amp; Rose Phase 3, Huntington Shopping Center, Willow Grove Shopping Center, and all properties acquired or disposed of from Q1 2021 to Q1 2022. Comparable Property property operating income ("Comparable Property POI") is a non-GAAP measure used by management in evaluating the operating performance of our properties period over period.</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Reconciliation of GAAP operating income to Comparable Property POI</w:t>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85,984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82,799</w:t>
            </w: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340" w:type="dxa"/>
            <w:vAlign w:val="bottom"/>
          </w:tcPr>
          <w:p>
            <w:pPr>
              <w:spacing w:after="0"/>
              <w:rPr>
                <w:sz w:val="20"/>
                <w:szCs w:val="20"/>
                <w:color w:val="auto"/>
              </w:rPr>
            </w:pPr>
            <w:r>
              <w:rPr>
                <w:rFonts w:ascii="Times New Roman" w:cs="Times New Roman" w:eastAsia="Times New Roman" w:hAnsi="Times New Roman"/>
                <w:sz w:val="17"/>
                <w:szCs w:val="17"/>
                <w:color w:val="auto"/>
              </w:rPr>
              <w:t>Add: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71,674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63,874</w:t>
            </w: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34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80" w:type="dxa"/>
            <w:vAlign w:val="bottom"/>
          </w:tcPr>
          <w:p>
            <w:pPr>
              <w:spacing w:after="0"/>
              <w:rPr>
                <w:sz w:val="19"/>
                <w:szCs w:val="19"/>
                <w:color w:val="auto"/>
              </w:rPr>
            </w:pPr>
          </w:p>
        </w:tc>
        <w:tc>
          <w:tcPr>
            <w:tcW w:w="980" w:type="dxa"/>
            <w:vAlign w:val="bottom"/>
          </w:tcPr>
          <w:p>
            <w:pPr>
              <w:jc w:val="right"/>
              <w:ind w:right="140"/>
              <w:spacing w:after="0"/>
              <w:rPr>
                <w:sz w:val="20"/>
                <w:szCs w:val="20"/>
                <w:color w:val="auto"/>
              </w:rPr>
            </w:pPr>
            <w:r>
              <w:rPr>
                <w:rFonts w:ascii="Times New Roman" w:cs="Times New Roman" w:eastAsia="Times New Roman" w:hAnsi="Times New Roman"/>
                <w:sz w:val="17"/>
                <w:szCs w:val="17"/>
                <w:color w:val="auto"/>
              </w:rPr>
              <w:t>12,342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10,258</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sale of real estate and change in control of interest</w:t>
            </w: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(17,428)</w:t>
            </w: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340" w:type="dxa"/>
            <w:vAlign w:val="bottom"/>
          </w:tcPr>
          <w:p>
            <w:pPr>
              <w:spacing w:after="0"/>
              <w:rPr>
                <w:sz w:val="20"/>
                <w:szCs w:val="20"/>
                <w:color w:val="auto"/>
              </w:rPr>
            </w:pPr>
            <w:r>
              <w:rPr>
                <w:rFonts w:ascii="Times New Roman" w:cs="Times New Roman" w:eastAsia="Times New Roman" w:hAnsi="Times New Roman"/>
                <w:sz w:val="17"/>
                <w:szCs w:val="17"/>
                <w:color w:val="auto"/>
              </w:rPr>
              <w:t>Property operating income (POI)</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7"/>
                <w:szCs w:val="17"/>
                <w:color w:val="auto"/>
              </w:rPr>
              <w:t>170,000</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139,503</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Non-comparable POI - acquisitions/dispositions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(8,621)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(1,774)</w:t>
            </w: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Less: Non-comparable POI - redevelopment, development &amp; other</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7"/>
                <w:szCs w:val="17"/>
                <w:color w:val="auto"/>
              </w:rPr>
              <w:t>(6,369)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rPr>
              <w:t>(2,347)</w:t>
            </w:r>
          </w:p>
        </w:tc>
        <w:tc>
          <w:tcPr>
            <w:tcW w:w="1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Comparable property POI</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155,010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135,382</w:t>
            </w: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73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Additional information regarding the components of Comparable Property POI</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7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Rental income</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231,102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209,615</w:t>
            </w: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7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Rental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(48,650)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(46,141)</w:t>
            </w: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Real estate taxes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7"/>
                <w:szCs w:val="17"/>
                <w:color w:val="auto"/>
              </w:rPr>
              <w:t>(27,442)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rPr>
              <w:t>(28,092)</w:t>
            </w:r>
          </w:p>
        </w:tc>
        <w:tc>
          <w:tcPr>
            <w:tcW w:w="1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(76,092)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(74,233)</w:t>
            </w: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7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Comparable property POI</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155,010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135,382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14.5 %</w:t>
            </w:r>
          </w:p>
        </w:tc>
        <w:tc>
          <w:tcPr>
            <w:tcW w:w="0" w:type="dxa"/>
            <w:vAlign w:val="bottom"/>
          </w:tcPr>
          <w:p>
            <w:pPr>
              <w:spacing w:after="0"/>
              <w:rPr>
                <w:sz w:val="1"/>
                <w:szCs w:val="1"/>
                <w:color w:val="auto"/>
              </w:rPr>
            </w:pPr>
          </w:p>
        </w:tc>
      </w:tr>
      <w:tr>
        <w:trPr>
          <w:trHeight w:val="430"/>
        </w:trPr>
        <w:tc>
          <w:tcPr>
            <w:tcW w:w="73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Comparable Property - Summary of Capital Expenditures (1)</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Redevelopment and tenant improvements and incentives</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27,403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23,171</w:t>
            </w: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Maintenance capital expenditures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7"/>
                <w:szCs w:val="17"/>
                <w:color w:val="auto"/>
              </w:rPr>
              <w:t>5,240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3,725</w:t>
            </w:r>
          </w:p>
        </w:tc>
        <w:tc>
          <w:tcPr>
            <w:tcW w:w="1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32,643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26,896</w:t>
            </w: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73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Comparable Property - Occupancy Statistics (2)</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At March 31,</w:t>
            </w:r>
          </w:p>
        </w:tc>
        <w:tc>
          <w:tcPr>
            <w:tcW w:w="8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GLA - comparable commercial properties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22,156,000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22,131,000</w:t>
            </w: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40" w:type="dxa"/>
            <w:vAlign w:val="bottom"/>
          </w:tcPr>
          <w:p>
            <w:pPr>
              <w:spacing w:after="0"/>
              <w:rPr>
                <w:sz w:val="20"/>
                <w:szCs w:val="20"/>
                <w:color w:val="auto"/>
              </w:rPr>
            </w:pPr>
            <w:r>
              <w:rPr>
                <w:rFonts w:ascii="Times New Roman" w:cs="Times New Roman" w:eastAsia="Times New Roman" w:hAnsi="Times New Roman"/>
                <w:sz w:val="17"/>
                <w:szCs w:val="17"/>
                <w:color w:val="auto"/>
              </w:rPr>
              <w:t>Leased % - comparable commercial properties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93.6 %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91.9 %</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Occupancy % - comparable commercial properties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91.1 %</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90.0 %</w:t>
            </w: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10"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page 9 for "Summary of Capital Expenditures" for our entire portfolio.</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page 26 for entire portfolio occupancy statistics.</w:t>
      </w:r>
    </w:p>
    <w:p>
      <w:pPr>
        <w:sectPr>
          <w:pgSz w:w="11900" w:h="16838" w:orient="portrait"/>
          <w:cols w:equalWidth="0" w:num="1">
            <w:col w:w="11220"/>
          </w:cols>
          <w:pgMar w:left="320" w:top="927" w:right="35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927" w:right="359" w:bottom="1440" w:gutter="0" w:footer="0" w:header="0"/>
          <w:type w:val="continuous"/>
        </w:sectPr>
      </w:pPr>
    </w:p>
    <w:bookmarkStart w:id="14" w:name="page15"/>
    <w:bookmarkEnd w:id="14"/>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Market Data</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80" w:type="dxa"/>
            <w:vAlign w:val="bottom"/>
            <w:tcBorders>
              <w:bottom w:val="single" w:sz="8" w:color="auto"/>
            </w:tcBorders>
          </w:tcPr>
          <w:p>
            <w:pPr>
              <w:spacing w:after="0"/>
              <w:rPr>
                <w:sz w:val="17"/>
                <w:szCs w:val="17"/>
                <w:color w:val="auto"/>
              </w:rPr>
            </w:pPr>
          </w:p>
        </w:tc>
      </w:tr>
      <w:tr>
        <w:trPr>
          <w:trHeight w:val="196"/>
        </w:trPr>
        <w:tc>
          <w:tcPr>
            <w:tcW w:w="7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7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6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r>
      <w:tr>
        <w:trPr>
          <w:trHeight w:val="23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shares outstanding and downREIT operating partnership units (1)</w:t>
            </w:r>
          </w:p>
        </w:tc>
        <w:tc>
          <w:tcPr>
            <w:tcW w:w="30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80,074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78,446</w:t>
            </w:r>
          </w:p>
        </w:tc>
      </w:tr>
      <w:tr>
        <w:trPr>
          <w:trHeight w:val="229"/>
        </w:trPr>
        <w:tc>
          <w:tcPr>
            <w:tcW w:w="7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Market price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122.07</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101.45</w:t>
            </w:r>
          </w:p>
        </w:tc>
      </w:tr>
      <w:tr>
        <w:trPr>
          <w:trHeight w:val="223"/>
        </w:trPr>
        <w:tc>
          <w:tcPr>
            <w:tcW w:w="79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Common equity market capitalization including downREIT operating partnership units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9,774,633</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7,958,347</w:t>
            </w:r>
          </w:p>
        </w:tc>
      </w:tr>
      <w:tr>
        <w:trPr>
          <w:trHeight w:val="196"/>
        </w:trPr>
        <w:tc>
          <w:tcPr>
            <w:tcW w:w="7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9"/>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Series C preferred shares outstanding</w:t>
            </w:r>
          </w:p>
        </w:tc>
        <w:tc>
          <w:tcPr>
            <w:tcW w:w="30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Liquidation price per Series C preferred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25,000</w:t>
            </w:r>
          </w:p>
        </w:tc>
      </w:tr>
      <w:tr>
        <w:trPr>
          <w:trHeight w:val="223"/>
        </w:trPr>
        <w:tc>
          <w:tcPr>
            <w:tcW w:w="79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Series C preferred equity market capitalization</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150,000</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150,000</w:t>
            </w:r>
          </w:p>
        </w:tc>
      </w:tr>
      <w:tr>
        <w:trPr>
          <w:trHeight w:val="196"/>
        </w:trPr>
        <w:tc>
          <w:tcPr>
            <w:tcW w:w="7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Series 1 preferred shares outstanding (2)</w:t>
            </w:r>
          </w:p>
        </w:tc>
        <w:tc>
          <w:tcPr>
            <w:tcW w:w="30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7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Liquidation price per Series 1 preferred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25.00</w:t>
            </w:r>
          </w:p>
        </w:tc>
      </w:tr>
      <w:tr>
        <w:trPr>
          <w:trHeight w:val="223"/>
        </w:trPr>
        <w:tc>
          <w:tcPr>
            <w:tcW w:w="79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Series 1 preferred equity market capitalization</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10,000</w:t>
            </w:r>
          </w:p>
        </w:tc>
      </w:tr>
      <w:tr>
        <w:trPr>
          <w:trHeight w:val="196"/>
        </w:trPr>
        <w:tc>
          <w:tcPr>
            <w:tcW w:w="7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9"/>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 market capitalization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9,934,633</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8,118,347</w:t>
            </w:r>
          </w:p>
        </w:tc>
      </w:tr>
      <w:tr>
        <w:trPr>
          <w:trHeight w:val="216"/>
        </w:trPr>
        <w:tc>
          <w:tcPr>
            <w:tcW w:w="7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4,047,267</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4,274,910</w:t>
            </w:r>
          </w:p>
        </w:tc>
      </w:tr>
      <w:tr>
        <w:trPr>
          <w:trHeight w:val="229"/>
        </w:trPr>
        <w:tc>
          <w:tcPr>
            <w:tcW w:w="7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(157,944)</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(779,901)</w:t>
            </w:r>
          </w:p>
        </w:tc>
      </w:tr>
      <w:tr>
        <w:trPr>
          <w:trHeight w:val="223"/>
        </w:trPr>
        <w:tc>
          <w:tcPr>
            <w:tcW w:w="79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Total net debt (3)</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3,889,323</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3,495,009</w:t>
            </w:r>
          </w:p>
        </w:tc>
      </w:tr>
      <w:tr>
        <w:trPr>
          <w:trHeight w:val="196"/>
        </w:trPr>
        <w:tc>
          <w:tcPr>
            <w:tcW w:w="7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market capitalization</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13,823,956</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11,613,356</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7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34"/>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net debt to market capitalization at market price per common share</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73"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 656,824 and 739,601 downREIT operating partnership units outstanding at March 31, 2022 and 2021, respectively.</w:t>
      </w:r>
    </w:p>
    <w:p>
      <w:pPr>
        <w:spacing w:after="0" w:line="59"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shares, issued March 8, 2007, are unregistered.</w:t>
      </w:r>
    </w:p>
    <w:p>
      <w:pPr>
        <w:spacing w:after="0" w:line="59" w:lineRule="exact"/>
        <w:rPr>
          <w:rFonts w:ascii="Times New Roman" w:cs="Times New Roman" w:eastAsia="Times New Roman" w:hAnsi="Times New Roman"/>
          <w:sz w:val="16"/>
          <w:szCs w:val="16"/>
          <w:color w:val="auto"/>
        </w:rPr>
      </w:pPr>
    </w:p>
    <w:p>
      <w:pPr>
        <w:ind w:left="660" w:right="40" w:hanging="652"/>
        <w:spacing w:after="0" w:line="298"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net debt includes mortgages payable, notes payable, senior notes and debentures, net of premiums/discounts and debt issuance costs and net of cash and cash equivalents from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022" w:right="33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Summary of Outstanding Debt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March 31,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5"/>
          </w:tcPr>
          <w:p>
            <w:pPr>
              <w:ind w:left="104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Stated maturity date</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Stated interest rate</w:t>
            </w:r>
          </w:p>
        </w:tc>
        <w:tc>
          <w:tcPr>
            <w:tcW w:w="140" w:type="dxa"/>
            <w:vAlign w:val="bottom"/>
          </w:tcPr>
          <w:p>
            <w:pPr>
              <w:spacing w:after="0"/>
              <w:rPr>
                <w:sz w:val="11"/>
                <w:szCs w:val="11"/>
                <w:color w:val="auto"/>
              </w:rPr>
            </w:pPr>
          </w:p>
        </w:tc>
        <w:tc>
          <w:tcPr>
            <w:tcW w:w="1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right"/>
              <w:ind w:right="59"/>
              <w:spacing w:after="0" w:line="135"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940" w:type="dxa"/>
            <w:vAlign w:val="bottom"/>
            <w:gridSpan w:val="2"/>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effective rate (8)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940" w:type="dxa"/>
            <w:vAlign w:val="bottom"/>
            <w:gridSpan w:val="4"/>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Mortgages Payable (1)</w:t>
            </w:r>
          </w:p>
        </w:tc>
        <w:tc>
          <w:tcPr>
            <w:tcW w:w="1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i w:val="1"/>
                <w:iCs w:val="1"/>
                <w:color w:val="auto"/>
              </w:rPr>
              <w:t>Secured fixed rate</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Azalea</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11/1/2025</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Bell Gardens</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8/1/2026</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Plaza El Segundo</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6/5/2027</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The Grove at Shrewsbury (East)</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9/1/2027</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Brook 35</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7/1/2029</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Hoboken (24 Buildings) (2)</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12/15/2029</w:t>
            </w:r>
          </w:p>
        </w:tc>
        <w:tc>
          <w:tcPr>
            <w:tcW w:w="1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LIBOR + 1.95%</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56,102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Various Hoboken (14 Buildings) (3)</w:t>
            </w:r>
          </w:p>
        </w:tc>
        <w:tc>
          <w:tcPr>
            <w:tcW w:w="1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Various through 2029</w:t>
            </w:r>
          </w:p>
        </w:tc>
        <w:tc>
          <w:tcPr>
            <w:tcW w:w="1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Various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Chelsea</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1/15/2031</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Hoboken (1 Building) (4)</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7/1/2042</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940" w:type="dxa"/>
            <w:vAlign w:val="bottom"/>
            <w:gridSpan w:val="4"/>
          </w:tcPr>
          <w:p>
            <w:pPr>
              <w:ind w:left="700"/>
              <w:spacing w:after="0"/>
              <w:rPr>
                <w:sz w:val="20"/>
                <w:szCs w:val="20"/>
                <w:color w:val="auto"/>
              </w:rPr>
            </w:pPr>
            <w:r>
              <w:rPr>
                <w:rFonts w:ascii="Times New Roman" w:cs="Times New Roman" w:eastAsia="Times New Roman" w:hAnsi="Times New Roman"/>
                <w:sz w:val="16"/>
                <w:szCs w:val="16"/>
                <w:color w:val="auto"/>
              </w:rPr>
              <w:t>Subtotal</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340,743</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880" w:type="dxa"/>
            <w:vAlign w:val="bottom"/>
            <w:gridSpan w:val="6"/>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Net unamortized debt issuance costs and premium</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940" w:type="dxa"/>
            <w:vAlign w:val="bottom"/>
            <w:tcBorders>
              <w:bottom w:val="single" w:sz="8" w:color="CCEEFF"/>
            </w:tcBorders>
            <w:gridSpan w:val="4"/>
          </w:tcPr>
          <w:p>
            <w:pPr>
              <w:ind w:left="700"/>
              <w:spacing w:after="0"/>
              <w:rPr>
                <w:sz w:val="20"/>
                <w:szCs w:val="20"/>
                <w:color w:val="auto"/>
              </w:rPr>
            </w:pPr>
            <w:r>
              <w:rPr>
                <w:rFonts w:ascii="Times New Roman" w:cs="Times New Roman" w:eastAsia="Times New Roman" w:hAnsi="Times New Roman"/>
                <w:sz w:val="16"/>
                <w:szCs w:val="16"/>
                <w:color w:val="auto"/>
              </w:rPr>
              <w:t>Total mortgages payable, net</w:t>
            </w:r>
          </w:p>
        </w:tc>
        <w:tc>
          <w:tcPr>
            <w:tcW w:w="18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339,236</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color w:val="auto"/>
              </w:rPr>
              <w:t>3.97%</w:t>
            </w:r>
          </w:p>
        </w:tc>
        <w:tc>
          <w:tcPr>
            <w:tcW w:w="4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4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Notes payable</w:t>
            </w: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Revolving credit facility (5)</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1/19/2024</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LIBOR + 0.775%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Term loan (6)</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4/16/2024</w:t>
            </w:r>
          </w:p>
        </w:tc>
        <w:tc>
          <w:tcPr>
            <w:tcW w:w="1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LIBOR + 0.80%</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Various</w:t>
            </w:r>
          </w:p>
        </w:tc>
        <w:tc>
          <w:tcPr>
            <w:tcW w:w="1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Various through 2028</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11.31%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940" w:type="dxa"/>
            <w:vAlign w:val="bottom"/>
            <w:gridSpan w:val="4"/>
          </w:tcPr>
          <w:p>
            <w:pPr>
              <w:ind w:left="700"/>
              <w:spacing w:after="0"/>
              <w:rPr>
                <w:sz w:val="20"/>
                <w:szCs w:val="20"/>
                <w:color w:val="auto"/>
              </w:rPr>
            </w:pPr>
            <w:r>
              <w:rPr>
                <w:rFonts w:ascii="Times New Roman" w:cs="Times New Roman" w:eastAsia="Times New Roman" w:hAnsi="Times New Roman"/>
                <w:sz w:val="16"/>
                <w:szCs w:val="16"/>
                <w:color w:val="auto"/>
              </w:rPr>
              <w:t>Subtotal</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302,584</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Net unamortized debt issuance costs</w:t>
            </w: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940" w:type="dxa"/>
            <w:vAlign w:val="bottom"/>
            <w:tcBorders>
              <w:bottom w:val="single" w:sz="8" w:color="CCEEFF"/>
            </w:tcBorders>
            <w:gridSpan w:val="4"/>
          </w:tcPr>
          <w:p>
            <w:pPr>
              <w:ind w:left="700"/>
              <w:spacing w:after="0"/>
              <w:rPr>
                <w:sz w:val="20"/>
                <w:szCs w:val="20"/>
                <w:color w:val="auto"/>
              </w:rPr>
            </w:pPr>
            <w:r>
              <w:rPr>
                <w:rFonts w:ascii="Times New Roman" w:cs="Times New Roman" w:eastAsia="Times New Roman" w:hAnsi="Times New Roman"/>
                <w:sz w:val="16"/>
                <w:szCs w:val="16"/>
                <w:color w:val="auto"/>
              </w:rPr>
              <w:t>Total notes payable, net</w:t>
            </w:r>
          </w:p>
        </w:tc>
        <w:tc>
          <w:tcPr>
            <w:tcW w:w="18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301,540</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color w:val="auto"/>
              </w:rPr>
              <w:t>1.51%</w:t>
            </w:r>
          </w:p>
        </w:tc>
        <w:tc>
          <w:tcPr>
            <w:tcW w:w="480" w:type="dxa"/>
            <w:vAlign w:val="bottom"/>
            <w:tcBorders>
              <w:bottom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4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Senior notes and debentures</w:t>
            </w: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i w:val="1"/>
                <w:iCs w:val="1"/>
                <w:color w:val="auto"/>
              </w:rPr>
              <w:t>Unsecured fixed rate</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2.75% notes</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6/1/2023</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3.95% notes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1/15/2024</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1.25% notes</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2/15/2026</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7.48% debentures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8/15/2026</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3.25% notes</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7/15/2027</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475,000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6.82% medium term notes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8/1/2027</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3.20% notes</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6/15/2029</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3.50% notes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6/1/2030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4.50% notes</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12/1/2044</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3.625% notes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8/1/2046</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940" w:type="dxa"/>
            <w:vAlign w:val="bottom"/>
            <w:gridSpan w:val="4"/>
          </w:tcPr>
          <w:p>
            <w:pPr>
              <w:ind w:left="700"/>
              <w:spacing w:after="0"/>
              <w:rPr>
                <w:sz w:val="20"/>
                <w:szCs w:val="20"/>
                <w:color w:val="auto"/>
              </w:rPr>
            </w:pPr>
            <w:r>
              <w:rPr>
                <w:rFonts w:ascii="Times New Roman" w:cs="Times New Roman" w:eastAsia="Times New Roman" w:hAnsi="Times New Roman"/>
                <w:sz w:val="16"/>
                <w:szCs w:val="16"/>
                <w:color w:val="auto"/>
              </w:rPr>
              <w:t>Subtotal</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3,419,200</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880" w:type="dxa"/>
            <w:vAlign w:val="bottom"/>
            <w:gridSpan w:val="6"/>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Net unamortized debt issuance costs and premium</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940" w:type="dxa"/>
            <w:vAlign w:val="bottom"/>
            <w:tcBorders>
              <w:bottom w:val="single" w:sz="8" w:color="CCEEFF"/>
            </w:tcBorders>
            <w:gridSpan w:val="4"/>
          </w:tcPr>
          <w:p>
            <w:pPr>
              <w:ind w:left="700"/>
              <w:spacing w:after="0"/>
              <w:rPr>
                <w:sz w:val="20"/>
                <w:szCs w:val="20"/>
                <w:color w:val="auto"/>
              </w:rPr>
            </w:pPr>
            <w:r>
              <w:rPr>
                <w:rFonts w:ascii="Times New Roman" w:cs="Times New Roman" w:eastAsia="Times New Roman" w:hAnsi="Times New Roman"/>
                <w:sz w:val="16"/>
                <w:szCs w:val="16"/>
                <w:color w:val="auto"/>
              </w:rPr>
              <w:t>Total senior notes and debentures, net</w:t>
            </w:r>
          </w:p>
        </w:tc>
        <w:tc>
          <w:tcPr>
            <w:tcW w:w="18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3,406,491</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color w:val="auto"/>
              </w:rPr>
              <w:t>3.49%</w:t>
            </w:r>
          </w:p>
        </w:tc>
        <w:tc>
          <w:tcPr>
            <w:tcW w:w="4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Total debt, net</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4,047,267</w:t>
            </w:r>
          </w:p>
        </w:tc>
        <w:tc>
          <w:tcPr>
            <w:tcW w:w="100" w:type="dxa"/>
            <w:vAlign w:val="bottom"/>
          </w:tcPr>
          <w:p>
            <w:pPr>
              <w:spacing w:after="0"/>
              <w:rPr>
                <w:sz w:val="18"/>
                <w:szCs w:val="18"/>
                <w:color w:val="auto"/>
              </w:rPr>
            </w:pPr>
          </w:p>
        </w:tc>
        <w:tc>
          <w:tcPr>
            <w:tcW w:w="8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Total fixed rate debt, net</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3,748,267</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100" w:type="dxa"/>
            <w:vAlign w:val="bottom"/>
          </w:tcPr>
          <w:p>
            <w:pPr>
              <w:spacing w:after="0"/>
              <w:rPr>
                <w:sz w:val="18"/>
                <w:szCs w:val="18"/>
                <w:color w:val="auto"/>
              </w:rPr>
            </w:pPr>
          </w:p>
        </w:tc>
        <w:tc>
          <w:tcPr>
            <w:tcW w:w="9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3.54%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variable rate debt, net</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299,000</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1.42%</w:t>
            </w:r>
          </w:p>
        </w:tc>
        <w:tc>
          <w:tcPr>
            <w:tcW w:w="4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Total debt, net</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4,047,267</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3.38%</w:t>
            </w:r>
          </w:p>
        </w:tc>
        <w:tc>
          <w:tcPr>
            <w:tcW w:w="4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028" w:right="339" w:bottom="1440" w:gutter="0" w:footer="0" w:header="0"/>
        </w:sectPr>
      </w:pPr>
    </w:p>
    <w:bookmarkStart w:id="16" w:name="page17"/>
    <w:bookmarkEnd w:id="16"/>
    <w:p>
      <w:pPr>
        <w:jc w:val="center"/>
        <w:ind w:left="90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p>
      <w:pPr>
        <w:jc w:val="center"/>
        <w:ind w:left="90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gridSpan w:val="3"/>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2"/>
        </w:trPr>
        <w:tc>
          <w:tcPr>
            <w:tcW w:w="20" w:type="dxa"/>
            <w:vAlign w:val="bottom"/>
          </w:tcPr>
          <w:p>
            <w:pPr>
              <w:spacing w:after="0"/>
              <w:rPr>
                <w:sz w:val="14"/>
                <w:szCs w:val="14"/>
                <w:color w:val="auto"/>
              </w:rPr>
            </w:pPr>
          </w:p>
        </w:tc>
        <w:tc>
          <w:tcPr>
            <w:tcW w:w="9000" w:type="dxa"/>
            <w:vAlign w:val="bottom"/>
            <w:gridSpan w:val="2"/>
          </w:tcPr>
          <w:p>
            <w:pPr>
              <w:jc w:val="right"/>
              <w:ind w:right="7600"/>
              <w:spacing w:after="0" w:line="162" w:lineRule="exact"/>
              <w:rPr>
                <w:sz w:val="20"/>
                <w:szCs w:val="20"/>
                <w:color w:val="auto"/>
              </w:rPr>
            </w:pPr>
            <w:r>
              <w:rPr>
                <w:rFonts w:ascii="Times New Roman" w:cs="Times New Roman" w:eastAsia="Times New Roman" w:hAnsi="Times New Roman"/>
                <w:sz w:val="16"/>
                <w:szCs w:val="16"/>
                <w:color w:val="auto"/>
              </w:rPr>
              <w:t>Operational Statistics</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680" w:type="dxa"/>
            <w:vAlign w:val="bottom"/>
            <w:gridSpan w:val="3"/>
            <w:shd w:val="clear" w:color="auto" w:fill="CCEEFF"/>
          </w:tcPr>
          <w:p>
            <w:pPr>
              <w:jc w:val="right"/>
              <w:ind w:right="4068"/>
              <w:spacing w:after="0"/>
              <w:rPr>
                <w:sz w:val="20"/>
                <w:szCs w:val="20"/>
                <w:color w:val="auto"/>
              </w:rPr>
            </w:pPr>
            <w:r>
              <w:rPr>
                <w:rFonts w:ascii="Times New Roman" w:cs="Times New Roman" w:eastAsia="Times New Roman" w:hAnsi="Times New Roman"/>
                <w:sz w:val="16"/>
                <w:szCs w:val="16"/>
                <w:color w:val="auto"/>
              </w:rPr>
              <w:t>Ratio of EBITDAre to combined fixed charges and preferred share dividends (10)</w:t>
            </w: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4.04x</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3.07x</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55" w:lineRule="exact"/>
        <w:rPr>
          <w:sz w:val="20"/>
          <w:szCs w:val="20"/>
          <w:color w:val="auto"/>
        </w:rPr>
      </w:pPr>
    </w:p>
    <w:p>
      <w:pPr>
        <w:ind w:left="660" w:right="240" w:hanging="652"/>
        <w:spacing w:after="0" w:line="301" w:lineRule="auto"/>
        <w:tabs>
          <w:tab w:leader="none" w:pos="658"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Mortgages payable does not include our share of debt on our unconsolidated real estate partnerships. At March 31, 2022, our share of unconsolidated debt was approximately $28.3 million. At March 31, 2022, our noncontrolling interests' share of mortgages payable was $44.7 million.</w:t>
      </w:r>
    </w:p>
    <w:p>
      <w:pPr>
        <w:spacing w:after="0" w:line="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two interest rate swap agreements that fix the interest rate on the mortgage loan at 3.67%.</w:t>
      </w:r>
    </w:p>
    <w:p>
      <w:pPr>
        <w:spacing w:after="0" w:line="68"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rates on these mortgages range from 3.91% to 5.00%.</w:t>
      </w:r>
    </w:p>
    <w:p>
      <w:pPr>
        <w:spacing w:after="0" w:line="68" w:lineRule="exact"/>
        <w:rPr>
          <w:rFonts w:ascii="Times New Roman" w:cs="Times New Roman" w:eastAsia="Times New Roman" w:hAnsi="Times New Roman"/>
          <w:sz w:val="14"/>
          <w:szCs w:val="14"/>
          <w:color w:val="auto"/>
        </w:rPr>
      </w:pPr>
    </w:p>
    <w:p>
      <w:pPr>
        <w:ind w:left="660" w:hanging="652"/>
        <w:spacing w:after="0" w:line="282" w:lineRule="auto"/>
        <w:tabs>
          <w:tab w:leader="none" w:pos="658"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mortgage loan has a fixed interest rate; however, the rate resets every five years until maturity. The current rate is fixed until July 1, 2022, and the loan is prepayable at par anytime after this date.</w:t>
      </w:r>
    </w:p>
    <w:p>
      <w:pPr>
        <w:spacing w:after="0" w:line="13" w:lineRule="exact"/>
        <w:rPr>
          <w:rFonts w:ascii="Times New Roman" w:cs="Times New Roman" w:eastAsia="Times New Roman" w:hAnsi="Times New Roman"/>
          <w:sz w:val="14"/>
          <w:szCs w:val="14"/>
          <w:color w:val="auto"/>
        </w:rPr>
      </w:pPr>
    </w:p>
    <w:p>
      <w:pPr>
        <w:ind w:left="660" w:right="140" w:hanging="652"/>
        <w:spacing w:after="0" w:line="281" w:lineRule="auto"/>
        <w:tabs>
          <w:tab w:leader="none" w:pos="658"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revolving credit facility has a borrowing capacity of $1.0 billion. The maximum amount drawn under our revolving credit facility during the three months ended March 31, 2022 was $38.0 million. The weighted average interest rate on borrowing under our credit facility, before amortization of debt fees, for the three months ended March 31, 2022 was 1.2%. Effective April 1, 2022, the spread over LIBOR increased to 82.5 basis points as a result of the change in our credit rating.</w:t>
      </w:r>
    </w:p>
    <w:p>
      <w:pPr>
        <w:spacing w:after="0" w:line="15"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April 1, 2022, the spread over LIBOR increased to 85 basis points as a result of the change in our credit rating.</w:t>
      </w:r>
    </w:p>
    <w:p>
      <w:pPr>
        <w:spacing w:after="0" w:line="55"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remaining term on our mortgages payable, notes payable, and senior notes and debentures is approximately 8 years.</w:t>
      </w:r>
    </w:p>
    <w:p>
      <w:pPr>
        <w:spacing w:after="0" w:line="68"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effective interest rate includes the amortization of any debt issuance costs and discounts and premiums, if applicable, except as described in Note 9.</w:t>
      </w:r>
    </w:p>
    <w:p>
      <w:pPr>
        <w:spacing w:after="0" w:line="68"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effective interest rate excludes $0.6 million in quarterly financing fees and quarterly debt fee amortization on our revolving credit facility.</w:t>
      </w:r>
    </w:p>
    <w:p>
      <w:pPr>
        <w:spacing w:after="0" w:line="68" w:lineRule="exact"/>
        <w:rPr>
          <w:rFonts w:ascii="Times New Roman" w:cs="Times New Roman" w:eastAsia="Times New Roman" w:hAnsi="Times New Roman"/>
          <w:sz w:val="14"/>
          <w:szCs w:val="14"/>
          <w:color w:val="auto"/>
        </w:rPr>
      </w:pPr>
    </w:p>
    <w:p>
      <w:pPr>
        <w:ind w:left="660" w:right="220" w:hanging="652"/>
        <w:spacing w:after="0" w:line="302" w:lineRule="auto"/>
        <w:tabs>
          <w:tab w:leader="none" w:pos="649"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 charges consist of interest on borrowed funds and finance leases (including capitalized interest), amortization of debt discount/premium and debt costs, and the portion of rent expense representing an interest factor. EBITDAre is reconciled to net income in the Glossary of Terms.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925" w:right="339"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Summary of Debt Maturities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w w:val="99"/>
              </w:rPr>
              <w:t>Scheduled</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vMerge w:val="restart"/>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Percent of Debt</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Cumulative</w:t>
            </w:r>
          </w:p>
        </w:tc>
        <w:tc>
          <w:tcPr>
            <w:tcW w:w="1660" w:type="dxa"/>
            <w:vAlign w:val="bottom"/>
            <w:vMerge w:val="restart"/>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1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Maturities</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vMerge w:val="restart"/>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80" w:type="dxa"/>
            <w:vAlign w:val="bottom"/>
            <w:vMerge w:val="continue"/>
          </w:tcPr>
          <w:p>
            <w:pPr>
              <w:spacing w:after="0"/>
              <w:rPr>
                <w:sz w:val="14"/>
                <w:szCs w:val="14"/>
                <w:color w:val="auto"/>
              </w:rPr>
            </w:pPr>
          </w:p>
        </w:tc>
        <w:tc>
          <w:tcPr>
            <w:tcW w:w="15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Percent of Debt</w:t>
            </w:r>
          </w:p>
        </w:tc>
        <w:tc>
          <w:tcPr>
            <w:tcW w:w="1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5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28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Maturing</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Maturing</w:t>
            </w:r>
          </w:p>
        </w:tc>
        <w:tc>
          <w:tcPr>
            <w:tcW w:w="166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Average Rate (3)</w:t>
            </w:r>
          </w:p>
        </w:tc>
        <w:tc>
          <w:tcPr>
            <w:tcW w:w="0" w:type="dxa"/>
            <w:vAlign w:val="bottom"/>
          </w:tcPr>
          <w:p>
            <w:pPr>
              <w:spacing w:after="0"/>
              <w:rPr>
                <w:sz w:val="1"/>
                <w:szCs w:val="1"/>
                <w:color w:val="auto"/>
              </w:rPr>
            </w:pPr>
          </w:p>
        </w:tc>
      </w:tr>
      <w:tr>
        <w:trPr>
          <w:trHeight w:val="192"/>
        </w:trPr>
        <w:tc>
          <w:tcPr>
            <w:tcW w:w="15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0.1 %</w:t>
            </w:r>
          </w:p>
        </w:tc>
        <w:tc>
          <w:tcPr>
            <w:tcW w:w="16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279,307</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7.0 %</w:t>
            </w:r>
          </w:p>
        </w:tc>
        <w:tc>
          <w:tcPr>
            <w:tcW w:w="16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9"/>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5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904,347</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29.2 %</w:t>
            </w:r>
          </w:p>
        </w:tc>
        <w:tc>
          <w:tcPr>
            <w:tcW w:w="16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 xml:space="preserve">2.9 % </w:t>
            </w: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29"/>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44,298</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48,416</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30.4 %</w:t>
            </w:r>
          </w:p>
        </w:tc>
        <w:tc>
          <w:tcPr>
            <w:tcW w:w="16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30"/>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452,450</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455,911</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41.6 %</w:t>
            </w:r>
          </w:p>
        </w:tc>
        <w:tc>
          <w:tcPr>
            <w:tcW w:w="16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9"/>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690,570</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693,624</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58.7 %</w:t>
            </w:r>
          </w:p>
        </w:tc>
        <w:tc>
          <w:tcPr>
            <w:tcW w:w="16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30"/>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58.8 %</w:t>
            </w:r>
          </w:p>
        </w:tc>
        <w:tc>
          <w:tcPr>
            <w:tcW w:w="16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29"/>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458,099</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460,869</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70.1 %</w:t>
            </w:r>
          </w:p>
        </w:tc>
        <w:tc>
          <w:tcPr>
            <w:tcW w:w="16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9"/>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401,141</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80.0 %</w:t>
            </w:r>
          </w:p>
        </w:tc>
        <w:tc>
          <w:tcPr>
            <w:tcW w:w="16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30"/>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80.0 %</w:t>
            </w:r>
          </w:p>
        </w:tc>
        <w:tc>
          <w:tcPr>
            <w:tcW w:w="16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29"/>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4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805,899</w:t>
            </w:r>
          </w:p>
        </w:tc>
        <w:tc>
          <w:tcPr>
            <w:tcW w:w="5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812,181</w:t>
            </w:r>
          </w:p>
        </w:tc>
        <w:tc>
          <w:tcPr>
            <w:tcW w:w="3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100.0 %</w:t>
            </w:r>
          </w:p>
        </w:tc>
        <w:tc>
          <w:tcPr>
            <w:tcW w:w="16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23"/>
        </w:trPr>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36,211</w:t>
            </w:r>
          </w:p>
        </w:tc>
        <w:tc>
          <w:tcPr>
            <w:tcW w:w="4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4,026,316</w:t>
            </w:r>
          </w:p>
        </w:tc>
        <w:tc>
          <w:tcPr>
            <w:tcW w:w="5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4,062,527</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6"/>
              </w:rPr>
              <w:t>(2)</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5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59"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$300.0 million term loan matures on April 16, 2024, plus two one-year extensions at our option.</w:t>
      </w:r>
    </w:p>
    <w:p>
      <w:pPr>
        <w:spacing w:after="0" w:line="59" w:lineRule="exact"/>
        <w:rPr>
          <w:rFonts w:ascii="Times New Roman" w:cs="Times New Roman" w:eastAsia="Times New Roman" w:hAnsi="Times New Roman"/>
          <w:sz w:val="16"/>
          <w:szCs w:val="16"/>
          <w:color w:val="auto"/>
        </w:rPr>
      </w:pPr>
    </w:p>
    <w:p>
      <w:pPr>
        <w:ind w:left="660" w:right="120" w:hanging="652"/>
        <w:spacing w:after="0" w:line="290"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debt maturities differ from the total reported on the consolidated balance sheet due to the debt issuance costs and unamortized net premium/discount on certain mortgage loans, notes payable, and senior notes as of March 31, 2022.</w:t>
      </w:r>
    </w:p>
    <w:p>
      <w:pPr>
        <w:ind w:left="660" w:hanging="652"/>
        <w:spacing w:after="0"/>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rate reflects the weighted average interest rate on debt maturing in the respective year.</w:t>
      </w:r>
    </w:p>
    <w:p>
      <w:pPr>
        <w:spacing w:after="0" w:line="72" w:lineRule="exact"/>
        <w:rPr>
          <w:rFonts w:ascii="Times New Roman" w:cs="Times New Roman" w:eastAsia="Times New Roman" w:hAnsi="Times New Roman"/>
          <w:sz w:val="16"/>
          <w:szCs w:val="16"/>
          <w:color w:val="auto"/>
        </w:rPr>
      </w:pPr>
    </w:p>
    <w:p>
      <w:pPr>
        <w:ind w:left="660" w:right="60" w:hanging="652"/>
        <w:spacing w:after="0" w:line="280"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rate excludes $0.6 million in quarterly financing fees and quarterly debt fee amortization on our $1.0 billion revolving credit facility, which had no balance outstanding at March 31, 2022. Our revolving credit facility matures on January 19, 2024, plus two six-month extensions at our option.</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1022" w:right="35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Summary of Redevelopment Opportunities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March 31, 2022</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The following redevelopment opportunities have received or will shortly receive all necessary approvals to proceed and are actively being worked on by the Trust. (1)</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Impacts of Current Environment:</w:t>
      </w:r>
    </w:p>
    <w:p>
      <w:pPr>
        <w:spacing w:after="0" w:line="44" w:lineRule="exact"/>
        <w:rPr>
          <w:sz w:val="20"/>
          <w:szCs w:val="20"/>
          <w:color w:val="auto"/>
        </w:rPr>
      </w:pPr>
    </w:p>
    <w:p>
      <w:pPr>
        <w:ind w:left="20" w:right="100"/>
        <w:spacing w:after="0" w:line="241" w:lineRule="auto"/>
        <w:rPr>
          <w:sz w:val="20"/>
          <w:szCs w:val="20"/>
          <w:color w:val="auto"/>
        </w:rPr>
      </w:pPr>
      <w:r>
        <w:rPr>
          <w:rFonts w:ascii="Times New Roman" w:cs="Times New Roman" w:eastAsia="Times New Roman" w:hAnsi="Times New Roman"/>
          <w:sz w:val="14"/>
          <w:szCs w:val="14"/>
          <w:color w:val="auto"/>
        </w:rPr>
        <w:t>Information provided below reflects management’s best estimate based on current available information, however the completion of construction, final costs, return on investment, and timing of stabilization may be impacted by the current environment, including the impacts of COVID-19 and supply chain disruptions currently affecting the broader economy.</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8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7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Cost to</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Anticipated</w:t>
            </w:r>
          </w:p>
        </w:tc>
        <w:tc>
          <w:tcPr>
            <w:tcW w:w="0" w:type="dxa"/>
            <w:vAlign w:val="bottom"/>
          </w:tcPr>
          <w:p>
            <w:pPr>
              <w:spacing w:after="0"/>
              <w:rPr>
                <w:sz w:val="1"/>
                <w:szCs w:val="1"/>
                <w:color w:val="auto"/>
              </w:rPr>
            </w:pPr>
          </w:p>
        </w:tc>
      </w:tr>
      <w:tr>
        <w:trPr>
          <w:trHeight w:val="148"/>
        </w:trPr>
        <w:tc>
          <w:tcPr>
            <w:tcW w:w="13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46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5140" w:type="dxa"/>
            <w:vAlign w:val="bottom"/>
            <w:vMerge w:val="restart"/>
          </w:tcPr>
          <w:p>
            <w:pPr>
              <w:ind w:left="2220"/>
              <w:spacing w:after="0"/>
              <w:rPr>
                <w:sz w:val="20"/>
                <w:szCs w:val="20"/>
                <w:color w:val="auto"/>
              </w:rPr>
            </w:pPr>
            <w:r>
              <w:rPr>
                <w:rFonts w:ascii="Times New Roman" w:cs="Times New Roman" w:eastAsia="Times New Roman" w:hAnsi="Times New Roman"/>
                <w:sz w:val="14"/>
                <w:szCs w:val="14"/>
                <w:b w:val="1"/>
                <w:bCs w:val="1"/>
                <w:color w:val="auto"/>
              </w:rPr>
              <w:t>Opportunity</w:t>
            </w:r>
          </w:p>
        </w:tc>
        <w:tc>
          <w:tcPr>
            <w:tcW w:w="7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Stabilization</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auto"/>
            </w:tcBorders>
            <w:vMerge w:val="continue"/>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514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ROI (2)</w:t>
            </w:r>
          </w:p>
        </w:tc>
        <w:tc>
          <w:tcPr>
            <w:tcW w:w="8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Cost (1)</w:t>
            </w:r>
          </w:p>
        </w:tc>
        <w:tc>
          <w:tcPr>
            <w:tcW w:w="7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Date</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0" w:type="dxa"/>
            <w:vAlign w:val="bottom"/>
          </w:tcPr>
          <w:p>
            <w:pPr>
              <w:spacing w:after="0"/>
              <w:rPr>
                <w:sz w:val="1"/>
                <w:szCs w:val="1"/>
                <w:color w:val="auto"/>
              </w:rPr>
            </w:pPr>
          </w:p>
        </w:tc>
      </w:tr>
      <w:tr>
        <w:trPr>
          <w:trHeight w:val="188"/>
        </w:trPr>
        <w:tc>
          <w:tcPr>
            <w:tcW w:w="1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(in millions) (in millions)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Darien Commons</w:t>
            </w:r>
          </w:p>
        </w:tc>
        <w:tc>
          <w:tcPr>
            <w:tcW w:w="1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Darien, CT</w:t>
            </w:r>
          </w:p>
        </w:tc>
        <w:tc>
          <w:tcPr>
            <w:tcW w:w="5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Demolition of a 45,000 square foot anchor space to construct 75,000 square feet of</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$110 - $120</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new retail space, 122 rental apartments, and 720 parking spaces</w:t>
            </w: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3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CocoWalk (4)</w:t>
            </w:r>
          </w:p>
        </w:tc>
        <w:tc>
          <w:tcPr>
            <w:tcW w:w="1460" w:type="dxa"/>
            <w:vAlign w:val="bottom"/>
            <w:shd w:val="clear" w:color="auto" w:fill="CCEEFF"/>
          </w:tcPr>
          <w:p>
            <w:pPr>
              <w:ind w:left="260"/>
              <w:spacing w:after="0" w:line="142" w:lineRule="exact"/>
              <w:rPr>
                <w:sz w:val="20"/>
                <w:szCs w:val="20"/>
                <w:color w:val="auto"/>
              </w:rPr>
            </w:pPr>
            <w:r>
              <w:rPr>
                <w:rFonts w:ascii="Times New Roman" w:cs="Times New Roman" w:eastAsia="Times New Roman" w:hAnsi="Times New Roman"/>
                <w:sz w:val="14"/>
                <w:szCs w:val="14"/>
                <w:color w:val="auto"/>
              </w:rPr>
              <w:t>Coconut Grove, FL</w:t>
            </w:r>
          </w:p>
        </w:tc>
        <w:tc>
          <w:tcPr>
            <w:tcW w:w="514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Entire shopping center redevelopment to include: demolition of three story east wing</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6 %</w:t>
            </w:r>
          </w:p>
        </w:tc>
        <w:tc>
          <w:tcPr>
            <w:tcW w:w="84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$93 - $97</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$91</w:t>
            </w:r>
          </w:p>
        </w:tc>
        <w:tc>
          <w:tcPr>
            <w:tcW w:w="9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Stabilized</w:t>
            </w:r>
          </w:p>
        </w:tc>
        <w:tc>
          <w:tcPr>
            <w:tcW w:w="0" w:type="dxa"/>
            <w:vAlign w:val="bottom"/>
          </w:tcPr>
          <w:p>
            <w:pPr>
              <w:spacing w:after="0"/>
              <w:rPr>
                <w:sz w:val="1"/>
                <w:szCs w:val="1"/>
                <w:color w:val="auto"/>
              </w:rPr>
            </w:pPr>
          </w:p>
        </w:tc>
      </w:tr>
      <w:tr>
        <w:trPr>
          <w:trHeight w:val="139"/>
        </w:trPr>
        <w:tc>
          <w:tcPr>
            <w:tcW w:w="13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5140" w:type="dxa"/>
            <w:vAlign w:val="bottom"/>
            <w:shd w:val="clear" w:color="auto" w:fill="CCEEFF"/>
          </w:tcPr>
          <w:p>
            <w:pPr>
              <w:ind w:left="100"/>
              <w:spacing w:after="0" w:line="139" w:lineRule="exact"/>
              <w:rPr>
                <w:sz w:val="20"/>
                <w:szCs w:val="20"/>
                <w:color w:val="auto"/>
              </w:rPr>
            </w:pPr>
            <w:r>
              <w:rPr>
                <w:rFonts w:ascii="Times New Roman" w:cs="Times New Roman" w:eastAsia="Times New Roman" w:hAnsi="Times New Roman"/>
                <w:sz w:val="14"/>
                <w:szCs w:val="14"/>
                <w:color w:val="auto"/>
              </w:rPr>
              <w:t>of the property and construction of a 107,000 square foot 5-story office/retail building</w:t>
            </w:r>
          </w:p>
        </w:tc>
        <w:tc>
          <w:tcPr>
            <w:tcW w:w="7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5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with 22,000 square feet of retail; complete renovation of the west wing</w:t>
            </w:r>
          </w:p>
        </w:tc>
        <w:tc>
          <w:tcPr>
            <w:tcW w:w="7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3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Huntington</w:t>
            </w:r>
          </w:p>
        </w:tc>
        <w:tc>
          <w:tcPr>
            <w:tcW w:w="1460" w:type="dxa"/>
            <w:vAlign w:val="bottom"/>
          </w:tcPr>
          <w:p>
            <w:pPr>
              <w:ind w:left="260"/>
              <w:spacing w:after="0" w:line="135" w:lineRule="exact"/>
              <w:rPr>
                <w:sz w:val="20"/>
                <w:szCs w:val="20"/>
                <w:color w:val="auto"/>
              </w:rPr>
            </w:pPr>
            <w:r>
              <w:rPr>
                <w:rFonts w:ascii="Times New Roman" w:cs="Times New Roman" w:eastAsia="Times New Roman" w:hAnsi="Times New Roman"/>
                <w:sz w:val="14"/>
                <w:szCs w:val="14"/>
                <w:color w:val="auto"/>
              </w:rPr>
              <w:t>Huntington, NY</w:t>
            </w:r>
          </w:p>
        </w:tc>
        <w:tc>
          <w:tcPr>
            <w:tcW w:w="5140" w:type="dxa"/>
            <w:vAlign w:val="bottom"/>
          </w:tcPr>
          <w:p>
            <w:pPr>
              <w:ind w:left="100"/>
              <w:spacing w:after="0" w:line="135" w:lineRule="exact"/>
              <w:rPr>
                <w:sz w:val="20"/>
                <w:szCs w:val="20"/>
                <w:color w:val="auto"/>
              </w:rPr>
            </w:pPr>
            <w:r>
              <w:rPr>
                <w:rFonts w:ascii="Times New Roman" w:cs="Times New Roman" w:eastAsia="Times New Roman" w:hAnsi="Times New Roman"/>
                <w:sz w:val="14"/>
                <w:szCs w:val="14"/>
                <w:color w:val="auto"/>
              </w:rPr>
              <w:t>Demolition of the main two level building consisting of 161,000 square feet of anchor</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7 %</w:t>
            </w:r>
          </w:p>
        </w:tc>
        <w:tc>
          <w:tcPr>
            <w:tcW w:w="840" w:type="dxa"/>
            <w:vAlign w:val="bottom"/>
          </w:tcPr>
          <w:p>
            <w:pPr>
              <w:jc w:val="right"/>
              <w:ind w:right="8"/>
              <w:spacing w:after="0" w:line="135" w:lineRule="exact"/>
              <w:rPr>
                <w:sz w:val="20"/>
                <w:szCs w:val="20"/>
                <w:color w:val="auto"/>
              </w:rPr>
            </w:pPr>
            <w:r>
              <w:rPr>
                <w:rFonts w:ascii="Times New Roman" w:cs="Times New Roman" w:eastAsia="Times New Roman" w:hAnsi="Times New Roman"/>
                <w:sz w:val="14"/>
                <w:szCs w:val="14"/>
                <w:color w:val="auto"/>
              </w:rPr>
              <w:t>$80 - $85</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$19</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39"/>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140" w:type="dxa"/>
            <w:vAlign w:val="bottom"/>
          </w:tcPr>
          <w:p>
            <w:pPr>
              <w:ind w:left="100"/>
              <w:spacing w:after="0" w:line="139" w:lineRule="exact"/>
              <w:rPr>
                <w:sz w:val="20"/>
                <w:szCs w:val="20"/>
                <w:color w:val="auto"/>
              </w:rPr>
            </w:pPr>
            <w:r>
              <w:rPr>
                <w:rFonts w:ascii="Times New Roman" w:cs="Times New Roman" w:eastAsia="Times New Roman" w:hAnsi="Times New Roman"/>
                <w:sz w:val="14"/>
                <w:szCs w:val="14"/>
                <w:color w:val="auto"/>
              </w:rPr>
              <w:t>and small shop space to construct 102,000 square feet of new ground-level anchor and</w:t>
            </w: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small shop retail space</w:t>
            </w: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Lawrence Park</w:t>
            </w:r>
          </w:p>
        </w:tc>
        <w:tc>
          <w:tcPr>
            <w:tcW w:w="1460" w:type="dxa"/>
            <w:vAlign w:val="bottom"/>
            <w:shd w:val="clear" w:color="auto" w:fill="CCEEFF"/>
          </w:tcPr>
          <w:p>
            <w:pPr>
              <w:ind w:left="260"/>
              <w:spacing w:after="0" w:line="135" w:lineRule="exact"/>
              <w:rPr>
                <w:sz w:val="20"/>
                <w:szCs w:val="20"/>
                <w:color w:val="auto"/>
              </w:rPr>
            </w:pPr>
            <w:r>
              <w:rPr>
                <w:rFonts w:ascii="Times New Roman" w:cs="Times New Roman" w:eastAsia="Times New Roman" w:hAnsi="Times New Roman"/>
                <w:sz w:val="14"/>
                <w:szCs w:val="14"/>
                <w:color w:val="auto"/>
              </w:rPr>
              <w:t>Broomall, PA</w:t>
            </w:r>
          </w:p>
        </w:tc>
        <w:tc>
          <w:tcPr>
            <w:tcW w:w="514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4"/>
                <w:szCs w:val="14"/>
                <w:color w:val="auto"/>
              </w:rPr>
              <w:t>Full shopping center redevelopment to include expansion of Main Line Health into</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8 %</w:t>
            </w:r>
          </w:p>
        </w:tc>
        <w:tc>
          <w:tcPr>
            <w:tcW w:w="840" w:type="dxa"/>
            <w:vAlign w:val="bottom"/>
            <w:shd w:val="clear" w:color="auto" w:fill="CCEEFF"/>
          </w:tcPr>
          <w:p>
            <w:pPr>
              <w:jc w:val="right"/>
              <w:ind w:right="8"/>
              <w:spacing w:after="0" w:line="135" w:lineRule="exact"/>
              <w:rPr>
                <w:sz w:val="20"/>
                <w:szCs w:val="20"/>
                <w:color w:val="auto"/>
              </w:rPr>
            </w:pPr>
            <w:r>
              <w:rPr>
                <w:rFonts w:ascii="Times New Roman" w:cs="Times New Roman" w:eastAsia="Times New Roman" w:hAnsi="Times New Roman"/>
                <w:sz w:val="14"/>
                <w:szCs w:val="14"/>
                <w:color w:val="auto"/>
              </w:rPr>
              <w:t>$15</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$11</w:t>
            </w:r>
          </w:p>
        </w:tc>
        <w:tc>
          <w:tcPr>
            <w:tcW w:w="9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39"/>
        </w:trPr>
        <w:tc>
          <w:tcPr>
            <w:tcW w:w="13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5140" w:type="dxa"/>
            <w:vAlign w:val="bottom"/>
            <w:shd w:val="clear" w:color="auto" w:fill="CCEEFF"/>
          </w:tcPr>
          <w:p>
            <w:pPr>
              <w:ind w:left="100"/>
              <w:spacing w:after="0" w:line="139" w:lineRule="exact"/>
              <w:rPr>
                <w:sz w:val="20"/>
                <w:szCs w:val="20"/>
                <w:color w:val="auto"/>
              </w:rPr>
            </w:pPr>
            <w:r>
              <w:rPr>
                <w:rFonts w:ascii="Times New Roman" w:cs="Times New Roman" w:eastAsia="Times New Roman" w:hAnsi="Times New Roman"/>
                <w:sz w:val="14"/>
                <w:szCs w:val="14"/>
                <w:color w:val="auto"/>
              </w:rPr>
              <w:t>vacant lower level space, creation of 17,800 square feet of small shop space converted</w:t>
            </w:r>
          </w:p>
        </w:tc>
        <w:tc>
          <w:tcPr>
            <w:tcW w:w="7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51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from vacated anchor space, a new 2,000 square foot bank pad building, and a façade</w:t>
            </w:r>
          </w:p>
        </w:tc>
        <w:tc>
          <w:tcPr>
            <w:tcW w:w="7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5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renovation for the entire center</w:t>
            </w:r>
          </w:p>
        </w:tc>
        <w:tc>
          <w:tcPr>
            <w:tcW w:w="7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Azalea</w:t>
            </w:r>
          </w:p>
        </w:tc>
        <w:tc>
          <w:tcPr>
            <w:tcW w:w="1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Southgate, CA</w:t>
            </w:r>
          </w:p>
        </w:tc>
        <w:tc>
          <w:tcPr>
            <w:tcW w:w="5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Development of a new 3,000 square foot single tenant pad building</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10"/>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Flourtown</w:t>
            </w:r>
          </w:p>
        </w:tc>
        <w:tc>
          <w:tcPr>
            <w:tcW w:w="1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Flourtown, PA</w:t>
            </w:r>
          </w:p>
        </w:tc>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Development of a new 2,450 square foot bank pad building</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89"/>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Active Redevelopment projects (5)</w:t>
            </w:r>
          </w:p>
        </w:tc>
        <w:tc>
          <w:tcPr>
            <w:tcW w:w="5140" w:type="dxa"/>
            <w:vAlign w:val="bottom"/>
          </w:tcPr>
          <w:p>
            <w:pPr>
              <w:spacing w:after="0"/>
              <w:rPr>
                <w:sz w:val="16"/>
                <w:szCs w:val="16"/>
                <w:color w:val="auto"/>
              </w:rPr>
            </w:pPr>
          </w:p>
        </w:tc>
        <w:tc>
          <w:tcPr>
            <w:tcW w:w="160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6 % $303 - $322</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3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5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Active Property Improvement Projects (6)</w:t>
            </w:r>
          </w:p>
        </w:tc>
        <w:tc>
          <w:tcPr>
            <w:tcW w:w="514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134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4"/>
                <w:szCs w:val="14"/>
                <w:color w:val="auto"/>
              </w:rPr>
              <w:t>Various Properties</w:t>
            </w:r>
          </w:p>
        </w:tc>
        <w:tc>
          <w:tcPr>
            <w:tcW w:w="1460" w:type="dxa"/>
            <w:vAlign w:val="bottom"/>
            <w:shd w:val="clear" w:color="auto" w:fill="CCEEFF"/>
          </w:tcPr>
          <w:p>
            <w:pPr>
              <w:spacing w:after="0"/>
              <w:rPr>
                <w:sz w:val="10"/>
                <w:szCs w:val="10"/>
                <w:color w:val="auto"/>
              </w:rPr>
            </w:pPr>
          </w:p>
        </w:tc>
        <w:tc>
          <w:tcPr>
            <w:tcW w:w="5140" w:type="dxa"/>
            <w:vAlign w:val="bottom"/>
            <w:shd w:val="clear" w:color="auto" w:fill="CCEEFF"/>
          </w:tcPr>
          <w:p>
            <w:pPr>
              <w:ind w:left="100"/>
              <w:spacing w:after="0" w:line="121" w:lineRule="exact"/>
              <w:rPr>
                <w:sz w:val="20"/>
                <w:szCs w:val="20"/>
                <w:color w:val="auto"/>
              </w:rPr>
            </w:pPr>
            <w:r>
              <w:rPr>
                <w:rFonts w:ascii="Times New Roman" w:cs="Times New Roman" w:eastAsia="Times New Roman" w:hAnsi="Times New Roman"/>
                <w:sz w:val="14"/>
                <w:szCs w:val="14"/>
                <w:color w:val="auto"/>
              </w:rPr>
              <w:t>Ongoing improvements at 22 properties to better position those properties to capture a</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- 13%</w:t>
            </w: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13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5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disproportionate amount of retail demand post-COVID</w:t>
            </w: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27" w:lineRule="exact"/>
        <w:rPr>
          <w:sz w:val="20"/>
          <w:szCs w:val="20"/>
          <w:color w:val="auto"/>
        </w:rPr>
      </w:pPr>
    </w:p>
    <w:p>
      <w:pPr>
        <w:ind w:left="660" w:right="120" w:hanging="652"/>
        <w:spacing w:after="0" w:line="267" w:lineRule="auto"/>
        <w:tabs>
          <w:tab w:leader="none" w:pos="655"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60" w:lineRule="auto"/>
        <w:tabs>
          <w:tab w:leader="none" w:pos="655"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generally does not include peripheral impacts, such as the impact on future lease rollovers at the property or the impact on the long-term value of the property but may for certain property improvement projects.</w:t>
      </w:r>
    </w:p>
    <w:p>
      <w:pPr>
        <w:ind w:left="660" w:hanging="652"/>
        <w:spacing w:after="0"/>
        <w:tabs>
          <w:tab w:leader="none" w:pos="6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Stabilization is generally the year in which 90% physical occupancy of the redeveloped space is achieved. Economic stabilization may occur at a later point in time.</w:t>
      </w:r>
    </w:p>
    <w:p>
      <w:pPr>
        <w:spacing w:after="0" w:line="12" w:lineRule="exact"/>
        <w:rPr>
          <w:rFonts w:ascii="Times New Roman" w:cs="Times New Roman" w:eastAsia="Times New Roman" w:hAnsi="Times New Roman"/>
          <w:sz w:val="13"/>
          <w:szCs w:val="13"/>
          <w:color w:val="auto"/>
        </w:rPr>
      </w:pPr>
    </w:p>
    <w:p>
      <w:pPr>
        <w:ind w:left="660" w:right="100" w:hanging="652"/>
        <w:spacing w:after="0" w:line="260" w:lineRule="auto"/>
        <w:tabs>
          <w:tab w:leader="none" w:pos="655"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CocoWalk is expected to stabilize from an economic perspective during 2022, with a full year of stabilized POI of approximately $11 million in 2023. 2022 is expected to generate approximately 75-80% of this amount.</w:t>
      </w:r>
    </w:p>
    <w:p>
      <w:pPr>
        <w:ind w:left="660" w:hanging="652"/>
        <w:spacing w:after="0"/>
        <w:tabs>
          <w:tab w:leader="none" w:pos="6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subtotals and totals reflect cost weighted-average ROIs.</w:t>
      </w:r>
    </w:p>
    <w:p>
      <w:pPr>
        <w:spacing w:after="0" w:line="12" w:lineRule="exact"/>
        <w:rPr>
          <w:rFonts w:ascii="Times New Roman" w:cs="Times New Roman" w:eastAsia="Times New Roman" w:hAnsi="Times New Roman"/>
          <w:sz w:val="13"/>
          <w:szCs w:val="13"/>
          <w:color w:val="auto"/>
        </w:rPr>
      </w:pPr>
    </w:p>
    <w:p>
      <w:pPr>
        <w:ind w:left="660" w:right="40" w:hanging="652"/>
        <w:spacing w:after="0" w:line="266" w:lineRule="auto"/>
        <w:tabs>
          <w:tab w:leader="none" w:pos="655"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Property improvement projects generally consist of façade renovations, site improvements, landscaping, improved outdoor amenity spaces, and other upgrades to improve the overall look and environment of the property. These projects improve overall tenant and customer experiences, improve market rents, drive leasing demand, and/or provide outdoor spaces critical to meeting the needs of the current environment. Returns on these projects are typically seen over one to five years, however, some projects could extend beyond that. Projected ROI range reflects management's best estimate of the long term expected return on cost of these investments.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028" w:right="3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Assembly Row, Pike &amp; Rose, and Santana Row</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March 31, 2022</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Impacts of Current Environment:</w:t>
      </w:r>
    </w:p>
    <w:p>
      <w:pPr>
        <w:spacing w:after="0" w:line="34" w:lineRule="exact"/>
        <w:rPr>
          <w:sz w:val="20"/>
          <w:szCs w:val="20"/>
          <w:color w:val="auto"/>
        </w:rPr>
      </w:pPr>
    </w:p>
    <w:p>
      <w:pPr>
        <w:ind w:left="20" w:right="40"/>
        <w:spacing w:after="0" w:line="232" w:lineRule="auto"/>
        <w:rPr>
          <w:sz w:val="20"/>
          <w:szCs w:val="20"/>
          <w:color w:val="auto"/>
        </w:rPr>
      </w:pPr>
      <w:r>
        <w:rPr>
          <w:rFonts w:ascii="Times New Roman" w:cs="Times New Roman" w:eastAsia="Times New Roman" w:hAnsi="Times New Roman"/>
          <w:sz w:val="16"/>
          <w:szCs w:val="16"/>
          <w:color w:val="auto"/>
        </w:rPr>
        <w:t>Information provided below reflects management’s best estimate based on current available information, however the completion of construction, final costs, return on investment, and timing of stabilization may be impacted by the current environment, including the impacts of COVID-19 and supply chain disruptions affecting the broader economy.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Projected POI Delivered</w:t>
            </w: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a % of Total)</w:t>
            </w: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320" w:type="dxa"/>
            <w:vAlign w:val="bottom"/>
            <w:vMerge w:val="restart"/>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vMerge w:val="restart"/>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Costs to</w:t>
            </w:r>
          </w:p>
        </w:tc>
        <w:tc>
          <w:tcPr>
            <w:tcW w:w="2020" w:type="dxa"/>
            <w:vAlign w:val="bottom"/>
            <w:gridSpan w:val="3"/>
          </w:tcPr>
          <w:p>
            <w:pPr>
              <w:jc w:val="center"/>
              <w:ind w:right="80"/>
              <w:spacing w:after="0" w:line="159" w:lineRule="exact"/>
              <w:rPr>
                <w:sz w:val="20"/>
                <w:szCs w:val="20"/>
                <w:color w:val="auto"/>
              </w:rPr>
            </w:pPr>
            <w:r>
              <w:rPr>
                <w:rFonts w:ascii="Times New Roman" w:cs="Times New Roman" w:eastAsia="Times New Roman" w:hAnsi="Times New Roman"/>
                <w:sz w:val="14"/>
                <w:szCs w:val="14"/>
                <w:b w:val="1"/>
                <w:bCs w:val="1"/>
                <w:color w:val="auto"/>
              </w:rPr>
              <w:t>For Year Ended December 31,</w:t>
            </w: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748"/>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Property (1)</w:t>
            </w:r>
          </w:p>
        </w:tc>
        <w:tc>
          <w:tcPr>
            <w:tcW w:w="23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Opportunity</w:t>
            </w:r>
          </w:p>
        </w:tc>
        <w:tc>
          <w:tcPr>
            <w:tcW w:w="1320" w:type="dxa"/>
            <w:vAlign w:val="bottom"/>
            <w:tcBorders>
              <w:bottom w:val="single" w:sz="8" w:color="auto"/>
            </w:tcBorders>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ROI (2)</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 (3)</w:t>
            </w:r>
          </w:p>
        </w:tc>
        <w:tc>
          <w:tcPr>
            <w:tcW w:w="94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Date</w:t>
            </w:r>
          </w:p>
        </w:tc>
        <w:tc>
          <w:tcPr>
            <w:tcW w:w="82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12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7"/>
                <w:szCs w:val="17"/>
                <w:color w:val="auto"/>
              </w:rPr>
            </w:pPr>
          </w:p>
        </w:tc>
        <w:tc>
          <w:tcPr>
            <w:tcW w:w="2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Expected Opening Timeframe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(in</w:t>
            </w:r>
          </w:p>
        </w:tc>
        <w:tc>
          <w:tcPr>
            <w:tcW w:w="940" w:type="dxa"/>
            <w:vAlign w:val="bottom"/>
          </w:tcPr>
          <w:p>
            <w:pPr>
              <w:jc w:val="center"/>
              <w:ind w:right="169"/>
              <w:spacing w:after="0" w:line="136" w:lineRule="exact"/>
              <w:rPr>
                <w:sz w:val="20"/>
                <w:szCs w:val="20"/>
                <w:color w:val="auto"/>
              </w:rPr>
            </w:pPr>
            <w:r>
              <w:rPr>
                <w:rFonts w:ascii="Times New Roman" w:cs="Times New Roman" w:eastAsia="Times New Roman" w:hAnsi="Times New Roman"/>
                <w:sz w:val="13"/>
                <w:szCs w:val="13"/>
                <w:color w:val="auto"/>
                <w:w w:val="96"/>
              </w:rPr>
              <w:t>(in</w:t>
            </w: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millions)</w:t>
            </w:r>
          </w:p>
        </w:tc>
        <w:tc>
          <w:tcPr>
            <w:tcW w:w="940" w:type="dxa"/>
            <w:vAlign w:val="bottom"/>
          </w:tcPr>
          <w:p>
            <w:pPr>
              <w:jc w:val="center"/>
              <w:ind w:right="149"/>
              <w:spacing w:after="0"/>
              <w:rPr>
                <w:sz w:val="20"/>
                <w:szCs w:val="20"/>
                <w:color w:val="auto"/>
              </w:rPr>
            </w:pPr>
            <w:r>
              <w:rPr>
                <w:rFonts w:ascii="Times New Roman" w:cs="Times New Roman" w:eastAsia="Times New Roman" w:hAnsi="Times New Roman"/>
                <w:sz w:val="13"/>
                <w:szCs w:val="13"/>
                <w:color w:val="auto"/>
              </w:rPr>
              <w:t>millions)</w:t>
            </w: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 xml:space="preserve">Assembly Row, </w:t>
            </w:r>
            <w:r>
              <w:rPr>
                <w:rFonts w:ascii="Times New Roman" w:cs="Times New Roman" w:eastAsia="Times New Roman" w:hAnsi="Times New Roman"/>
                <w:sz w:val="14"/>
                <w:szCs w:val="14"/>
                <w:b w:val="1"/>
                <w:bCs w:val="1"/>
                <w:i w:val="1"/>
                <w:iCs w:val="1"/>
                <w:color w:val="auto"/>
              </w:rPr>
              <w:t>Somerville, MA</w:t>
            </w: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Phase III</w:t>
            </w:r>
          </w:p>
        </w:tc>
        <w:tc>
          <w:tcPr>
            <w:tcW w:w="2320" w:type="dxa"/>
            <w:vAlign w:val="bottom"/>
            <w:gridSpan w:val="4"/>
            <w:shd w:val="clear" w:color="auto" w:fill="CCEEFF"/>
          </w:tcPr>
          <w:p>
            <w:pPr>
              <w:ind w:left="60"/>
              <w:spacing w:after="0" w:line="135" w:lineRule="exact"/>
              <w:rPr>
                <w:sz w:val="20"/>
                <w:szCs w:val="20"/>
                <w:color w:val="auto"/>
              </w:rPr>
            </w:pPr>
            <w:r>
              <w:rPr>
                <w:rFonts w:ascii="Times New Roman" w:cs="Times New Roman" w:eastAsia="Times New Roman" w:hAnsi="Times New Roman"/>
                <w:sz w:val="14"/>
                <w:szCs w:val="14"/>
                <w:color w:val="auto"/>
              </w:rPr>
              <w:t>- 277,000 SF of office</w:t>
            </w:r>
          </w:p>
        </w:tc>
        <w:tc>
          <w:tcPr>
            <w:tcW w:w="1320" w:type="dxa"/>
            <w:vAlign w:val="bottom"/>
            <w:shd w:val="clear" w:color="auto" w:fill="CCEEFF"/>
          </w:tcPr>
          <w:p>
            <w:pPr>
              <w:jc w:val="center"/>
              <w:ind w:left="488"/>
              <w:spacing w:after="0" w:line="135" w:lineRule="exact"/>
              <w:rPr>
                <w:sz w:val="20"/>
                <w:szCs w:val="20"/>
                <w:color w:val="auto"/>
              </w:rPr>
            </w:pPr>
            <w:r>
              <w:rPr>
                <w:rFonts w:ascii="Times New Roman" w:cs="Times New Roman" w:eastAsia="Times New Roman" w:hAnsi="Times New Roman"/>
                <w:sz w:val="14"/>
                <w:szCs w:val="14"/>
                <w:color w:val="auto"/>
              </w:rPr>
              <w:t>6%</w:t>
            </w:r>
          </w:p>
        </w:tc>
        <w:tc>
          <w:tcPr>
            <w:tcW w:w="8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$465 - 485</w:t>
            </w:r>
          </w:p>
        </w:tc>
        <w:tc>
          <w:tcPr>
            <w:tcW w:w="94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4"/>
                <w:szCs w:val="14"/>
                <w:color w:val="auto"/>
              </w:rPr>
              <w:t>$469</w:t>
            </w:r>
          </w:p>
        </w:tc>
        <w:tc>
          <w:tcPr>
            <w:tcW w:w="820" w:type="dxa"/>
            <w:vAlign w:val="bottom"/>
            <w:shd w:val="clear" w:color="auto" w:fill="CCEEFF"/>
          </w:tcPr>
          <w:p>
            <w:pPr>
              <w:jc w:val="center"/>
              <w:ind w:left="68"/>
              <w:spacing w:after="0" w:line="135" w:lineRule="exact"/>
              <w:rPr>
                <w:sz w:val="20"/>
                <w:szCs w:val="20"/>
                <w:color w:val="auto"/>
              </w:rPr>
            </w:pPr>
            <w:r>
              <w:rPr>
                <w:rFonts w:ascii="Times New Roman" w:cs="Times New Roman" w:eastAsia="Times New Roman" w:hAnsi="Times New Roman"/>
                <w:sz w:val="14"/>
                <w:szCs w:val="14"/>
                <w:color w:val="auto"/>
              </w:rPr>
              <w:t>65 - 75%</w:t>
            </w:r>
          </w:p>
        </w:tc>
        <w:tc>
          <w:tcPr>
            <w:tcW w:w="1120" w:type="dxa"/>
            <w:vAlign w:val="bottom"/>
            <w:shd w:val="clear" w:color="auto" w:fill="CCEEFF"/>
          </w:tcPr>
          <w:p>
            <w:pPr>
              <w:jc w:val="center"/>
              <w:ind w:left="48"/>
              <w:spacing w:after="0" w:line="135" w:lineRule="exact"/>
              <w:rPr>
                <w:sz w:val="20"/>
                <w:szCs w:val="20"/>
                <w:color w:val="auto"/>
              </w:rPr>
            </w:pPr>
            <w:r>
              <w:rPr>
                <w:rFonts w:ascii="Times New Roman" w:cs="Times New Roman" w:eastAsia="Times New Roman" w:hAnsi="Times New Roman"/>
                <w:sz w:val="14"/>
                <w:szCs w:val="14"/>
                <w:color w:val="auto"/>
              </w:rPr>
              <w:t>90 - 95%</w:t>
            </w:r>
          </w:p>
        </w:tc>
        <w:tc>
          <w:tcPr>
            <w:tcW w:w="80" w:type="dxa"/>
            <w:vAlign w:val="bottom"/>
            <w:shd w:val="clear" w:color="auto" w:fill="CCEEFF"/>
          </w:tcPr>
          <w:p>
            <w:pPr>
              <w:spacing w:after="0"/>
              <w:rPr>
                <w:sz w:val="11"/>
                <w:szCs w:val="11"/>
                <w:color w:val="auto"/>
              </w:rPr>
            </w:pPr>
          </w:p>
        </w:tc>
        <w:tc>
          <w:tcPr>
            <w:tcW w:w="22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244,000 square feet of office space</w:t>
            </w: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320" w:type="dxa"/>
            <w:vAlign w:val="bottom"/>
            <w:gridSpan w:val="4"/>
            <w:shd w:val="clear" w:color="auto" w:fill="CCEEFF"/>
          </w:tcPr>
          <w:p>
            <w:pPr>
              <w:ind w:left="60"/>
              <w:spacing w:after="0" w:line="139" w:lineRule="exact"/>
              <w:rPr>
                <w:sz w:val="20"/>
                <w:szCs w:val="20"/>
                <w:color w:val="auto"/>
              </w:rPr>
            </w:pPr>
            <w:r>
              <w:rPr>
                <w:rFonts w:ascii="Times New Roman" w:cs="Times New Roman" w:eastAsia="Times New Roman" w:hAnsi="Times New Roman"/>
                <w:sz w:val="14"/>
                <w:szCs w:val="14"/>
                <w:color w:val="auto"/>
              </w:rPr>
              <w:t>- 500 residential units</w:t>
            </w:r>
          </w:p>
        </w:tc>
        <w:tc>
          <w:tcPr>
            <w:tcW w:w="1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320" w:type="dxa"/>
            <w:vAlign w:val="bottom"/>
            <w:gridSpan w:val="4"/>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- 56,000 SF of retail</w:t>
            </w:r>
          </w:p>
        </w:tc>
        <w:tc>
          <w:tcPr>
            <w:tcW w:w="1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First retail tenants opened in Q2 2021</w:t>
            </w: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Residential units delivered Q3/Q4</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Future Phases</w:t>
            </w:r>
          </w:p>
        </w:tc>
        <w:tc>
          <w:tcPr>
            <w:tcW w:w="232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4"/>
                <w:szCs w:val="14"/>
                <w:color w:val="auto"/>
              </w:rPr>
              <w:t>- 1.5M SF of commercial</w:t>
            </w:r>
          </w:p>
        </w:tc>
        <w:tc>
          <w:tcPr>
            <w:tcW w:w="1320" w:type="dxa"/>
            <w:vAlign w:val="bottom"/>
          </w:tcPr>
          <w:p>
            <w:pPr>
              <w:jc w:val="center"/>
              <w:ind w:left="488"/>
              <w:spacing w:after="0" w:line="135" w:lineRule="exact"/>
              <w:rPr>
                <w:sz w:val="20"/>
                <w:szCs w:val="20"/>
                <w:color w:val="auto"/>
              </w:rPr>
            </w:pPr>
            <w:r>
              <w:rPr>
                <w:rFonts w:ascii="Times New Roman" w:cs="Times New Roman" w:eastAsia="Times New Roman" w:hAnsi="Times New Roman"/>
                <w:sz w:val="14"/>
                <w:szCs w:val="14"/>
                <w:color w:val="auto"/>
                <w:w w:val="99"/>
              </w:rPr>
              <w:t>TBD</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TBD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32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- 326 residential units</w:t>
            </w:r>
          </w:p>
        </w:tc>
        <w:tc>
          <w:tcPr>
            <w:tcW w:w="1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68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2080" w:type="dxa"/>
            <w:vAlign w:val="bottom"/>
            <w:tcBorders>
              <w:bottom w:val="single" w:sz="8" w:color="auto"/>
            </w:tcBorders>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Pike &amp; Rose, </w:t>
            </w:r>
            <w:r>
              <w:rPr>
                <w:rFonts w:ascii="Times New Roman" w:cs="Times New Roman" w:eastAsia="Times New Roman" w:hAnsi="Times New Roman"/>
                <w:sz w:val="14"/>
                <w:szCs w:val="14"/>
                <w:b w:val="1"/>
                <w:bCs w:val="1"/>
                <w:i w:val="1"/>
                <w:iCs w:val="1"/>
                <w:color w:val="auto"/>
              </w:rPr>
              <w:t>North Bethesda, MD</w:t>
            </w:r>
          </w:p>
        </w:tc>
        <w:tc>
          <w:tcPr>
            <w:tcW w:w="18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909 Rose Avenue (Phase</w:t>
            </w:r>
          </w:p>
        </w:tc>
        <w:tc>
          <w:tcPr>
            <w:tcW w:w="232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4"/>
                <w:szCs w:val="14"/>
                <w:color w:val="auto"/>
              </w:rPr>
              <w:t>-212,000 SF of office</w:t>
            </w:r>
          </w:p>
        </w:tc>
        <w:tc>
          <w:tcPr>
            <w:tcW w:w="1320" w:type="dxa"/>
            <w:vAlign w:val="bottom"/>
          </w:tcPr>
          <w:p>
            <w:pPr>
              <w:jc w:val="center"/>
              <w:ind w:left="488"/>
              <w:spacing w:after="0" w:line="135" w:lineRule="exact"/>
              <w:rPr>
                <w:sz w:val="20"/>
                <w:szCs w:val="20"/>
                <w:color w:val="auto"/>
              </w:rPr>
            </w:pPr>
            <w:r>
              <w:rPr>
                <w:rFonts w:ascii="Times New Roman" w:cs="Times New Roman" w:eastAsia="Times New Roman" w:hAnsi="Times New Roman"/>
                <w:sz w:val="14"/>
                <w:szCs w:val="14"/>
                <w:color w:val="auto"/>
              </w:rPr>
              <w:t>6-7%</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$128 - 135</w:t>
            </w:r>
          </w:p>
        </w:tc>
        <w:tc>
          <w:tcPr>
            <w:tcW w:w="940" w:type="dxa"/>
            <w:vAlign w:val="bottom"/>
          </w:tcPr>
          <w:p>
            <w:pPr>
              <w:ind w:left="200"/>
              <w:spacing w:after="0" w:line="135" w:lineRule="exact"/>
              <w:rPr>
                <w:sz w:val="20"/>
                <w:szCs w:val="20"/>
                <w:color w:val="auto"/>
              </w:rPr>
            </w:pPr>
            <w:r>
              <w:rPr>
                <w:rFonts w:ascii="Times New Roman" w:cs="Times New Roman" w:eastAsia="Times New Roman" w:hAnsi="Times New Roman"/>
                <w:sz w:val="14"/>
                <w:szCs w:val="14"/>
                <w:color w:val="auto"/>
              </w:rPr>
              <w:t>$122   (4)</w:t>
            </w:r>
          </w:p>
        </w:tc>
        <w:tc>
          <w:tcPr>
            <w:tcW w:w="820" w:type="dxa"/>
            <w:vAlign w:val="bottom"/>
          </w:tcPr>
          <w:p>
            <w:pPr>
              <w:jc w:val="center"/>
              <w:ind w:left="68"/>
              <w:spacing w:after="0" w:line="135" w:lineRule="exact"/>
              <w:rPr>
                <w:sz w:val="20"/>
                <w:szCs w:val="20"/>
                <w:color w:val="auto"/>
              </w:rPr>
            </w:pPr>
            <w:r>
              <w:rPr>
                <w:rFonts w:ascii="Times New Roman" w:cs="Times New Roman" w:eastAsia="Times New Roman" w:hAnsi="Times New Roman"/>
                <w:sz w:val="14"/>
                <w:szCs w:val="14"/>
                <w:color w:val="auto"/>
              </w:rPr>
              <w:t>60 - 70%</w:t>
            </w:r>
          </w:p>
        </w:tc>
        <w:tc>
          <w:tcPr>
            <w:tcW w:w="1120" w:type="dxa"/>
            <w:vAlign w:val="bottom"/>
          </w:tcPr>
          <w:p>
            <w:pPr>
              <w:jc w:val="center"/>
              <w:ind w:left="48"/>
              <w:spacing w:after="0" w:line="135" w:lineRule="exact"/>
              <w:rPr>
                <w:sz w:val="20"/>
                <w:szCs w:val="20"/>
                <w:color w:val="auto"/>
              </w:rPr>
            </w:pPr>
            <w:r>
              <w:rPr>
                <w:rFonts w:ascii="Times New Roman" w:cs="Times New Roman" w:eastAsia="Times New Roman" w:hAnsi="Times New Roman"/>
                <w:sz w:val="14"/>
                <w:szCs w:val="14"/>
                <w:color w:val="auto"/>
              </w:rPr>
              <w:t>90 - 95%</w:t>
            </w:r>
          </w:p>
        </w:tc>
        <w:tc>
          <w:tcPr>
            <w:tcW w:w="80" w:type="dxa"/>
            <w:vAlign w:val="bottom"/>
          </w:tcPr>
          <w:p>
            <w:pPr>
              <w:spacing w:after="0"/>
              <w:rPr>
                <w:sz w:val="11"/>
                <w:szCs w:val="11"/>
                <w:color w:val="auto"/>
              </w:rPr>
            </w:pPr>
          </w:p>
        </w:tc>
        <w:tc>
          <w:tcPr>
            <w:tcW w:w="22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Opening began in Q3 2020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III)</w:t>
            </w:r>
          </w:p>
        </w:tc>
        <w:tc>
          <w:tcPr>
            <w:tcW w:w="232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-7,000 SF of retail</w:t>
            </w:r>
          </w:p>
        </w:tc>
        <w:tc>
          <w:tcPr>
            <w:tcW w:w="1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198,000 square feet leased</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915 Meeting Street (Phase</w:t>
            </w:r>
          </w:p>
        </w:tc>
        <w:tc>
          <w:tcPr>
            <w:tcW w:w="2320" w:type="dxa"/>
            <w:vAlign w:val="bottom"/>
            <w:gridSpan w:val="4"/>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-266,000 SF of office</w:t>
            </w:r>
          </w:p>
        </w:tc>
        <w:tc>
          <w:tcPr>
            <w:tcW w:w="1320" w:type="dxa"/>
            <w:vAlign w:val="bottom"/>
            <w:shd w:val="clear" w:color="auto" w:fill="CCEEFF"/>
          </w:tcPr>
          <w:p>
            <w:pPr>
              <w:jc w:val="center"/>
              <w:ind w:left="488"/>
              <w:spacing w:after="0" w:line="142" w:lineRule="exact"/>
              <w:rPr>
                <w:sz w:val="20"/>
                <w:szCs w:val="20"/>
                <w:color w:val="auto"/>
              </w:rPr>
            </w:pPr>
            <w:r>
              <w:rPr>
                <w:rFonts w:ascii="Times New Roman" w:cs="Times New Roman" w:eastAsia="Times New Roman" w:hAnsi="Times New Roman"/>
                <w:sz w:val="14"/>
                <w:szCs w:val="14"/>
                <w:color w:val="auto"/>
              </w:rPr>
              <w:t>6%</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$185 - 200</w:t>
            </w:r>
          </w:p>
        </w:tc>
        <w:tc>
          <w:tcPr>
            <w:tcW w:w="940" w:type="dxa"/>
            <w:vAlign w:val="bottom"/>
            <w:shd w:val="clear" w:color="auto" w:fill="CCEEFF"/>
          </w:tcPr>
          <w:p>
            <w:pPr>
              <w:jc w:val="center"/>
              <w:ind w:right="169"/>
              <w:spacing w:after="0" w:line="142" w:lineRule="exact"/>
              <w:rPr>
                <w:sz w:val="20"/>
                <w:szCs w:val="20"/>
                <w:color w:val="auto"/>
              </w:rPr>
            </w:pPr>
            <w:r>
              <w:rPr>
                <w:rFonts w:ascii="Times New Roman" w:cs="Times New Roman" w:eastAsia="Times New Roman" w:hAnsi="Times New Roman"/>
                <w:sz w:val="14"/>
                <w:szCs w:val="14"/>
                <w:color w:val="auto"/>
              </w:rPr>
              <w:t>$38</w:t>
            </w:r>
          </w:p>
        </w:tc>
        <w:tc>
          <w:tcPr>
            <w:tcW w:w="820" w:type="dxa"/>
            <w:vAlign w:val="bottom"/>
            <w:shd w:val="clear" w:color="auto" w:fill="CCEEFF"/>
          </w:tcPr>
          <w:p>
            <w:pPr>
              <w:jc w:val="center"/>
              <w:ind w:lef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105,000 SF of office space pre-leased</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IV)</w:t>
            </w:r>
          </w:p>
        </w:tc>
        <w:tc>
          <w:tcPr>
            <w:tcW w:w="23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-10,000 SF of retail</w:t>
            </w:r>
          </w:p>
        </w:tc>
        <w:tc>
          <w:tcPr>
            <w:tcW w:w="1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Future Phases</w:t>
            </w:r>
          </w:p>
        </w:tc>
        <w:tc>
          <w:tcPr>
            <w:tcW w:w="232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4"/>
                <w:szCs w:val="14"/>
                <w:color w:val="auto"/>
              </w:rPr>
              <w:t>- 530,000 SF of commercial</w:t>
            </w:r>
          </w:p>
        </w:tc>
        <w:tc>
          <w:tcPr>
            <w:tcW w:w="1320" w:type="dxa"/>
            <w:vAlign w:val="bottom"/>
          </w:tcPr>
          <w:p>
            <w:pPr>
              <w:jc w:val="center"/>
              <w:ind w:left="488"/>
              <w:spacing w:after="0" w:line="135" w:lineRule="exact"/>
              <w:rPr>
                <w:sz w:val="20"/>
                <w:szCs w:val="20"/>
                <w:color w:val="auto"/>
              </w:rPr>
            </w:pPr>
            <w:r>
              <w:rPr>
                <w:rFonts w:ascii="Times New Roman" w:cs="Times New Roman" w:eastAsia="Times New Roman" w:hAnsi="Times New Roman"/>
                <w:sz w:val="14"/>
                <w:szCs w:val="14"/>
                <w:color w:val="auto"/>
                <w:w w:val="99"/>
              </w:rPr>
              <w:t>TBD</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TBD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32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- 741 residential units</w:t>
            </w:r>
          </w:p>
        </w:tc>
        <w:tc>
          <w:tcPr>
            <w:tcW w:w="1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68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39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Santana Row, </w:t>
            </w:r>
            <w:r>
              <w:rPr>
                <w:rFonts w:ascii="Times New Roman" w:cs="Times New Roman" w:eastAsia="Times New Roman" w:hAnsi="Times New Roman"/>
                <w:sz w:val="14"/>
                <w:szCs w:val="14"/>
                <w:b w:val="1"/>
                <w:bCs w:val="1"/>
                <w:i w:val="1"/>
                <w:iCs w:val="1"/>
                <w:color w:val="auto"/>
              </w:rPr>
              <w:t>San Jose, CA</w:t>
            </w:r>
          </w:p>
        </w:tc>
        <w:tc>
          <w:tcPr>
            <w:tcW w:w="1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Santana West</w:t>
            </w:r>
          </w:p>
        </w:tc>
        <w:tc>
          <w:tcPr>
            <w:tcW w:w="232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- 376,000 SF of office</w:t>
            </w:r>
          </w:p>
        </w:tc>
        <w:tc>
          <w:tcPr>
            <w:tcW w:w="132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6-7%</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$300 - 315</w:t>
            </w:r>
          </w:p>
        </w:tc>
        <w:tc>
          <w:tcPr>
            <w:tcW w:w="9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$198</w:t>
            </w: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TBD</w:t>
            </w: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Future Phases</w:t>
            </w:r>
          </w:p>
        </w:tc>
        <w:tc>
          <w:tcPr>
            <w:tcW w:w="2320" w:type="dxa"/>
            <w:vAlign w:val="bottom"/>
            <w:gridSpan w:val="4"/>
          </w:tcPr>
          <w:p>
            <w:pPr>
              <w:ind w:left="60"/>
              <w:spacing w:after="0" w:line="156" w:lineRule="exact"/>
              <w:rPr>
                <w:sz w:val="20"/>
                <w:szCs w:val="20"/>
                <w:color w:val="auto"/>
              </w:rPr>
            </w:pPr>
            <w:r>
              <w:rPr>
                <w:rFonts w:ascii="Times New Roman" w:cs="Times New Roman" w:eastAsia="Times New Roman" w:hAnsi="Times New Roman"/>
                <w:sz w:val="14"/>
                <w:szCs w:val="14"/>
                <w:color w:val="auto"/>
              </w:rPr>
              <w:t>-321,000 SF of commercial</w:t>
            </w:r>
          </w:p>
        </w:tc>
        <w:tc>
          <w:tcPr>
            <w:tcW w:w="1320" w:type="dxa"/>
            <w:vAlign w:val="bottom"/>
          </w:tcPr>
          <w:p>
            <w:pPr>
              <w:jc w:val="center"/>
              <w:ind w:left="488"/>
              <w:spacing w:after="0" w:line="156" w:lineRule="exact"/>
              <w:rPr>
                <w:sz w:val="20"/>
                <w:szCs w:val="20"/>
                <w:color w:val="auto"/>
              </w:rPr>
            </w:pPr>
            <w:r>
              <w:rPr>
                <w:rFonts w:ascii="Times New Roman" w:cs="Times New Roman" w:eastAsia="Times New Roman" w:hAnsi="Times New Roman"/>
                <w:sz w:val="14"/>
                <w:szCs w:val="14"/>
                <w:color w:val="auto"/>
                <w:w w:val="99"/>
              </w:rPr>
              <w:t>TBD</w:t>
            </w:r>
          </w:p>
        </w:tc>
        <w:tc>
          <w:tcPr>
            <w:tcW w:w="80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color w:val="auto"/>
                <w:w w:val="99"/>
              </w:rPr>
              <w:t>TBD</w:t>
            </w: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23430" cy="4032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403225"/>
                    </a:xfrm>
                    <a:prstGeom prst="rect">
                      <a:avLst/>
                    </a:prstGeom>
                    <a:noFill/>
                  </pic:spPr>
                </pic:pic>
              </a:graphicData>
            </a:graphic>
          </wp:anchor>
        </w:drawing>
      </w:r>
    </w:p>
    <w:p>
      <w:pPr>
        <w:ind w:left="1680"/>
        <w:spacing w:after="0" w:line="221" w:lineRule="auto"/>
        <w:rPr>
          <w:sz w:val="20"/>
          <w:szCs w:val="20"/>
          <w:color w:val="auto"/>
        </w:rPr>
      </w:pPr>
      <w:r>
        <w:rPr>
          <w:rFonts w:ascii="Times New Roman" w:cs="Times New Roman" w:eastAsia="Times New Roman" w:hAnsi="Times New Roman"/>
          <w:sz w:val="14"/>
          <w:szCs w:val="14"/>
          <w:color w:val="auto"/>
        </w:rPr>
        <w:t>-395 residential units</w:t>
      </w:r>
    </w:p>
    <w:p>
      <w:pPr>
        <w:ind w:left="1680"/>
        <w:spacing w:after="0" w:line="221" w:lineRule="auto"/>
        <w:rPr>
          <w:sz w:val="20"/>
          <w:szCs w:val="20"/>
          <w:color w:val="auto"/>
        </w:rPr>
      </w:pPr>
      <w:r>
        <w:rPr>
          <w:rFonts w:ascii="Times New Roman" w:cs="Times New Roman" w:eastAsia="Times New Roman" w:hAnsi="Times New Roman"/>
          <w:sz w:val="14"/>
          <w:szCs w:val="14"/>
          <w:color w:val="auto"/>
        </w:rPr>
        <w:t>-604,000 SF of commercial across from</w:t>
      </w:r>
    </w:p>
    <w:p>
      <w:pPr>
        <w:spacing w:after="0" w:line="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Santana Row</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27" w:lineRule="exact"/>
        <w:rPr>
          <w:sz w:val="20"/>
          <w:szCs w:val="20"/>
          <w:color w:val="auto"/>
        </w:rPr>
      </w:pPr>
    </w:p>
    <w:p>
      <w:pPr>
        <w:ind w:left="660" w:right="20" w:hanging="652"/>
        <w:spacing w:after="0" w:line="261" w:lineRule="auto"/>
        <w:tabs>
          <w:tab w:leader="none" w:pos="6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opening dates, total cost, and projected return on investment (ROI), and projected POI delivered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spacing w:after="0" w:line="1" w:lineRule="exact"/>
        <w:rPr>
          <w:rFonts w:ascii="Times New Roman" w:cs="Times New Roman" w:eastAsia="Times New Roman" w:hAnsi="Times New Roman"/>
          <w:sz w:val="14"/>
          <w:szCs w:val="14"/>
          <w:color w:val="auto"/>
        </w:rPr>
      </w:pPr>
    </w:p>
    <w:p>
      <w:pPr>
        <w:ind w:left="660" w:right="180" w:hanging="652"/>
        <w:spacing w:after="0" w:line="251" w:lineRule="auto"/>
        <w:tabs>
          <w:tab w:leader="none" w:pos="6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Projected ROI for development projects reflects the unleveraged Property Operating Income (POI) generated by the development and is calculated as POI divided by cost. Projected POI delivered includes straight-line rent.</w:t>
      </w:r>
    </w:p>
    <w:p>
      <w:pPr>
        <w:ind w:left="660" w:right="120" w:hanging="652"/>
        <w:spacing w:after="0" w:line="261" w:lineRule="auto"/>
        <w:tabs>
          <w:tab w:leader="none" w:pos="6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Projected costs for Assembly Row and Pike &amp; Rose include an allocation of infrastructure costs for the entire project. Phase I of Santana West includes an allocation of infrastructure for the Santana West site.</w:t>
      </w:r>
    </w:p>
    <w:p>
      <w:pPr>
        <w:ind w:left="660" w:right="200" w:hanging="652"/>
        <w:spacing w:after="0" w:line="263" w:lineRule="auto"/>
        <w:tabs>
          <w:tab w:leader="none" w:pos="6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Realty Investment Trust is leasing 45,000 square feet of office space at a market rent in Pike &amp; Rose Phase III delivered in August 2020. Revenue related to this rent will be eliminated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320" w:top="907" w:right="35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Future Redevelopment Opportunities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March 31, 2022</w:t>
      </w:r>
    </w:p>
    <w:p>
      <w:pPr>
        <w:spacing w:after="0" w:line="287" w:lineRule="exact"/>
        <w:rPr>
          <w:sz w:val="20"/>
          <w:szCs w:val="20"/>
          <w:color w:val="auto"/>
        </w:rPr>
      </w:pPr>
    </w:p>
    <w:p>
      <w:pPr>
        <w:ind w:left="20" w:right="340"/>
        <w:spacing w:after="0" w:line="228" w:lineRule="auto"/>
        <w:rPr>
          <w:sz w:val="20"/>
          <w:szCs w:val="20"/>
          <w:color w:val="auto"/>
        </w:rPr>
      </w:pPr>
      <w:r>
        <w:rPr>
          <w:rFonts w:ascii="Times New Roman" w:cs="Times New Roman" w:eastAsia="Times New Roman" w:hAnsi="Times New Roman"/>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261" w:lineRule="exact"/>
        <w:rPr>
          <w:sz w:val="20"/>
          <w:szCs w:val="20"/>
          <w:color w:val="auto"/>
        </w:rPr>
      </w:pPr>
    </w:p>
    <w:p>
      <w:pPr>
        <w:ind w:left="20" w:right="160"/>
        <w:spacing w:after="0" w:line="248" w:lineRule="auto"/>
        <w:rPr>
          <w:sz w:val="20"/>
          <w:szCs w:val="20"/>
          <w:color w:val="auto"/>
        </w:rPr>
      </w:pPr>
      <w:r>
        <w:rPr>
          <w:rFonts w:ascii="Times New Roman" w:cs="Times New Roman" w:eastAsia="Times New Roman" w:hAnsi="Times New Roman"/>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Escondido Promenade</w:t>
            </w:r>
          </w:p>
        </w:tc>
        <w:tc>
          <w:tcPr>
            <w:tcW w:w="2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Escondido, CA</w:t>
            </w:r>
          </w:p>
        </w:tc>
        <w:tc>
          <w:tcPr>
            <w:tcW w:w="2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Pan Am</w:t>
            </w:r>
          </w:p>
        </w:tc>
        <w:tc>
          <w:tcPr>
            <w:tcW w:w="39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Fairfax, VA</w:t>
            </w:r>
          </w:p>
        </w:tc>
      </w:tr>
      <w:tr>
        <w:trPr>
          <w:trHeight w:val="214"/>
        </w:trPr>
        <w:tc>
          <w:tcPr>
            <w:tcW w:w="238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Fresh Meadows</w:t>
            </w:r>
          </w:p>
        </w:tc>
        <w:tc>
          <w:tcPr>
            <w:tcW w:w="21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Queens, NY</w:t>
            </w:r>
          </w:p>
        </w:tc>
        <w:tc>
          <w:tcPr>
            <w:tcW w:w="218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Pike 7 Plaza</w:t>
            </w:r>
          </w:p>
        </w:tc>
        <w:tc>
          <w:tcPr>
            <w:tcW w:w="392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Vienna, VA</w:t>
            </w:r>
          </w:p>
        </w:tc>
      </w:tr>
      <w:tr>
        <w:trPr>
          <w:trHeight w:val="218"/>
        </w:trPr>
        <w:tc>
          <w:tcPr>
            <w:tcW w:w="2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Mercer Mall</w:t>
            </w:r>
          </w:p>
        </w:tc>
        <w:tc>
          <w:tcPr>
            <w:tcW w:w="2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Lawrenceville, NJ</w:t>
            </w:r>
          </w:p>
        </w:tc>
        <w:tc>
          <w:tcPr>
            <w:tcW w:w="21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r>
    </w:tbl>
    <w:p>
      <w:pPr>
        <w:spacing w:after="0" w:line="214" w:lineRule="exact"/>
        <w:rPr>
          <w:sz w:val="20"/>
          <w:szCs w:val="20"/>
          <w:color w:val="auto"/>
        </w:rPr>
      </w:pPr>
    </w:p>
    <w:p>
      <w:pPr>
        <w:ind w:left="20" w:right="120"/>
        <w:spacing w:after="0" w:line="246" w:lineRule="auto"/>
        <w:rPr>
          <w:sz w:val="20"/>
          <w:szCs w:val="20"/>
          <w:color w:val="auto"/>
        </w:rPr>
      </w:pPr>
      <w:r>
        <w:rPr>
          <w:rFonts w:ascii="Times New Roman" w:cs="Times New Roman" w:eastAsia="Times New Roman" w:hAnsi="Times New Roman"/>
          <w:sz w:val="16"/>
          <w:szCs w:val="16"/>
          <w:b w:val="1"/>
          <w:bCs w:val="1"/>
          <w:color w:val="auto"/>
        </w:rPr>
        <w:t>Property Expansion or Conversion - Opportunities at successful retail properties to convert previously underutilized land into new GLA and to convert other existing uses into more productive uses for the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-237490</wp:posOffset>
            </wp:positionV>
            <wp:extent cx="6720840" cy="240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20840" cy="2400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5"/>
        </w:trPr>
        <w:tc>
          <w:tcPr>
            <w:tcW w:w="226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Barracks Road</w:t>
            </w:r>
          </w:p>
        </w:tc>
        <w:tc>
          <w:tcPr>
            <w:tcW w:w="22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Charlottesville, VA</w:t>
            </w:r>
          </w:p>
        </w:tc>
        <w:tc>
          <w:tcPr>
            <w:tcW w:w="248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Friendship Center</w:t>
            </w:r>
          </w:p>
        </w:tc>
        <w:tc>
          <w:tcPr>
            <w:tcW w:w="35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Washington, DC</w:t>
            </w:r>
          </w:p>
        </w:tc>
      </w:tr>
      <w:tr>
        <w:trPr>
          <w:trHeight w:val="219"/>
        </w:trPr>
        <w:tc>
          <w:tcPr>
            <w:tcW w:w="2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Bethesda Row</w:t>
            </w:r>
          </w:p>
        </w:tc>
        <w:tc>
          <w:tcPr>
            <w:tcW w:w="22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Bethesda, MD</w:t>
            </w:r>
          </w:p>
        </w:tc>
        <w:tc>
          <w:tcPr>
            <w:tcW w:w="2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Grossmont Center</w:t>
            </w:r>
          </w:p>
        </w:tc>
        <w:tc>
          <w:tcPr>
            <w:tcW w:w="3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La Mesa, CA</w:t>
            </w:r>
          </w:p>
        </w:tc>
      </w:tr>
      <w:tr>
        <w:trPr>
          <w:trHeight w:val="214"/>
        </w:trPr>
        <w:tc>
          <w:tcPr>
            <w:tcW w:w="226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Chelsea Commons</w:t>
            </w:r>
          </w:p>
        </w:tc>
        <w:tc>
          <w:tcPr>
            <w:tcW w:w="22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Chelsea, MA</w:t>
            </w:r>
          </w:p>
        </w:tc>
        <w:tc>
          <w:tcPr>
            <w:tcW w:w="248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Hastings Ranch Plaza</w:t>
            </w:r>
          </w:p>
        </w:tc>
        <w:tc>
          <w:tcPr>
            <w:tcW w:w="35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Pasadena, CA</w:t>
            </w:r>
          </w:p>
        </w:tc>
      </w:tr>
      <w:tr>
        <w:trPr>
          <w:trHeight w:val="218"/>
        </w:trPr>
        <w:tc>
          <w:tcPr>
            <w:tcW w:w="2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Dedham Plaza</w:t>
            </w:r>
          </w:p>
        </w:tc>
        <w:tc>
          <w:tcPr>
            <w:tcW w:w="22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Dedham, MA</w:t>
            </w:r>
          </w:p>
        </w:tc>
        <w:tc>
          <w:tcPr>
            <w:tcW w:w="2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Huntington</w:t>
            </w:r>
          </w:p>
        </w:tc>
        <w:tc>
          <w:tcPr>
            <w:tcW w:w="3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Huntington, NY</w:t>
            </w:r>
          </w:p>
        </w:tc>
      </w:tr>
      <w:tr>
        <w:trPr>
          <w:trHeight w:val="214"/>
        </w:trPr>
        <w:tc>
          <w:tcPr>
            <w:tcW w:w="226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Fairfax Junction</w:t>
            </w:r>
          </w:p>
        </w:tc>
        <w:tc>
          <w:tcPr>
            <w:tcW w:w="22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Fairfax, VA</w:t>
            </w:r>
          </w:p>
        </w:tc>
        <w:tc>
          <w:tcPr>
            <w:tcW w:w="248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Riverpoint Center</w:t>
            </w:r>
          </w:p>
        </w:tc>
        <w:tc>
          <w:tcPr>
            <w:tcW w:w="35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Chicago, IL</w:t>
            </w:r>
          </w:p>
        </w:tc>
      </w:tr>
      <w:tr>
        <w:trPr>
          <w:trHeight w:val="218"/>
        </w:trPr>
        <w:tc>
          <w:tcPr>
            <w:tcW w:w="2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Fourth Street</w:t>
            </w:r>
          </w:p>
        </w:tc>
        <w:tc>
          <w:tcPr>
            <w:tcW w:w="22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Berkeley, CA</w:t>
            </w:r>
          </w:p>
        </w:tc>
        <w:tc>
          <w:tcPr>
            <w:tcW w:w="2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Wildwood</w:t>
            </w:r>
          </w:p>
        </w:tc>
        <w:tc>
          <w:tcPr>
            <w:tcW w:w="3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Bethesda, MD</w:t>
            </w:r>
          </w:p>
        </w:tc>
      </w:tr>
      <w:tr>
        <w:trPr>
          <w:trHeight w:val="214"/>
        </w:trPr>
        <w:tc>
          <w:tcPr>
            <w:tcW w:w="226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Fresh Meadows</w:t>
            </w:r>
          </w:p>
        </w:tc>
        <w:tc>
          <w:tcPr>
            <w:tcW w:w="22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Queens, NY</w:t>
            </w:r>
          </w:p>
        </w:tc>
        <w:tc>
          <w:tcPr>
            <w:tcW w:w="248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Willow Grove</w:t>
            </w:r>
          </w:p>
        </w:tc>
        <w:tc>
          <w:tcPr>
            <w:tcW w:w="35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Willow Grove, PA</w:t>
            </w:r>
          </w:p>
        </w:tc>
      </w:tr>
      <w:tr>
        <w:trPr>
          <w:trHeight w:val="218"/>
        </w:trPr>
        <w:tc>
          <w:tcPr>
            <w:tcW w:w="22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r>
    </w:tbl>
    <w:p>
      <w:pPr>
        <w:ind w:left="20"/>
        <w:spacing w:after="0"/>
        <w:rPr>
          <w:sz w:val="20"/>
          <w:szCs w:val="20"/>
          <w:color w:val="auto"/>
        </w:rPr>
      </w:pPr>
      <w:r>
        <w:rPr>
          <w:rFonts w:ascii="Times New Roman" w:cs="Times New Roman" w:eastAsia="Times New Roman" w:hAnsi="Times New Roman"/>
          <w:sz w:val="16"/>
          <w:szCs w:val="16"/>
          <w:b w:val="1"/>
          <w:bCs w:val="1"/>
          <w:color w:val="auto"/>
        </w:rPr>
        <w:t>Residential Opportunities - Opportunity to add residential units to existing retail and mixed-use properties.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Barracks Road</w:t>
            </w:r>
          </w:p>
        </w:tc>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Charlottesville, VA</w:t>
            </w:r>
          </w:p>
        </w:tc>
        <w:tc>
          <w:tcPr>
            <w:tcW w:w="2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Federal Plaza</w:t>
            </w:r>
          </w:p>
        </w:tc>
        <w:tc>
          <w:tcPr>
            <w:tcW w:w="3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Rockville, MD</w:t>
            </w:r>
          </w:p>
        </w:tc>
      </w:tr>
      <w:tr>
        <w:trPr>
          <w:trHeight w:val="214"/>
        </w:trPr>
        <w:tc>
          <w:tcPr>
            <w:tcW w:w="38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 Cynwyd</w:t>
            </w:r>
          </w:p>
        </w:tc>
        <w:tc>
          <w:tcPr>
            <w:tcW w:w="1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Bala Cynwyd, PA</w:t>
            </w:r>
          </w:p>
        </w:tc>
        <w:tc>
          <w:tcPr>
            <w:tcW w:w="284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Village at Shirlington</w:t>
            </w:r>
          </w:p>
        </w:tc>
        <w:tc>
          <w:tcPr>
            <w:tcW w:w="3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Arlington, VA</w:t>
            </w:r>
          </w:p>
        </w:tc>
      </w:tr>
      <w:tr>
        <w:trPr>
          <w:trHeight w:val="218"/>
        </w:trPr>
        <w:tc>
          <w:tcPr>
            <w:tcW w:w="3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r>
      <w:tr>
        <w:trPr>
          <w:trHeight w:val="214"/>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Longer Term Mixed-Use Opportunities</w:t>
            </w:r>
          </w:p>
        </w:tc>
        <w:tc>
          <w:tcPr>
            <w:tcW w:w="17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218"/>
        </w:trPr>
        <w:tc>
          <w:tcPr>
            <w:tcW w:w="3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Assembly Row (1)</w:t>
            </w:r>
          </w:p>
        </w:tc>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Somerville, MA</w:t>
            </w:r>
          </w:p>
        </w:tc>
        <w:tc>
          <w:tcPr>
            <w:tcW w:w="2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Pike &amp; Rose (2)</w:t>
            </w:r>
          </w:p>
        </w:tc>
        <w:tc>
          <w:tcPr>
            <w:tcW w:w="3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North Bethesda, MD</w:t>
            </w:r>
          </w:p>
        </w:tc>
      </w:tr>
      <w:tr>
        <w:trPr>
          <w:trHeight w:val="214"/>
        </w:trPr>
        <w:tc>
          <w:tcPr>
            <w:tcW w:w="38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 Cynwyd</w:t>
            </w:r>
          </w:p>
        </w:tc>
        <w:tc>
          <w:tcPr>
            <w:tcW w:w="1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Bala Cynwyd, PA</w:t>
            </w:r>
          </w:p>
        </w:tc>
        <w:tc>
          <w:tcPr>
            <w:tcW w:w="284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Santana Row (3)</w:t>
            </w:r>
          </w:p>
        </w:tc>
        <w:tc>
          <w:tcPr>
            <w:tcW w:w="3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San Jose, CA</w:t>
            </w:r>
          </w:p>
        </w:tc>
      </w:tr>
      <w:tr>
        <w:trPr>
          <w:trHeight w:val="218"/>
        </w:trPr>
        <w:tc>
          <w:tcPr>
            <w:tcW w:w="3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Pike 7 Plaza</w:t>
            </w:r>
          </w:p>
        </w:tc>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Vienna, VA</w:t>
            </w:r>
          </w:p>
        </w:tc>
        <w:tc>
          <w:tcPr>
            <w:tcW w:w="2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Santana Row - Santana West (3)</w:t>
            </w:r>
          </w:p>
        </w:tc>
        <w:tc>
          <w:tcPr>
            <w:tcW w:w="3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San Jose, CA</w:t>
            </w:r>
          </w:p>
        </w:tc>
      </w:tr>
      <w:tr>
        <w:trPr>
          <w:trHeight w:val="216"/>
        </w:trPr>
        <w:tc>
          <w:tcPr>
            <w:tcW w:w="3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188"/>
        </w:trPr>
        <w:tc>
          <w:tcPr>
            <w:tcW w:w="380" w:type="dxa"/>
            <w:vAlign w:val="bottom"/>
            <w:tcBorders>
              <w:bottom w:val="single" w:sz="8" w:color="auto"/>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92"/>
              </w:rPr>
              <w:t>Notes:</w:t>
            </w:r>
          </w:p>
        </w:tc>
        <w:tc>
          <w:tcPr>
            <w:tcW w:w="240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spacing w:after="0"/>
              <w:rPr>
                <w:sz w:val="15"/>
                <w:szCs w:val="15"/>
                <w:color w:val="auto"/>
              </w:rPr>
            </w:pPr>
          </w:p>
        </w:tc>
        <w:tc>
          <w:tcPr>
            <w:tcW w:w="2840" w:type="dxa"/>
            <w:vAlign w:val="bottom"/>
            <w:tcBorders>
              <w:bottom w:val="single" w:sz="8" w:color="CCEEFF"/>
            </w:tcBorders>
            <w:shd w:val="clear" w:color="auto" w:fill="CCEEFF"/>
          </w:tcPr>
          <w:p>
            <w:pPr>
              <w:spacing w:after="0"/>
              <w:rPr>
                <w:sz w:val="15"/>
                <w:szCs w:val="15"/>
                <w:color w:val="auto"/>
              </w:rPr>
            </w:pPr>
          </w:p>
        </w:tc>
        <w:tc>
          <w:tcPr>
            <w:tcW w:w="3220" w:type="dxa"/>
            <w:vAlign w:val="bottom"/>
            <w:tcBorders>
              <w:bottom w:val="single" w:sz="8" w:color="CCEEFF"/>
            </w:tcBorders>
            <w:shd w:val="clear" w:color="auto" w:fill="CCEEFF"/>
          </w:tcPr>
          <w:p>
            <w:pPr>
              <w:spacing w:after="0"/>
              <w:rPr>
                <w:sz w:val="15"/>
                <w:szCs w:val="15"/>
                <w:color w:val="auto"/>
              </w:rPr>
            </w:pPr>
          </w:p>
        </w:tc>
      </w:tr>
      <w:tr>
        <w:trPr>
          <w:trHeight w:val="135"/>
        </w:trPr>
        <w:tc>
          <w:tcPr>
            <w:tcW w:w="380" w:type="dxa"/>
            <w:vAlign w:val="bottom"/>
            <w:tcBorders>
              <w:top w:val="single" w:sz="8" w:color="CCEEFF"/>
            </w:tcBorders>
          </w:tcPr>
          <w:p>
            <w:pPr>
              <w:ind w:left="20"/>
              <w:spacing w:after="0" w:line="135" w:lineRule="exact"/>
              <w:rPr>
                <w:sz w:val="20"/>
                <w:szCs w:val="20"/>
                <w:color w:val="auto"/>
              </w:rPr>
            </w:pPr>
            <w:r>
              <w:rPr>
                <w:rFonts w:ascii="Times New Roman" w:cs="Times New Roman" w:eastAsia="Times New Roman" w:hAnsi="Times New Roman"/>
                <w:sz w:val="14"/>
                <w:szCs w:val="14"/>
                <w:color w:val="auto"/>
              </w:rPr>
              <w:t>(1)</w:t>
            </w:r>
          </w:p>
        </w:tc>
        <w:tc>
          <w:tcPr>
            <w:tcW w:w="2400" w:type="dxa"/>
            <w:vAlign w:val="bottom"/>
            <w:tcBorders>
              <w:top w:val="single" w:sz="8" w:color="CCEEFF"/>
            </w:tcBorders>
          </w:tcPr>
          <w:p>
            <w:pPr>
              <w:spacing w:after="0" w:line="135" w:lineRule="exact"/>
              <w:rPr>
                <w:sz w:val="20"/>
                <w:szCs w:val="20"/>
                <w:color w:val="auto"/>
              </w:rPr>
            </w:pPr>
            <w:r>
              <w:rPr>
                <w:rFonts w:ascii="Times New Roman" w:cs="Times New Roman" w:eastAsia="Times New Roman" w:hAnsi="Times New Roman"/>
                <w:sz w:val="14"/>
                <w:szCs w:val="14"/>
                <w:color w:val="auto"/>
              </w:rPr>
              <w:t>Assembly Row</w:t>
            </w:r>
          </w:p>
        </w:tc>
        <w:tc>
          <w:tcPr>
            <w:tcW w:w="7800" w:type="dxa"/>
            <w:vAlign w:val="bottom"/>
            <w:tcBorders>
              <w:top w:val="single" w:sz="8" w:color="CCEEFF"/>
            </w:tcBorders>
            <w:gridSpan w:val="3"/>
          </w:tcPr>
          <w:p>
            <w:pPr>
              <w:ind w:left="60"/>
              <w:spacing w:after="0" w:line="135" w:lineRule="exact"/>
              <w:rPr>
                <w:sz w:val="20"/>
                <w:szCs w:val="20"/>
                <w:color w:val="auto"/>
              </w:rPr>
            </w:pPr>
            <w:r>
              <w:rPr>
                <w:rFonts w:ascii="Times New Roman" w:cs="Times New Roman" w:eastAsia="Times New Roman" w:hAnsi="Times New Roman"/>
                <w:sz w:val="14"/>
                <w:szCs w:val="14"/>
                <w:color w:val="auto"/>
              </w:rPr>
              <w:t>Remaining entitlements after Phase III include approximately 1.5 million square feet of commercial-use buildings and 326 residential</w:t>
            </w:r>
          </w:p>
        </w:tc>
      </w:tr>
      <w:tr>
        <w:trPr>
          <w:trHeight w:val="195"/>
        </w:trPr>
        <w:tc>
          <w:tcPr>
            <w:tcW w:w="3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units.</w:t>
            </w:r>
          </w:p>
        </w:tc>
        <w:tc>
          <w:tcPr>
            <w:tcW w:w="284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142"/>
        </w:trPr>
        <w:tc>
          <w:tcPr>
            <w:tcW w:w="3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(2)</w:t>
            </w:r>
          </w:p>
        </w:tc>
        <w:tc>
          <w:tcPr>
            <w:tcW w:w="24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Pike &amp; Rose</w:t>
            </w:r>
          </w:p>
        </w:tc>
        <w:tc>
          <w:tcPr>
            <w:tcW w:w="7800" w:type="dxa"/>
            <w:vAlign w:val="bottom"/>
            <w:gridSpan w:val="3"/>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Remaining entitlements after Phase III include approximately 530,000 square feet of commercial-use buildings, and 741 residential</w:t>
            </w:r>
          </w:p>
        </w:tc>
      </w:tr>
      <w:tr>
        <w:trPr>
          <w:trHeight w:val="203"/>
        </w:trPr>
        <w:tc>
          <w:tcPr>
            <w:tcW w:w="3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units.</w:t>
            </w:r>
          </w:p>
        </w:tc>
        <w:tc>
          <w:tcPr>
            <w:tcW w:w="284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r>
      <w:tr>
        <w:trPr>
          <w:trHeight w:val="135"/>
        </w:trPr>
        <w:tc>
          <w:tcPr>
            <w:tcW w:w="3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(3)</w:t>
            </w:r>
          </w:p>
        </w:tc>
        <w:tc>
          <w:tcPr>
            <w:tcW w:w="24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Santana Row</w:t>
            </w:r>
          </w:p>
        </w:tc>
        <w:tc>
          <w:tcPr>
            <w:tcW w:w="780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4"/>
                <w:szCs w:val="14"/>
                <w:color w:val="auto"/>
              </w:rPr>
              <w:t>Remaining entitlements include approximately 321,000 square feet of commercial space and 395 residential units, as well as</w:t>
            </w:r>
          </w:p>
        </w:tc>
      </w:tr>
      <w:tr>
        <w:trPr>
          <w:trHeight w:val="188"/>
        </w:trPr>
        <w:tc>
          <w:tcPr>
            <w:tcW w:w="3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8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approximately 604,000 square feet of commercial space across from Santana Row.</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80"/>
          </w:cols>
          <w:pgMar w:left="660" w:top="1028" w:right="65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Property Acquisition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Property Acquisition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Date</w:t>
            </w:r>
          </w:p>
        </w:tc>
        <w:tc>
          <w:tcPr>
            <w:tcW w:w="24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220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City/State</w:t>
            </w:r>
          </w:p>
        </w:tc>
        <w:tc>
          <w:tcPr>
            <w:tcW w:w="1540" w:type="dxa"/>
            <w:vAlign w:val="bottom"/>
            <w:vMerge w:val="restart"/>
          </w:tcPr>
          <w:p>
            <w:pPr>
              <w:jc w:val="center"/>
              <w:ind w:left="41"/>
              <w:spacing w:after="0"/>
              <w:rPr>
                <w:sz w:val="20"/>
                <w:szCs w:val="20"/>
                <w:color w:val="auto"/>
              </w:rPr>
            </w:pPr>
            <w:r>
              <w:rPr>
                <w:rFonts w:ascii="Times New Roman" w:cs="Times New Roman" w:eastAsia="Times New Roman" w:hAnsi="Times New Roman"/>
                <w:sz w:val="16"/>
                <w:szCs w:val="16"/>
                <w:b w:val="1"/>
                <w:bCs w:val="1"/>
                <w:color w:val="auto"/>
                <w:w w:val="97"/>
              </w:rPr>
              <w:t>GLA</w:t>
            </w:r>
          </w:p>
        </w:tc>
        <w:tc>
          <w:tcPr>
            <w:tcW w:w="180" w:type="dxa"/>
            <w:vAlign w:val="bottom"/>
          </w:tcPr>
          <w:p>
            <w:pPr>
              <w:spacing w:after="0"/>
              <w:rPr>
                <w:sz w:val="16"/>
                <w:szCs w:val="16"/>
                <w:color w:val="auto"/>
              </w:rPr>
            </w:pPr>
          </w:p>
        </w:tc>
        <w:tc>
          <w:tcPr>
            <w:tcW w:w="90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Purchase</w:t>
            </w:r>
          </w:p>
        </w:tc>
        <w:tc>
          <w:tcPr>
            <w:tcW w:w="26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Principal Tenants</w:t>
            </w:r>
          </w:p>
        </w:tc>
        <w:tc>
          <w:tcPr>
            <w:tcW w:w="0" w:type="dxa"/>
            <w:vAlign w:val="bottom"/>
          </w:tcPr>
          <w:p>
            <w:pPr>
              <w:spacing w:after="0"/>
              <w:rPr>
                <w:sz w:val="1"/>
                <w:szCs w:val="1"/>
                <w:color w:val="auto"/>
              </w:rPr>
            </w:pPr>
          </w:p>
        </w:tc>
      </w:tr>
      <w:tr>
        <w:trPr>
          <w:trHeight w:val="214"/>
        </w:trPr>
        <w:tc>
          <w:tcPr>
            <w:tcW w:w="1300" w:type="dxa"/>
            <w:vAlign w:val="bottom"/>
            <w:tcBorders>
              <w:bottom w:val="single" w:sz="8" w:color="auto"/>
            </w:tcBorders>
            <w:vMerge w:val="continue"/>
          </w:tcPr>
          <w:p>
            <w:pPr>
              <w:spacing w:after="0"/>
              <w:rPr>
                <w:sz w:val="18"/>
                <w:szCs w:val="18"/>
                <w:color w:val="auto"/>
              </w:rPr>
            </w:pPr>
          </w:p>
        </w:tc>
        <w:tc>
          <w:tcPr>
            <w:tcW w:w="2460" w:type="dxa"/>
            <w:vAlign w:val="bottom"/>
            <w:tcBorders>
              <w:bottom w:val="single" w:sz="8" w:color="auto"/>
            </w:tcBorders>
            <w:vMerge w:val="continue"/>
          </w:tcPr>
          <w:p>
            <w:pPr>
              <w:spacing w:after="0"/>
              <w:rPr>
                <w:sz w:val="18"/>
                <w:szCs w:val="18"/>
                <w:color w:val="auto"/>
              </w:rPr>
            </w:pPr>
          </w:p>
        </w:tc>
        <w:tc>
          <w:tcPr>
            <w:tcW w:w="220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2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3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54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(in square feet)</w:t>
            </w:r>
          </w:p>
        </w:tc>
        <w:tc>
          <w:tcPr>
            <w:tcW w:w="180" w:type="dxa"/>
            <w:vAlign w:val="bottom"/>
          </w:tcPr>
          <w:p>
            <w:pPr>
              <w:spacing w:after="0"/>
              <w:rPr>
                <w:sz w:val="16"/>
                <w:szCs w:val="16"/>
                <w:color w:val="auto"/>
              </w:rPr>
            </w:pPr>
          </w:p>
        </w:tc>
        <w:tc>
          <w:tcPr>
            <w:tcW w:w="9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30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7"/>
                <w:szCs w:val="17"/>
                <w:color w:val="auto"/>
              </w:rPr>
              <w:t>April 20, 2022</w:t>
            </w:r>
          </w:p>
        </w:tc>
        <w:tc>
          <w:tcPr>
            <w:tcW w:w="2460" w:type="dxa"/>
            <w:vAlign w:val="bottom"/>
            <w:shd w:val="clear" w:color="auto" w:fill="CCEEFF"/>
          </w:tcPr>
          <w:p>
            <w:pPr>
              <w:ind w:left="280"/>
              <w:spacing w:after="0" w:line="173" w:lineRule="exact"/>
              <w:rPr>
                <w:sz w:val="20"/>
                <w:szCs w:val="20"/>
                <w:color w:val="auto"/>
              </w:rPr>
            </w:pPr>
            <w:r>
              <w:rPr>
                <w:rFonts w:ascii="Times New Roman" w:cs="Times New Roman" w:eastAsia="Times New Roman" w:hAnsi="Times New Roman"/>
                <w:sz w:val="17"/>
                <w:szCs w:val="17"/>
                <w:color w:val="auto"/>
              </w:rPr>
              <w:t>Kingstowne Towne Center</w:t>
            </w:r>
          </w:p>
        </w:tc>
        <w:tc>
          <w:tcPr>
            <w:tcW w:w="2200" w:type="dxa"/>
            <w:vAlign w:val="bottom"/>
            <w:shd w:val="clear" w:color="auto" w:fill="CCEEFF"/>
          </w:tcPr>
          <w:p>
            <w:pPr>
              <w:ind w:left="360"/>
              <w:spacing w:after="0" w:line="173" w:lineRule="exact"/>
              <w:rPr>
                <w:sz w:val="20"/>
                <w:szCs w:val="20"/>
                <w:color w:val="auto"/>
              </w:rPr>
            </w:pPr>
            <w:r>
              <w:rPr>
                <w:rFonts w:ascii="Times New Roman" w:cs="Times New Roman" w:eastAsia="Times New Roman" w:hAnsi="Times New Roman"/>
                <w:sz w:val="17"/>
                <w:szCs w:val="17"/>
                <w:color w:val="auto"/>
              </w:rPr>
              <w:t>Kingstowne, Virginia</w:t>
            </w:r>
          </w:p>
        </w:tc>
        <w:tc>
          <w:tcPr>
            <w:tcW w:w="1540" w:type="dxa"/>
            <w:vAlign w:val="bottom"/>
            <w:shd w:val="clear" w:color="auto" w:fill="CCEEFF"/>
          </w:tcPr>
          <w:p>
            <w:pPr>
              <w:jc w:val="right"/>
              <w:ind w:right="1"/>
              <w:spacing w:after="0" w:line="173" w:lineRule="exact"/>
              <w:rPr>
                <w:sz w:val="20"/>
                <w:szCs w:val="20"/>
                <w:color w:val="auto"/>
              </w:rPr>
            </w:pPr>
            <w:r>
              <w:rPr>
                <w:rFonts w:ascii="Times New Roman" w:cs="Times New Roman" w:eastAsia="Times New Roman" w:hAnsi="Times New Roman"/>
                <w:sz w:val="17"/>
                <w:szCs w:val="17"/>
                <w:color w:val="auto"/>
              </w:rPr>
              <w:t>227,000</w:t>
            </w:r>
          </w:p>
        </w:tc>
        <w:tc>
          <w:tcPr>
            <w:tcW w:w="180" w:type="dxa"/>
            <w:vAlign w:val="bottom"/>
            <w:shd w:val="clear" w:color="auto" w:fill="CCEEFF"/>
          </w:tcPr>
          <w:p>
            <w:pPr>
              <w:jc w:val="right"/>
              <w:spacing w:after="0" w:line="173" w:lineRule="exact"/>
              <w:rPr>
                <w:sz w:val="20"/>
                <w:szCs w:val="20"/>
                <w:color w:val="auto"/>
              </w:rPr>
            </w:pPr>
            <w:r>
              <w:rPr>
                <w:rFonts w:ascii="Times New Roman" w:cs="Times New Roman" w:eastAsia="Times New Roman" w:hAnsi="Times New Roman"/>
                <w:sz w:val="17"/>
                <w:szCs w:val="17"/>
                <w:color w:val="auto"/>
              </w:rPr>
              <w:t>$</w:t>
            </w:r>
          </w:p>
        </w:tc>
        <w:tc>
          <w:tcPr>
            <w:tcW w:w="3560" w:type="dxa"/>
            <w:vAlign w:val="bottom"/>
            <w:gridSpan w:val="2"/>
            <w:shd w:val="clear" w:color="auto" w:fill="CCEEFF"/>
          </w:tcPr>
          <w:p>
            <w:pPr>
              <w:ind w:left="460"/>
              <w:spacing w:after="0" w:line="173" w:lineRule="exact"/>
              <w:rPr>
                <w:sz w:val="20"/>
                <w:szCs w:val="20"/>
                <w:color w:val="auto"/>
              </w:rPr>
            </w:pPr>
            <w:r>
              <w:rPr>
                <w:rFonts w:ascii="Times New Roman" w:cs="Times New Roman" w:eastAsia="Times New Roman" w:hAnsi="Times New Roman"/>
                <w:sz w:val="17"/>
                <w:szCs w:val="17"/>
                <w:color w:val="auto"/>
              </w:rPr>
              <w:t>100.0  Safeway / TJ Maxx / Homegoods /</w:t>
            </w:r>
          </w:p>
        </w:tc>
        <w:tc>
          <w:tcPr>
            <w:tcW w:w="0" w:type="dxa"/>
            <w:vAlign w:val="bottom"/>
          </w:tcPr>
          <w:p>
            <w:pPr>
              <w:spacing w:after="0"/>
              <w:rPr>
                <w:sz w:val="1"/>
                <w:szCs w:val="1"/>
                <w:color w:val="auto"/>
              </w:rPr>
            </w:pPr>
          </w:p>
        </w:tc>
      </w:tr>
      <w:tr>
        <w:trPr>
          <w:trHeight w:val="224"/>
        </w:trPr>
        <w:tc>
          <w:tcPr>
            <w:tcW w:w="130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Five Below</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w:t>
      </w:r>
    </w:p>
    <w:p>
      <w:pPr>
        <w:spacing w:after="0" w:line="33" w:lineRule="exact"/>
        <w:rPr>
          <w:sz w:val="20"/>
          <w:szCs w:val="20"/>
          <w:color w:val="auto"/>
        </w:rPr>
      </w:pPr>
    </w:p>
    <w:p>
      <w:pPr>
        <w:jc w:val="both"/>
        <w:ind w:right="40"/>
        <w:spacing w:after="0" w:line="273" w:lineRule="auto"/>
        <w:rPr>
          <w:sz w:val="20"/>
          <w:szCs w:val="20"/>
          <w:color w:val="auto"/>
        </w:rPr>
      </w:pPr>
      <w:r>
        <w:rPr>
          <w:rFonts w:ascii="Times New Roman" w:cs="Times New Roman" w:eastAsia="Times New Roman" w:hAnsi="Times New Roman"/>
          <w:sz w:val="17"/>
          <w:szCs w:val="17"/>
          <w:color w:val="auto"/>
        </w:rPr>
        <w:t>In July 2022, we expect to close on the second phase of this acquisition for an additional purchase price of $100.0 million, subject to customary closing conditions. Once the remaining acquisition is complete, the property will comprise 410,000 square feet of retail GLA on 45 acres of land. Additional principal tenants included in the second phase will be grocery anchor Giant and Ross Dress for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022" w:right="339"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March 31, 2022</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Real</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Mortgage/Finance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Grocery</w:t>
            </w: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Grocery</w:t>
            </w: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8"/>
              </w:rPr>
              <w:t>Estate at</w:t>
            </w:r>
          </w:p>
        </w:tc>
        <w:tc>
          <w:tcPr>
            <w:tcW w:w="102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Lease Liabilities</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660" w:type="dxa"/>
            <w:vAlign w:val="bottom"/>
            <w:vMerge w:val="continue"/>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rPr>
              <w:t>Anchor</w:t>
            </w:r>
          </w:p>
        </w:tc>
        <w:tc>
          <w:tcPr>
            <w:tcW w:w="820" w:type="dxa"/>
            <w:vAlign w:val="bottom"/>
            <w:vMerge w:val="continue"/>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Cost (1)</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GLA (3)</w:t>
            </w:r>
          </w:p>
        </w:tc>
        <w:tc>
          <w:tcPr>
            <w:tcW w:w="5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(3)</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GLA</w:t>
            </w: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Anchor</w:t>
            </w:r>
          </w:p>
        </w:tc>
        <w:tc>
          <w:tcPr>
            <w:tcW w:w="2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6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(in</w:t>
            </w:r>
          </w:p>
        </w:tc>
        <w:tc>
          <w:tcPr>
            <w:tcW w:w="140" w:type="dxa"/>
            <w:vAlign w:val="bottom"/>
          </w:tcPr>
          <w:p>
            <w:pPr>
              <w:spacing w:after="0"/>
              <w:rPr>
                <w:sz w:val="9"/>
                <w:szCs w:val="9"/>
                <w:color w:val="auto"/>
              </w:rPr>
            </w:pPr>
          </w:p>
        </w:tc>
        <w:tc>
          <w:tcPr>
            <w:tcW w:w="880" w:type="dxa"/>
            <w:vAlign w:val="bottom"/>
            <w:vMerge w:val="restart"/>
          </w:tcPr>
          <w:p>
            <w:pPr>
              <w:jc w:val="center"/>
              <w:ind w:right="59"/>
              <w:spacing w:after="0"/>
              <w:rPr>
                <w:sz w:val="20"/>
                <w:szCs w:val="20"/>
                <w:color w:val="auto"/>
              </w:rPr>
            </w:pPr>
            <w:r>
              <w:rPr>
                <w:rFonts w:ascii="Times New Roman" w:cs="Times New Roman" w:eastAsia="Times New Roman" w:hAnsi="Times New Roman"/>
                <w:sz w:val="11"/>
                <w:szCs w:val="11"/>
                <w:color w:val="auto"/>
                <w:w w:val="95"/>
              </w:rPr>
              <w:t>(in thousands)</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thousands)</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California</w:t>
            </w: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Borders>
              <w:top w:val="single" w:sz="8" w:color="CCEEFF"/>
            </w:tcBorders>
          </w:tcPr>
          <w:p>
            <w:pPr>
              <w:spacing w:after="0"/>
              <w:rPr>
                <w:sz w:val="10"/>
                <w:szCs w:val="10"/>
                <w:color w:val="auto"/>
              </w:rPr>
            </w:pPr>
          </w:p>
        </w:tc>
        <w:tc>
          <w:tcPr>
            <w:tcW w:w="62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3"/>
                <w:szCs w:val="13"/>
                <w:color w:val="auto"/>
              </w:rPr>
              <w:t>Azalea</w:t>
            </w:r>
          </w:p>
        </w:tc>
        <w:tc>
          <w:tcPr>
            <w:tcW w:w="50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w:t>
            </w:r>
          </w:p>
        </w:tc>
        <w:tc>
          <w:tcPr>
            <w:tcW w:w="2300" w:type="dxa"/>
            <w:vAlign w:val="bottom"/>
            <w:tcBorders>
              <w:top w:val="single" w:sz="8" w:color="CCEEFF"/>
            </w:tcBorders>
            <w:gridSpan w:val="2"/>
          </w:tcPr>
          <w:p>
            <w:pPr>
              <w:ind w:left="80"/>
              <w:spacing w:after="0" w:line="122"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40" w:type="dxa"/>
            <w:vAlign w:val="bottom"/>
            <w:tcBorders>
              <w:top w:val="single" w:sz="8" w:color="CCEEFF"/>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  108,515</w:t>
            </w:r>
          </w:p>
        </w:tc>
        <w:tc>
          <w:tcPr>
            <w:tcW w:w="140" w:type="dxa"/>
            <w:vAlign w:val="bottom"/>
            <w:tcBorders>
              <w:top w:val="single" w:sz="8" w:color="CCEEFF"/>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CCEEFF"/>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40,000</w:t>
            </w:r>
          </w:p>
        </w:tc>
        <w:tc>
          <w:tcPr>
            <w:tcW w:w="440" w:type="dxa"/>
            <w:vAlign w:val="bottom"/>
            <w:tcBorders>
              <w:top w:val="single" w:sz="8" w:color="CCEEFF"/>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22</w:t>
            </w:r>
          </w:p>
        </w:tc>
        <w:tc>
          <w:tcPr>
            <w:tcW w:w="8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223,000</w:t>
            </w: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660" w:type="dxa"/>
            <w:vAlign w:val="bottom"/>
            <w:tcBorders>
              <w:top w:val="single" w:sz="8" w:color="CCEEFF"/>
            </w:tcBorders>
          </w:tcPr>
          <w:p>
            <w:pPr>
              <w:spacing w:after="0"/>
              <w:rPr>
                <w:sz w:val="10"/>
                <w:szCs w:val="10"/>
                <w:color w:val="auto"/>
              </w:rPr>
            </w:pPr>
          </w:p>
        </w:tc>
        <w:tc>
          <w:tcPr>
            <w:tcW w:w="540" w:type="dxa"/>
            <w:vAlign w:val="bottom"/>
            <w:tcBorders>
              <w:top w:val="single" w:sz="8" w:color="CCEEFF"/>
            </w:tcBorders>
          </w:tcPr>
          <w:p>
            <w:pPr>
              <w:spacing w:after="0"/>
              <w:rPr>
                <w:sz w:val="10"/>
                <w:szCs w:val="10"/>
                <w:color w:val="auto"/>
              </w:rPr>
            </w:pPr>
          </w:p>
        </w:tc>
        <w:tc>
          <w:tcPr>
            <w:tcW w:w="820" w:type="dxa"/>
            <w:vAlign w:val="bottom"/>
            <w:tcBorders>
              <w:top w:val="single" w:sz="8" w:color="CCEEFF"/>
            </w:tcBorders>
          </w:tcPr>
          <w:p>
            <w:pPr>
              <w:spacing w:after="0"/>
              <w:rPr>
                <w:sz w:val="10"/>
                <w:szCs w:val="10"/>
                <w:color w:val="auto"/>
              </w:rPr>
            </w:pPr>
          </w:p>
        </w:tc>
        <w:tc>
          <w:tcPr>
            <w:tcW w:w="2000" w:type="dxa"/>
            <w:vAlign w:val="bottom"/>
            <w:tcBorders>
              <w:top w:val="single" w:sz="8" w:color="CCEEFF"/>
            </w:tcBorders>
          </w:tcPr>
          <w:p>
            <w:pPr>
              <w:ind w:left="40"/>
              <w:spacing w:after="0" w:line="122" w:lineRule="exact"/>
              <w:rPr>
                <w:sz w:val="20"/>
                <w:szCs w:val="20"/>
                <w:color w:val="auto"/>
              </w:rPr>
            </w:pPr>
            <w:r>
              <w:rPr>
                <w:rFonts w:ascii="Times New Roman" w:cs="Times New Roman" w:eastAsia="Times New Roman" w:hAnsi="Times New Roman"/>
                <w:sz w:val="13"/>
                <w:szCs w:val="13"/>
                <w:color w:val="auto"/>
                <w:w w:val="98"/>
              </w:rPr>
              <w:t>Marshalls / Ross Dress for Less / Ulta</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Michaels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Bell Gardens</w:t>
            </w:r>
          </w:p>
        </w:tc>
        <w:tc>
          <w:tcPr>
            <w:tcW w:w="3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w:t>
            </w:r>
          </w:p>
        </w:tc>
        <w:tc>
          <w:tcPr>
            <w:tcW w:w="230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113,984</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12,056</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330,000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67,000</w:t>
            </w:r>
          </w:p>
        </w:tc>
        <w:tc>
          <w:tcPr>
            <w:tcW w:w="82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Food 4 Less</w:t>
            </w:r>
          </w:p>
        </w:tc>
        <w:tc>
          <w:tcPr>
            <w:tcW w:w="20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Ross Dress for Less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Bob's Discount Furniture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Colorado Blvd</w:t>
            </w:r>
          </w:p>
        </w:tc>
        <w:tc>
          <w:tcPr>
            <w:tcW w:w="320" w:type="dxa"/>
            <w:vAlign w:val="bottom"/>
          </w:tcPr>
          <w:p>
            <w:pPr>
              <w:spacing w:after="0"/>
              <w:rPr>
                <w:sz w:val="14"/>
                <w:szCs w:val="14"/>
                <w:color w:val="auto"/>
              </w:rPr>
            </w:pPr>
          </w:p>
        </w:tc>
        <w:tc>
          <w:tcPr>
            <w:tcW w:w="2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Los Angeles-Long Beach-Anaheim, CA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13,597</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88 %</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7"/>
              </w:rPr>
              <w:t>Banana Republic / True Food Kitchen</w:t>
            </w:r>
          </w:p>
        </w:tc>
        <w:tc>
          <w:tcPr>
            <w:tcW w:w="0" w:type="dxa"/>
            <w:vAlign w:val="bottom"/>
          </w:tcPr>
          <w:p>
            <w:pPr>
              <w:spacing w:after="0"/>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Crow Canyon</w:t>
            </w:r>
          </w:p>
        </w:tc>
        <w:tc>
          <w:tcPr>
            <w:tcW w:w="320" w:type="dxa"/>
            <w:vAlign w:val="bottom"/>
            <w:shd w:val="clear" w:color="auto" w:fill="CCEEFF"/>
          </w:tcPr>
          <w:p>
            <w:pPr>
              <w:spacing w:after="0"/>
              <w:rPr>
                <w:sz w:val="11"/>
                <w:szCs w:val="11"/>
                <w:color w:val="auto"/>
              </w:rPr>
            </w:pPr>
          </w:p>
        </w:tc>
        <w:tc>
          <w:tcPr>
            <w:tcW w:w="2300" w:type="dxa"/>
            <w:vAlign w:val="bottom"/>
            <w:gridSpan w:val="2"/>
            <w:shd w:val="clear" w:color="auto" w:fill="CCEEFF"/>
          </w:tcPr>
          <w:p>
            <w:pPr>
              <w:ind w:left="80"/>
              <w:spacing w:after="0" w:line="128" w:lineRule="exact"/>
              <w:rPr>
                <w:sz w:val="20"/>
                <w:szCs w:val="20"/>
                <w:color w:val="auto"/>
              </w:rPr>
            </w:pPr>
            <w:r>
              <w:rPr>
                <w:rFonts w:ascii="Times New Roman" w:cs="Times New Roman" w:eastAsia="Times New Roman" w:hAnsi="Times New Roman"/>
                <w:sz w:val="13"/>
                <w:szCs w:val="13"/>
                <w:color w:val="auto"/>
              </w:rPr>
              <w:t>San Francisco-Oakland-Hayward, CA</w:t>
            </w: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90,690</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243,000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97 %</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4"/>
              </w:rPr>
              <w:t>32,000</w:t>
            </w:r>
          </w:p>
        </w:tc>
        <w:tc>
          <w:tcPr>
            <w:tcW w:w="820" w:type="dxa"/>
            <w:vAlign w:val="bottom"/>
            <w:shd w:val="clear" w:color="auto" w:fill="CCEEFF"/>
          </w:tcPr>
          <w:p>
            <w:pPr>
              <w:ind w:left="80"/>
              <w:spacing w:after="0" w:line="128" w:lineRule="exact"/>
              <w:rPr>
                <w:sz w:val="20"/>
                <w:szCs w:val="20"/>
                <w:color w:val="auto"/>
              </w:rPr>
            </w:pPr>
            <w:r>
              <w:rPr>
                <w:rFonts w:ascii="Times New Roman" w:cs="Times New Roman" w:eastAsia="Times New Roman" w:hAnsi="Times New Roman"/>
                <w:sz w:val="13"/>
                <w:szCs w:val="13"/>
                <w:color w:val="auto"/>
              </w:rPr>
              <w:t>Sprouts</w:t>
            </w:r>
          </w:p>
        </w:tc>
        <w:tc>
          <w:tcPr>
            <w:tcW w:w="200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Total Wine &amp; More / Rite Aid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Commons</w:t>
            </w:r>
          </w:p>
        </w:tc>
        <w:tc>
          <w:tcPr>
            <w:tcW w:w="3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Alamo Ace Hardware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East Bay Bridge</w:t>
            </w:r>
          </w:p>
        </w:tc>
        <w:tc>
          <w:tcPr>
            <w:tcW w:w="320" w:type="dxa"/>
            <w:vAlign w:val="bottom"/>
          </w:tcPr>
          <w:p>
            <w:pPr>
              <w:spacing w:after="0"/>
              <w:rPr>
                <w:sz w:val="10"/>
                <w:szCs w:val="10"/>
                <w:color w:val="auto"/>
              </w:rPr>
            </w:pPr>
          </w:p>
        </w:tc>
        <w:tc>
          <w:tcPr>
            <w:tcW w:w="230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color w:val="auto"/>
              </w:rPr>
              <w:t>San Francisco-Oakland-Hayward, CA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179,552</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440,000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59,000</w:t>
            </w:r>
          </w:p>
        </w:tc>
        <w:tc>
          <w:tcPr>
            <w:tcW w:w="82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Pak-N-Save</w:t>
            </w:r>
          </w:p>
        </w:tc>
        <w:tc>
          <w:tcPr>
            <w:tcW w:w="20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Home Depot / Target / Nordstrom</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Rack</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Escondido</w:t>
            </w:r>
          </w:p>
        </w:tc>
        <w:tc>
          <w:tcPr>
            <w:tcW w:w="3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w:t>
            </w:r>
          </w:p>
        </w:tc>
        <w:tc>
          <w:tcPr>
            <w:tcW w:w="230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San Diego-Carlsbad, CA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54,832</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298,000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Dick’s Sporting Goods /</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Promenade</w:t>
            </w:r>
          </w:p>
        </w:tc>
        <w:tc>
          <w:tcPr>
            <w:tcW w:w="3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9"/>
              </w:rPr>
              <w:t>Ross Dress For Less / Bob's Discount</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Furniture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Fourth Street</w:t>
            </w:r>
          </w:p>
        </w:tc>
        <w:tc>
          <w:tcPr>
            <w:tcW w:w="3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w:t>
            </w:r>
          </w:p>
        </w:tc>
        <w:tc>
          <w:tcPr>
            <w:tcW w:w="2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San Francisco-Oakland-Hayward, CA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27,187</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85 %</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CB2</w:t>
            </w:r>
          </w:p>
        </w:tc>
        <w:tc>
          <w:tcPr>
            <w:tcW w:w="0" w:type="dxa"/>
            <w:vAlign w:val="bottom"/>
          </w:tcPr>
          <w:p>
            <w:pPr>
              <w:spacing w:after="0"/>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Freedom Plaza</w:t>
            </w:r>
          </w:p>
        </w:tc>
        <w:tc>
          <w:tcPr>
            <w:tcW w:w="320" w:type="dxa"/>
            <w:vAlign w:val="bottom"/>
            <w:shd w:val="clear" w:color="auto" w:fill="CCEEFF"/>
          </w:tcPr>
          <w:p>
            <w:pPr>
              <w:jc w:val="right"/>
              <w:ind w:right="17"/>
              <w:spacing w:after="0" w:line="128" w:lineRule="exact"/>
              <w:rPr>
                <w:sz w:val="20"/>
                <w:szCs w:val="20"/>
                <w:color w:val="auto"/>
              </w:rPr>
            </w:pPr>
            <w:r>
              <w:rPr>
                <w:rFonts w:ascii="Times New Roman" w:cs="Times New Roman" w:eastAsia="Times New Roman" w:hAnsi="Times New Roman"/>
                <w:sz w:val="13"/>
                <w:szCs w:val="13"/>
                <w:color w:val="auto"/>
              </w:rPr>
              <w:t>(4)</w:t>
            </w:r>
          </w:p>
        </w:tc>
        <w:tc>
          <w:tcPr>
            <w:tcW w:w="2300" w:type="dxa"/>
            <w:vAlign w:val="bottom"/>
            <w:gridSpan w:val="2"/>
            <w:shd w:val="clear" w:color="auto" w:fill="CCEEFF"/>
          </w:tcPr>
          <w:p>
            <w:pPr>
              <w:ind w:left="80"/>
              <w:spacing w:after="0" w:line="128"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43,864</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114,000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93 %</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4"/>
              </w:rPr>
              <w:t>31,000</w:t>
            </w:r>
          </w:p>
        </w:tc>
        <w:tc>
          <w:tcPr>
            <w:tcW w:w="820" w:type="dxa"/>
            <w:vAlign w:val="bottom"/>
            <w:shd w:val="clear" w:color="auto" w:fill="CCEEFF"/>
          </w:tcPr>
          <w:p>
            <w:pPr>
              <w:ind w:left="80"/>
              <w:spacing w:after="0" w:line="128" w:lineRule="exact"/>
              <w:rPr>
                <w:sz w:val="20"/>
                <w:szCs w:val="20"/>
                <w:color w:val="auto"/>
              </w:rPr>
            </w:pPr>
            <w:r>
              <w:rPr>
                <w:rFonts w:ascii="Times New Roman" w:cs="Times New Roman" w:eastAsia="Times New Roman" w:hAnsi="Times New Roman"/>
                <w:sz w:val="13"/>
                <w:szCs w:val="13"/>
                <w:color w:val="auto"/>
                <w:w w:val="96"/>
              </w:rPr>
              <w:t>Smart &amp; Final</w:t>
            </w:r>
          </w:p>
        </w:tc>
        <w:tc>
          <w:tcPr>
            <w:tcW w:w="200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Nike / Blink Fitness / Ross Dress For</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Less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Grossmont Center</w:t>
            </w:r>
          </w:p>
        </w:tc>
        <w:tc>
          <w:tcPr>
            <w:tcW w:w="3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w:t>
            </w:r>
          </w:p>
        </w:tc>
        <w:tc>
          <w:tcPr>
            <w:tcW w:w="2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San Diego-Carlsbad, CA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176,042</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934,000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99 %</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Target / Walmart / Macy's / CVS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Hastings Ranch</w:t>
            </w:r>
          </w:p>
        </w:tc>
        <w:tc>
          <w:tcPr>
            <w:tcW w:w="320" w:type="dxa"/>
            <w:vAlign w:val="bottom"/>
            <w:shd w:val="clear" w:color="auto" w:fill="CCEEFF"/>
          </w:tcPr>
          <w:p>
            <w:pPr>
              <w:spacing w:after="0"/>
              <w:rPr>
                <w:sz w:val="10"/>
                <w:szCs w:val="10"/>
                <w:color w:val="auto"/>
              </w:rPr>
            </w:pPr>
          </w:p>
        </w:tc>
        <w:tc>
          <w:tcPr>
            <w:tcW w:w="230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25,706</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273,000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HomeGoods / CVS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Plaza</w:t>
            </w:r>
          </w:p>
        </w:tc>
        <w:tc>
          <w:tcPr>
            <w:tcW w:w="3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Sears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Hollywood Blvd</w:t>
            </w:r>
          </w:p>
        </w:tc>
        <w:tc>
          <w:tcPr>
            <w:tcW w:w="320" w:type="dxa"/>
            <w:vAlign w:val="bottom"/>
          </w:tcPr>
          <w:p>
            <w:pPr>
              <w:spacing w:after="0"/>
              <w:rPr>
                <w:sz w:val="14"/>
                <w:szCs w:val="14"/>
                <w:color w:val="auto"/>
              </w:rPr>
            </w:pPr>
          </w:p>
        </w:tc>
        <w:tc>
          <w:tcPr>
            <w:tcW w:w="2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Los Angeles-Long Beach-Anaheim, CA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61,879</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86 %</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Target / Marshalls / L.A. Fitness</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Kings Court</w:t>
            </w:r>
          </w:p>
        </w:tc>
        <w:tc>
          <w:tcPr>
            <w:tcW w:w="3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w:t>
            </w:r>
          </w:p>
        </w:tc>
        <w:tc>
          <w:tcPr>
            <w:tcW w:w="2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San Jose-Sunnyvale-Santa Clara, CA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11,631</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31,000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Lunardi's</w:t>
            </w:r>
          </w:p>
        </w:tc>
        <w:tc>
          <w:tcPr>
            <w:tcW w:w="2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CVS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Old Town Center</w:t>
            </w:r>
          </w:p>
        </w:tc>
        <w:tc>
          <w:tcPr>
            <w:tcW w:w="320" w:type="dxa"/>
            <w:vAlign w:val="bottom"/>
          </w:tcPr>
          <w:p>
            <w:pPr>
              <w:spacing w:after="0"/>
              <w:rPr>
                <w:sz w:val="10"/>
                <w:szCs w:val="10"/>
                <w:color w:val="auto"/>
              </w:rPr>
            </w:pPr>
          </w:p>
        </w:tc>
        <w:tc>
          <w:tcPr>
            <w:tcW w:w="230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color w:val="auto"/>
              </w:rPr>
              <w:t>San Jose-Sunnyvale-Santa Clara, CA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39,170</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97,000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93 %</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Anthropologie / Sephora / Teleferic</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Barcelona</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Olivo at Mission</w:t>
            </w:r>
          </w:p>
        </w:tc>
        <w:tc>
          <w:tcPr>
            <w:tcW w:w="3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w:t>
            </w:r>
          </w:p>
        </w:tc>
        <w:tc>
          <w:tcPr>
            <w:tcW w:w="230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82,287</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155,000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9"/>
              </w:rPr>
              <w:t>Target / 24 Hour Fitness / Ross Dress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Hills</w:t>
            </w:r>
          </w:p>
        </w:tc>
        <w:tc>
          <w:tcPr>
            <w:tcW w:w="3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For Less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Plaza Del Sol</w:t>
            </w:r>
          </w:p>
        </w:tc>
        <w:tc>
          <w:tcPr>
            <w:tcW w:w="3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w:t>
            </w:r>
          </w:p>
        </w:tc>
        <w:tc>
          <w:tcPr>
            <w:tcW w:w="2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Los Angeles-Long Beach-Anaheim, CA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17,954</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Marshalls</w:t>
            </w:r>
          </w:p>
        </w:tc>
        <w:tc>
          <w:tcPr>
            <w:tcW w:w="0" w:type="dxa"/>
            <w:vAlign w:val="bottom"/>
          </w:tcPr>
          <w:p>
            <w:pPr>
              <w:spacing w:after="0"/>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Plaza El Segundo /</w:t>
            </w:r>
          </w:p>
        </w:tc>
        <w:tc>
          <w:tcPr>
            <w:tcW w:w="320" w:type="dxa"/>
            <w:vAlign w:val="bottom"/>
            <w:shd w:val="clear" w:color="auto" w:fill="CCEEFF"/>
          </w:tcPr>
          <w:p>
            <w:pPr>
              <w:jc w:val="right"/>
              <w:ind w:right="17"/>
              <w:spacing w:after="0" w:line="128" w:lineRule="exact"/>
              <w:rPr>
                <w:sz w:val="20"/>
                <w:szCs w:val="20"/>
                <w:color w:val="auto"/>
              </w:rPr>
            </w:pPr>
            <w:r>
              <w:rPr>
                <w:rFonts w:ascii="Times New Roman" w:cs="Times New Roman" w:eastAsia="Times New Roman" w:hAnsi="Times New Roman"/>
                <w:sz w:val="13"/>
                <w:szCs w:val="13"/>
                <w:color w:val="auto"/>
              </w:rPr>
              <w:t>(4)</w:t>
            </w:r>
          </w:p>
        </w:tc>
        <w:tc>
          <w:tcPr>
            <w:tcW w:w="2300" w:type="dxa"/>
            <w:vAlign w:val="bottom"/>
            <w:gridSpan w:val="2"/>
            <w:shd w:val="clear" w:color="auto" w:fill="CCEEFF"/>
          </w:tcPr>
          <w:p>
            <w:pPr>
              <w:ind w:left="80"/>
              <w:spacing w:after="0" w:line="128"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299,699</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125,000</w:t>
            </w:r>
          </w:p>
        </w:tc>
        <w:tc>
          <w:tcPr>
            <w:tcW w:w="4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50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500,000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84 %</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4"/>
              </w:rPr>
              <w:t>66,000</w:t>
            </w:r>
          </w:p>
        </w:tc>
        <w:tc>
          <w:tcPr>
            <w:tcW w:w="820" w:type="dxa"/>
            <w:vAlign w:val="bottom"/>
            <w:shd w:val="clear" w:color="auto" w:fill="CCEEFF"/>
          </w:tcPr>
          <w:p>
            <w:pPr>
              <w:ind w:left="80"/>
              <w:spacing w:after="0" w:line="128" w:lineRule="exact"/>
              <w:rPr>
                <w:sz w:val="20"/>
                <w:szCs w:val="20"/>
                <w:color w:val="auto"/>
              </w:rPr>
            </w:pPr>
            <w:r>
              <w:rPr>
                <w:rFonts w:ascii="Times New Roman" w:cs="Times New Roman" w:eastAsia="Times New Roman" w:hAnsi="Times New Roman"/>
                <w:sz w:val="13"/>
                <w:szCs w:val="13"/>
                <w:color w:val="auto"/>
              </w:rPr>
              <w:t>Whole Foods</w:t>
            </w:r>
          </w:p>
        </w:tc>
        <w:tc>
          <w:tcPr>
            <w:tcW w:w="200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Nordstrom Rack / HomeGoods /</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The Point</w:t>
            </w:r>
          </w:p>
        </w:tc>
        <w:tc>
          <w:tcPr>
            <w:tcW w:w="3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Dick's Sporting Goods / Multiple</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Restaurants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San Antonio Center</w:t>
            </w:r>
          </w:p>
        </w:tc>
        <w:tc>
          <w:tcPr>
            <w:tcW w:w="3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w:t>
            </w:r>
          </w:p>
        </w:tc>
        <w:tc>
          <w:tcPr>
            <w:tcW w:w="2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San Jose-Sunnyvale-Santa Clara, CA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49,541</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98 %</w:t>
            </w:r>
          </w:p>
        </w:tc>
        <w:tc>
          <w:tcPr>
            <w:tcW w:w="6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14,000</w:t>
            </w:r>
          </w:p>
        </w:tc>
        <w:tc>
          <w:tcPr>
            <w:tcW w:w="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Trader Joe's</w:t>
            </w:r>
          </w:p>
        </w:tc>
        <w:tc>
          <w:tcPr>
            <w:tcW w:w="2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Walmart / 24 Hour Fitness</w:t>
            </w:r>
          </w:p>
        </w:tc>
        <w:tc>
          <w:tcPr>
            <w:tcW w:w="0" w:type="dxa"/>
            <w:vAlign w:val="bottom"/>
          </w:tcPr>
          <w:p>
            <w:pPr>
              <w:spacing w:after="0"/>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Santana Row</w:t>
            </w:r>
          </w:p>
        </w:tc>
        <w:tc>
          <w:tcPr>
            <w:tcW w:w="320" w:type="dxa"/>
            <w:vAlign w:val="bottom"/>
            <w:shd w:val="clear" w:color="auto" w:fill="CCEEFF"/>
          </w:tcPr>
          <w:p>
            <w:pPr>
              <w:spacing w:after="0"/>
              <w:rPr>
                <w:sz w:val="11"/>
                <w:szCs w:val="11"/>
                <w:color w:val="auto"/>
              </w:rPr>
            </w:pPr>
          </w:p>
        </w:tc>
        <w:tc>
          <w:tcPr>
            <w:tcW w:w="2300" w:type="dxa"/>
            <w:vAlign w:val="bottom"/>
            <w:gridSpan w:val="2"/>
            <w:shd w:val="clear" w:color="auto" w:fill="CCEEFF"/>
          </w:tcPr>
          <w:p>
            <w:pPr>
              <w:ind w:left="80"/>
              <w:spacing w:after="0" w:line="128" w:lineRule="exact"/>
              <w:rPr>
                <w:sz w:val="20"/>
                <w:szCs w:val="20"/>
                <w:color w:val="auto"/>
              </w:rPr>
            </w:pPr>
            <w:r>
              <w:rPr>
                <w:rFonts w:ascii="Times New Roman" w:cs="Times New Roman" w:eastAsia="Times New Roman" w:hAnsi="Times New Roman"/>
                <w:sz w:val="13"/>
                <w:szCs w:val="13"/>
                <w:color w:val="auto"/>
              </w:rPr>
              <w:t>San Jose-Sunnyvale-Santa Clara, CA</w:t>
            </w: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1,255,274</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45</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1,208,000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97 %</w:t>
            </w:r>
          </w:p>
        </w:tc>
        <w:tc>
          <w:tcPr>
            <w:tcW w:w="66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rPr>
              <w:t>662</w:t>
            </w:r>
          </w:p>
        </w:tc>
        <w:tc>
          <w:tcPr>
            <w:tcW w:w="5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Crate &amp; Barrel / CB2 / H&amp;M / Best</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Buy / Multiple Restaurants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Sylmar Towne</w:t>
            </w:r>
          </w:p>
        </w:tc>
        <w:tc>
          <w:tcPr>
            <w:tcW w:w="3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w:t>
            </w:r>
          </w:p>
        </w:tc>
        <w:tc>
          <w:tcPr>
            <w:tcW w:w="230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46,206</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148,000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43,000</w:t>
            </w:r>
          </w:p>
        </w:tc>
        <w:tc>
          <w:tcPr>
            <w:tcW w:w="82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Food 4 Less</w:t>
            </w:r>
          </w:p>
        </w:tc>
        <w:tc>
          <w:tcPr>
            <w:tcW w:w="20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Center</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Third Street</w:t>
            </w:r>
          </w:p>
        </w:tc>
        <w:tc>
          <w:tcPr>
            <w:tcW w:w="320" w:type="dxa"/>
            <w:vAlign w:val="bottom"/>
            <w:shd w:val="clear" w:color="auto" w:fill="CCEEFF"/>
          </w:tcPr>
          <w:p>
            <w:pPr>
              <w:spacing w:after="0"/>
              <w:rPr>
                <w:sz w:val="10"/>
                <w:szCs w:val="10"/>
                <w:color w:val="auto"/>
              </w:rPr>
            </w:pPr>
          </w:p>
        </w:tc>
        <w:tc>
          <w:tcPr>
            <w:tcW w:w="230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87,545</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207,000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74 %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adidas / Madewell / Patagonia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Promenade</w:t>
            </w:r>
          </w:p>
        </w:tc>
        <w:tc>
          <w:tcPr>
            <w:tcW w:w="3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Multiple Restaurants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Westgate Center</w:t>
            </w:r>
          </w:p>
        </w:tc>
        <w:tc>
          <w:tcPr>
            <w:tcW w:w="320" w:type="dxa"/>
            <w:vAlign w:val="bottom"/>
          </w:tcPr>
          <w:p>
            <w:pPr>
              <w:spacing w:after="0"/>
              <w:rPr>
                <w:sz w:val="10"/>
                <w:szCs w:val="10"/>
                <w:color w:val="auto"/>
              </w:rPr>
            </w:pPr>
          </w:p>
        </w:tc>
        <w:tc>
          <w:tcPr>
            <w:tcW w:w="230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color w:val="auto"/>
              </w:rPr>
              <w:t>San Jose-Sunnyvale-Santa Clara, CA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158,306</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44</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648,000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91 %</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Target / Nordstrom Rack / Nike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Factory / TJ Maxx</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300" w:type="dxa"/>
            <w:vAlign w:val="bottom"/>
            <w:gridSpan w:val="2"/>
            <w:shd w:val="clear" w:color="auto" w:fill="CCEEFF"/>
          </w:tcPr>
          <w:p>
            <w:pPr>
              <w:ind w:left="80"/>
              <w:spacing w:after="0" w:line="146" w:lineRule="exact"/>
              <w:rPr>
                <w:sz w:val="20"/>
                <w:szCs w:val="20"/>
                <w:color w:val="auto"/>
              </w:rPr>
            </w:pPr>
            <w:r>
              <w:rPr>
                <w:rFonts w:ascii="Times New Roman" w:cs="Times New Roman" w:eastAsia="Times New Roman" w:hAnsi="Times New Roman"/>
                <w:sz w:val="13"/>
                <w:szCs w:val="13"/>
                <w:b w:val="1"/>
                <w:bCs w:val="1"/>
                <w:color w:val="auto"/>
              </w:rPr>
              <w:t>Total California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2,943,461</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6,453,000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94 %</w:t>
            </w:r>
          </w:p>
        </w:tc>
        <w:tc>
          <w:tcPr>
            <w:tcW w:w="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20" w:type="dxa"/>
            <w:vAlign w:val="bottom"/>
            <w:gridSpan w:val="3"/>
          </w:tcPr>
          <w:p>
            <w:pPr>
              <w:spacing w:after="0"/>
              <w:rPr>
                <w:sz w:val="9"/>
                <w:szCs w:val="9"/>
                <w:color w:val="auto"/>
              </w:rPr>
            </w:pPr>
          </w:p>
        </w:tc>
        <w:tc>
          <w:tcPr>
            <w:tcW w:w="20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740" w:type="dxa"/>
            <w:vAlign w:val="bottom"/>
            <w:gridSpan w:val="5"/>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Washington Metropolitan Area</w:t>
            </w: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Barcroft Plaza</w:t>
            </w:r>
          </w:p>
        </w:tc>
        <w:tc>
          <w:tcPr>
            <w:tcW w:w="320" w:type="dxa"/>
            <w:vAlign w:val="bottom"/>
          </w:tcPr>
          <w:p>
            <w:pPr>
              <w:spacing w:after="0"/>
              <w:rPr>
                <w:sz w:val="10"/>
                <w:szCs w:val="10"/>
                <w:color w:val="auto"/>
              </w:rPr>
            </w:pPr>
          </w:p>
        </w:tc>
        <w:tc>
          <w:tcPr>
            <w:tcW w:w="230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50,239</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46,000</w:t>
            </w:r>
          </w:p>
        </w:tc>
        <w:tc>
          <w:tcPr>
            <w:tcW w:w="82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Harris Teeter</w:t>
            </w: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VA-MD-WV</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Bethesda Row</w:t>
            </w:r>
          </w:p>
        </w:tc>
        <w:tc>
          <w:tcPr>
            <w:tcW w:w="320" w:type="dxa"/>
            <w:vAlign w:val="bottom"/>
            <w:shd w:val="clear" w:color="auto" w:fill="CCEEFF"/>
          </w:tcPr>
          <w:p>
            <w:pPr>
              <w:spacing w:after="0"/>
              <w:rPr>
                <w:sz w:val="10"/>
                <w:szCs w:val="10"/>
                <w:color w:val="auto"/>
              </w:rPr>
            </w:pPr>
          </w:p>
        </w:tc>
        <w:tc>
          <w:tcPr>
            <w:tcW w:w="230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251,057</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529,000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6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180</w:t>
            </w: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40,000</w:t>
            </w:r>
          </w:p>
        </w:tc>
        <w:tc>
          <w:tcPr>
            <w:tcW w:w="82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0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Apple / Equinox / Anthropologie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23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VA-MD-WV</w:t>
            </w:r>
          </w:p>
        </w:tc>
        <w:tc>
          <w:tcPr>
            <w:tcW w:w="6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Multiple Restaurants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Birch &amp; Broad</w:t>
            </w:r>
          </w:p>
        </w:tc>
        <w:tc>
          <w:tcPr>
            <w:tcW w:w="320" w:type="dxa"/>
            <w:vAlign w:val="bottom"/>
          </w:tcPr>
          <w:p>
            <w:pPr>
              <w:spacing w:after="0"/>
              <w:rPr>
                <w:sz w:val="10"/>
                <w:szCs w:val="10"/>
                <w:color w:val="auto"/>
              </w:rPr>
            </w:pPr>
          </w:p>
        </w:tc>
        <w:tc>
          <w:tcPr>
            <w:tcW w:w="230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24,477</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144,000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51,000</w:t>
            </w:r>
          </w:p>
        </w:tc>
        <w:tc>
          <w:tcPr>
            <w:tcW w:w="82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0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Staples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VA-MD-WV</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Chesterbrook</w:t>
            </w:r>
          </w:p>
        </w:tc>
        <w:tc>
          <w:tcPr>
            <w:tcW w:w="3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w:t>
            </w:r>
          </w:p>
        </w:tc>
        <w:tc>
          <w:tcPr>
            <w:tcW w:w="230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38,353</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90,000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90 %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35,000</w:t>
            </w:r>
          </w:p>
        </w:tc>
        <w:tc>
          <w:tcPr>
            <w:tcW w:w="82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Safeway</w:t>
            </w:r>
          </w:p>
        </w:tc>
        <w:tc>
          <w:tcPr>
            <w:tcW w:w="20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Starbucks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23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VA-MD-WV</w:t>
            </w:r>
          </w:p>
        </w:tc>
        <w:tc>
          <w:tcPr>
            <w:tcW w:w="6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Congressional Plaza</w:t>
            </w:r>
          </w:p>
        </w:tc>
        <w:tc>
          <w:tcPr>
            <w:tcW w:w="3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w:t>
            </w:r>
          </w:p>
        </w:tc>
        <w:tc>
          <w:tcPr>
            <w:tcW w:w="230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109,060</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324,000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91 %</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194</w:t>
            </w: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25,000</w:t>
            </w:r>
          </w:p>
        </w:tc>
        <w:tc>
          <w:tcPr>
            <w:tcW w:w="82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The Fresh</w:t>
            </w:r>
          </w:p>
        </w:tc>
        <w:tc>
          <w:tcPr>
            <w:tcW w:w="20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Buy Buy Baby / Ulta / Barnes &amp;</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VA-MD-WV</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Market</w:t>
            </w:r>
          </w:p>
        </w:tc>
        <w:tc>
          <w:tcPr>
            <w:tcW w:w="2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Noble / Container Store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Courthouse Center</w:t>
            </w:r>
          </w:p>
        </w:tc>
        <w:tc>
          <w:tcPr>
            <w:tcW w:w="320" w:type="dxa"/>
            <w:vAlign w:val="bottom"/>
            <w:shd w:val="clear" w:color="auto" w:fill="CCEEFF"/>
          </w:tcPr>
          <w:p>
            <w:pPr>
              <w:spacing w:after="0"/>
              <w:rPr>
                <w:sz w:val="10"/>
                <w:szCs w:val="10"/>
                <w:color w:val="auto"/>
              </w:rPr>
            </w:pPr>
          </w:p>
        </w:tc>
        <w:tc>
          <w:tcPr>
            <w:tcW w:w="230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7,072</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38,000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69 %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23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VA-MD-WV</w:t>
            </w:r>
          </w:p>
        </w:tc>
        <w:tc>
          <w:tcPr>
            <w:tcW w:w="6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Fairfax Junction</w:t>
            </w:r>
          </w:p>
        </w:tc>
        <w:tc>
          <w:tcPr>
            <w:tcW w:w="3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(5)</w:t>
            </w:r>
          </w:p>
        </w:tc>
        <w:tc>
          <w:tcPr>
            <w:tcW w:w="230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42,003</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124,000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23,000</w:t>
            </w:r>
          </w:p>
        </w:tc>
        <w:tc>
          <w:tcPr>
            <w:tcW w:w="82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Aldi</w:t>
            </w:r>
          </w:p>
        </w:tc>
        <w:tc>
          <w:tcPr>
            <w:tcW w:w="20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Planet Fitness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VA-MD-WV</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Federal Plaza</w:t>
            </w:r>
          </w:p>
        </w:tc>
        <w:tc>
          <w:tcPr>
            <w:tcW w:w="320" w:type="dxa"/>
            <w:vAlign w:val="bottom"/>
            <w:shd w:val="clear" w:color="auto" w:fill="CCEEFF"/>
          </w:tcPr>
          <w:p>
            <w:pPr>
              <w:spacing w:after="0"/>
              <w:rPr>
                <w:sz w:val="10"/>
                <w:szCs w:val="10"/>
                <w:color w:val="auto"/>
              </w:rPr>
            </w:pPr>
          </w:p>
        </w:tc>
        <w:tc>
          <w:tcPr>
            <w:tcW w:w="230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72,212</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249,000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14,000</w:t>
            </w:r>
          </w:p>
        </w:tc>
        <w:tc>
          <w:tcPr>
            <w:tcW w:w="82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20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9"/>
              </w:rPr>
              <w:t>TJ Maxx / Micro Center / Ross Dress</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VA-MD-WV</w:t>
            </w: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For Less</w:t>
            </w:r>
          </w:p>
        </w:tc>
        <w:tc>
          <w:tcPr>
            <w:tcW w:w="0" w:type="dxa"/>
            <w:vAlign w:val="bottom"/>
          </w:tcPr>
          <w:p>
            <w:pPr>
              <w:spacing w:after="0"/>
              <w:rPr>
                <w:sz w:val="1"/>
                <w:szCs w:val="1"/>
                <w:color w:val="auto"/>
              </w:rPr>
            </w:pPr>
          </w:p>
        </w:tc>
      </w:tr>
      <w:tr>
        <w:trPr>
          <w:trHeight w:val="25"/>
        </w:trPr>
        <w:tc>
          <w:tcPr>
            <w:tcW w:w="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028" w:right="33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March 31, 2022</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Real</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Mortgage/Finance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Grocery</w:t>
            </w: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Grocery</w:t>
            </w: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8"/>
              </w:rPr>
              <w:t>Estate at</w:t>
            </w:r>
          </w:p>
        </w:tc>
        <w:tc>
          <w:tcPr>
            <w:tcW w:w="10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Lease Liabilities</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660" w:type="dxa"/>
            <w:vAlign w:val="bottom"/>
            <w:vMerge w:val="continue"/>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rPr>
              <w:t>Anchor</w:t>
            </w:r>
          </w:p>
        </w:tc>
        <w:tc>
          <w:tcPr>
            <w:tcW w:w="840" w:type="dxa"/>
            <w:vAlign w:val="bottom"/>
            <w:vMerge w:val="continue"/>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Cost (1)</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GLA (3)</w:t>
            </w:r>
          </w:p>
        </w:tc>
        <w:tc>
          <w:tcPr>
            <w:tcW w:w="5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(3)</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GLA</w:t>
            </w: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Anchor</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6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(in</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(in thousands)</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thousands)</w:t>
            </w:r>
          </w:p>
        </w:tc>
        <w:tc>
          <w:tcPr>
            <w:tcW w:w="10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Friendship Center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36,541</w:t>
            </w:r>
          </w:p>
        </w:tc>
        <w:tc>
          <w:tcPr>
            <w:tcW w:w="1020" w:type="dxa"/>
            <w:vAlign w:val="bottom"/>
          </w:tcPr>
          <w:p>
            <w:pPr>
              <w:spacing w:after="0"/>
              <w:rPr>
                <w:sz w:val="12"/>
                <w:szCs w:val="12"/>
                <w:color w:val="auto"/>
              </w:rPr>
            </w:pPr>
          </w:p>
        </w:tc>
        <w:tc>
          <w:tcPr>
            <w:tcW w:w="4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78,000</w:t>
            </w:r>
          </w:p>
        </w:tc>
        <w:tc>
          <w:tcPr>
            <w:tcW w:w="8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8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Marshalls / DSW / Maggiano's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Gaithersburg</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37,367</w:t>
            </w: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208,000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Ross Dress For Less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Square</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Ashley Furniture HomeStore / CVS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Graham Park Plaza</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24,656</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132,000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87 %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58,000</w:t>
            </w:r>
          </w:p>
        </w:tc>
        <w:tc>
          <w:tcPr>
            <w:tcW w:w="84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Idylwood Plaza</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17,575</w:t>
            </w: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73,000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30,000</w:t>
            </w:r>
          </w:p>
        </w:tc>
        <w:tc>
          <w:tcPr>
            <w:tcW w:w="84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Whole Foods</w:t>
            </w:r>
          </w:p>
        </w:tc>
        <w:tc>
          <w:tcPr>
            <w:tcW w:w="1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Laurel</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60,435</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364,000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61,000</w:t>
            </w:r>
          </w:p>
        </w:tc>
        <w:tc>
          <w:tcPr>
            <w:tcW w:w="84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L.A. Fitness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HomeGoods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Montrose Crossing</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171,678</w:t>
            </w: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36</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368,000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73,000</w:t>
            </w:r>
          </w:p>
        </w:tc>
        <w:tc>
          <w:tcPr>
            <w:tcW w:w="84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Home Depot Design</w:t>
            </w: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MD-WV</w:t>
            </w:r>
          </w:p>
        </w:tc>
        <w:tc>
          <w:tcPr>
            <w:tcW w:w="6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Center / Old Navy / Bob's Discount</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Furniture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Mount</w:t>
            </w:r>
          </w:p>
        </w:tc>
        <w:tc>
          <w:tcPr>
            <w:tcW w:w="42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(5)</w:t>
            </w:r>
          </w:p>
        </w:tc>
        <w:tc>
          <w:tcPr>
            <w:tcW w:w="22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93,284</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565,000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62,000</w:t>
            </w:r>
          </w:p>
        </w:tc>
        <w:tc>
          <w:tcPr>
            <w:tcW w:w="282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color w:val="auto"/>
              </w:rPr>
              <w:t>Shoppers Food TJ Maxx / Home Depot / Bed, Bath</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Vernon/South</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Warehouse</w:t>
            </w: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&amp; Beyond / Results Fitness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4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Valley/7770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Richmond Hwy</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Old Keene Mill</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80" w:type="dxa"/>
            <w:vAlign w:val="bottom"/>
            <w:shd w:val="clear" w:color="auto" w:fill="CCEEFF"/>
          </w:tcPr>
          <w:p>
            <w:pPr>
              <w:ind w:left="40"/>
              <w:spacing w:after="0" w:line="129"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13,285</w:t>
            </w:r>
          </w:p>
        </w:tc>
        <w:tc>
          <w:tcPr>
            <w:tcW w:w="10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91,000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98 %</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4"/>
              </w:rPr>
              <w:t>24,000</w:t>
            </w:r>
          </w:p>
        </w:tc>
        <w:tc>
          <w:tcPr>
            <w:tcW w:w="84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Whole Foods</w:t>
            </w:r>
          </w:p>
        </w:tc>
        <w:tc>
          <w:tcPr>
            <w:tcW w:w="1980" w:type="dxa"/>
            <w:vAlign w:val="bottom"/>
            <w:shd w:val="clear" w:color="auto" w:fill="CCEEFF"/>
          </w:tcPr>
          <w:p>
            <w:pPr>
              <w:ind w:left="40"/>
              <w:spacing w:after="0" w:line="129" w:lineRule="exact"/>
              <w:rPr>
                <w:sz w:val="20"/>
                <w:szCs w:val="20"/>
                <w:color w:val="auto"/>
              </w:rPr>
            </w:pPr>
            <w:r>
              <w:rPr>
                <w:rFonts w:ascii="Times New Roman" w:cs="Times New Roman" w:eastAsia="Times New Roman" w:hAnsi="Times New Roman"/>
                <w:sz w:val="13"/>
                <w:szCs w:val="13"/>
                <w:color w:val="auto"/>
              </w:rPr>
              <w:t>Walgreens / Planet Fitness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Pan Am</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30,640</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228,000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65,000</w:t>
            </w:r>
          </w:p>
        </w:tc>
        <w:tc>
          <w:tcPr>
            <w:tcW w:w="84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Safeway</w:t>
            </w: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Micro Center / CVS / Michaels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Pentagon Row</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108,272</w:t>
            </w: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297,000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45,000</w:t>
            </w:r>
          </w:p>
        </w:tc>
        <w:tc>
          <w:tcPr>
            <w:tcW w:w="84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Harris Teeter</w:t>
            </w: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DSW / Ulta</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Pike &amp; Rose</w:t>
            </w:r>
          </w:p>
        </w:tc>
        <w:tc>
          <w:tcPr>
            <w:tcW w:w="42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(6)</w:t>
            </w:r>
          </w:p>
        </w:tc>
        <w:tc>
          <w:tcPr>
            <w:tcW w:w="22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737,813</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623,000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765</w:t>
            </w: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Porsche / Uniqlo / REI / H&amp;M / L.L</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Bean / Multiple Restaurants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Pike 7 Plaza</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51,301</w:t>
            </w: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172,000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DSW / Crunch Fitness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Staples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Plaza del Mercado</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46,880</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116,000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18,000</w:t>
            </w:r>
          </w:p>
        </w:tc>
        <w:tc>
          <w:tcPr>
            <w:tcW w:w="84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Aldi</w:t>
            </w: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L.A. Fitness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Quince Orchard</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41,161</w:t>
            </w: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268,000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19,000</w:t>
            </w:r>
          </w:p>
        </w:tc>
        <w:tc>
          <w:tcPr>
            <w:tcW w:w="84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Aldi</w:t>
            </w: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HomeGoods / L.A. Fitness / Staples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Rockville Town</w:t>
            </w:r>
          </w:p>
        </w:tc>
        <w:tc>
          <w:tcPr>
            <w:tcW w:w="42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(7)</w:t>
            </w:r>
          </w:p>
        </w:tc>
        <w:tc>
          <w:tcPr>
            <w:tcW w:w="22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49,581</w:t>
            </w:r>
          </w:p>
        </w:tc>
        <w:tc>
          <w:tcPr>
            <w:tcW w:w="10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4,362</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187,000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78 %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25,000</w:t>
            </w:r>
          </w:p>
        </w:tc>
        <w:tc>
          <w:tcPr>
            <w:tcW w:w="84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Dawson's</w:t>
            </w: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Gold's Gym / Multiple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Square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Market</w:t>
            </w:r>
          </w:p>
        </w:tc>
        <w:tc>
          <w:tcPr>
            <w:tcW w:w="1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Restaurants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Rollingwood</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13,615</w:t>
            </w: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ind w:left="400"/>
              <w:spacing w:after="0" w:line="122" w:lineRule="exact"/>
              <w:rPr>
                <w:sz w:val="20"/>
                <w:szCs w:val="20"/>
                <w:color w:val="auto"/>
              </w:rPr>
            </w:pPr>
            <w:r>
              <w:rPr>
                <w:rFonts w:ascii="Times New Roman" w:cs="Times New Roman" w:eastAsia="Times New Roman" w:hAnsi="Times New Roman"/>
                <w:sz w:val="13"/>
                <w:szCs w:val="13"/>
                <w:color w:val="auto"/>
              </w:rPr>
              <w:t>N/A</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6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282</w:t>
            </w:r>
          </w:p>
        </w:tc>
        <w:tc>
          <w:tcPr>
            <w:tcW w:w="5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Apartments</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Tower Shopping</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23,046</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111,000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86 %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26,000</w:t>
            </w:r>
          </w:p>
        </w:tc>
        <w:tc>
          <w:tcPr>
            <w:tcW w:w="84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L.A. Mart</w:t>
            </w: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Talbots / Total Wine &amp; More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Center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Twinbrooke</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35,545</w:t>
            </w: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106,000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89 %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35,000</w:t>
            </w:r>
          </w:p>
        </w:tc>
        <w:tc>
          <w:tcPr>
            <w:tcW w:w="84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Safeway</w:t>
            </w: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Walgreens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Shopping Centre</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Tyson's Station</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6,092</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50,000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15,000</w:t>
            </w:r>
          </w:p>
        </w:tc>
        <w:tc>
          <w:tcPr>
            <w:tcW w:w="84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Village at</w:t>
            </w:r>
          </w:p>
        </w:tc>
        <w:tc>
          <w:tcPr>
            <w:tcW w:w="420" w:type="dxa"/>
            <w:vAlign w:val="bottom"/>
            <w:gridSpan w:val="2"/>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(7)</w:t>
            </w:r>
          </w:p>
        </w:tc>
        <w:tc>
          <w:tcPr>
            <w:tcW w:w="22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70,301</w:t>
            </w:r>
          </w:p>
        </w:tc>
        <w:tc>
          <w:tcPr>
            <w:tcW w:w="10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6,923</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267,000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83 %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28,000</w:t>
            </w:r>
          </w:p>
        </w:tc>
        <w:tc>
          <w:tcPr>
            <w:tcW w:w="84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Harris Teeter</w:t>
            </w: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AMC / Carlyle Grand Café</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Shirlington</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Wildwood</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27,496</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20,000</w:t>
            </w:r>
          </w:p>
        </w:tc>
        <w:tc>
          <w:tcPr>
            <w:tcW w:w="84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Balducci's</w:t>
            </w: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Multiple Restaurants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Shopping Center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80" w:type="dxa"/>
            <w:vAlign w:val="bottom"/>
            <w:shd w:val="clear" w:color="auto" w:fill="CCEEFF"/>
          </w:tcPr>
          <w:p>
            <w:pPr>
              <w:ind w:left="40"/>
              <w:spacing w:after="0" w:line="146" w:lineRule="exact"/>
              <w:rPr>
                <w:sz w:val="20"/>
                <w:szCs w:val="20"/>
                <w:color w:val="auto"/>
              </w:rPr>
            </w:pPr>
            <w:r>
              <w:rPr>
                <w:rFonts w:ascii="Times New Roman" w:cs="Times New Roman" w:eastAsia="Times New Roman" w:hAnsi="Times New Roman"/>
                <w:sz w:val="13"/>
                <w:szCs w:val="13"/>
                <w:b w:val="1"/>
                <w:bCs w:val="1"/>
                <w:color w:val="auto"/>
              </w:rPr>
              <w:t>Total Washington Metropolitan Area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2,291,037</w:t>
            </w:r>
          </w:p>
        </w:tc>
        <w:tc>
          <w:tcPr>
            <w:tcW w:w="10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6,003,000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95 %</w:t>
            </w:r>
          </w:p>
        </w:tc>
        <w:tc>
          <w:tcPr>
            <w:tcW w:w="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6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460" w:type="dxa"/>
            <w:vAlign w:val="bottom"/>
            <w:gridSpan w:val="3"/>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NY Metro/New Jersey</w:t>
            </w:r>
          </w:p>
        </w:tc>
        <w:tc>
          <w:tcPr>
            <w:tcW w:w="2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Borders>
              <w:top w:val="single" w:sz="8" w:color="CCEEFF"/>
            </w:tcBorders>
          </w:tcPr>
          <w:p>
            <w:pPr>
              <w:spacing w:after="0"/>
              <w:rPr>
                <w:sz w:val="10"/>
                <w:szCs w:val="10"/>
                <w:color w:val="auto"/>
              </w:rPr>
            </w:pPr>
          </w:p>
        </w:tc>
        <w:tc>
          <w:tcPr>
            <w:tcW w:w="104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3"/>
                <w:szCs w:val="13"/>
                <w:color w:val="auto"/>
              </w:rPr>
              <w:t>Brick Plaza</w:t>
            </w:r>
          </w:p>
        </w:tc>
        <w:tc>
          <w:tcPr>
            <w:tcW w:w="22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280" w:type="dxa"/>
            <w:vAlign w:val="bottom"/>
            <w:tcBorders>
              <w:top w:val="single" w:sz="8" w:color="CCEEFF"/>
            </w:tcBorders>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New York-Newark-Jersey City, NY-NJ-PA</w:t>
            </w:r>
          </w:p>
        </w:tc>
        <w:tc>
          <w:tcPr>
            <w:tcW w:w="640" w:type="dxa"/>
            <w:vAlign w:val="bottom"/>
            <w:tcBorders>
              <w:top w:val="single" w:sz="8" w:color="CCEEFF"/>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104,763</w:t>
            </w:r>
          </w:p>
        </w:tc>
        <w:tc>
          <w:tcPr>
            <w:tcW w:w="1020" w:type="dxa"/>
            <w:vAlign w:val="bottom"/>
            <w:tcBorders>
              <w:top w:val="single" w:sz="8" w:color="CCEEFF"/>
            </w:tcBorders>
          </w:tcPr>
          <w:p>
            <w:pPr>
              <w:spacing w:after="0"/>
              <w:rPr>
                <w:sz w:val="10"/>
                <w:szCs w:val="10"/>
                <w:color w:val="auto"/>
              </w:rPr>
            </w:pPr>
          </w:p>
        </w:tc>
        <w:tc>
          <w:tcPr>
            <w:tcW w:w="440" w:type="dxa"/>
            <w:vAlign w:val="bottom"/>
            <w:tcBorders>
              <w:top w:val="single" w:sz="8" w:color="CCEEFF"/>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46</w:t>
            </w:r>
          </w:p>
        </w:tc>
        <w:tc>
          <w:tcPr>
            <w:tcW w:w="8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408,000</w:t>
            </w: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660" w:type="dxa"/>
            <w:vAlign w:val="bottom"/>
            <w:tcBorders>
              <w:top w:val="single" w:sz="8" w:color="CCEEFF"/>
            </w:tcBorders>
          </w:tcPr>
          <w:p>
            <w:pPr>
              <w:spacing w:after="0"/>
              <w:rPr>
                <w:sz w:val="10"/>
                <w:szCs w:val="10"/>
                <w:color w:val="auto"/>
              </w:rPr>
            </w:pPr>
          </w:p>
        </w:tc>
        <w:tc>
          <w:tcPr>
            <w:tcW w:w="540" w:type="dxa"/>
            <w:vAlign w:val="bottom"/>
            <w:tcBorders>
              <w:top w:val="single" w:sz="8" w:color="CCEEFF"/>
            </w:tcBorders>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14,000</w:t>
            </w:r>
          </w:p>
        </w:tc>
        <w:tc>
          <w:tcPr>
            <w:tcW w:w="840" w:type="dxa"/>
            <w:vAlign w:val="bottom"/>
            <w:tcBorders>
              <w:top w:val="single" w:sz="8" w:color="CCEEFF"/>
            </w:tcBorders>
          </w:tcPr>
          <w:p>
            <w:pPr>
              <w:ind w:left="8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1980" w:type="dxa"/>
            <w:vAlign w:val="bottom"/>
            <w:tcBorders>
              <w:top w:val="single" w:sz="8" w:color="CCEEFF"/>
            </w:tcBorders>
          </w:tcPr>
          <w:p>
            <w:pPr>
              <w:ind w:left="40"/>
              <w:spacing w:after="0" w:line="122" w:lineRule="exact"/>
              <w:rPr>
                <w:sz w:val="20"/>
                <w:szCs w:val="20"/>
                <w:color w:val="auto"/>
              </w:rPr>
            </w:pPr>
            <w:r>
              <w:rPr>
                <w:rFonts w:ascii="Times New Roman" w:cs="Times New Roman" w:eastAsia="Times New Roman" w:hAnsi="Times New Roman"/>
                <w:sz w:val="13"/>
                <w:szCs w:val="13"/>
                <w:color w:val="auto"/>
              </w:rPr>
              <w:t>AMC / HomeGoods / Ulta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Burlington</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Brook 35</w:t>
            </w:r>
          </w:p>
        </w:tc>
        <w:tc>
          <w:tcPr>
            <w:tcW w:w="420" w:type="dxa"/>
            <w:vAlign w:val="bottom"/>
            <w:gridSpan w:val="2"/>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(4) (5)</w:t>
            </w:r>
          </w:p>
        </w:tc>
        <w:tc>
          <w:tcPr>
            <w:tcW w:w="22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New York-Newark-Jersey City, NY-NJ-PA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50,327</w:t>
            </w:r>
          </w:p>
        </w:tc>
        <w:tc>
          <w:tcPr>
            <w:tcW w:w="10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11,500</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Banana Republic / Gap / Williams-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Sonoma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Darien Commons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Bridgeport-Stamford-Norwalk, CT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107,873</w:t>
            </w:r>
          </w:p>
        </w:tc>
        <w:tc>
          <w:tcPr>
            <w:tcW w:w="10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Equinox / Walgreens</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Fresh Meadows</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7"/>
              </w:rPr>
              <w:t>New York-Newark-Jersey City, NY-NJ-PA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93,900</w:t>
            </w: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95 %</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15,000</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8"/>
              </w:rPr>
              <w:t>Island of Gold</w:t>
            </w: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AMC / Kohl's / Michaels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Georgetowne</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New York-Newark-Jersey City, NY-NJ-PA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84,534</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146,000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88 %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43,000</w:t>
            </w:r>
          </w:p>
        </w:tc>
        <w:tc>
          <w:tcPr>
            <w:tcW w:w="84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Foodway</w:t>
            </w: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Five Below / IHOP</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Shopping Center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Greenlawn Plaza</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New York-Newark-Jersey City, NY-NJ-PA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32,993</w:t>
            </w: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103,000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46,000</w:t>
            </w:r>
          </w:p>
        </w:tc>
        <w:tc>
          <w:tcPr>
            <w:tcW w:w="84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Greenlawn</w:t>
            </w: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Tuesday Morning / Planet Fitness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Farms</w:t>
            </w:r>
          </w:p>
        </w:tc>
        <w:tc>
          <w:tcPr>
            <w:tcW w:w="19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Greenwich Avenue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Bridgeport-Stamford-Norwalk, CT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23,748</w:t>
            </w:r>
          </w:p>
        </w:tc>
        <w:tc>
          <w:tcPr>
            <w:tcW w:w="10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Saks Fifth Avenue</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Hauppauge</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7"/>
              </w:rPr>
              <w:t>New York-Newark-Jersey City, NY-NJ-PA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34,314</w:t>
            </w: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74 %</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61,000</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Shop Rite</w:t>
            </w:r>
          </w:p>
        </w:tc>
        <w:tc>
          <w:tcPr>
            <w:tcW w:w="1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Hoboken</w:t>
            </w:r>
          </w:p>
        </w:tc>
        <w:tc>
          <w:tcPr>
            <w:tcW w:w="42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color w:val="auto"/>
              </w:rPr>
              <w:t>(4) (8)</w:t>
            </w:r>
          </w:p>
        </w:tc>
        <w:tc>
          <w:tcPr>
            <w:tcW w:w="22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New York-Newark-Jersey City, NY-NJ-PA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216,262</w:t>
            </w:r>
          </w:p>
        </w:tc>
        <w:tc>
          <w:tcPr>
            <w:tcW w:w="10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103,836</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171,000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129</w:t>
            </w: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New York Sports Club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Sephora / Multiple Restaurants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Huntington</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7"/>
              </w:rPr>
              <w:t>New York-Newark-Jersey City, NY-NJ-PA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62,219</w:t>
            </w: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78 %</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Petsmart / Michaels / Ulta</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Huntington Square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7"/>
              </w:rPr>
              <w:t>New York-Newark-Jersey City, NY-NJ-PA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13,707</w:t>
            </w:r>
          </w:p>
        </w:tc>
        <w:tc>
          <w:tcPr>
            <w:tcW w:w="10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93 %</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Barnes &amp; Noble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028" w:right="33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March 31, 2022</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Real</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Mortgage/Finance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Grocery</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Grocery</w:t>
            </w: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8"/>
              </w:rPr>
              <w:t>Estate at</w:t>
            </w:r>
          </w:p>
        </w:tc>
        <w:tc>
          <w:tcPr>
            <w:tcW w:w="10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Lease Liabilities</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660" w:type="dxa"/>
            <w:vAlign w:val="bottom"/>
            <w:vMerge w:val="continue"/>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840" w:type="dxa"/>
            <w:vAlign w:val="bottom"/>
            <w:vMerge w:val="continue"/>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4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Cost (1)</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GLA (3)</w:t>
            </w:r>
          </w:p>
        </w:tc>
        <w:tc>
          <w:tcPr>
            <w:tcW w:w="5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(3)</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Units</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Anchor</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6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(in</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(in thousands)</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thousands)</w:t>
            </w:r>
          </w:p>
        </w:tc>
        <w:tc>
          <w:tcPr>
            <w:tcW w:w="10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Melville Mall</w:t>
            </w:r>
          </w:p>
        </w:tc>
        <w:tc>
          <w:tcPr>
            <w:tcW w:w="420" w:type="dxa"/>
            <w:vAlign w:val="bottom"/>
            <w:shd w:val="clear" w:color="auto" w:fill="CCEEFF"/>
          </w:tcPr>
          <w:p>
            <w:pPr>
              <w:spacing w:after="0"/>
              <w:rPr>
                <w:sz w:val="10"/>
                <w:szCs w:val="10"/>
                <w:color w:val="auto"/>
              </w:rPr>
            </w:pPr>
          </w:p>
        </w:tc>
        <w:tc>
          <w:tcPr>
            <w:tcW w:w="2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6"/>
              </w:rPr>
              <w:t>New York-Newark-Jersey City, NY-NJ-PA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104,799</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253,000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53,000</w:t>
            </w:r>
          </w:p>
        </w:tc>
        <w:tc>
          <w:tcPr>
            <w:tcW w:w="8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Uncle</w:t>
            </w: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Dick's Sporting Goods /</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Giuseppe's</w:t>
            </w: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Field &amp; Stream / Macy's Backstage</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9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Marketplace</w:t>
            </w:r>
          </w:p>
        </w:tc>
        <w:tc>
          <w:tcPr>
            <w:tcW w:w="19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Times New Roman" w:cs="Times New Roman" w:eastAsia="Times New Roman" w:hAnsi="Times New Roman"/>
                <w:sz w:val="13"/>
                <w:szCs w:val="13"/>
                <w:color w:val="auto"/>
              </w:rPr>
              <w:t>Mercer Mall</w:t>
            </w:r>
          </w:p>
        </w:tc>
        <w:tc>
          <w:tcPr>
            <w:tcW w:w="4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(7)</w:t>
            </w:r>
          </w:p>
        </w:tc>
        <w:tc>
          <w:tcPr>
            <w:tcW w:w="2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Trenton, NJ</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130,394</w:t>
            </w:r>
          </w:p>
        </w:tc>
        <w:tc>
          <w:tcPr>
            <w:tcW w:w="10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55,176</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50</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551,000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89 %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75,000</w:t>
            </w: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Shop Rite</w:t>
            </w: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8"/>
              </w:rPr>
              <w:t>Ferguson Bath, Kitchen, &amp; Lighting /</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Ross Dress For Less / Nordstrom</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Rack / REI / Tesla</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The Grove at</w:t>
            </w:r>
          </w:p>
        </w:tc>
        <w:tc>
          <w:tcPr>
            <w:tcW w:w="42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5"/>
              </w:rPr>
              <w:t>(4) (5)</w:t>
            </w:r>
          </w:p>
        </w:tc>
        <w:tc>
          <w:tcPr>
            <w:tcW w:w="2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6"/>
              </w:rPr>
              <w:t>New York-Newark-Jersey City, NY-NJ-PA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129,134</w:t>
            </w:r>
          </w:p>
        </w:tc>
        <w:tc>
          <w:tcPr>
            <w:tcW w:w="10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43,600</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193,000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Lululemon / Anthropologie / Pottery</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Shrewsbury</w:t>
            </w:r>
          </w:p>
        </w:tc>
        <w:tc>
          <w:tcPr>
            <w:tcW w:w="4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9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Barn / Williams-Sonoma</w:t>
            </w:r>
          </w:p>
        </w:tc>
        <w:tc>
          <w:tcPr>
            <w:tcW w:w="0" w:type="dxa"/>
            <w:vAlign w:val="bottom"/>
          </w:tcPr>
          <w:p>
            <w:pPr>
              <w:spacing w:after="0"/>
              <w:rPr>
                <w:sz w:val="1"/>
                <w:szCs w:val="1"/>
                <w:color w:val="auto"/>
              </w:rPr>
            </w:pPr>
          </w:p>
        </w:tc>
      </w:tr>
      <w:tr>
        <w:trPr>
          <w:trHeight w:val="170"/>
        </w:trPr>
        <w:tc>
          <w:tcPr>
            <w:tcW w:w="2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3"/>
                <w:szCs w:val="13"/>
                <w:color w:val="auto"/>
              </w:rPr>
              <w:t>Troy</w:t>
            </w:r>
          </w:p>
        </w:tc>
        <w:tc>
          <w:tcPr>
            <w:tcW w:w="42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3"/>
                <w:szCs w:val="13"/>
                <w:color w:val="auto"/>
                <w:w w:val="96"/>
              </w:rPr>
              <w:t>New York-Newark-Jersey City, NY-NJ-PA</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41,170</w:t>
            </w:r>
          </w:p>
        </w:tc>
        <w:tc>
          <w:tcPr>
            <w:tcW w:w="10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211,000</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6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Target / L.A. Fitness / Michaels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Total NY Metro/New Jersey</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1,230,137</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2,999,000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93 %</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gridSpan w:val="3"/>
          </w:tcPr>
          <w:p>
            <w:pPr>
              <w:spacing w:after="0"/>
              <w:rPr>
                <w:sz w:val="8"/>
                <w:szCs w:val="8"/>
                <w:color w:val="auto"/>
              </w:rPr>
            </w:pPr>
          </w:p>
        </w:tc>
        <w:tc>
          <w:tcPr>
            <w:tcW w:w="19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720" w:type="dxa"/>
            <w:vAlign w:val="bottom"/>
            <w:gridSpan w:val="6"/>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Philadelphia Metropolitan Area</w:t>
            </w:r>
          </w:p>
        </w:tc>
        <w:tc>
          <w:tcPr>
            <w:tcW w:w="6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Times New Roman" w:cs="Times New Roman" w:eastAsia="Times New Roman" w:hAnsi="Times New Roman"/>
                <w:sz w:val="13"/>
                <w:szCs w:val="13"/>
                <w:color w:val="auto"/>
              </w:rPr>
              <w:t>Andorra</w:t>
            </w:r>
          </w:p>
        </w:tc>
        <w:tc>
          <w:tcPr>
            <w:tcW w:w="420" w:type="dxa"/>
            <w:vAlign w:val="bottom"/>
          </w:tcPr>
          <w:p>
            <w:pPr>
              <w:spacing w:after="0"/>
              <w:rPr>
                <w:sz w:val="10"/>
                <w:szCs w:val="10"/>
                <w:color w:val="auto"/>
              </w:rPr>
            </w:pPr>
          </w:p>
        </w:tc>
        <w:tc>
          <w:tcPr>
            <w:tcW w:w="2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33,340</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270,000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88 %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24,000</w:t>
            </w: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w w:val="98"/>
              </w:rPr>
              <w:t>Acme Markets</w:t>
            </w: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TJ Maxx / Kohl's / L.A. Fitness / Five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Below</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Bala Cynwyd</w:t>
            </w:r>
          </w:p>
        </w:tc>
        <w:tc>
          <w:tcPr>
            <w:tcW w:w="420" w:type="dxa"/>
            <w:vAlign w:val="bottom"/>
            <w:shd w:val="clear" w:color="auto" w:fill="CCEEFF"/>
          </w:tcPr>
          <w:p>
            <w:pPr>
              <w:spacing w:after="0"/>
              <w:rPr>
                <w:sz w:val="10"/>
                <w:szCs w:val="10"/>
                <w:color w:val="auto"/>
              </w:rPr>
            </w:pPr>
          </w:p>
        </w:tc>
        <w:tc>
          <w:tcPr>
            <w:tcW w:w="2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67,409</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23</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174,000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6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87</w:t>
            </w: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45,000</w:t>
            </w:r>
          </w:p>
        </w:tc>
        <w:tc>
          <w:tcPr>
            <w:tcW w:w="8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w w:val="98"/>
              </w:rPr>
              <w:t>Acme Markets</w:t>
            </w: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Michaels / L.A. Fitness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Times New Roman" w:cs="Times New Roman" w:eastAsia="Times New Roman" w:hAnsi="Times New Roman"/>
                <w:sz w:val="13"/>
                <w:szCs w:val="13"/>
                <w:color w:val="auto"/>
              </w:rPr>
              <w:t>Ellisburg</w:t>
            </w:r>
          </w:p>
        </w:tc>
        <w:tc>
          <w:tcPr>
            <w:tcW w:w="420" w:type="dxa"/>
            <w:vAlign w:val="bottom"/>
          </w:tcPr>
          <w:p>
            <w:pPr>
              <w:spacing w:after="0"/>
              <w:rPr>
                <w:sz w:val="10"/>
                <w:szCs w:val="10"/>
                <w:color w:val="auto"/>
              </w:rPr>
            </w:pPr>
          </w:p>
        </w:tc>
        <w:tc>
          <w:tcPr>
            <w:tcW w:w="2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36,523</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260,000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47,000</w:t>
            </w: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Whole Foods</w:t>
            </w: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Buy Buy Baby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Flourtown</w:t>
            </w:r>
          </w:p>
        </w:tc>
        <w:tc>
          <w:tcPr>
            <w:tcW w:w="420" w:type="dxa"/>
            <w:vAlign w:val="bottom"/>
            <w:shd w:val="clear" w:color="auto" w:fill="CCEEFF"/>
          </w:tcPr>
          <w:p>
            <w:pPr>
              <w:spacing w:after="0"/>
              <w:rPr>
                <w:sz w:val="10"/>
                <w:szCs w:val="10"/>
                <w:color w:val="auto"/>
              </w:rPr>
            </w:pPr>
          </w:p>
        </w:tc>
        <w:tc>
          <w:tcPr>
            <w:tcW w:w="2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17,218</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156,000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75,000</w:t>
            </w:r>
          </w:p>
        </w:tc>
        <w:tc>
          <w:tcPr>
            <w:tcW w:w="8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Movie Tavern</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Times New Roman" w:cs="Times New Roman" w:eastAsia="Times New Roman" w:hAnsi="Times New Roman"/>
                <w:sz w:val="13"/>
                <w:szCs w:val="13"/>
                <w:color w:val="auto"/>
              </w:rPr>
              <w:t>Langhorne Square</w:t>
            </w:r>
          </w:p>
        </w:tc>
        <w:tc>
          <w:tcPr>
            <w:tcW w:w="420" w:type="dxa"/>
            <w:vAlign w:val="bottom"/>
          </w:tcPr>
          <w:p>
            <w:pPr>
              <w:spacing w:after="0"/>
              <w:rPr>
                <w:sz w:val="10"/>
                <w:szCs w:val="10"/>
                <w:color w:val="auto"/>
              </w:rPr>
            </w:pPr>
          </w:p>
        </w:tc>
        <w:tc>
          <w:tcPr>
            <w:tcW w:w="2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23,841</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223,000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55,000</w:t>
            </w: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Redner's</w:t>
            </w: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Planet Fitness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DE-MD</w:t>
            </w: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Warehouse</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Markets</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Lawrence Park</w:t>
            </w:r>
          </w:p>
        </w:tc>
        <w:tc>
          <w:tcPr>
            <w:tcW w:w="420" w:type="dxa"/>
            <w:vAlign w:val="bottom"/>
            <w:shd w:val="clear" w:color="auto" w:fill="CCEEFF"/>
          </w:tcPr>
          <w:p>
            <w:pPr>
              <w:spacing w:after="0"/>
              <w:rPr>
                <w:sz w:val="10"/>
                <w:szCs w:val="10"/>
                <w:color w:val="auto"/>
              </w:rPr>
            </w:pPr>
          </w:p>
        </w:tc>
        <w:tc>
          <w:tcPr>
            <w:tcW w:w="2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52,270</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356,000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53,000</w:t>
            </w:r>
          </w:p>
        </w:tc>
        <w:tc>
          <w:tcPr>
            <w:tcW w:w="8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w w:val="98"/>
              </w:rPr>
              <w:t>Acme Markets</w:t>
            </w: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HomeGoods / Barnes &amp;</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Noble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Times New Roman" w:cs="Times New Roman" w:eastAsia="Times New Roman" w:hAnsi="Times New Roman"/>
                <w:sz w:val="13"/>
                <w:szCs w:val="13"/>
                <w:color w:val="auto"/>
              </w:rPr>
              <w:t>Northeast</w:t>
            </w:r>
          </w:p>
        </w:tc>
        <w:tc>
          <w:tcPr>
            <w:tcW w:w="420" w:type="dxa"/>
            <w:vAlign w:val="bottom"/>
          </w:tcPr>
          <w:p>
            <w:pPr>
              <w:spacing w:after="0"/>
              <w:rPr>
                <w:sz w:val="10"/>
                <w:szCs w:val="10"/>
                <w:color w:val="auto"/>
              </w:rPr>
            </w:pPr>
          </w:p>
        </w:tc>
        <w:tc>
          <w:tcPr>
            <w:tcW w:w="2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34,484</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227,000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82 %</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Ulta / Skechers / Crunch</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Fitness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Town Center of</w:t>
            </w:r>
          </w:p>
        </w:tc>
        <w:tc>
          <w:tcPr>
            <w:tcW w:w="420" w:type="dxa"/>
            <w:vAlign w:val="bottom"/>
            <w:shd w:val="clear" w:color="auto" w:fill="CCEEFF"/>
          </w:tcPr>
          <w:p>
            <w:pPr>
              <w:spacing w:after="0"/>
              <w:rPr>
                <w:sz w:val="10"/>
                <w:szCs w:val="10"/>
                <w:color w:val="auto"/>
              </w:rPr>
            </w:pPr>
          </w:p>
        </w:tc>
        <w:tc>
          <w:tcPr>
            <w:tcW w:w="2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16,952</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124,000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89 %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36,000</w:t>
            </w:r>
          </w:p>
        </w:tc>
        <w:tc>
          <w:tcPr>
            <w:tcW w:w="8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Rite Aid / Dollar Tree</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New Britain</w:t>
            </w:r>
          </w:p>
        </w:tc>
        <w:tc>
          <w:tcPr>
            <w:tcW w:w="420" w:type="dxa"/>
            <w:vAlign w:val="bottom"/>
            <w:tcBorders>
              <w:bottom w:val="single" w:sz="8" w:color="CCEEFF"/>
            </w:tcBorders>
            <w:shd w:val="clear" w:color="auto" w:fill="CCEEFF"/>
          </w:tcPr>
          <w:p>
            <w:pPr>
              <w:spacing w:after="0"/>
              <w:rPr>
                <w:sz w:val="14"/>
                <w:szCs w:val="14"/>
                <w:color w:val="auto"/>
              </w:rPr>
            </w:pPr>
          </w:p>
        </w:tc>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Times New Roman" w:cs="Times New Roman" w:eastAsia="Times New Roman" w:hAnsi="Times New Roman"/>
                <w:sz w:val="13"/>
                <w:szCs w:val="13"/>
                <w:color w:val="auto"/>
              </w:rPr>
              <w:t>Willow Grove</w:t>
            </w:r>
          </w:p>
        </w:tc>
        <w:tc>
          <w:tcPr>
            <w:tcW w:w="420" w:type="dxa"/>
            <w:vAlign w:val="bottom"/>
          </w:tcPr>
          <w:p>
            <w:pPr>
              <w:spacing w:after="0"/>
              <w:rPr>
                <w:sz w:val="10"/>
                <w:szCs w:val="10"/>
                <w:color w:val="auto"/>
              </w:rPr>
            </w:pPr>
          </w:p>
        </w:tc>
        <w:tc>
          <w:tcPr>
            <w:tcW w:w="2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32,293</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106,000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Five Below</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Wynnewood</w:t>
            </w:r>
          </w:p>
        </w:tc>
        <w:tc>
          <w:tcPr>
            <w:tcW w:w="420" w:type="dxa"/>
            <w:vAlign w:val="bottom"/>
            <w:shd w:val="clear" w:color="auto" w:fill="CCEEFF"/>
          </w:tcPr>
          <w:p>
            <w:pPr>
              <w:spacing w:after="0"/>
              <w:rPr>
                <w:sz w:val="10"/>
                <w:szCs w:val="10"/>
                <w:color w:val="auto"/>
              </w:rPr>
            </w:pPr>
          </w:p>
        </w:tc>
        <w:tc>
          <w:tcPr>
            <w:tcW w:w="2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43,000</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248,000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6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9</w:t>
            </w: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98,000</w:t>
            </w:r>
          </w:p>
        </w:tc>
        <w:tc>
          <w:tcPr>
            <w:tcW w:w="8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Bed, Bath &amp; Beyond / Old Navy /</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DSW</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6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3"/>
                <w:szCs w:val="13"/>
                <w:b w:val="1"/>
                <w:bCs w:val="1"/>
                <w:color w:val="auto"/>
              </w:rPr>
              <w:t>Total Philadelphia Metropolitan Area</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357,330</w:t>
            </w:r>
          </w:p>
        </w:tc>
        <w:tc>
          <w:tcPr>
            <w:tcW w:w="1020" w:type="dxa"/>
            <w:vAlign w:val="bottom"/>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8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2,144,000</w:t>
            </w:r>
          </w:p>
        </w:tc>
        <w:tc>
          <w:tcPr>
            <w:tcW w:w="80" w:type="dxa"/>
            <w:vAlign w:val="bottom"/>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94 %</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New England</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Assembly Row /</w:t>
            </w:r>
          </w:p>
        </w:tc>
        <w:tc>
          <w:tcPr>
            <w:tcW w:w="42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(6)</w:t>
            </w:r>
          </w:p>
        </w:tc>
        <w:tc>
          <w:tcPr>
            <w:tcW w:w="2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Boston-Cambridge-Newton, MA-NH</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1,096,717</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65</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1,074,000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6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947</w:t>
            </w: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18,000</w:t>
            </w:r>
          </w:p>
        </w:tc>
        <w:tc>
          <w:tcPr>
            <w:tcW w:w="8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AMC / Nike / Multiple</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Assembly Square</w:t>
            </w:r>
          </w:p>
        </w:tc>
        <w:tc>
          <w:tcPr>
            <w:tcW w:w="4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Restaurants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Marketplace</w:t>
            </w:r>
          </w:p>
        </w:tc>
        <w:tc>
          <w:tcPr>
            <w:tcW w:w="4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9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Campus Plaza</w:t>
            </w:r>
          </w:p>
        </w:tc>
        <w:tc>
          <w:tcPr>
            <w:tcW w:w="420" w:type="dxa"/>
            <w:vAlign w:val="bottom"/>
          </w:tcPr>
          <w:p>
            <w:pPr>
              <w:spacing w:after="0"/>
              <w:rPr>
                <w:sz w:val="14"/>
                <w:szCs w:val="14"/>
                <w:color w:val="auto"/>
              </w:rPr>
            </w:pPr>
          </w:p>
        </w:tc>
        <w:tc>
          <w:tcPr>
            <w:tcW w:w="2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Boston-Cambridge-Newton, MA-NH</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30,555</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6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46,000</w:t>
            </w:r>
          </w:p>
        </w:tc>
        <w:tc>
          <w:tcPr>
            <w:tcW w:w="8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Roche Bros.</w:t>
            </w:r>
          </w:p>
        </w:tc>
        <w:tc>
          <w:tcPr>
            <w:tcW w:w="1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Burlington</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Chelsea Commons</w:t>
            </w:r>
          </w:p>
        </w:tc>
        <w:tc>
          <w:tcPr>
            <w:tcW w:w="4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Boston-Cambridge-Newton, MA-NH</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30,634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93 %</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Home Depot / Planet Fitness / CVS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Dedham Plaza</w:t>
            </w:r>
          </w:p>
        </w:tc>
        <w:tc>
          <w:tcPr>
            <w:tcW w:w="420" w:type="dxa"/>
            <w:vAlign w:val="bottom"/>
          </w:tcPr>
          <w:p>
            <w:pPr>
              <w:spacing w:after="0"/>
              <w:rPr>
                <w:sz w:val="14"/>
                <w:szCs w:val="14"/>
                <w:color w:val="auto"/>
              </w:rPr>
            </w:pPr>
          </w:p>
        </w:tc>
        <w:tc>
          <w:tcPr>
            <w:tcW w:w="2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Boston-Cambridge-Newton, MA-NH</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46,965</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88 %</w:t>
            </w:r>
          </w:p>
        </w:tc>
        <w:tc>
          <w:tcPr>
            <w:tcW w:w="6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80,000</w:t>
            </w:r>
          </w:p>
        </w:tc>
        <w:tc>
          <w:tcPr>
            <w:tcW w:w="8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Star Market</w:t>
            </w:r>
          </w:p>
        </w:tc>
        <w:tc>
          <w:tcPr>
            <w:tcW w:w="1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Planet Fitness</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Linden Square</w:t>
            </w:r>
          </w:p>
        </w:tc>
        <w:tc>
          <w:tcPr>
            <w:tcW w:w="4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Boston-Cambridge-Newton, MA-NH</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152,370</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7</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50,000</w:t>
            </w:r>
          </w:p>
        </w:tc>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Roche Bros.</w:t>
            </w: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CVS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North Dartmouth</w:t>
            </w:r>
          </w:p>
        </w:tc>
        <w:tc>
          <w:tcPr>
            <w:tcW w:w="420" w:type="dxa"/>
            <w:vAlign w:val="bottom"/>
          </w:tcPr>
          <w:p>
            <w:pPr>
              <w:spacing w:after="0"/>
              <w:rPr>
                <w:sz w:val="14"/>
                <w:szCs w:val="14"/>
                <w:color w:val="auto"/>
              </w:rPr>
            </w:pPr>
          </w:p>
        </w:tc>
        <w:tc>
          <w:tcPr>
            <w:tcW w:w="2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Providence-Warwick, RI-MA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9,369</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6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48,000</w:t>
            </w:r>
          </w:p>
        </w:tc>
        <w:tc>
          <w:tcPr>
            <w:tcW w:w="8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Stop &amp; Shop</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Queen Anne Plaza</w:t>
            </w:r>
          </w:p>
        </w:tc>
        <w:tc>
          <w:tcPr>
            <w:tcW w:w="4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Boston-Cambridge-Newton, MA-NH</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18,839</w:t>
            </w:r>
          </w:p>
        </w:tc>
        <w:tc>
          <w:tcPr>
            <w:tcW w:w="10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149,000</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99 %</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50,000</w:t>
            </w:r>
          </w:p>
        </w:tc>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Big Y Foods</w:t>
            </w: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TJ Maxx / HomeGoods</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6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3"/>
                <w:szCs w:val="13"/>
                <w:b w:val="1"/>
                <w:bCs w:val="1"/>
                <w:color w:val="auto"/>
              </w:rPr>
              <w:t>Total New England</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1,385,449</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2,075,000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Baltimore</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Governor Plaza</w:t>
            </w:r>
          </w:p>
        </w:tc>
        <w:tc>
          <w:tcPr>
            <w:tcW w:w="4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Baltimore-Columbia-Towson, MD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27,133</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88 %</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16,500</w:t>
            </w:r>
          </w:p>
        </w:tc>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Aldi</w:t>
            </w: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Dick's Sporting Goods / Petco</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Times New Roman" w:cs="Times New Roman" w:eastAsia="Times New Roman" w:hAnsi="Times New Roman"/>
                <w:sz w:val="13"/>
                <w:szCs w:val="13"/>
                <w:color w:val="auto"/>
              </w:rPr>
              <w:t>Perring Plaza</w:t>
            </w:r>
          </w:p>
        </w:tc>
        <w:tc>
          <w:tcPr>
            <w:tcW w:w="420" w:type="dxa"/>
            <w:vAlign w:val="bottom"/>
          </w:tcPr>
          <w:p>
            <w:pPr>
              <w:spacing w:after="0"/>
              <w:rPr>
                <w:sz w:val="10"/>
                <w:szCs w:val="10"/>
                <w:color w:val="auto"/>
              </w:rPr>
            </w:pPr>
          </w:p>
        </w:tc>
        <w:tc>
          <w:tcPr>
            <w:tcW w:w="2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Baltimore-Columbia-Towson, MD</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34,668</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398,000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71 %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58,000</w:t>
            </w: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w w:val="96"/>
              </w:rPr>
              <w:t>Shoppers Food</w:t>
            </w: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Home Depot / Micro Center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Warehouse</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THE AVENUE at</w:t>
            </w:r>
          </w:p>
        </w:tc>
        <w:tc>
          <w:tcPr>
            <w:tcW w:w="42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(5)</w:t>
            </w:r>
          </w:p>
        </w:tc>
        <w:tc>
          <w:tcPr>
            <w:tcW w:w="2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Baltimore-Columbia-Towson, MD</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124,286</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35</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315,000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88 %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AMC / Ulta / Old Navy / Nike</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White Marsh</w:t>
            </w:r>
          </w:p>
        </w:tc>
        <w:tc>
          <w:tcPr>
            <w:tcW w:w="4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9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Times New Roman" w:cs="Times New Roman" w:eastAsia="Times New Roman" w:hAnsi="Times New Roman"/>
                <w:sz w:val="13"/>
                <w:szCs w:val="13"/>
                <w:color w:val="auto"/>
              </w:rPr>
              <w:t>The Shoppes at</w:t>
            </w:r>
          </w:p>
        </w:tc>
        <w:tc>
          <w:tcPr>
            <w:tcW w:w="420" w:type="dxa"/>
            <w:vAlign w:val="bottom"/>
          </w:tcPr>
          <w:p>
            <w:pPr>
              <w:spacing w:after="0"/>
              <w:rPr>
                <w:sz w:val="10"/>
                <w:szCs w:val="10"/>
                <w:color w:val="auto"/>
              </w:rPr>
            </w:pPr>
          </w:p>
        </w:tc>
        <w:tc>
          <w:tcPr>
            <w:tcW w:w="2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Baltimore-Columbia-Towson, MD</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19,282</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32,000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Nottingham Square</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w w:val="98"/>
              </w:rPr>
              <w:t>Towson Residential</w:t>
            </w:r>
          </w:p>
        </w:tc>
        <w:tc>
          <w:tcPr>
            <w:tcW w:w="420" w:type="dxa"/>
            <w:vAlign w:val="bottom"/>
            <w:shd w:val="clear" w:color="auto" w:fill="CCEEFF"/>
          </w:tcPr>
          <w:p>
            <w:pPr>
              <w:spacing w:after="0"/>
              <w:rPr>
                <w:sz w:val="10"/>
                <w:szCs w:val="10"/>
                <w:color w:val="auto"/>
              </w:rPr>
            </w:pPr>
          </w:p>
        </w:tc>
        <w:tc>
          <w:tcPr>
            <w:tcW w:w="2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Baltimore-Columbia-Towson, MD</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22,441</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105</w:t>
            </w:r>
          </w:p>
        </w:tc>
        <w:tc>
          <w:tcPr>
            <w:tcW w:w="5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(Flats @ 703)</w:t>
            </w:r>
          </w:p>
        </w:tc>
        <w:tc>
          <w:tcPr>
            <w:tcW w:w="4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9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White Marsh Plaza</w:t>
            </w:r>
          </w:p>
        </w:tc>
        <w:tc>
          <w:tcPr>
            <w:tcW w:w="420" w:type="dxa"/>
            <w:vAlign w:val="bottom"/>
          </w:tcPr>
          <w:p>
            <w:pPr>
              <w:spacing w:after="0"/>
              <w:rPr>
                <w:sz w:val="14"/>
                <w:szCs w:val="14"/>
                <w:color w:val="auto"/>
              </w:rPr>
            </w:pPr>
          </w:p>
        </w:tc>
        <w:tc>
          <w:tcPr>
            <w:tcW w:w="2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Baltimore-Columbia-Towson, MD</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26,589</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6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54,000</w:t>
            </w:r>
          </w:p>
        </w:tc>
        <w:tc>
          <w:tcPr>
            <w:tcW w:w="8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Giant Food</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028" w:right="339"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March 31, 2022</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Real Estate</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Mortgage/Finance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Grocery</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Grocery</w:t>
            </w: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2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Lease Liabilities</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37"/>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660" w:type="dxa"/>
            <w:vAlign w:val="bottom"/>
            <w:vMerge w:val="continue"/>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840" w:type="dxa"/>
            <w:vAlign w:val="bottom"/>
            <w:vMerge w:val="continue"/>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4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at Cost (1)</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GLA (3)</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Anchor</w:t>
            </w:r>
          </w:p>
        </w:tc>
        <w:tc>
          <w:tcPr>
            <w:tcW w:w="1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(in thousands)</w:t>
            </w:r>
          </w:p>
        </w:tc>
        <w:tc>
          <w:tcPr>
            <w:tcW w:w="140" w:type="dxa"/>
            <w:vAlign w:val="bottom"/>
          </w:tcPr>
          <w:p>
            <w:pPr>
              <w:spacing w:after="0"/>
              <w:rPr>
                <w:sz w:val="12"/>
                <w:szCs w:val="12"/>
                <w:color w:val="auto"/>
              </w:rPr>
            </w:pPr>
          </w:p>
        </w:tc>
        <w:tc>
          <w:tcPr>
            <w:tcW w:w="880" w:type="dxa"/>
            <w:vAlign w:val="bottom"/>
          </w:tcPr>
          <w:p>
            <w:pPr>
              <w:jc w:val="center"/>
              <w:ind w:right="59"/>
              <w:spacing w:after="0"/>
              <w:rPr>
                <w:sz w:val="20"/>
                <w:szCs w:val="20"/>
                <w:color w:val="auto"/>
              </w:rPr>
            </w:pPr>
            <w:r>
              <w:rPr>
                <w:rFonts w:ascii="Times New Roman" w:cs="Times New Roman" w:eastAsia="Times New Roman" w:hAnsi="Times New Roman"/>
                <w:sz w:val="11"/>
                <w:szCs w:val="11"/>
                <w:color w:val="auto"/>
                <w:w w:val="95"/>
              </w:rPr>
              <w:t>(in thousands)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White Marsh Other</w:t>
            </w:r>
          </w:p>
        </w:tc>
        <w:tc>
          <w:tcPr>
            <w:tcW w:w="40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Baltimore-Columbia-Towson, MD</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28,989</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56,000</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tcPr>
          <w:p>
            <w:pPr>
              <w:ind w:left="40"/>
              <w:spacing w:after="0" w:line="146" w:lineRule="exact"/>
              <w:rPr>
                <w:sz w:val="20"/>
                <w:szCs w:val="20"/>
                <w:color w:val="auto"/>
              </w:rPr>
            </w:pPr>
            <w:r>
              <w:rPr>
                <w:rFonts w:ascii="Times New Roman" w:cs="Times New Roman" w:eastAsia="Times New Roman" w:hAnsi="Times New Roman"/>
                <w:sz w:val="13"/>
                <w:szCs w:val="13"/>
                <w:b w:val="1"/>
                <w:bCs w:val="1"/>
                <w:color w:val="auto"/>
              </w:rPr>
              <w:t>Total Baltimore</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283,388</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1,128,000</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2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South Florida</w:t>
            </w:r>
          </w:p>
        </w:tc>
        <w:tc>
          <w:tcPr>
            <w:tcW w:w="4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gridSpan w:val="4"/>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CocoWalk</w:t>
            </w:r>
          </w:p>
        </w:tc>
        <w:tc>
          <w:tcPr>
            <w:tcW w:w="40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(4) (9)</w:t>
            </w:r>
          </w:p>
        </w:tc>
        <w:tc>
          <w:tcPr>
            <w:tcW w:w="22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8"/>
              </w:rPr>
              <w:t>Miami-Fort Lauderdale-West Palm Beach,</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192,881</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248,000</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9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Cinepolis Theaters / Youfit Health</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2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FL</w:t>
            </w:r>
          </w:p>
        </w:tc>
        <w:tc>
          <w:tcPr>
            <w:tcW w:w="6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Club / Multiple Restaurants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4"/>
          </w:tcPr>
          <w:p>
            <w:pPr>
              <w:spacing w:after="0" w:line="122" w:lineRule="exact"/>
              <w:rPr>
                <w:sz w:val="20"/>
                <w:szCs w:val="20"/>
                <w:color w:val="auto"/>
              </w:rPr>
            </w:pPr>
            <w:r>
              <w:rPr>
                <w:rFonts w:ascii="Times New Roman" w:cs="Times New Roman" w:eastAsia="Times New Roman" w:hAnsi="Times New Roman"/>
                <w:sz w:val="13"/>
                <w:szCs w:val="13"/>
                <w:color w:val="auto"/>
              </w:rPr>
              <w:t>Del Mar Village</w:t>
            </w:r>
          </w:p>
        </w:tc>
        <w:tc>
          <w:tcPr>
            <w:tcW w:w="400" w:type="dxa"/>
            <w:vAlign w:val="bottom"/>
          </w:tcPr>
          <w:p>
            <w:pPr>
              <w:spacing w:after="0"/>
              <w:rPr>
                <w:sz w:val="10"/>
                <w:szCs w:val="10"/>
                <w:color w:val="auto"/>
              </w:rPr>
            </w:pPr>
          </w:p>
        </w:tc>
        <w:tc>
          <w:tcPr>
            <w:tcW w:w="22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8"/>
              </w:rPr>
              <w:t>Miami-Fort Lauderdale-West Palm Beach,</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74,359</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187,000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95</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44,000</w:t>
            </w: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Winn Dixie</w:t>
            </w:r>
          </w:p>
        </w:tc>
        <w:tc>
          <w:tcPr>
            <w:tcW w:w="19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L.A. Fitness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FL</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gridSpan w:val="4"/>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Tower Shops</w:t>
            </w:r>
          </w:p>
        </w:tc>
        <w:tc>
          <w:tcPr>
            <w:tcW w:w="400" w:type="dxa"/>
            <w:vAlign w:val="bottom"/>
            <w:shd w:val="clear" w:color="auto" w:fill="CCEEFF"/>
          </w:tcPr>
          <w:p>
            <w:pPr>
              <w:spacing w:after="0"/>
              <w:rPr>
                <w:sz w:val="10"/>
                <w:szCs w:val="10"/>
                <w:color w:val="auto"/>
              </w:rPr>
            </w:pPr>
          </w:p>
        </w:tc>
        <w:tc>
          <w:tcPr>
            <w:tcW w:w="22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8"/>
              </w:rPr>
              <w:t>Miami-Fort Lauderdale-West Palm Beach,</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101,567</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67</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430,000</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12,000</w:t>
            </w:r>
          </w:p>
        </w:tc>
        <w:tc>
          <w:tcPr>
            <w:tcW w:w="8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19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6"/>
              </w:rPr>
              <w:t>TJ Maxx / Ross Dress For Less / Best</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FL</w:t>
            </w:r>
          </w:p>
        </w:tc>
        <w:tc>
          <w:tcPr>
            <w:tcW w:w="6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Buy / Ulta</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tcPr>
          <w:p>
            <w:pPr>
              <w:ind w:left="40"/>
              <w:spacing w:after="0" w:line="146" w:lineRule="exact"/>
              <w:rPr>
                <w:sz w:val="20"/>
                <w:szCs w:val="20"/>
                <w:color w:val="auto"/>
              </w:rPr>
            </w:pPr>
            <w:r>
              <w:rPr>
                <w:rFonts w:ascii="Times New Roman" w:cs="Times New Roman" w:eastAsia="Times New Roman" w:hAnsi="Times New Roman"/>
                <w:sz w:val="13"/>
                <w:szCs w:val="13"/>
                <w:b w:val="1"/>
                <w:bCs w:val="1"/>
                <w:color w:val="auto"/>
              </w:rPr>
              <w:t>Total South Florida</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368,807</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865,000</w:t>
            </w:r>
          </w:p>
        </w:tc>
        <w:tc>
          <w:tcPr>
            <w:tcW w:w="80" w:type="dxa"/>
            <w:vAlign w:val="bottom"/>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2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Chicago</w:t>
            </w:r>
          </w:p>
        </w:tc>
        <w:tc>
          <w:tcPr>
            <w:tcW w:w="4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gridSpan w:val="4"/>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Crossroads</w:t>
            </w:r>
          </w:p>
        </w:tc>
        <w:tc>
          <w:tcPr>
            <w:tcW w:w="400" w:type="dxa"/>
            <w:vAlign w:val="bottom"/>
            <w:shd w:val="clear" w:color="auto" w:fill="CCEEFF"/>
          </w:tcPr>
          <w:p>
            <w:pPr>
              <w:spacing w:after="0"/>
              <w:rPr>
                <w:sz w:val="10"/>
                <w:szCs w:val="10"/>
                <w:color w:val="auto"/>
              </w:rPr>
            </w:pPr>
          </w:p>
        </w:tc>
        <w:tc>
          <w:tcPr>
            <w:tcW w:w="22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Chicago-Naperville-Elgin, IL-IN-WI</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36,041</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168,000</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92</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9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L.A. Fitness / Ulta / Binny's /</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9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8"/>
              </w:rPr>
              <w:t>Ferguson's Bath, Kitchen &amp; Lighting</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22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Gallery</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gridSpan w:val="4"/>
          </w:tcPr>
          <w:p>
            <w:pPr>
              <w:spacing w:after="0" w:line="122" w:lineRule="exact"/>
              <w:rPr>
                <w:sz w:val="20"/>
                <w:szCs w:val="20"/>
                <w:color w:val="auto"/>
              </w:rPr>
            </w:pPr>
            <w:r>
              <w:rPr>
                <w:rFonts w:ascii="Times New Roman" w:cs="Times New Roman" w:eastAsia="Times New Roman" w:hAnsi="Times New Roman"/>
                <w:sz w:val="13"/>
                <w:szCs w:val="13"/>
                <w:color w:val="auto"/>
              </w:rPr>
              <w:t>Finley Square</w:t>
            </w:r>
          </w:p>
        </w:tc>
        <w:tc>
          <w:tcPr>
            <w:tcW w:w="400" w:type="dxa"/>
            <w:vAlign w:val="bottom"/>
          </w:tcPr>
          <w:p>
            <w:pPr>
              <w:spacing w:after="0"/>
              <w:rPr>
                <w:sz w:val="10"/>
                <w:szCs w:val="10"/>
                <w:color w:val="auto"/>
              </w:rPr>
            </w:pPr>
          </w:p>
        </w:tc>
        <w:tc>
          <w:tcPr>
            <w:tcW w:w="22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Chicago-Naperville-Elgin, IL-IN-WI</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41,868</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281,000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90</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6"/>
              </w:rPr>
              <w:t>Bed, Bath &amp; Beyond / Buy Buy Baby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Michaels / Portillo's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gridSpan w:val="4"/>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Garden Market</w:t>
            </w:r>
          </w:p>
        </w:tc>
        <w:tc>
          <w:tcPr>
            <w:tcW w:w="400" w:type="dxa"/>
            <w:vAlign w:val="bottom"/>
            <w:shd w:val="clear" w:color="auto" w:fill="CCEEFF"/>
          </w:tcPr>
          <w:p>
            <w:pPr>
              <w:spacing w:after="0"/>
              <w:rPr>
                <w:sz w:val="10"/>
                <w:szCs w:val="10"/>
                <w:color w:val="auto"/>
              </w:rPr>
            </w:pPr>
          </w:p>
        </w:tc>
        <w:tc>
          <w:tcPr>
            <w:tcW w:w="22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Chicago-Naperville-Elgin, IL-IN-WI</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14,891</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139,000</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63,000</w:t>
            </w:r>
          </w:p>
        </w:tc>
        <w:tc>
          <w:tcPr>
            <w:tcW w:w="8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Mariano's</w:t>
            </w:r>
          </w:p>
        </w:tc>
        <w:tc>
          <w:tcPr>
            <w:tcW w:w="19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Walgreens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22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Fresh Market</w:t>
            </w:r>
          </w:p>
        </w:tc>
        <w:tc>
          <w:tcPr>
            <w:tcW w:w="19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3"/>
                <w:szCs w:val="13"/>
                <w:color w:val="auto"/>
              </w:rPr>
              <w:t>Riverpoint Center</w:t>
            </w:r>
          </w:p>
        </w:tc>
        <w:tc>
          <w:tcPr>
            <w:tcW w:w="40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Chicago-Naperville-Elgin, IL-IN-WI</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121,727</w:t>
            </w: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211,000</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rPr>
              <w:t>86,000</w:t>
            </w:r>
          </w:p>
        </w:tc>
        <w:tc>
          <w:tcPr>
            <w:tcW w:w="8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Jewel Osco</w:t>
            </w:r>
          </w:p>
        </w:tc>
        <w:tc>
          <w:tcPr>
            <w:tcW w:w="19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Marshalls / Old Navy</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Total Chicago</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214,527</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799,000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640" w:type="dxa"/>
            <w:vAlign w:val="bottom"/>
            <w:tcBorders>
              <w:bottom w:val="single" w:sz="8" w:color="CCEEFF"/>
            </w:tcBorders>
            <w:gridSpan w:val="3"/>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22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9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4"/>
          </w:tcPr>
          <w:p>
            <w:pPr>
              <w:spacing w:after="0" w:line="122" w:lineRule="exact"/>
              <w:rPr>
                <w:sz w:val="20"/>
                <w:szCs w:val="20"/>
                <w:color w:val="auto"/>
              </w:rPr>
            </w:pPr>
            <w:r>
              <w:rPr>
                <w:rFonts w:ascii="Times New Roman" w:cs="Times New Roman" w:eastAsia="Times New Roman" w:hAnsi="Times New Roman"/>
                <w:sz w:val="13"/>
                <w:szCs w:val="13"/>
                <w:color w:val="auto"/>
              </w:rPr>
              <w:t>Barracks Road</w:t>
            </w:r>
          </w:p>
        </w:tc>
        <w:tc>
          <w:tcPr>
            <w:tcW w:w="400" w:type="dxa"/>
            <w:vAlign w:val="bottom"/>
          </w:tcPr>
          <w:p>
            <w:pPr>
              <w:spacing w:after="0"/>
              <w:rPr>
                <w:sz w:val="10"/>
                <w:szCs w:val="10"/>
                <w:color w:val="auto"/>
              </w:rPr>
            </w:pPr>
          </w:p>
        </w:tc>
        <w:tc>
          <w:tcPr>
            <w:tcW w:w="22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Charlottesville, VA</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69,247</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498,000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95</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99,000</w:t>
            </w: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Harris Teeter /</w:t>
            </w:r>
          </w:p>
        </w:tc>
        <w:tc>
          <w:tcPr>
            <w:tcW w:w="19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Anthropologie / Bed, Bath &amp; Beyond</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Kroger</w:t>
            </w:r>
          </w:p>
        </w:tc>
        <w:tc>
          <w:tcPr>
            <w:tcW w:w="1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Old Navy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Bristol Plaza</w:t>
            </w:r>
          </w:p>
        </w:tc>
        <w:tc>
          <w:tcPr>
            <w:tcW w:w="40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9"/>
              </w:rPr>
              <w:t>Hartford-West Hartford-East Hartford, CT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35,238</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264,000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74,000</w:t>
            </w:r>
          </w:p>
        </w:tc>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Stop &amp; Shop</w:t>
            </w:r>
          </w:p>
        </w:tc>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TJ Maxx / Burlington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4"/>
          </w:tcPr>
          <w:p>
            <w:pPr>
              <w:spacing w:after="0" w:line="122" w:lineRule="exact"/>
              <w:rPr>
                <w:sz w:val="20"/>
                <w:szCs w:val="20"/>
                <w:color w:val="auto"/>
              </w:rPr>
            </w:pPr>
            <w:r>
              <w:rPr>
                <w:rFonts w:ascii="Times New Roman" w:cs="Times New Roman" w:eastAsia="Times New Roman" w:hAnsi="Times New Roman"/>
                <w:sz w:val="13"/>
                <w:szCs w:val="13"/>
                <w:color w:val="auto"/>
              </w:rPr>
              <w:t>Camelback</w:t>
            </w:r>
          </w:p>
        </w:tc>
        <w:tc>
          <w:tcPr>
            <w:tcW w:w="4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(4)</w:t>
            </w:r>
          </w:p>
        </w:tc>
        <w:tc>
          <w:tcPr>
            <w:tcW w:w="22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Phoenix-Mesa-Chandler, AZ</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179,587</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642,000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90</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82,000</w:t>
            </w: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Fry's Food &amp;</w:t>
            </w:r>
          </w:p>
        </w:tc>
        <w:tc>
          <w:tcPr>
            <w:tcW w:w="19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Floor &amp; Décor / Marshalls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Colonnade</w:t>
            </w:r>
          </w:p>
        </w:tc>
        <w:tc>
          <w:tcPr>
            <w:tcW w:w="4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Drug</w:t>
            </w:r>
          </w:p>
        </w:tc>
        <w:tc>
          <w:tcPr>
            <w:tcW w:w="1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Nordstrom Last Chance / Best Buy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gridSpan w:val="4"/>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Gratiot Plaza</w:t>
            </w:r>
          </w:p>
        </w:tc>
        <w:tc>
          <w:tcPr>
            <w:tcW w:w="400" w:type="dxa"/>
            <w:vAlign w:val="bottom"/>
            <w:shd w:val="clear" w:color="auto" w:fill="CCEEFF"/>
          </w:tcPr>
          <w:p>
            <w:pPr>
              <w:spacing w:after="0"/>
              <w:rPr>
                <w:sz w:val="10"/>
                <w:szCs w:val="10"/>
                <w:color w:val="auto"/>
              </w:rPr>
            </w:pPr>
          </w:p>
        </w:tc>
        <w:tc>
          <w:tcPr>
            <w:tcW w:w="22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Detroit-Warren-Dearborn, MI</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20,521</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215,000</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69,000</w:t>
            </w:r>
          </w:p>
        </w:tc>
        <w:tc>
          <w:tcPr>
            <w:tcW w:w="8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Kroger</w:t>
            </w:r>
          </w:p>
        </w:tc>
        <w:tc>
          <w:tcPr>
            <w:tcW w:w="19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Bed, Bath &amp; Beyond / Best Buy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22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DSW</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Hilton Village</w:t>
            </w: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(4)</w:t>
            </w:r>
          </w:p>
        </w:tc>
        <w:tc>
          <w:tcPr>
            <w:tcW w:w="22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Phoenix-Mesa-Chandler, AZ</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40,063</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93,000</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CVS / Houston's</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1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Lancaster</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(7)</w:t>
            </w:r>
          </w:p>
        </w:tc>
        <w:tc>
          <w:tcPr>
            <w:tcW w:w="2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Lancaster, PA</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13,308</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5,567</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126,000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75,000</w:t>
            </w:r>
          </w:p>
        </w:tc>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Giant Food</w:t>
            </w:r>
          </w:p>
        </w:tc>
        <w:tc>
          <w:tcPr>
            <w:tcW w:w="1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29th Place</w:t>
            </w:r>
          </w:p>
        </w:tc>
        <w:tc>
          <w:tcPr>
            <w:tcW w:w="400" w:type="dxa"/>
            <w:vAlign w:val="bottom"/>
          </w:tcPr>
          <w:p>
            <w:pPr>
              <w:spacing w:after="0"/>
              <w:rPr>
                <w:sz w:val="14"/>
                <w:szCs w:val="1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Charlottesville, VA</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40,523</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169,000</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32,000</w:t>
            </w:r>
          </w:p>
        </w:tc>
        <w:tc>
          <w:tcPr>
            <w:tcW w:w="8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Lidl</w:t>
            </w:r>
          </w:p>
        </w:tc>
        <w:tc>
          <w:tcPr>
            <w:tcW w:w="1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HomeGoods / DSW / Staples</w:t>
            </w:r>
          </w:p>
        </w:tc>
        <w:tc>
          <w:tcPr>
            <w:tcW w:w="0" w:type="dxa"/>
            <w:vAlign w:val="bottom"/>
          </w:tcPr>
          <w:p>
            <w:pPr>
              <w:spacing w:after="0"/>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1040" w:type="dxa"/>
            <w:vAlign w:val="bottom"/>
            <w:gridSpan w:val="4"/>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Willow Lawn</w:t>
            </w:r>
          </w:p>
        </w:tc>
        <w:tc>
          <w:tcPr>
            <w:tcW w:w="400" w:type="dxa"/>
            <w:vAlign w:val="bottom"/>
            <w:shd w:val="clear" w:color="auto" w:fill="CCEEFF"/>
          </w:tcPr>
          <w:p>
            <w:pPr>
              <w:spacing w:after="0"/>
              <w:rPr>
                <w:sz w:val="11"/>
                <w:szCs w:val="11"/>
                <w:color w:val="auto"/>
              </w:rPr>
            </w:pPr>
          </w:p>
        </w:tc>
        <w:tc>
          <w:tcPr>
            <w:tcW w:w="226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Richmond, VA</w:t>
            </w:r>
          </w:p>
        </w:tc>
        <w:tc>
          <w:tcPr>
            <w:tcW w:w="6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105,284</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463,000</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96</w:t>
            </w:r>
          </w:p>
        </w:tc>
        <w:tc>
          <w:tcPr>
            <w:tcW w:w="1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rPr>
              <w:t>66,000</w:t>
            </w:r>
          </w:p>
        </w:tc>
        <w:tc>
          <w:tcPr>
            <w:tcW w:w="840" w:type="dxa"/>
            <w:vAlign w:val="bottom"/>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rPr>
              <w:t>Kroger</w:t>
            </w:r>
          </w:p>
        </w:tc>
        <w:tc>
          <w:tcPr>
            <w:tcW w:w="196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Old Navy / Ross Dress For Less /</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9"/>
              </w:rPr>
              <w:t>Gold's Gym / Dick's Sporting Goods</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tcPr>
          <w:p>
            <w:pPr>
              <w:ind w:left="40"/>
              <w:spacing w:after="0" w:line="146" w:lineRule="exact"/>
              <w:rPr>
                <w:sz w:val="20"/>
                <w:szCs w:val="20"/>
                <w:color w:val="auto"/>
              </w:rPr>
            </w:pPr>
            <w:r>
              <w:rPr>
                <w:rFonts w:ascii="Times New Roman" w:cs="Times New Roman" w:eastAsia="Times New Roman" w:hAnsi="Times New Roman"/>
                <w:sz w:val="13"/>
                <w:szCs w:val="13"/>
                <w:b w:val="1"/>
                <w:bCs w:val="1"/>
                <w:color w:val="auto"/>
              </w:rPr>
              <w:t>Total Other</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503,771</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8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2,470,000</w:t>
            </w:r>
          </w:p>
        </w:tc>
        <w:tc>
          <w:tcPr>
            <w:tcW w:w="80" w:type="dxa"/>
            <w:vAlign w:val="bottom"/>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auto"/>
            </w:tcBorders>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spacing w:after="0"/>
              <w:rPr>
                <w:sz w:val="8"/>
                <w:szCs w:val="8"/>
                <w:color w:val="auto"/>
              </w:rPr>
            </w:pPr>
          </w:p>
        </w:tc>
        <w:tc>
          <w:tcPr>
            <w:tcW w:w="226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88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gridSpan w:val="2"/>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spacing w:after="0"/>
              <w:rPr>
                <w:sz w:val="8"/>
                <w:szCs w:val="8"/>
                <w:color w:val="auto"/>
              </w:rPr>
            </w:pPr>
          </w:p>
        </w:tc>
        <w:tc>
          <w:tcPr>
            <w:tcW w:w="196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rPr>
              <w:t>Grand Total</w:t>
            </w:r>
          </w:p>
        </w:tc>
        <w:tc>
          <w:tcPr>
            <w:tcW w:w="4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$ 9,577,907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412,771</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1,988</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24,936,000</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94 %</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3,369</w:t>
            </w:r>
          </w:p>
        </w:tc>
        <w:tc>
          <w:tcPr>
            <w:tcW w:w="5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51" w:lineRule="exact"/>
        <w:rPr>
          <w:sz w:val="20"/>
          <w:szCs w:val="20"/>
          <w:color w:val="auto"/>
        </w:rPr>
      </w:pPr>
    </w:p>
    <w:p>
      <w:pPr>
        <w:ind w:left="600" w:hanging="561"/>
        <w:spacing w:after="0"/>
        <w:tabs>
          <w:tab w:leader="none" w:pos="6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Includes "Finance lease right of use assets."</w:t>
      </w:r>
    </w:p>
    <w:p>
      <w:pPr>
        <w:spacing w:after="0" w:line="41" w:lineRule="exact"/>
        <w:rPr>
          <w:rFonts w:ascii="Times New Roman" w:cs="Times New Roman" w:eastAsia="Times New Roman" w:hAnsi="Times New Roman"/>
          <w:sz w:val="14"/>
          <w:szCs w:val="14"/>
          <w:color w:val="auto"/>
        </w:rPr>
      </w:pPr>
    </w:p>
    <w:p>
      <w:pPr>
        <w:ind w:left="600" w:right="80" w:hanging="561"/>
        <w:spacing w:after="0" w:line="239" w:lineRule="auto"/>
        <w:tabs>
          <w:tab w:leader="none" w:pos="6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mortgage or finance lease liabilities differ from the total reported on the consolidated balance sheet due to the unamortized discount, premium, and/or debt issuance costs on certain mortgages payable.</w:t>
      </w:r>
    </w:p>
    <w:p>
      <w:pPr>
        <w:spacing w:after="0" w:line="14" w:lineRule="exact"/>
        <w:rPr>
          <w:rFonts w:ascii="Times New Roman" w:cs="Times New Roman" w:eastAsia="Times New Roman" w:hAnsi="Times New Roman"/>
          <w:sz w:val="14"/>
          <w:szCs w:val="14"/>
          <w:color w:val="auto"/>
        </w:rPr>
      </w:pPr>
    </w:p>
    <w:p>
      <w:pPr>
        <w:ind w:left="600" w:right="320" w:hanging="561"/>
        <w:spacing w:after="0" w:line="239" w:lineRule="auto"/>
        <w:tabs>
          <w:tab w:leader="none" w:pos="6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Represents the GLA and the percentage leased of the commercial portion of the property. Some of our properties include office space which is included in this square footage. Excludes newly created redevelopment square footage not yet in service, as well as residential and hotel square footage.</w:t>
      </w:r>
    </w:p>
    <w:p>
      <w:pPr>
        <w:spacing w:after="0" w:line="14" w:lineRule="exact"/>
        <w:rPr>
          <w:rFonts w:ascii="Times New Roman" w:cs="Times New Roman" w:eastAsia="Times New Roman" w:hAnsi="Times New Roman"/>
          <w:sz w:val="14"/>
          <w:szCs w:val="14"/>
          <w:color w:val="auto"/>
        </w:rPr>
      </w:pPr>
    </w:p>
    <w:p>
      <w:pPr>
        <w:ind w:left="600" w:hanging="561"/>
        <w:spacing w:after="0"/>
        <w:tabs>
          <w:tab w:leader="none" w:pos="6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Trust has a controlling financial interest in this property.</w:t>
      </w:r>
    </w:p>
    <w:p>
      <w:pPr>
        <w:spacing w:after="0" w:line="41" w:lineRule="exact"/>
        <w:rPr>
          <w:rFonts w:ascii="Times New Roman" w:cs="Times New Roman" w:eastAsia="Times New Roman" w:hAnsi="Times New Roman"/>
          <w:sz w:val="14"/>
          <w:szCs w:val="14"/>
          <w:color w:val="auto"/>
        </w:rPr>
      </w:pPr>
    </w:p>
    <w:p>
      <w:pPr>
        <w:ind w:left="600" w:right="360" w:hanging="561"/>
        <w:spacing w:after="0" w:line="239" w:lineRule="auto"/>
        <w:tabs>
          <w:tab w:leader="none" w:pos="6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All or a portion of the property is owned in a "downREIT" partnership, of which a wholly owned subsidiary of the Trust is the sole general partner, with third party partners holding operating partnership units.</w:t>
      </w:r>
    </w:p>
    <w:p>
      <w:pPr>
        <w:spacing w:after="0" w:line="14" w:lineRule="exact"/>
        <w:rPr>
          <w:rFonts w:ascii="Times New Roman" w:cs="Times New Roman" w:eastAsia="Times New Roman" w:hAnsi="Times New Roman"/>
          <w:sz w:val="14"/>
          <w:szCs w:val="14"/>
          <w:color w:val="auto"/>
        </w:rPr>
      </w:pPr>
    </w:p>
    <w:p>
      <w:pPr>
        <w:ind w:left="600" w:hanging="561"/>
        <w:spacing w:after="0"/>
        <w:tabs>
          <w:tab w:leader="none" w:pos="6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Portion of property is currently under development. See further discussion in the Assembly Row and Pike &amp; Rose schedules.</w:t>
      </w:r>
    </w:p>
    <w:p>
      <w:pPr>
        <w:spacing w:after="0" w:line="41" w:lineRule="exact"/>
        <w:rPr>
          <w:rFonts w:ascii="Times New Roman" w:cs="Times New Roman" w:eastAsia="Times New Roman" w:hAnsi="Times New Roman"/>
          <w:sz w:val="14"/>
          <w:szCs w:val="14"/>
          <w:color w:val="auto"/>
        </w:rPr>
      </w:pPr>
    </w:p>
    <w:p>
      <w:pPr>
        <w:ind w:left="600" w:hanging="561"/>
        <w:spacing w:after="0"/>
        <w:tabs>
          <w:tab w:leader="none" w:pos="6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All or a portion of the property is subject to finance lease liabilities.</w:t>
      </w:r>
    </w:p>
    <w:p>
      <w:pPr>
        <w:spacing w:after="0" w:line="41" w:lineRule="exact"/>
        <w:rPr>
          <w:rFonts w:ascii="Times New Roman" w:cs="Times New Roman" w:eastAsia="Times New Roman" w:hAnsi="Times New Roman"/>
          <w:sz w:val="14"/>
          <w:szCs w:val="14"/>
          <w:color w:val="auto"/>
        </w:rPr>
      </w:pPr>
    </w:p>
    <w:p>
      <w:pPr>
        <w:ind w:left="600" w:hanging="561"/>
        <w:spacing w:after="0"/>
        <w:tabs>
          <w:tab w:leader="none" w:pos="6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This property includes 39 buildings primarily along Washington Street and 14th Street in Hoboken, New Jersey.</w:t>
      </w:r>
    </w:p>
    <w:p>
      <w:pPr>
        <w:spacing w:after="0" w:line="41" w:lineRule="exact"/>
        <w:rPr>
          <w:rFonts w:ascii="Times New Roman" w:cs="Times New Roman" w:eastAsia="Times New Roman" w:hAnsi="Times New Roman"/>
          <w:sz w:val="14"/>
          <w:szCs w:val="14"/>
          <w:color w:val="auto"/>
        </w:rPr>
      </w:pPr>
    </w:p>
    <w:p>
      <w:pPr>
        <w:ind w:left="600" w:hanging="561"/>
        <w:spacing w:after="0"/>
        <w:tabs>
          <w:tab w:leader="none" w:pos="6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This property includes interests in four buildings in addition to our initial acquisition.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028" w:right="339" w:bottom="1440" w:gutter="0" w:footer="0" w:header="0"/>
        </w:sectPr>
      </w:pPr>
    </w:p>
    <w:bookmarkStart w:id="26" w:name="page27"/>
    <w:bookmarkEnd w:id="26"/>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Retail Leasing Summary (1)</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March 31, 2022</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Total Lease Summary - Comparable (2)</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Contractual</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Annual Increase</w:t>
            </w: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Cash Basis %</w:t>
            </w:r>
          </w:p>
        </w:tc>
        <w:tc>
          <w:tcPr>
            <w:tcW w:w="100" w:type="dxa"/>
            <w:vAlign w:val="bottom"/>
          </w:tcPr>
          <w:p>
            <w:pPr>
              <w:spacing w:after="0"/>
              <w:rPr>
                <w:sz w:val="11"/>
                <w:szCs w:val="11"/>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Straight-lined</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4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1"/>
                <w:szCs w:val="11"/>
                <w:color w:val="auto"/>
              </w:rPr>
            </w:pPr>
          </w:p>
        </w:tc>
        <w:tc>
          <w:tcPr>
            <w:tcW w:w="800" w:type="dxa"/>
            <w:vAlign w:val="bottom"/>
            <w:vMerge w:val="restart"/>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0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 of Comparable</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Prior Rent (4)</w:t>
            </w:r>
          </w:p>
        </w:tc>
        <w:tc>
          <w:tcPr>
            <w:tcW w:w="980" w:type="dxa"/>
            <w:vAlign w:val="bottom"/>
            <w:gridSpan w:val="3"/>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vMerge w:val="restart"/>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Leases</w:t>
            </w:r>
          </w:p>
        </w:tc>
        <w:tc>
          <w:tcPr>
            <w:tcW w:w="1000" w:type="dxa"/>
            <w:vAlign w:val="bottom"/>
            <w:gridSpan w:val="4"/>
            <w:vMerge w:val="continue"/>
          </w:tcPr>
          <w:p>
            <w:pPr>
              <w:spacing w:after="0"/>
              <w:rPr>
                <w:sz w:val="9"/>
                <w:szCs w:val="9"/>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rPr>
              <w:t>Rent (3) Per</w:t>
            </w:r>
          </w:p>
        </w:tc>
        <w:tc>
          <w:tcPr>
            <w:tcW w:w="8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rPr>
              <w:t>(Decrease) in</w:t>
            </w:r>
          </w:p>
        </w:tc>
        <w:tc>
          <w:tcPr>
            <w:tcW w:w="9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Increase Over</w:t>
            </w:r>
          </w:p>
        </w:tc>
        <w:tc>
          <w:tcPr>
            <w:tcW w:w="960" w:type="dxa"/>
            <w:vAlign w:val="bottom"/>
            <w:gridSpan w:val="3"/>
          </w:tcPr>
          <w:p>
            <w:pPr>
              <w:ind w:left="40"/>
              <w:spacing w:after="0" w:line="108" w:lineRule="exact"/>
              <w:rPr>
                <w:sz w:val="20"/>
                <w:szCs w:val="20"/>
                <w:color w:val="auto"/>
              </w:rPr>
            </w:pPr>
            <w:r>
              <w:rPr>
                <w:rFonts w:ascii="Times New Roman" w:cs="Times New Roman" w:eastAsia="Times New Roman" w:hAnsi="Times New Roman"/>
                <w:sz w:val="11"/>
                <w:szCs w:val="11"/>
                <w:b w:val="1"/>
                <w:bCs w:val="1"/>
                <w:color w:val="auto"/>
              </w:rPr>
              <w:t>Basis % Increase</w:t>
            </w: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6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90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4"/>
              </w:rPr>
              <w:t>Signed</w:t>
            </w:r>
          </w:p>
        </w:tc>
        <w:tc>
          <w:tcPr>
            <w:tcW w:w="100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9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Sq. Ft. (PSF)</w:t>
            </w:r>
          </w:p>
        </w:tc>
        <w:tc>
          <w:tcPr>
            <w:tcW w:w="10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PSF</w:t>
            </w:r>
          </w:p>
        </w:tc>
        <w:tc>
          <w:tcPr>
            <w:tcW w:w="10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Rent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Prior Rent</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Over Prior Rent</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1st Quarter 2022</w:t>
            </w:r>
          </w:p>
        </w:tc>
        <w:tc>
          <w:tcPr>
            <w:tcW w:w="720" w:type="dxa"/>
            <w:vAlign w:val="bottom"/>
            <w:tcBorders>
              <w:top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444,398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1,092,294</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14,464,187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4th Quarter 2021</w:t>
            </w:r>
          </w:p>
        </w:tc>
        <w:tc>
          <w:tcPr>
            <w:tcW w:w="72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Pr>
          <w:p>
            <w:pPr>
              <w:spacing w:after="0"/>
              <w:rPr>
                <w:sz w:val="16"/>
                <w:szCs w:val="16"/>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597,673</w:t>
            </w:r>
          </w:p>
        </w:tc>
        <w:tc>
          <w:tcPr>
            <w:tcW w:w="10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32.49</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1,108,021</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18,492,134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3rd Quarter 2021</w:t>
            </w:r>
          </w:p>
        </w:tc>
        <w:tc>
          <w:tcPr>
            <w:tcW w:w="7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430,234</w:t>
            </w: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1,119,874</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15,214,700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2nd Quarter 2021</w:t>
            </w:r>
          </w:p>
        </w:tc>
        <w:tc>
          <w:tcPr>
            <w:tcW w:w="72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Pr>
          <w:p>
            <w:pPr>
              <w:spacing w:after="0"/>
              <w:rPr>
                <w:sz w:val="17"/>
                <w:szCs w:val="17"/>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558,490</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37.34</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34.72</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1,460,996</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28,679,057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51.35</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478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2,030,795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4,781,185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76,850,078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New Lease Summary - Comparable (2)</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3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Annual Increase</w:t>
            </w: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Cash Basis %</w:t>
            </w:r>
          </w:p>
        </w:tc>
        <w:tc>
          <w:tcPr>
            <w:tcW w:w="10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Straight-lined</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4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2"/>
                <w:szCs w:val="12"/>
                <w:color w:val="auto"/>
              </w:rPr>
            </w:pPr>
          </w:p>
        </w:tc>
        <w:tc>
          <w:tcPr>
            <w:tcW w:w="800" w:type="dxa"/>
            <w:vAlign w:val="bottom"/>
            <w:vMerge w:val="restart"/>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0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 of Comparable</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Contractual</w:t>
            </w:r>
          </w:p>
        </w:tc>
        <w:tc>
          <w:tcPr>
            <w:tcW w:w="8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Prior Rent (4)</w:t>
            </w:r>
          </w:p>
        </w:tc>
        <w:tc>
          <w:tcPr>
            <w:tcW w:w="980" w:type="dxa"/>
            <w:vAlign w:val="bottom"/>
            <w:gridSpan w:val="3"/>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vMerge w:val="restart"/>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Leases</w:t>
            </w:r>
          </w:p>
        </w:tc>
        <w:tc>
          <w:tcPr>
            <w:tcW w:w="1000" w:type="dxa"/>
            <w:vAlign w:val="bottom"/>
            <w:gridSpan w:val="4"/>
            <w:vMerge w:val="continue"/>
          </w:tcPr>
          <w:p>
            <w:pPr>
              <w:spacing w:after="0"/>
              <w:rPr>
                <w:sz w:val="9"/>
                <w:szCs w:val="9"/>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rPr>
              <w:t>(Decrease) in</w:t>
            </w:r>
          </w:p>
        </w:tc>
        <w:tc>
          <w:tcPr>
            <w:tcW w:w="9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Increase Over</w:t>
            </w:r>
          </w:p>
        </w:tc>
        <w:tc>
          <w:tcPr>
            <w:tcW w:w="960" w:type="dxa"/>
            <w:vAlign w:val="bottom"/>
            <w:gridSpan w:val="3"/>
          </w:tcPr>
          <w:p>
            <w:pPr>
              <w:ind w:left="40"/>
              <w:spacing w:after="0" w:line="108" w:lineRule="exact"/>
              <w:rPr>
                <w:sz w:val="20"/>
                <w:szCs w:val="20"/>
                <w:color w:val="auto"/>
              </w:rPr>
            </w:pPr>
            <w:r>
              <w:rPr>
                <w:rFonts w:ascii="Times New Roman" w:cs="Times New Roman" w:eastAsia="Times New Roman" w:hAnsi="Times New Roman"/>
                <w:sz w:val="11"/>
                <w:szCs w:val="11"/>
                <w:b w:val="1"/>
                <w:bCs w:val="1"/>
                <w:color w:val="auto"/>
              </w:rPr>
              <w:t>Basis % Increase</w:t>
            </w: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6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90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4"/>
              </w:rPr>
              <w:t>Signed</w:t>
            </w:r>
          </w:p>
        </w:tc>
        <w:tc>
          <w:tcPr>
            <w:tcW w:w="100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9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Rent (3) PSF</w:t>
            </w:r>
          </w:p>
        </w:tc>
        <w:tc>
          <w:tcPr>
            <w:tcW w:w="10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PSF</w:t>
            </w:r>
          </w:p>
        </w:tc>
        <w:tc>
          <w:tcPr>
            <w:tcW w:w="10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Rent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Prior Rent</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Over Prior Rent</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1st Quarter 2022</w:t>
            </w:r>
          </w:p>
        </w:tc>
        <w:tc>
          <w:tcPr>
            <w:tcW w:w="720" w:type="dxa"/>
            <w:vAlign w:val="bottom"/>
            <w:tcBorders>
              <w:top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176,322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946,526</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13,866,932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4th Quarter 2021</w:t>
            </w:r>
          </w:p>
        </w:tc>
        <w:tc>
          <w:tcPr>
            <w:tcW w:w="72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16"/>
                <w:szCs w:val="16"/>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56 %</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289,287</w:t>
            </w:r>
          </w:p>
        </w:tc>
        <w:tc>
          <w:tcPr>
            <w:tcW w:w="10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37.27</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708,143</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18,142,674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3rd Quarter 2021</w:t>
            </w:r>
          </w:p>
        </w:tc>
        <w:tc>
          <w:tcPr>
            <w:tcW w:w="7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47 %</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219,614</w:t>
            </w: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592,684</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14,322,727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2nd Quarter 2021</w:t>
            </w:r>
          </w:p>
        </w:tc>
        <w:tc>
          <w:tcPr>
            <w:tcW w:w="72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7"/>
                <w:szCs w:val="17"/>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60 %</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414,602</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36.09</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1,447,345</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28,140,419</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67.87</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256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54 %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1,099,825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3,694,698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74,472,752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Renewal Lease Summary - Comparable (2) (7)</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3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Annual Increase</w:t>
            </w: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Cash Basis %</w:t>
            </w:r>
          </w:p>
        </w:tc>
        <w:tc>
          <w:tcPr>
            <w:tcW w:w="10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Straight-lined</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4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2"/>
                <w:szCs w:val="12"/>
                <w:color w:val="auto"/>
              </w:rPr>
            </w:pPr>
          </w:p>
        </w:tc>
        <w:tc>
          <w:tcPr>
            <w:tcW w:w="800" w:type="dxa"/>
            <w:vAlign w:val="bottom"/>
            <w:vMerge w:val="restart"/>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0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 of Comparable</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Contractual</w:t>
            </w:r>
          </w:p>
        </w:tc>
        <w:tc>
          <w:tcPr>
            <w:tcW w:w="8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Prior Rent (4)</w:t>
            </w:r>
          </w:p>
        </w:tc>
        <w:tc>
          <w:tcPr>
            <w:tcW w:w="980" w:type="dxa"/>
            <w:vAlign w:val="bottom"/>
            <w:gridSpan w:val="3"/>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vMerge w:val="restart"/>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Leases</w:t>
            </w:r>
          </w:p>
        </w:tc>
        <w:tc>
          <w:tcPr>
            <w:tcW w:w="1000" w:type="dxa"/>
            <w:vAlign w:val="bottom"/>
            <w:gridSpan w:val="4"/>
            <w:vMerge w:val="continue"/>
          </w:tcPr>
          <w:p>
            <w:pPr>
              <w:spacing w:after="0"/>
              <w:rPr>
                <w:sz w:val="9"/>
                <w:szCs w:val="9"/>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rPr>
              <w:t>(Decrease) in</w:t>
            </w:r>
          </w:p>
        </w:tc>
        <w:tc>
          <w:tcPr>
            <w:tcW w:w="9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Increase Over</w:t>
            </w:r>
          </w:p>
        </w:tc>
        <w:tc>
          <w:tcPr>
            <w:tcW w:w="960" w:type="dxa"/>
            <w:vAlign w:val="bottom"/>
            <w:gridSpan w:val="3"/>
          </w:tcPr>
          <w:p>
            <w:pPr>
              <w:ind w:left="40"/>
              <w:spacing w:after="0" w:line="108" w:lineRule="exact"/>
              <w:rPr>
                <w:sz w:val="20"/>
                <w:szCs w:val="20"/>
                <w:color w:val="auto"/>
              </w:rPr>
            </w:pPr>
            <w:r>
              <w:rPr>
                <w:rFonts w:ascii="Times New Roman" w:cs="Times New Roman" w:eastAsia="Times New Roman" w:hAnsi="Times New Roman"/>
                <w:sz w:val="11"/>
                <w:szCs w:val="11"/>
                <w:b w:val="1"/>
                <w:bCs w:val="1"/>
                <w:color w:val="auto"/>
              </w:rPr>
              <w:t>Basis % Increase</w:t>
            </w: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6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90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4"/>
              </w:rPr>
              <w:t>Signed</w:t>
            </w:r>
          </w:p>
        </w:tc>
        <w:tc>
          <w:tcPr>
            <w:tcW w:w="100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9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Rent (3) PSF</w:t>
            </w:r>
          </w:p>
        </w:tc>
        <w:tc>
          <w:tcPr>
            <w:tcW w:w="10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PSF</w:t>
            </w:r>
          </w:p>
        </w:tc>
        <w:tc>
          <w:tcPr>
            <w:tcW w:w="10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Rent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Prior Rent</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Over Prior Rent</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1st Quarter 2022</w:t>
            </w:r>
          </w:p>
        </w:tc>
        <w:tc>
          <w:tcPr>
            <w:tcW w:w="720" w:type="dxa"/>
            <w:vAlign w:val="bottom"/>
            <w:tcBorders>
              <w:top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268,076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145,768</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597,255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4th Quarter 2021</w:t>
            </w:r>
          </w:p>
        </w:tc>
        <w:tc>
          <w:tcPr>
            <w:tcW w:w="72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6"/>
                <w:szCs w:val="16"/>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44 %</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308,386</w:t>
            </w:r>
          </w:p>
        </w:tc>
        <w:tc>
          <w:tcPr>
            <w:tcW w:w="10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29.30</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399,878</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349,460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3rd Quarter 2021</w:t>
            </w:r>
          </w:p>
        </w:tc>
        <w:tc>
          <w:tcPr>
            <w:tcW w:w="7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53 %</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210,620</w:t>
            </w: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527,190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891,973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2nd Quarter 2021</w:t>
            </w:r>
          </w:p>
        </w:tc>
        <w:tc>
          <w:tcPr>
            <w:tcW w:w="72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7"/>
                <w:szCs w:val="17"/>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143,888</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40.92</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40.82</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13,651</w:t>
            </w:r>
          </w:p>
        </w:tc>
        <w:tc>
          <w:tcPr>
            <w:tcW w:w="120" w:type="dxa"/>
            <w:vAlign w:val="bottom"/>
          </w:tcPr>
          <w:p>
            <w:pPr>
              <w:spacing w:after="0"/>
              <w:rPr>
                <w:sz w:val="17"/>
                <w:szCs w:val="17"/>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538,638</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222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46 %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930,970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1,086,487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2,377,326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02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auto"/>
              </w:rPr>
              <w:t>Total Lease Summary - Comparable and Non-comparable (2) (8)</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4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2"/>
                <w:szCs w:val="12"/>
                <w:color w:val="auto"/>
              </w:rPr>
            </w:pPr>
          </w:p>
        </w:tc>
        <w:tc>
          <w:tcPr>
            <w:tcW w:w="800" w:type="dxa"/>
            <w:vAlign w:val="bottom"/>
            <w:vMerge w:val="restart"/>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Contractual Rent</w:t>
            </w: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vMerge w:val="restart"/>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820" w:type="dxa"/>
            <w:vAlign w:val="bottom"/>
            <w:gridSpan w:val="4"/>
            <w:vMerge w:val="restart"/>
          </w:tcPr>
          <w:p>
            <w:pPr>
              <w:ind w:left="52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960" w:type="dxa"/>
            <w:vAlign w:val="bottom"/>
            <w:gridSpan w:val="3"/>
            <w:vMerge w:val="continue"/>
          </w:tcPr>
          <w:p>
            <w:pPr>
              <w:spacing w:after="0"/>
              <w:rPr>
                <w:sz w:val="9"/>
                <w:szCs w:val="9"/>
                <w:color w:val="auto"/>
              </w:rPr>
            </w:pP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6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90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100" w:type="dxa"/>
            <w:vAlign w:val="bottom"/>
          </w:tcPr>
          <w:p>
            <w:pPr>
              <w:spacing w:after="0"/>
              <w:rPr>
                <w:sz w:val="13"/>
                <w:szCs w:val="13"/>
                <w:color w:val="auto"/>
              </w:rPr>
            </w:pPr>
          </w:p>
        </w:tc>
        <w:tc>
          <w:tcPr>
            <w:tcW w:w="182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(3) PSF</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1st Quarter 2022</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460,062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37.05</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18,669,766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4th Quarter 2021</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619,629</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34.67</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19,435,246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3rd Quarter 2021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481,607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39.87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24,145,403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50.14</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2nd Quarter 2021</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color w:val="auto"/>
              </w:rPr>
              <w:t>576,782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rPr>
              <w:t>37.57</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29,473,951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51.10</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2,138,080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37.14</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91,724,366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u w:val="single" w:color="auto"/>
          <w:color w:val="auto"/>
        </w:rPr>
        <w:t>Notes:</w:t>
      </w:r>
    </w:p>
    <w:p>
      <w:pPr>
        <w:spacing w:after="0" w:line="26" w:lineRule="exact"/>
        <w:rPr>
          <w:sz w:val="20"/>
          <w:szCs w:val="20"/>
          <w:color w:val="auto"/>
        </w:rPr>
      </w:pPr>
    </w:p>
    <w:p>
      <w:pPr>
        <w:ind w:left="620" w:right="420" w:hanging="567"/>
        <w:spacing w:after="0"/>
        <w:tabs>
          <w:tab w:leader="none" w:pos="6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Information reflects activity in retail spaces only; office and residential spaces are not included. Contractual option exercises are not included. See Glossary of Terms for further discussion of information included above.</w:t>
      </w:r>
    </w:p>
    <w:p>
      <w:pPr>
        <w:spacing w:after="0" w:line="11" w:lineRule="exact"/>
        <w:rPr>
          <w:rFonts w:ascii="Times New Roman" w:cs="Times New Roman" w:eastAsia="Times New Roman" w:hAnsi="Times New Roman"/>
          <w:sz w:val="13"/>
          <w:szCs w:val="13"/>
          <w:color w:val="auto"/>
        </w:rPr>
      </w:pPr>
    </w:p>
    <w:p>
      <w:pPr>
        <w:ind w:left="620" w:hanging="567"/>
        <w:spacing w:after="0"/>
        <w:tabs>
          <w:tab w:leader="none" w:pos="6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Comparable leases represent those leases signed on spaces for which there was a former tenant.</w:t>
      </w:r>
    </w:p>
    <w:p>
      <w:pPr>
        <w:spacing w:after="0" w:line="26" w:lineRule="exact"/>
        <w:rPr>
          <w:rFonts w:ascii="Times New Roman" w:cs="Times New Roman" w:eastAsia="Times New Roman" w:hAnsi="Times New Roman"/>
          <w:sz w:val="13"/>
          <w:szCs w:val="13"/>
          <w:color w:val="auto"/>
        </w:rPr>
      </w:pPr>
    </w:p>
    <w:p>
      <w:pPr>
        <w:ind w:left="620" w:hanging="567"/>
        <w:spacing w:after="0"/>
        <w:tabs>
          <w:tab w:leader="none" w:pos="6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Contractual rent represents annual rent under the new lease.</w:t>
      </w:r>
    </w:p>
    <w:p>
      <w:pPr>
        <w:spacing w:after="0" w:line="26" w:lineRule="exact"/>
        <w:rPr>
          <w:rFonts w:ascii="Times New Roman" w:cs="Times New Roman" w:eastAsia="Times New Roman" w:hAnsi="Times New Roman"/>
          <w:sz w:val="13"/>
          <w:szCs w:val="13"/>
          <w:color w:val="auto"/>
        </w:rPr>
      </w:pPr>
    </w:p>
    <w:p>
      <w:pPr>
        <w:ind w:left="620" w:hanging="567"/>
        <w:spacing w:after="0"/>
        <w:tabs>
          <w:tab w:leader="none" w:pos="6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rent represents contractual rent, including percentage rent, from the prior tenant in the final 12 months of the term.</w:t>
      </w:r>
    </w:p>
    <w:p>
      <w:pPr>
        <w:spacing w:after="0" w:line="26" w:lineRule="exact"/>
        <w:rPr>
          <w:rFonts w:ascii="Times New Roman" w:cs="Times New Roman" w:eastAsia="Times New Roman" w:hAnsi="Times New Roman"/>
          <w:sz w:val="13"/>
          <w:szCs w:val="13"/>
          <w:color w:val="auto"/>
        </w:rPr>
      </w:pPr>
    </w:p>
    <w:p>
      <w:pPr>
        <w:ind w:left="620" w:hanging="567"/>
        <w:spacing w:after="0"/>
        <w:tabs>
          <w:tab w:leader="none" w:pos="6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Weighted average is determined on the basis of contractual rent for the lease.</w:t>
      </w:r>
    </w:p>
    <w:p>
      <w:pPr>
        <w:spacing w:after="0" w:line="26" w:lineRule="exact"/>
        <w:rPr>
          <w:rFonts w:ascii="Times New Roman" w:cs="Times New Roman" w:eastAsia="Times New Roman" w:hAnsi="Times New Roman"/>
          <w:sz w:val="13"/>
          <w:szCs w:val="13"/>
          <w:color w:val="auto"/>
        </w:rPr>
      </w:pPr>
    </w:p>
    <w:p>
      <w:pPr>
        <w:ind w:left="620" w:hanging="567"/>
        <w:spacing w:after="0"/>
        <w:tabs>
          <w:tab w:leader="none" w:pos="6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Glossary of Terms.</w:t>
      </w:r>
    </w:p>
    <w:p>
      <w:pPr>
        <w:spacing w:after="0" w:line="26" w:lineRule="exact"/>
        <w:rPr>
          <w:rFonts w:ascii="Times New Roman" w:cs="Times New Roman" w:eastAsia="Times New Roman" w:hAnsi="Times New Roman"/>
          <w:sz w:val="13"/>
          <w:szCs w:val="13"/>
          <w:color w:val="auto"/>
        </w:rPr>
      </w:pPr>
    </w:p>
    <w:p>
      <w:pPr>
        <w:ind w:left="620" w:hanging="567"/>
        <w:spacing w:after="0"/>
        <w:tabs>
          <w:tab w:leader="none" w:pos="6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Renewal leases represent expiring leases rolling over with the same tenant in the same location. All other leases are categorized as new.</w:t>
      </w:r>
    </w:p>
    <w:p>
      <w:pPr>
        <w:spacing w:after="0" w:line="26" w:lineRule="exact"/>
        <w:rPr>
          <w:rFonts w:ascii="Times New Roman" w:cs="Times New Roman" w:eastAsia="Times New Roman" w:hAnsi="Times New Roman"/>
          <w:sz w:val="13"/>
          <w:szCs w:val="13"/>
          <w:color w:val="auto"/>
        </w:rPr>
      </w:pPr>
    </w:p>
    <w:p>
      <w:pPr>
        <w:ind w:left="620" w:right="80" w:hanging="567"/>
        <w:spacing w:after="0" w:line="245" w:lineRule="auto"/>
        <w:tabs>
          <w:tab w:leader="none" w:pos="6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Leases Signed, GLA Signed, Contractual Rent Per Sq. Ft. and Weighted Average Lease Term columns include information for leases signed at Phase 3 of both of our Assembly Row and Pike &amp; Rose projects. The Tenant Improvements &amp; Incentives and Tenant Improvements &amp; Incentives Per Sq. Ft. columns do not include the tenant improvements and incentives on leases signed for those projects; these amounts for leases signed for Phase 3 of Assembly Row and Pike &amp; Rose are included in the Projected Cost column for those projects shown on the Assembly Row and Pike &amp; Rose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028" w:right="339" w:bottom="1440" w:gutter="0" w:footer="0" w:header="0"/>
        </w:sectPr>
      </w:pPr>
    </w:p>
    <w:bookmarkStart w:id="27" w:name="page28"/>
    <w:bookmarkEnd w:id="27"/>
    <w:p>
      <w:pPr>
        <w:ind w:left="1"/>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Lease Expirations</w:t>
      </w:r>
    </w:p>
    <w:p>
      <w:pPr>
        <w:spacing w:after="0" w:line="2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268287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82875" cy="154305"/>
                    </a:xfrm>
                    <a:prstGeom prst="rect">
                      <a:avLst/>
                    </a:prstGeom>
                    <a:noFill/>
                  </pic:spPr>
                </pic:pic>
              </a:graphicData>
            </a:graphic>
          </wp:anchor>
        </w:drawing>
      </w:r>
    </w:p>
    <w:p>
      <w:pPr>
        <w:spacing w:after="0" w:line="230" w:lineRule="exact"/>
        <w:rPr>
          <w:sz w:val="20"/>
          <w:szCs w:val="20"/>
          <w:color w:val="auto"/>
        </w:rPr>
      </w:pPr>
    </w:p>
    <w:p>
      <w:pPr>
        <w:ind w:left="21"/>
        <w:spacing w:after="0"/>
        <w:rPr>
          <w:sz w:val="20"/>
          <w:szCs w:val="20"/>
          <w:color w:val="auto"/>
        </w:rPr>
      </w:pPr>
      <w:r>
        <w:rPr>
          <w:rFonts w:ascii="Times New Roman" w:cs="Times New Roman" w:eastAsia="Times New Roman" w:hAnsi="Times New Roman"/>
          <w:sz w:val="16"/>
          <w:szCs w:val="16"/>
          <w:b w:val="1"/>
          <w:bCs w:val="1"/>
          <w:color w:val="auto"/>
        </w:rPr>
        <w:t>Assumes no exercise of lease options</w:t>
      </w:r>
    </w:p>
    <w:p>
      <w:pPr>
        <w:spacing w:after="0" w:line="118" w:lineRule="exact"/>
        <w:rPr>
          <w:sz w:val="20"/>
          <w:szCs w:val="20"/>
          <w:color w:val="auto"/>
        </w:rPr>
      </w:pPr>
    </w:p>
    <w:tbl>
      <w:tblPr>
        <w:tblLayout w:type="fixed"/>
        <w:tblInd w:w="11"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222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Anchor Tenants (1)</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Small Shop Tenants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2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1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98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0" w:type="dxa"/>
            <w:vAlign w:val="bottom"/>
            <w:tcBorders>
              <w:top w:val="single" w:sz="8" w:color="auto"/>
            </w:tcBorders>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 Anchor</w:t>
            </w:r>
          </w:p>
        </w:tc>
        <w:tc>
          <w:tcPr>
            <w:tcW w:w="102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20" w:type="dxa"/>
            <w:vAlign w:val="bottom"/>
          </w:tcPr>
          <w:p>
            <w:pPr>
              <w:spacing w:after="0"/>
              <w:rPr>
                <w:sz w:val="11"/>
                <w:szCs w:val="11"/>
                <w:color w:val="auto"/>
              </w:rPr>
            </w:pPr>
          </w:p>
        </w:tc>
        <w:tc>
          <w:tcPr>
            <w:tcW w:w="1240" w:type="dxa"/>
            <w:vAlign w:val="bottom"/>
            <w:tcBorders>
              <w:top w:val="single" w:sz="8" w:color="auto"/>
            </w:tcBorders>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10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 Small</w:t>
            </w:r>
          </w:p>
        </w:tc>
        <w:tc>
          <w:tcPr>
            <w:tcW w:w="102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40" w:type="dxa"/>
            <w:vAlign w:val="bottom"/>
          </w:tcPr>
          <w:p>
            <w:pPr>
              <w:spacing w:after="0"/>
              <w:rPr>
                <w:sz w:val="11"/>
                <w:szCs w:val="11"/>
                <w:color w:val="auto"/>
              </w:rPr>
            </w:pPr>
          </w:p>
        </w:tc>
        <w:tc>
          <w:tcPr>
            <w:tcW w:w="1300" w:type="dxa"/>
            <w:vAlign w:val="bottom"/>
            <w:tcBorders>
              <w:top w:val="single" w:sz="8" w:color="auto"/>
            </w:tcBorders>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Expiring SF (4)</w:t>
            </w:r>
          </w:p>
        </w:tc>
        <w:tc>
          <w:tcPr>
            <w:tcW w:w="920" w:type="dxa"/>
            <w:vAlign w:val="bottom"/>
            <w:tcBorders>
              <w:top w:val="single" w:sz="8" w:color="auto"/>
            </w:tcBorders>
          </w:tcPr>
          <w:p>
            <w:pPr>
              <w:jc w:val="right"/>
              <w:ind w:right="101"/>
              <w:spacing w:after="0" w:line="129"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0" w:type="dxa"/>
            <w:vAlign w:val="bottom"/>
          </w:tcPr>
          <w:p>
            <w:pPr>
              <w:spacing w:after="0"/>
              <w:rPr>
                <w:sz w:val="1"/>
                <w:szCs w:val="1"/>
                <w:color w:val="auto"/>
              </w:rPr>
            </w:pPr>
          </w:p>
        </w:tc>
      </w:tr>
      <w:tr>
        <w:trPr>
          <w:trHeight w:val="196"/>
        </w:trPr>
        <w:tc>
          <w:tcPr>
            <w:tcW w:w="9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0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SF</w:t>
            </w:r>
          </w:p>
        </w:tc>
        <w:tc>
          <w:tcPr>
            <w:tcW w:w="12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240" w:type="dxa"/>
            <w:vAlign w:val="bottom"/>
            <w:vMerge w:val="continue"/>
          </w:tcPr>
          <w:p>
            <w:pPr>
              <w:spacing w:after="0"/>
              <w:rPr>
                <w:sz w:val="17"/>
                <w:szCs w:val="17"/>
                <w:color w:val="auto"/>
              </w:rPr>
            </w:pPr>
          </w:p>
        </w:tc>
        <w:tc>
          <w:tcPr>
            <w:tcW w:w="10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Shop SF</w:t>
            </w:r>
          </w:p>
        </w:tc>
        <w:tc>
          <w:tcPr>
            <w:tcW w:w="140" w:type="dxa"/>
            <w:vAlign w:val="bottom"/>
          </w:tcPr>
          <w:p>
            <w:pPr>
              <w:spacing w:after="0"/>
              <w:rPr>
                <w:sz w:val="17"/>
                <w:szCs w:val="17"/>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300" w:type="dxa"/>
            <w:vAlign w:val="bottom"/>
            <w:vMerge w:val="continue"/>
          </w:tcPr>
          <w:p>
            <w:pPr>
              <w:spacing w:after="0"/>
              <w:rPr>
                <w:sz w:val="17"/>
                <w:szCs w:val="17"/>
                <w:color w:val="auto"/>
              </w:rPr>
            </w:pPr>
          </w:p>
        </w:tc>
        <w:tc>
          <w:tcPr>
            <w:tcW w:w="92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SF</w:t>
            </w:r>
          </w:p>
        </w:tc>
        <w:tc>
          <w:tcPr>
            <w:tcW w:w="102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0" w:type="dxa"/>
            <w:vAlign w:val="bottom"/>
          </w:tcPr>
          <w:p>
            <w:pPr>
              <w:spacing w:after="0"/>
              <w:rPr>
                <w:sz w:val="1"/>
                <w:szCs w:val="1"/>
                <w:color w:val="auto"/>
              </w:rPr>
            </w:pPr>
          </w:p>
        </w:tc>
      </w:tr>
      <w:tr>
        <w:trPr>
          <w:trHeight w:val="216"/>
        </w:trPr>
        <w:tc>
          <w:tcPr>
            <w:tcW w:w="9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3 % $</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592,000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8 % $</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37.84</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1,079,000</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 $</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9 %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964,000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13 %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42.29</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2,388,000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29.66</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15 %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1,016,000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14 %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47.45</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3,264,000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28.22</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2,154,000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14 %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1,020,000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14 %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41.78</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3,174,000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26.05</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8 %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799,000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11 %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49.80</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2,044,000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33.05</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11 %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25.13</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822,000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11 %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49.69</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2,494,000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33.22</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8 %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498,000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7 %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53.13</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1,688,000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29.93</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2029</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7 %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28.54</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441,000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6 %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47.03</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1,547,000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33.81</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5 %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276,000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4 %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50.69</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1,106,000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2031</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2 %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31.67</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395,000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6 %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43.81</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782,000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37.80</w:t>
            </w:r>
          </w:p>
        </w:tc>
        <w:tc>
          <w:tcPr>
            <w:tcW w:w="0" w:type="dxa"/>
            <w:vAlign w:val="bottom"/>
          </w:tcPr>
          <w:p>
            <w:pPr>
              <w:spacing w:after="0"/>
              <w:rPr>
                <w:sz w:val="1"/>
                <w:szCs w:val="1"/>
                <w:color w:val="auto"/>
              </w:rPr>
            </w:pPr>
          </w:p>
        </w:tc>
      </w:tr>
      <w:tr>
        <w:trPr>
          <w:trHeight w:val="216"/>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18 % $</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26.92</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454,000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6 %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43.82</w:t>
            </w:r>
          </w:p>
        </w:tc>
        <w:tc>
          <w:tcPr>
            <w:tcW w:w="2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3,184,000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w:t>
            </w:r>
          </w:p>
        </w:tc>
        <w:tc>
          <w:tcPr>
            <w:tcW w:w="0" w:type="dxa"/>
            <w:vAlign w:val="bottom"/>
          </w:tcPr>
          <w:p>
            <w:pPr>
              <w:spacing w:after="0"/>
              <w:rPr>
                <w:sz w:val="1"/>
                <w:szCs w:val="1"/>
                <w:color w:val="auto"/>
              </w:rPr>
            </w:pPr>
          </w:p>
        </w:tc>
      </w:tr>
      <w:tr>
        <w:trPr>
          <w:trHeight w:val="211"/>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15,473,000</w:t>
            </w:r>
          </w:p>
        </w:tc>
        <w:tc>
          <w:tcPr>
            <w:tcW w:w="114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100 %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22.56</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7,277,000</w:t>
            </w:r>
          </w:p>
        </w:tc>
        <w:tc>
          <w:tcPr>
            <w:tcW w:w="114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100 % $</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45.76</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22,750,000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29.98</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9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200" w:type="dxa"/>
            <w:vAlign w:val="bottom"/>
            <w:tcBorders>
              <w:left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Assumes all lease options are exercised</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980" w:type="dxa"/>
            <w:vAlign w:val="bottom"/>
          </w:tcPr>
          <w:p>
            <w:pPr>
              <w:spacing w:after="0"/>
              <w:rPr>
                <w:sz w:val="22"/>
                <w:szCs w:val="22"/>
                <w:color w:val="auto"/>
              </w:rPr>
            </w:pPr>
          </w:p>
        </w:tc>
        <w:tc>
          <w:tcPr>
            <w:tcW w:w="222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Anchor Tenants (1)</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4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Small Shop Tenants</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2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1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98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0" w:type="dxa"/>
            <w:vAlign w:val="bottom"/>
            <w:tcBorders>
              <w:top w:val="single" w:sz="8" w:color="auto"/>
            </w:tcBorders>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 Anchor</w:t>
            </w:r>
          </w:p>
        </w:tc>
        <w:tc>
          <w:tcPr>
            <w:tcW w:w="102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20" w:type="dxa"/>
            <w:vAlign w:val="bottom"/>
          </w:tcPr>
          <w:p>
            <w:pPr>
              <w:spacing w:after="0"/>
              <w:rPr>
                <w:sz w:val="11"/>
                <w:szCs w:val="11"/>
                <w:color w:val="auto"/>
              </w:rPr>
            </w:pPr>
          </w:p>
        </w:tc>
        <w:tc>
          <w:tcPr>
            <w:tcW w:w="1240" w:type="dxa"/>
            <w:vAlign w:val="bottom"/>
            <w:tcBorders>
              <w:top w:val="single" w:sz="8" w:color="auto"/>
            </w:tcBorders>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10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 Small</w:t>
            </w:r>
          </w:p>
        </w:tc>
        <w:tc>
          <w:tcPr>
            <w:tcW w:w="102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40" w:type="dxa"/>
            <w:vAlign w:val="bottom"/>
          </w:tcPr>
          <w:p>
            <w:pPr>
              <w:spacing w:after="0"/>
              <w:rPr>
                <w:sz w:val="11"/>
                <w:szCs w:val="11"/>
                <w:color w:val="auto"/>
              </w:rPr>
            </w:pPr>
          </w:p>
        </w:tc>
        <w:tc>
          <w:tcPr>
            <w:tcW w:w="1300" w:type="dxa"/>
            <w:vAlign w:val="bottom"/>
            <w:tcBorders>
              <w:top w:val="single" w:sz="8" w:color="auto"/>
            </w:tcBorders>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Expiring SF (4)</w:t>
            </w:r>
          </w:p>
        </w:tc>
        <w:tc>
          <w:tcPr>
            <w:tcW w:w="920" w:type="dxa"/>
            <w:vAlign w:val="bottom"/>
            <w:tcBorders>
              <w:top w:val="single" w:sz="8" w:color="auto"/>
            </w:tcBorders>
          </w:tcPr>
          <w:p>
            <w:pPr>
              <w:jc w:val="right"/>
              <w:ind w:right="101"/>
              <w:spacing w:after="0" w:line="129"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0" w:type="dxa"/>
            <w:vAlign w:val="bottom"/>
          </w:tcPr>
          <w:p>
            <w:pPr>
              <w:spacing w:after="0"/>
              <w:rPr>
                <w:sz w:val="1"/>
                <w:szCs w:val="1"/>
                <w:color w:val="auto"/>
              </w:rPr>
            </w:pPr>
          </w:p>
        </w:tc>
      </w:tr>
      <w:tr>
        <w:trPr>
          <w:trHeight w:val="196"/>
        </w:trPr>
        <w:tc>
          <w:tcPr>
            <w:tcW w:w="9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0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SF</w:t>
            </w:r>
          </w:p>
        </w:tc>
        <w:tc>
          <w:tcPr>
            <w:tcW w:w="12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240" w:type="dxa"/>
            <w:vAlign w:val="bottom"/>
            <w:vMerge w:val="continue"/>
          </w:tcPr>
          <w:p>
            <w:pPr>
              <w:spacing w:after="0"/>
              <w:rPr>
                <w:sz w:val="17"/>
                <w:szCs w:val="17"/>
                <w:color w:val="auto"/>
              </w:rPr>
            </w:pPr>
          </w:p>
        </w:tc>
        <w:tc>
          <w:tcPr>
            <w:tcW w:w="10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Shop SF</w:t>
            </w:r>
          </w:p>
        </w:tc>
        <w:tc>
          <w:tcPr>
            <w:tcW w:w="140" w:type="dxa"/>
            <w:vAlign w:val="bottom"/>
          </w:tcPr>
          <w:p>
            <w:pPr>
              <w:spacing w:after="0"/>
              <w:rPr>
                <w:sz w:val="17"/>
                <w:szCs w:val="17"/>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300" w:type="dxa"/>
            <w:vAlign w:val="bottom"/>
            <w:vMerge w:val="continue"/>
          </w:tcPr>
          <w:p>
            <w:pPr>
              <w:spacing w:after="0"/>
              <w:rPr>
                <w:sz w:val="17"/>
                <w:szCs w:val="17"/>
                <w:color w:val="auto"/>
              </w:rPr>
            </w:pPr>
          </w:p>
        </w:tc>
        <w:tc>
          <w:tcPr>
            <w:tcW w:w="92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SF</w:t>
            </w:r>
          </w:p>
        </w:tc>
        <w:tc>
          <w:tcPr>
            <w:tcW w:w="102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0" w:type="dxa"/>
            <w:vAlign w:val="bottom"/>
          </w:tcPr>
          <w:p>
            <w:pPr>
              <w:spacing w:after="0"/>
              <w:rPr>
                <w:sz w:val="1"/>
                <w:szCs w:val="1"/>
                <w:color w:val="auto"/>
              </w:rPr>
            </w:pPr>
          </w:p>
        </w:tc>
      </w:tr>
      <w:tr>
        <w:trPr>
          <w:trHeight w:val="216"/>
        </w:trPr>
        <w:tc>
          <w:tcPr>
            <w:tcW w:w="9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2 % $</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573,000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8 % $</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37.38</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866,000</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 $</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3 %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693,000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10 %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41.28</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1,133,000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34.45</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4 %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579,000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8 %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46.08</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1,167,000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33.62</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5 %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669,000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9 %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38.80</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1,410,000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26.45</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2 %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430,000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6 %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50.24</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772,000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38.42</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3 %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19.03</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446,000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6 %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50.51</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882,000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34.94</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5 %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385,000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5 %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47.08</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1,194,000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2029</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5 %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400,000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5 %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44.66</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1,228,000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31.54</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4 %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359,000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5 %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46.13</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940,000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29.44</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2031</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30.07</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356,000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5 %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47.47</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591,000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40.57</w:t>
            </w:r>
          </w:p>
        </w:tc>
        <w:tc>
          <w:tcPr>
            <w:tcW w:w="0" w:type="dxa"/>
            <w:vAlign w:val="bottom"/>
          </w:tcPr>
          <w:p>
            <w:pPr>
              <w:spacing w:after="0"/>
              <w:rPr>
                <w:sz w:val="1"/>
                <w:szCs w:val="1"/>
                <w:color w:val="auto"/>
              </w:rPr>
            </w:pPr>
          </w:p>
        </w:tc>
      </w:tr>
      <w:tr>
        <w:trPr>
          <w:trHeight w:val="216"/>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10,181,000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66 % $</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2,387,000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33 %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48.92</w:t>
            </w:r>
          </w:p>
        </w:tc>
        <w:tc>
          <w:tcPr>
            <w:tcW w:w="2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12,567,000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w:t>
            </w:r>
          </w:p>
        </w:tc>
        <w:tc>
          <w:tcPr>
            <w:tcW w:w="0" w:type="dxa"/>
            <w:vAlign w:val="bottom"/>
          </w:tcPr>
          <w:p>
            <w:pPr>
              <w:spacing w:after="0"/>
              <w:rPr>
                <w:sz w:val="1"/>
                <w:szCs w:val="1"/>
                <w:color w:val="auto"/>
              </w:rPr>
            </w:pPr>
          </w:p>
        </w:tc>
      </w:tr>
      <w:tr>
        <w:trPr>
          <w:trHeight w:val="211"/>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15,473,000</w:t>
            </w:r>
          </w:p>
        </w:tc>
        <w:tc>
          <w:tcPr>
            <w:tcW w:w="114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100 %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22.56</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7,277,000</w:t>
            </w:r>
          </w:p>
        </w:tc>
        <w:tc>
          <w:tcPr>
            <w:tcW w:w="114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100 % $</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45.76</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22,750,000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29.98</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32" w:lineRule="exact"/>
        <w:rPr>
          <w:sz w:val="20"/>
          <w:szCs w:val="20"/>
          <w:color w:val="auto"/>
        </w:rPr>
      </w:pPr>
    </w:p>
    <w:p>
      <w:pPr>
        <w:ind w:left="781" w:hanging="781"/>
        <w:spacing w:after="0"/>
        <w:tabs>
          <w:tab w:leader="none" w:pos="78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Anchor is defined as a commercial tenant leasing 10,000 square feet or more.</w:t>
      </w:r>
    </w:p>
    <w:p>
      <w:pPr>
        <w:spacing w:after="0" w:line="32" w:lineRule="exact"/>
        <w:rPr>
          <w:rFonts w:ascii="Times New Roman" w:cs="Times New Roman" w:eastAsia="Times New Roman" w:hAnsi="Times New Roman"/>
          <w:sz w:val="16"/>
          <w:szCs w:val="16"/>
          <w:color w:val="auto"/>
        </w:rPr>
      </w:pPr>
    </w:p>
    <w:p>
      <w:pPr>
        <w:ind w:left="781" w:right="180" w:hanging="781"/>
        <w:spacing w:after="0" w:line="245" w:lineRule="auto"/>
        <w:tabs>
          <w:tab w:leader="none" w:pos="78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Minimum Rent reflects in-place contractual (defined as rents on a cash-basis without taking the impacts of rent abatements into account) rent as of March 31, 2022.</w:t>
      </w:r>
    </w:p>
    <w:p>
      <w:pPr>
        <w:spacing w:after="0" w:line="2" w:lineRule="exact"/>
        <w:rPr>
          <w:rFonts w:ascii="Times New Roman" w:cs="Times New Roman" w:eastAsia="Times New Roman" w:hAnsi="Times New Roman"/>
          <w:sz w:val="16"/>
          <w:szCs w:val="16"/>
          <w:color w:val="auto"/>
        </w:rPr>
      </w:pPr>
    </w:p>
    <w:p>
      <w:pPr>
        <w:ind w:left="781" w:hanging="781"/>
        <w:spacing w:after="0"/>
        <w:tabs>
          <w:tab w:leader="none" w:pos="78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occupied square footage of the commercial portion of our portfolio as of March 31, 2022.</w:t>
      </w:r>
    </w:p>
    <w:p>
      <w:pPr>
        <w:spacing w:after="0" w:line="32" w:lineRule="exact"/>
        <w:rPr>
          <w:rFonts w:ascii="Times New Roman" w:cs="Times New Roman" w:eastAsia="Times New Roman" w:hAnsi="Times New Roman"/>
          <w:sz w:val="16"/>
          <w:szCs w:val="16"/>
          <w:color w:val="auto"/>
        </w:rPr>
      </w:pPr>
    </w:p>
    <w:p>
      <w:pPr>
        <w:ind w:left="781" w:hanging="781"/>
        <w:spacing w:after="0"/>
        <w:tabs>
          <w:tab w:leader="none" w:pos="78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81"/>
          </w:cols>
          <w:pgMar w:left="359" w:top="1022" w:right="359"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Portfolio Leased Statistics</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Overall Portfolio Statistics (1)</w:t>
            </w: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At March 31, 2022</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At March 31, 2021</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Type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Size</w:t>
            </w:r>
          </w:p>
        </w:tc>
        <w:tc>
          <w:tcPr>
            <w:tcW w:w="660" w:type="dxa"/>
            <w:vAlign w:val="bottom"/>
          </w:tcPr>
          <w:p>
            <w:pPr>
              <w:spacing w:after="0"/>
              <w:rPr>
                <w:sz w:val="24"/>
                <w:szCs w:val="24"/>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Leased</w:t>
            </w:r>
          </w:p>
        </w:tc>
        <w:tc>
          <w:tcPr>
            <w:tcW w:w="102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Leased %</w:t>
            </w:r>
          </w:p>
        </w:tc>
        <w:tc>
          <w:tcPr>
            <w:tcW w:w="1100" w:type="dxa"/>
            <w:vAlign w:val="bottom"/>
            <w:gridSpan w:val="3"/>
          </w:tcPr>
          <w:p>
            <w:pPr>
              <w:ind w:left="800"/>
              <w:spacing w:after="0"/>
              <w:rPr>
                <w:sz w:val="20"/>
                <w:szCs w:val="20"/>
                <w:color w:val="auto"/>
              </w:rPr>
            </w:pPr>
            <w:r>
              <w:rPr>
                <w:rFonts w:ascii="Times New Roman" w:cs="Times New Roman" w:eastAsia="Times New Roman" w:hAnsi="Times New Roman"/>
                <w:sz w:val="16"/>
                <w:szCs w:val="16"/>
                <w:color w:val="auto"/>
              </w:rPr>
              <w:t>Size</w:t>
            </w:r>
          </w:p>
        </w:tc>
        <w:tc>
          <w:tcPr>
            <w:tcW w:w="64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Leased</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8"/>
              </w:rPr>
              <w:t>Leased %</w:t>
            </w:r>
          </w:p>
        </w:tc>
      </w:tr>
      <w:tr>
        <w:trPr>
          <w:trHeight w:val="237"/>
        </w:trPr>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Properties (2) (3) (4) (SF)</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24,936,000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23,375,000</w:t>
            </w:r>
          </w:p>
        </w:tc>
        <w:tc>
          <w:tcPr>
            <w:tcW w:w="28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93.7 %</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23,322,000</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21,411,000</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91.8 %</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Residential Properties (5) (units)</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2,869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28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97.5 %</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2,869</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94.6 %</w:t>
            </w:r>
          </w:p>
        </w:tc>
      </w:tr>
      <w:tr>
        <w:trPr>
          <w:trHeight w:val="648"/>
        </w:trPr>
        <w:tc>
          <w:tcPr>
            <w:tcW w:w="2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Comparable Property Statistics (1)</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At March 31, 2022</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At March 31, 2021</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Type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Size</w:t>
            </w:r>
          </w:p>
        </w:tc>
        <w:tc>
          <w:tcPr>
            <w:tcW w:w="660" w:type="dxa"/>
            <w:vAlign w:val="bottom"/>
          </w:tcPr>
          <w:p>
            <w:pPr>
              <w:spacing w:after="0"/>
              <w:rPr>
                <w:sz w:val="24"/>
                <w:szCs w:val="24"/>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Leased</w:t>
            </w:r>
          </w:p>
        </w:tc>
        <w:tc>
          <w:tcPr>
            <w:tcW w:w="102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Leased %</w:t>
            </w:r>
          </w:p>
        </w:tc>
        <w:tc>
          <w:tcPr>
            <w:tcW w:w="1100" w:type="dxa"/>
            <w:vAlign w:val="bottom"/>
            <w:gridSpan w:val="3"/>
          </w:tcPr>
          <w:p>
            <w:pPr>
              <w:ind w:left="800"/>
              <w:spacing w:after="0"/>
              <w:rPr>
                <w:sz w:val="20"/>
                <w:szCs w:val="20"/>
                <w:color w:val="auto"/>
              </w:rPr>
            </w:pPr>
            <w:r>
              <w:rPr>
                <w:rFonts w:ascii="Times New Roman" w:cs="Times New Roman" w:eastAsia="Times New Roman" w:hAnsi="Times New Roman"/>
                <w:sz w:val="16"/>
                <w:szCs w:val="16"/>
                <w:color w:val="auto"/>
              </w:rPr>
              <w:t>Size</w:t>
            </w:r>
          </w:p>
        </w:tc>
        <w:tc>
          <w:tcPr>
            <w:tcW w:w="64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Leased</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8"/>
              </w:rPr>
              <w:t>Leased %</w:t>
            </w:r>
          </w:p>
        </w:tc>
      </w:tr>
      <w:tr>
        <w:trPr>
          <w:trHeight w:val="236"/>
        </w:trPr>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Properties (2) (3) (SF)</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22,156,000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20,748,000</w:t>
            </w:r>
          </w:p>
        </w:tc>
        <w:tc>
          <w:tcPr>
            <w:tcW w:w="28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93.6 %</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22,131,000</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20,334,000</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91.9 %</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Residential Properties (6) (units)</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2,780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28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97.7 %</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2,780</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2,671</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96.1 %</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302" w:lineRule="exact"/>
        <w:rPr>
          <w:sz w:val="20"/>
          <w:szCs w:val="20"/>
          <w:color w:val="auto"/>
        </w:rPr>
      </w:pPr>
    </w:p>
    <w:p>
      <w:pPr>
        <w:ind w:left="600" w:hanging="574"/>
        <w:spacing w:after="0"/>
        <w:tabs>
          <w:tab w:leader="none" w:pos="6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Glossary of Terms.</w:t>
      </w:r>
    </w:p>
    <w:p>
      <w:pPr>
        <w:spacing w:after="0" w:line="32" w:lineRule="exact"/>
        <w:rPr>
          <w:rFonts w:ascii="Times New Roman" w:cs="Times New Roman" w:eastAsia="Times New Roman" w:hAnsi="Times New Roman"/>
          <w:sz w:val="16"/>
          <w:szCs w:val="16"/>
          <w:color w:val="auto"/>
        </w:rPr>
      </w:pPr>
    </w:p>
    <w:p>
      <w:pPr>
        <w:ind w:left="600" w:right="340" w:hanging="574"/>
        <w:spacing w:after="0" w:line="245" w:lineRule="auto"/>
        <w:tabs>
          <w:tab w:leader="none" w:pos="6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Occupied percentage was 91.2% and 89.5% at March 31, 2022 and 2021, respectively, and comparable property occupied percentage was 91.1% and 90.0% at March 31, 2022 and 2021, respectively.</w:t>
      </w:r>
    </w:p>
    <w:p>
      <w:pPr>
        <w:spacing w:after="0" w:line="2" w:lineRule="exact"/>
        <w:rPr>
          <w:rFonts w:ascii="Times New Roman" w:cs="Times New Roman" w:eastAsia="Times New Roman" w:hAnsi="Times New Roman"/>
          <w:sz w:val="16"/>
          <w:szCs w:val="16"/>
          <w:color w:val="auto"/>
        </w:rPr>
      </w:pPr>
    </w:p>
    <w:p>
      <w:pPr>
        <w:ind w:left="600" w:hanging="574"/>
        <w:spacing w:after="0"/>
        <w:tabs>
          <w:tab w:leader="none" w:pos="6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Leasable square feet excludes redevelopment square footage not yet placed in service.</w:t>
      </w:r>
    </w:p>
    <w:p>
      <w:pPr>
        <w:spacing w:after="0" w:line="32" w:lineRule="exact"/>
        <w:rPr>
          <w:rFonts w:ascii="Times New Roman" w:cs="Times New Roman" w:eastAsia="Times New Roman" w:hAnsi="Times New Roman"/>
          <w:sz w:val="16"/>
          <w:szCs w:val="16"/>
          <w:color w:val="auto"/>
        </w:rPr>
      </w:pPr>
    </w:p>
    <w:p>
      <w:pPr>
        <w:ind w:left="600" w:hanging="574"/>
        <w:spacing w:after="0"/>
        <w:tabs>
          <w:tab w:leader="none" w:pos="6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March 31, 2022, leased percentage was 96.4% for anchor tenants and 88.7% for small shop tenants.</w:t>
      </w:r>
    </w:p>
    <w:p>
      <w:pPr>
        <w:spacing w:after="0" w:line="32" w:lineRule="exact"/>
        <w:rPr>
          <w:rFonts w:ascii="Times New Roman" w:cs="Times New Roman" w:eastAsia="Times New Roman" w:hAnsi="Times New Roman"/>
          <w:sz w:val="16"/>
          <w:szCs w:val="16"/>
          <w:color w:val="auto"/>
        </w:rPr>
      </w:pPr>
    </w:p>
    <w:p>
      <w:pPr>
        <w:jc w:val="both"/>
        <w:ind w:left="600" w:right="200" w:hanging="574"/>
        <w:spacing w:after="0" w:line="232" w:lineRule="auto"/>
        <w:tabs>
          <w:tab w:leader="none" w:pos="6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residential metrics exclude "Miscela," our new residential building that opened at Assembly Row in 3Q21, and is currently in the process of being leased-up for the first time. If these units were included, our total residential units would be 3,369 and our percentage leased would be 93.0%. At March 31, 2022, Miscela was 67.2% leased.</w:t>
      </w:r>
    </w:p>
    <w:p>
      <w:pPr>
        <w:spacing w:after="0" w:line="6" w:lineRule="exact"/>
        <w:rPr>
          <w:rFonts w:ascii="Times New Roman" w:cs="Times New Roman" w:eastAsia="Times New Roman" w:hAnsi="Times New Roman"/>
          <w:sz w:val="16"/>
          <w:szCs w:val="16"/>
          <w:color w:val="auto"/>
        </w:rPr>
      </w:pPr>
    </w:p>
    <w:p>
      <w:pPr>
        <w:ind w:left="600" w:right="120" w:hanging="574"/>
        <w:spacing w:after="0" w:line="245" w:lineRule="auto"/>
        <w:tabs>
          <w:tab w:leader="none" w:pos="6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“The Delwyn,” our 87 unit residential building that opened at Bala Cynwyd in late 2020 and was leased-up for the first time during the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20"/>
          </w:cols>
          <w:pgMar w:left="320" w:top="1022" w:right="359" w:bottom="1440" w:gutter="0" w:footer="0" w:header="0"/>
        </w:sectPr>
      </w:pPr>
    </w:p>
    <w:bookmarkStart w:id="29" w:name="page30"/>
    <w:bookmarkEnd w:id="29"/>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Summary of Top 25 Tenants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080" w:type="dxa"/>
            <w:vAlign w:val="bottom"/>
            <w:vMerge w:val="restart"/>
          </w:tcPr>
          <w:p>
            <w:pPr>
              <w:jc w:val="center"/>
              <w:ind w:left="140"/>
              <w:spacing w:after="0"/>
              <w:rPr>
                <w:sz w:val="20"/>
                <w:szCs w:val="20"/>
                <w:color w:val="auto"/>
              </w:rPr>
            </w:pPr>
            <w:r>
              <w:rPr>
                <w:rFonts w:ascii="Times New Roman" w:cs="Times New Roman" w:eastAsia="Times New Roman" w:hAnsi="Times New Roman"/>
                <w:sz w:val="14"/>
                <w:szCs w:val="14"/>
                <w:b w:val="1"/>
                <w:bCs w:val="1"/>
                <w:color w:val="auto"/>
              </w:rPr>
              <w:t>Credit Ratings</w:t>
            </w:r>
          </w:p>
        </w:tc>
        <w:tc>
          <w:tcPr>
            <w:tcW w:w="16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Annualized Base</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Percentage of Total</w:t>
            </w:r>
          </w:p>
        </w:tc>
        <w:tc>
          <w:tcPr>
            <w:tcW w:w="920" w:type="dxa"/>
            <w:vAlign w:val="bottom"/>
          </w:tcPr>
          <w:p>
            <w:pPr>
              <w:spacing w:after="0"/>
              <w:rPr>
                <w:sz w:val="13"/>
                <w:szCs w:val="13"/>
                <w:color w:val="auto"/>
              </w:rPr>
            </w:pPr>
          </w:p>
        </w:tc>
        <w:tc>
          <w:tcPr>
            <w:tcW w:w="1180" w:type="dxa"/>
            <w:vAlign w:val="bottom"/>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Rank</w:t>
            </w:r>
          </w:p>
        </w:tc>
        <w:tc>
          <w:tcPr>
            <w:tcW w:w="28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Tenant Name</w:t>
            </w:r>
          </w:p>
        </w:tc>
        <w:tc>
          <w:tcPr>
            <w:tcW w:w="20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640" w:type="dxa"/>
            <w:vAlign w:val="bottom"/>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Annualized Base Rent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Tenant GLA</w:t>
            </w:r>
          </w:p>
        </w:tc>
        <w:tc>
          <w:tcPr>
            <w:tcW w:w="1180" w:type="dxa"/>
            <w:vAlign w:val="bottom"/>
            <w:vMerge w:val="continue"/>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Locations</w:t>
            </w:r>
          </w:p>
        </w:tc>
        <w:tc>
          <w:tcPr>
            <w:tcW w:w="0" w:type="dxa"/>
            <w:vAlign w:val="bottom"/>
          </w:tcPr>
          <w:p>
            <w:pPr>
              <w:spacing w:after="0"/>
              <w:rPr>
                <w:sz w:val="1"/>
                <w:szCs w:val="1"/>
                <w:color w:val="auto"/>
              </w:rPr>
            </w:pPr>
          </w:p>
        </w:tc>
      </w:tr>
      <w:tr>
        <w:trPr>
          <w:trHeight w:val="196"/>
        </w:trPr>
        <w:tc>
          <w:tcPr>
            <w:tcW w:w="560" w:type="dxa"/>
            <w:vAlign w:val="bottom"/>
            <w:tcBorders>
              <w:bottom w:val="single" w:sz="8" w:color="auto"/>
            </w:tcBorders>
            <w:vMerge w:val="continue"/>
          </w:tcPr>
          <w:p>
            <w:pPr>
              <w:spacing w:after="0"/>
              <w:rPr>
                <w:sz w:val="17"/>
                <w:szCs w:val="17"/>
                <w:color w:val="auto"/>
              </w:rPr>
            </w:pPr>
          </w:p>
        </w:tc>
        <w:tc>
          <w:tcPr>
            <w:tcW w:w="2800" w:type="dxa"/>
            <w:vAlign w:val="bottom"/>
            <w:tcBorders>
              <w:bottom w:val="single" w:sz="8" w:color="auto"/>
            </w:tcBorders>
            <w:vMerge w:val="continue"/>
          </w:tcPr>
          <w:p>
            <w:pPr>
              <w:spacing w:after="0"/>
              <w:rPr>
                <w:sz w:val="17"/>
                <w:szCs w:val="17"/>
                <w:color w:val="auto"/>
              </w:rPr>
            </w:pPr>
          </w:p>
        </w:tc>
        <w:tc>
          <w:tcPr>
            <w:tcW w:w="2080" w:type="dxa"/>
            <w:vAlign w:val="bottom"/>
            <w:tcBorders>
              <w:bottom w:val="single" w:sz="8" w:color="auto"/>
            </w:tcBorders>
          </w:tcPr>
          <w:p>
            <w:pPr>
              <w:jc w:val="center"/>
              <w:ind w:left="140"/>
              <w:spacing w:after="0"/>
              <w:rPr>
                <w:sz w:val="20"/>
                <w:szCs w:val="20"/>
                <w:color w:val="auto"/>
              </w:rPr>
            </w:pPr>
            <w:r>
              <w:rPr>
                <w:rFonts w:ascii="Times New Roman" w:cs="Times New Roman" w:eastAsia="Times New Roman" w:hAnsi="Times New Roman"/>
                <w:sz w:val="14"/>
                <w:szCs w:val="14"/>
                <w:b w:val="1"/>
                <w:bCs w:val="1"/>
                <w:color w:val="auto"/>
              </w:rPr>
              <w:t>(S&amp;P/Moody's/Fitch) (1)</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Rent</w:t>
            </w:r>
          </w:p>
        </w:tc>
        <w:tc>
          <w:tcPr>
            <w:tcW w:w="16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w:t>
            </w:r>
          </w:p>
        </w:tc>
        <w:tc>
          <w:tcPr>
            <w:tcW w:w="92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Total GLA (3)</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TJX Companies, The</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w w:val="99"/>
              </w:rPr>
              <w:t>A / A2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20,915,000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2.69 %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3.72 %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Ahold Delhaize</w:t>
            </w:r>
          </w:p>
        </w:tc>
        <w:tc>
          <w:tcPr>
            <w:tcW w:w="208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rPr>
              <w:t>BBB / Baa1 / NR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14,014,000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1.80 %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2.65 %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NetApp, Inc.</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BBB+ / Baa2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13,927,000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1.79 %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1.08 %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Splunk, Inc.</w:t>
            </w:r>
          </w:p>
        </w:tc>
        <w:tc>
          <w:tcPr>
            <w:tcW w:w="208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rPr>
              <w:t>NR / NR / NR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11,913,000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1.53 %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0.84 %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CVS Corporation</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BBB / Baa2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11,339,000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1.46 %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1.07 %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Gap, Inc., The</w:t>
            </w:r>
          </w:p>
        </w:tc>
        <w:tc>
          <w:tcPr>
            <w:tcW w:w="208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w w:val="99"/>
              </w:rPr>
              <w:t>BB / Ba2 / NR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10,695,000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1.37 %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1.07 %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L.A. Fitness International LLC</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CCC+ / Caa1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10,594,000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1.36 %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1.48 %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Home Depot, Inc.</w:t>
            </w:r>
          </w:p>
        </w:tc>
        <w:tc>
          <w:tcPr>
            <w:tcW w:w="208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rPr>
              <w:t>A / A2 / A</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7,285,000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0.94 %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1.70 %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Kroger Co., The</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BBB / Baa1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7,036,000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0.90 %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2.18 %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Bank of America, N.A.</w:t>
            </w:r>
          </w:p>
        </w:tc>
        <w:tc>
          <w:tcPr>
            <w:tcW w:w="208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rPr>
              <w:t>A- / A2 / AA-</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6,889,000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0.89 %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0.42 %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Michaels Stores, Inc.</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B / B1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6,876,000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0.88 %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1.24 %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Bed, Bath &amp; Beyond, Inc.</w:t>
            </w:r>
          </w:p>
        </w:tc>
        <w:tc>
          <w:tcPr>
            <w:tcW w:w="208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rPr>
              <w:t>B+ / B1 / NR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6,833,000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0.88 %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1.49 %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PUMA North America, Inc.</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NR / NR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6,801,000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0.87 %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0.55 %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Ross Stores, Inc.</w:t>
            </w:r>
          </w:p>
        </w:tc>
        <w:tc>
          <w:tcPr>
            <w:tcW w:w="208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rPr>
              <w:t>BBB+ / A2 / NR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6,724,000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0.86 %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1.12 %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65"/>
        </w:trPr>
        <w:tc>
          <w:tcPr>
            <w:tcW w:w="560" w:type="dxa"/>
            <w:vAlign w:val="bottom"/>
            <w:shd w:val="clear" w:color="auto" w:fill="CCEEFF"/>
          </w:tcPr>
          <w:p>
            <w:pPr>
              <w:jc w:val="right"/>
              <w:ind w:right="39"/>
              <w:spacing w:after="0" w:line="165" w:lineRule="exact"/>
              <w:rPr>
                <w:sz w:val="20"/>
                <w:szCs w:val="20"/>
                <w:color w:val="auto"/>
              </w:rPr>
            </w:pPr>
            <w:r>
              <w:rPr>
                <w:rFonts w:ascii="Times New Roman" w:cs="Times New Roman" w:eastAsia="Times New Roman" w:hAnsi="Times New Roman"/>
                <w:sz w:val="16"/>
                <w:szCs w:val="16"/>
                <w:color w:val="auto"/>
              </w:rPr>
              <w:t>15</w:t>
            </w:r>
          </w:p>
        </w:tc>
        <w:tc>
          <w:tcPr>
            <w:tcW w:w="2800" w:type="dxa"/>
            <w:vAlign w:val="bottom"/>
            <w:shd w:val="clear" w:color="auto" w:fill="CCEEFF"/>
          </w:tcPr>
          <w:p>
            <w:pPr>
              <w:ind w:left="80"/>
              <w:spacing w:after="0" w:line="165" w:lineRule="exact"/>
              <w:rPr>
                <w:sz w:val="20"/>
                <w:szCs w:val="20"/>
                <w:color w:val="auto"/>
              </w:rPr>
            </w:pPr>
            <w:r>
              <w:rPr>
                <w:rFonts w:ascii="Times New Roman" w:cs="Times New Roman" w:eastAsia="Times New Roman" w:hAnsi="Times New Roman"/>
                <w:sz w:val="16"/>
                <w:szCs w:val="16"/>
                <w:color w:val="auto"/>
              </w:rPr>
              <w:t>Albertsons Companies, Inc. (Acme,</w:t>
            </w:r>
          </w:p>
        </w:tc>
        <w:tc>
          <w:tcPr>
            <w:tcW w:w="2080" w:type="dxa"/>
            <w:vAlign w:val="bottom"/>
            <w:shd w:val="clear" w:color="auto" w:fill="CCEEFF"/>
          </w:tcPr>
          <w:p>
            <w:pPr>
              <w:jc w:val="center"/>
              <w:ind w:left="140"/>
              <w:spacing w:after="0" w:line="165" w:lineRule="exact"/>
              <w:rPr>
                <w:sz w:val="20"/>
                <w:szCs w:val="20"/>
                <w:color w:val="auto"/>
              </w:rPr>
            </w:pPr>
            <w:r>
              <w:rPr>
                <w:rFonts w:ascii="Times New Roman" w:cs="Times New Roman" w:eastAsia="Times New Roman" w:hAnsi="Times New Roman"/>
                <w:sz w:val="16"/>
                <w:szCs w:val="16"/>
                <w:color w:val="auto"/>
                <w:w w:val="99"/>
              </w:rPr>
              <w:t>BB / Ba2 / NR</w:t>
            </w:r>
          </w:p>
        </w:tc>
        <w:tc>
          <w:tcPr>
            <w:tcW w:w="1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6,488,000</w:t>
            </w:r>
          </w:p>
        </w:tc>
        <w:tc>
          <w:tcPr>
            <w:tcW w:w="1640" w:type="dxa"/>
            <w:vAlign w:val="bottom"/>
            <w:shd w:val="clear" w:color="auto" w:fill="CCEEFF"/>
          </w:tcPr>
          <w:p>
            <w:pPr>
              <w:jc w:val="right"/>
              <w:ind w:right="40"/>
              <w:spacing w:after="0" w:line="165" w:lineRule="exact"/>
              <w:rPr>
                <w:sz w:val="20"/>
                <w:szCs w:val="20"/>
                <w:color w:val="auto"/>
              </w:rPr>
            </w:pPr>
            <w:r>
              <w:rPr>
                <w:rFonts w:ascii="Times New Roman" w:cs="Times New Roman" w:eastAsia="Times New Roman" w:hAnsi="Times New Roman"/>
                <w:sz w:val="16"/>
                <w:szCs w:val="16"/>
                <w:color w:val="auto"/>
              </w:rPr>
              <w:t>0.83 %</w:t>
            </w:r>
          </w:p>
        </w:tc>
        <w:tc>
          <w:tcPr>
            <w:tcW w:w="92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502,000</w:t>
            </w:r>
          </w:p>
        </w:tc>
        <w:tc>
          <w:tcPr>
            <w:tcW w:w="1180" w:type="dxa"/>
            <w:vAlign w:val="bottom"/>
            <w:shd w:val="clear" w:color="auto" w:fill="CCEEFF"/>
          </w:tcPr>
          <w:p>
            <w:pPr>
              <w:jc w:val="right"/>
              <w:ind w:right="20"/>
              <w:spacing w:after="0" w:line="165" w:lineRule="exact"/>
              <w:rPr>
                <w:sz w:val="20"/>
                <w:szCs w:val="20"/>
                <w:color w:val="auto"/>
              </w:rPr>
            </w:pPr>
            <w:r>
              <w:rPr>
                <w:rFonts w:ascii="Times New Roman" w:cs="Times New Roman" w:eastAsia="Times New Roman" w:hAnsi="Times New Roman"/>
                <w:sz w:val="16"/>
                <w:szCs w:val="16"/>
                <w:color w:val="auto"/>
              </w:rPr>
              <w:t>1.79 %</w:t>
            </w:r>
          </w:p>
        </w:tc>
        <w:tc>
          <w:tcPr>
            <w:tcW w:w="78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Balducci's, Safeway)</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Dick's Sporting Goods, Inc.</w:t>
            </w:r>
          </w:p>
        </w:tc>
        <w:tc>
          <w:tcPr>
            <w:tcW w:w="208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rPr>
              <w:t>BBB / Baa3 / NR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6,389,000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0.82 %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1.03 %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Target Corporation</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A / A2 / 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6,239,000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0.80 %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2.24 %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DSW, Inc</w:t>
            </w:r>
          </w:p>
        </w:tc>
        <w:tc>
          <w:tcPr>
            <w:tcW w:w="208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rPr>
              <w:t>NR / NR / NR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5,680,000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0.73 %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0.80 %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Ulta Beauty, Inc.</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NR / NR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5,525,000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0.71 %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0.57 %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AMC Entertainment Inc.</w:t>
            </w:r>
          </w:p>
        </w:tc>
        <w:tc>
          <w:tcPr>
            <w:tcW w:w="208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rPr>
              <w:t>CCC+ / Caa2 / NR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5,424,000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0.70 %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0.83 %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Hudson's Bay Company (Saks)</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NR / NR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5,155,000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0.66 %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0.36 %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JPMorgan Chase Bank</w:t>
            </w:r>
          </w:p>
        </w:tc>
        <w:tc>
          <w:tcPr>
            <w:tcW w:w="208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rPr>
              <w:t>A- / A2 / AA-</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5,102,000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0.66 %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0.31 %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Wells Fargo Bank, N.A.</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w w:val="99"/>
              </w:rPr>
              <w:t>BBB+ / A1 / 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5,084,000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0.65 %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0.24 %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Best Buy Co., Inc.</w:t>
            </w:r>
          </w:p>
        </w:tc>
        <w:tc>
          <w:tcPr>
            <w:tcW w:w="208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rPr>
              <w:t>BBB+ / A3 / NR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4,837,000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0.62 %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0.67 %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Whole Foods Market, Inc.</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AA- / A1 / NR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4,772,000</w:t>
            </w:r>
          </w:p>
        </w:tc>
        <w:tc>
          <w:tcPr>
            <w:tcW w:w="16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0.61 %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167,000</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0.60 %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7"/>
        </w:trPr>
        <w:tc>
          <w:tcPr>
            <w:tcW w:w="560" w:type="dxa"/>
            <w:vAlign w:val="bottom"/>
          </w:tcPr>
          <w:p>
            <w:pPr>
              <w:spacing w:after="0"/>
              <w:rPr>
                <w:sz w:val="17"/>
                <w:szCs w:val="17"/>
                <w:color w:val="auto"/>
              </w:rPr>
            </w:pP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Totals - Top 25 Tenants</w:t>
            </w:r>
          </w:p>
        </w:tc>
        <w:tc>
          <w:tcPr>
            <w:tcW w:w="20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202,536,000</w:t>
            </w:r>
          </w:p>
        </w:tc>
        <w:tc>
          <w:tcPr>
            <w:tcW w:w="16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26.03 %</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8,425,000</w:t>
            </w:r>
          </w:p>
        </w:tc>
        <w:tc>
          <w:tcPr>
            <w:tcW w:w="1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30.05 %</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0"/>
        </w:trPr>
        <w:tc>
          <w:tcPr>
            <w:tcW w:w="5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6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(5):</w:t>
            </w:r>
          </w:p>
        </w:tc>
        <w:tc>
          <w:tcPr>
            <w:tcW w:w="20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778,130,000</w:t>
            </w:r>
          </w:p>
        </w:tc>
        <w:tc>
          <w:tcPr>
            <w:tcW w:w="1640" w:type="dxa"/>
            <w:vAlign w:val="bottom"/>
          </w:tcPr>
          <w:p>
            <w:pPr>
              <w:jc w:val="right"/>
              <w:ind w:right="1340"/>
              <w:spacing w:after="0"/>
              <w:rPr>
                <w:sz w:val="20"/>
                <w:szCs w:val="20"/>
                <w:color w:val="auto"/>
              </w:rPr>
            </w:pPr>
            <w:r>
              <w:rPr>
                <w:rFonts w:ascii="Times New Roman" w:cs="Times New Roman" w:eastAsia="Times New Roman" w:hAnsi="Times New Roman"/>
                <w:sz w:val="16"/>
                <w:szCs w:val="16"/>
                <w:color w:val="auto"/>
              </w:rPr>
              <w:t>(2)</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28,037,000</w:t>
            </w:r>
          </w:p>
        </w:tc>
        <w:tc>
          <w:tcPr>
            <w:tcW w:w="1180" w:type="dxa"/>
            <w:vAlign w:val="bottom"/>
          </w:tcPr>
          <w:p>
            <w:pPr>
              <w:jc w:val="right"/>
              <w:ind w:right="880"/>
              <w:spacing w:after="0"/>
              <w:rPr>
                <w:sz w:val="20"/>
                <w:szCs w:val="20"/>
                <w:color w:val="auto"/>
              </w:rPr>
            </w:pPr>
            <w:r>
              <w:rPr>
                <w:rFonts w:ascii="Times New Roman" w:cs="Times New Roman" w:eastAsia="Times New Roman" w:hAnsi="Times New Roman"/>
                <w:sz w:val="16"/>
                <w:szCs w:val="16"/>
                <w:color w:val="auto"/>
              </w:rPr>
              <w:t>(4)</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32" w:lineRule="exact"/>
        <w:rPr>
          <w:sz w:val="20"/>
          <w:szCs w:val="20"/>
          <w:color w:val="auto"/>
        </w:rPr>
      </w:pPr>
    </w:p>
    <w:p>
      <w:pPr>
        <w:ind w:left="640" w:hanging="621"/>
        <w:spacing w:after="0"/>
        <w:tabs>
          <w:tab w:leader="none" w:pos="6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Ratings are as of March 31, 2022. Subsequent rating changes have not been reflected.</w:t>
      </w:r>
    </w:p>
    <w:p>
      <w:pPr>
        <w:spacing w:after="0" w:line="32" w:lineRule="exact"/>
        <w:rPr>
          <w:rFonts w:ascii="Times New Roman" w:cs="Times New Roman" w:eastAsia="Times New Roman" w:hAnsi="Times New Roman"/>
          <w:sz w:val="16"/>
          <w:szCs w:val="16"/>
          <w:color w:val="auto"/>
        </w:rPr>
      </w:pPr>
    </w:p>
    <w:p>
      <w:pPr>
        <w:ind w:left="640" w:hanging="621"/>
        <w:spacing w:after="0"/>
        <w:tabs>
          <w:tab w:leader="none" w:pos="6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Glossary of Terms.</w:t>
      </w:r>
    </w:p>
    <w:p>
      <w:pPr>
        <w:spacing w:after="0" w:line="32" w:lineRule="exact"/>
        <w:rPr>
          <w:rFonts w:ascii="Times New Roman" w:cs="Times New Roman" w:eastAsia="Times New Roman" w:hAnsi="Times New Roman"/>
          <w:sz w:val="16"/>
          <w:szCs w:val="16"/>
          <w:color w:val="auto"/>
        </w:rPr>
      </w:pPr>
    </w:p>
    <w:p>
      <w:pPr>
        <w:ind w:left="640" w:hanging="621"/>
        <w:spacing w:after="0"/>
        <w:tabs>
          <w:tab w:leader="none" w:pos="6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items may not add up to total due to rounding.</w:t>
      </w:r>
    </w:p>
    <w:p>
      <w:pPr>
        <w:spacing w:after="0" w:line="32" w:lineRule="exact"/>
        <w:rPr>
          <w:rFonts w:ascii="Times New Roman" w:cs="Times New Roman" w:eastAsia="Times New Roman" w:hAnsi="Times New Roman"/>
          <w:sz w:val="16"/>
          <w:szCs w:val="16"/>
          <w:color w:val="auto"/>
        </w:rPr>
      </w:pPr>
    </w:p>
    <w:p>
      <w:pPr>
        <w:ind w:left="640" w:hanging="621"/>
        <w:spacing w:after="0"/>
        <w:tabs>
          <w:tab w:leader="none" w:pos="6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redevelopment square footage not yet placed in service.</w:t>
      </w:r>
    </w:p>
    <w:p>
      <w:pPr>
        <w:spacing w:after="0" w:line="32" w:lineRule="exact"/>
        <w:rPr>
          <w:rFonts w:ascii="Times New Roman" w:cs="Times New Roman" w:eastAsia="Times New Roman" w:hAnsi="Times New Roman"/>
          <w:sz w:val="16"/>
          <w:szCs w:val="16"/>
          <w:color w:val="auto"/>
        </w:rPr>
      </w:pPr>
    </w:p>
    <w:p>
      <w:pPr>
        <w:ind w:left="640" w:hanging="621"/>
        <w:spacing w:after="0"/>
        <w:tabs>
          <w:tab w:leader="none" w:pos="6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Totals reflect both the commercial and residential portions of our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00"/>
          </w:cols>
          <w:pgMar w:left="340" w:top="1022" w:right="359" w:bottom="1440" w:gutter="0" w:footer="0" w:header="0"/>
        </w:sectPr>
      </w:pPr>
    </w:p>
    <w:bookmarkStart w:id="30" w:name="page31"/>
    <w:bookmarkEnd w:id="30"/>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FFO Guidance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200" w:lineRule="exact"/>
        <w:rPr>
          <w:sz w:val="20"/>
          <w:szCs w:val="20"/>
          <w:color w:val="auto"/>
        </w:rPr>
      </w:pPr>
    </w:p>
    <w:p>
      <w:pPr>
        <w:spacing w:after="0" w:line="38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following tables provide a reconciliation of the range of estimated earnings per diluted share to estimated FFO per diluted share for the full year 2022. Estimates do not include the impact from potential acquisitions or dispositions which have not closed as of April 30, 2022, other than the acquisition of Kingstowne Towne Center, as further discussed on page 19.</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2780" w:type="dxa"/>
            <w:vAlign w:val="bottom"/>
            <w:tcBorders>
              <w:top w:val="single" w:sz="8" w:color="auto"/>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Full Year 2022 Guidance Range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4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Low</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High</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Estimated net income available to common shareholders, per diluted share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4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9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Estimated depreciation and amortization</w:t>
            </w:r>
          </w:p>
        </w:tc>
        <w:tc>
          <w:tcPr>
            <w:tcW w:w="4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FFO per diluted share</w:t>
            </w:r>
          </w:p>
        </w:tc>
        <w:tc>
          <w:tcPr>
            <w:tcW w:w="4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Note:</w:t>
            </w:r>
          </w:p>
        </w:tc>
        <w:tc>
          <w:tcPr>
            <w:tcW w:w="4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3940" w:type="dxa"/>
            <w:vAlign w:val="bottom"/>
            <w:gridSpan w:val="4"/>
            <w:vMerge w:val="continue"/>
          </w:tcPr>
          <w:p>
            <w:pPr>
              <w:spacing w:after="0"/>
              <w:rPr>
                <w:sz w:val="24"/>
                <w:szCs w:val="24"/>
                <w:color w:val="auto"/>
              </w:rPr>
            </w:pPr>
          </w:p>
        </w:tc>
        <w:tc>
          <w:tcPr>
            <w:tcW w:w="4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See Glossary of Terms. Individual items may not add up to total due to rounding.</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Guidance Assumptions:</w:t>
            </w:r>
          </w:p>
        </w:tc>
        <w:tc>
          <w:tcPr>
            <w:tcW w:w="4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20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properties growth</w:t>
            </w:r>
          </w:p>
        </w:tc>
        <w:tc>
          <w:tcPr>
            <w:tcW w:w="43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3.5% - 5%</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3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$50 - $54 million (annual)</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interest income</w:t>
            </w:r>
          </w:p>
        </w:tc>
        <w:tc>
          <w:tcPr>
            <w:tcW w:w="43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 million (annual)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2021 Dispositions POI</w:t>
            </w:r>
          </w:p>
        </w:tc>
        <w:tc>
          <w:tcPr>
            <w:tcW w:w="43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$8 million</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Development/redevelopment capital</w:t>
            </w:r>
          </w:p>
        </w:tc>
        <w:tc>
          <w:tcPr>
            <w:tcW w:w="43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$300 - $400 million (annual)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to be issued</w:t>
            </w:r>
          </w:p>
        </w:tc>
        <w:tc>
          <w:tcPr>
            <w:tcW w:w="43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$400 - $500 million (annual)</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Does not assume any material changes of tenants moving to or from a cash basis of accounting.</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92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13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EBITDA for Real Estate ("EBITDAre"): </w:t>
      </w:r>
      <w:r>
        <w:rPr>
          <w:rFonts w:ascii="Times New Roman" w:cs="Times New Roman" w:eastAsia="Times New Roman" w:hAnsi="Times New Roman"/>
          <w:sz w:val="16"/>
          <w:szCs w:val="16"/>
          <w:color w:val="auto"/>
        </w:rPr>
        <w:t>EBITDAre is a non-GAAP measure that the National Association of Real Estate Investment Trusts ("NAREIT") defines as: net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income computed in accordance with GAAP plus net interest expense, income tax expense, depreciation and amortization, gain or loss on sale of real estate, impairments of real estate and change in control of interest,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 The reconciliation of net income to EBITDAre for the three months ended March 31, 2022 and 2021 is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4"/>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7"/>
                <w:szCs w:val="17"/>
                <w:color w:val="auto"/>
              </w:rPr>
            </w:pPr>
          </w:p>
        </w:tc>
      </w:tr>
      <w:tr>
        <w:trPr>
          <w:trHeight w:val="23"/>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2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54,728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49,739</w:t>
            </w:r>
          </w:p>
        </w:tc>
      </w:tr>
      <w:tr>
        <w:trPr>
          <w:trHeight w:val="216"/>
        </w:trPr>
        <w:tc>
          <w:tcPr>
            <w:tcW w:w="8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31,573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32,085</w:t>
            </w: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interest income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r>
      <w:tr>
        <w:trPr>
          <w:trHeight w:val="216"/>
        </w:trPr>
        <w:tc>
          <w:tcPr>
            <w:tcW w:w="8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provision (benefit)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w:t>
            </w: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71,674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63,874</w:t>
            </w:r>
          </w:p>
        </w:tc>
      </w:tr>
      <w:tr>
        <w:trPr>
          <w:trHeight w:val="216"/>
        </w:trPr>
        <w:tc>
          <w:tcPr>
            <w:tcW w:w="8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sale of real estate and change in control of interest</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(17,428)</w:t>
            </w: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of EBITDAre of unconsolidated affiliates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970</w:t>
            </w:r>
          </w:p>
        </w:tc>
      </w:tr>
      <w:tr>
        <w:trPr>
          <w:trHeight w:val="210"/>
        </w:trPr>
        <w:tc>
          <w:tcPr>
            <w:tcW w:w="84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EBITDAre</w:t>
            </w:r>
          </w:p>
        </w:tc>
        <w:tc>
          <w:tcPr>
            <w:tcW w:w="3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159,080</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128,615</w:t>
            </w:r>
          </w:p>
        </w:tc>
      </w:tr>
      <w:tr>
        <w:trPr>
          <w:trHeight w:val="21"/>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7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Funds From Operations (FFO): </w:t>
      </w:r>
      <w:r>
        <w:rPr>
          <w:rFonts w:ascii="Times New Roman" w:cs="Times New Roman" w:eastAsia="Times New Roman" w:hAnsi="Times New Roman"/>
          <w:sz w:val="16"/>
          <w:szCs w:val="16"/>
          <w:color w:val="auto"/>
        </w:rPr>
        <w:t>FFO is a supplemental measure of real estate companies' operating performances. NAREIT defines FFO as follows: net income, computed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accordance with GAAP plus real estate related depreciation and amortization,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Property Operating Income: </w:t>
      </w:r>
      <w:r>
        <w:rPr>
          <w:rFonts w:ascii="Times New Roman" w:cs="Times New Roman" w:eastAsia="Times New Roman" w:hAnsi="Times New Roman"/>
          <w:sz w:val="16"/>
          <w:szCs w:val="16"/>
          <w:color w:val="auto"/>
        </w:rPr>
        <w:t>Rental income and mortgage interest income, less rental expenses and real estate taxes.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Overall Portfolio: </w:t>
      </w:r>
      <w:r>
        <w:rPr>
          <w:rFonts w:ascii="Times New Roman" w:cs="Times New Roman" w:eastAsia="Times New Roman" w:hAnsi="Times New Roman"/>
          <w:sz w:val="16"/>
          <w:szCs w:val="16"/>
          <w:color w:val="auto"/>
        </w:rPr>
        <w:t>Includes all operating properties owned in reporting period.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Comparable Properties: </w:t>
      </w:r>
      <w:r>
        <w:rPr>
          <w:rFonts w:ascii="Times New Roman" w:cs="Times New Roman" w:eastAsia="Times New Roman" w:hAnsi="Times New Roman"/>
          <w:sz w:val="16"/>
          <w:szCs w:val="16"/>
          <w:color w:val="auto"/>
        </w:rPr>
        <w:t>Represents our consolidated property portfolio other than those properties that distort comparability between periods in two primary categories:</w:t>
      </w:r>
    </w:p>
    <w:p>
      <w:pPr>
        <w:spacing w:after="0" w:line="28" w:lineRule="exact"/>
        <w:rPr>
          <w:sz w:val="20"/>
          <w:szCs w:val="20"/>
          <w:color w:val="auto"/>
        </w:rPr>
      </w:pPr>
    </w:p>
    <w:p>
      <w:pPr>
        <w:ind w:right="160" w:firstLine="8"/>
        <w:spacing w:after="0" w:line="270" w:lineRule="auto"/>
        <w:tabs>
          <w:tab w:leader="none" w:pos="22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assets that were not owned for the full quarter in both periods presented and (2) assets currently under development or being repositioned for significant redevelopment and investment. Comparable property growth statistics are calculated on a GAAP basis.</w:t>
      </w:r>
    </w:p>
    <w:p>
      <w:pPr>
        <w:spacing w:after="0" w:line="89"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Annualized Base Rent (ABR): </w:t>
      </w:r>
      <w:r>
        <w:rPr>
          <w:rFonts w:ascii="Times New Roman" w:cs="Times New Roman" w:eastAsia="Times New Roman" w:hAnsi="Times New Roman"/>
          <w:sz w:val="16"/>
          <w:szCs w:val="16"/>
          <w:color w:val="auto"/>
        </w:rPr>
        <w:t>Represents aggregate, annualized in-place contractual (defined as rents billed on a cash basis without taking the impact of rent abatements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into account) minimum rent for all occupied spaces as of the reporting period.</w:t>
      </w:r>
    </w:p>
    <w:p>
      <w:pPr>
        <w:spacing w:after="0" w:line="7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Retail Leasing Summary - Lease Rollover Calculation: </w:t>
      </w:r>
      <w:r>
        <w:rPr>
          <w:rFonts w:ascii="Times New Roman" w:cs="Times New Roman" w:eastAsia="Times New Roman" w:hAnsi="Times New Roman"/>
          <w:sz w:val="16"/>
          <w:szCs w:val="16"/>
          <w:color w:val="auto"/>
        </w:rPr>
        <w:t>The rental increases associated with comparable spaces generally include all leases signed for retail space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arms-length transactions reflecting market leverage between landlords and tenants during the period. The comparison between the rent for expiring leases and new leases is determined by including contractual rent on the expiring lease, including percentage rent, and the comparable annual rent and in some instances, projections of percentage rent, to be paid on the new lease. In atypical circumstances, management may exercise judgement as to how to most effectively reflect the comparability of rents reported in the calculation. As a result of accommodations made to certain tenants to help them to stay open during and after the COVID-19 pandemic, we have found it necessary to exercise more judgment since the pandemic started than in prior years in order to appropriately reflect the comparability of rents in the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Rent abatement and short term rent restructuring agreements that are a result of COVID-19 impacts are not included in this calculation.</w:t>
      </w:r>
    </w:p>
    <w:p>
      <w:pPr>
        <w:spacing w:after="0" w:line="103"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Tenant Improvements and Incentives: </w:t>
      </w:r>
      <w:r>
        <w:rPr>
          <w:rFonts w:ascii="Times New Roman" w:cs="Times New Roman" w:eastAsia="Times New Roman" w:hAnsi="Times New Roman"/>
          <w:sz w:val="16"/>
          <w:szCs w:val="16"/>
          <w:color w:val="auto"/>
        </w:rPr>
        <w:t>Represents the total dollars committed for the improvement (fit-out) of a space as it relates to a specific lease. Incentives include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amounts paid to tenants as an inducement to sign a lease that do not represent building improvements.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3"/>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lvl w:ilvl="1">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3"/>
    </w:lvl>
  </w:abstractNum>
  <w:abstractNum w:abstractNumId="8">
    <w:nsid w:val="41A7C4C9"/>
    <w:multiLevelType w:val="hybridMultilevel"/>
    <w:lvl w:ilvl="0">
      <w:lvlJc w:val="left"/>
      <w:lvlText w:val="%1)"/>
      <w:numFmt w:val="decimal"/>
      <w:start w:val="4"/>
    </w:lvl>
  </w:abstractNum>
  <w:abstractNum w:abstractNumId="9">
    <w:nsid w:val="6B68079A"/>
    <w:multiLevelType w:val="hybridMultilevel"/>
    <w:lvl w:ilvl="0">
      <w:lvlJc w:val="left"/>
      <w:lvlText w:val="%1)"/>
      <w:numFmt w:val="decimal"/>
      <w:start w:val="6"/>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2022-05-05T06:36:01Z</dcterms:created>
  <dcterms:modified xsi:type="dcterms:W3CDTF">2022-05-05T06:36:01Z</dcterms:modified>
</cp:coreProperties>
</file>