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 RULES 13D-1(b)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FILED THERETO FILED PURSUANT TO RULE 13D-2(b)</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(Amendment No. </w:t>
      </w:r>
      <w:r>
        <w:rPr>
          <w:rFonts w:ascii="Arial" w:cs="Arial" w:eastAsia="Arial" w:hAnsi="Arial"/>
          <w:sz w:val="18"/>
          <w:szCs w:val="18"/>
          <w:b w:val="1"/>
          <w:bCs w:val="1"/>
          <w:u w:val="single" w:color="auto"/>
          <w:color w:val="auto"/>
        </w:rPr>
        <w:t>1</w:t>
      </w:r>
      <w:r>
        <w:rPr>
          <w:rFonts w:ascii="Arial" w:cs="Arial" w:eastAsia="Arial" w:hAnsi="Arial"/>
          <w:sz w:val="18"/>
          <w:szCs w:val="18"/>
          <w:b w:val="1"/>
          <w:bCs w:val="1"/>
          <w:color w:val="auto"/>
        </w:rPr>
        <w: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REIT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Classes of Securities)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313747206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December 31, 2009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0"/>
          <w:szCs w:val="20"/>
          <w:color w:val="auto"/>
        </w:rPr>
      </w:pPr>
    </w:p>
    <w:p>
      <w:pPr>
        <w:ind w:left="1400" w:hanging="95"/>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Rule 13d-1(b)</w:t>
      </w:r>
    </w:p>
    <w:p>
      <w:pPr>
        <w:spacing w:after="0" w:line="23" w:lineRule="exact"/>
        <w:rPr>
          <w:rFonts w:ascii="Arial" w:cs="Arial" w:eastAsia="Arial" w:hAnsi="Arial"/>
          <w:sz w:val="18"/>
          <w:szCs w:val="18"/>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9" w:lineRule="exact"/>
        <w:rPr>
          <w:rFonts w:ascii="Arial" w:cs="Arial" w:eastAsia="Arial" w:hAnsi="Arial"/>
          <w:sz w:val="18"/>
          <w:szCs w:val="18"/>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w:t>
      </w:r>
      <w:r>
        <w:rPr>
          <w:rFonts w:ascii="Arial" w:cs="Arial" w:eastAsia="Arial" w:hAnsi="Arial"/>
          <w:sz w:val="18"/>
          <w:szCs w:val="18"/>
          <w:u w:val="single" w:color="auto"/>
          <w:color w:val="auto"/>
        </w:rPr>
        <w:t>313747206</w:t>
      </w:r>
    </w:p>
    <w:p>
      <w:pPr>
        <w:spacing w:after="0" w:line="23" w:lineRule="exact"/>
        <w:rPr>
          <w:sz w:val="20"/>
          <w:szCs w:val="20"/>
          <w:color w:val="auto"/>
        </w:rPr>
      </w:pPr>
    </w:p>
    <w:p>
      <w:pPr>
        <w:ind w:left="1260" w:hanging="750"/>
        <w:spacing w:after="0"/>
        <w:tabs>
          <w:tab w:leader="none" w:pos="12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9"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Invesco Ltd.</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IRS # 980557567</w:t>
      </w:r>
    </w:p>
    <w:p>
      <w:pPr>
        <w:spacing w:after="0" w:line="22" w:lineRule="exact"/>
        <w:rPr>
          <w:sz w:val="20"/>
          <w:szCs w:val="20"/>
          <w:color w:val="auto"/>
        </w:rPr>
      </w:pPr>
    </w:p>
    <w:p>
      <w:pPr>
        <w:ind w:left="1260" w:hanging="750"/>
        <w:spacing w:after="0"/>
        <w:tabs>
          <w:tab w:leader="none" w:pos="12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w:t>
      </w:r>
    </w:p>
    <w:p>
      <w:pPr>
        <w:spacing w:after="0" w:line="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(b)</w:t>
      </w:r>
    </w:p>
    <w:p>
      <w:pPr>
        <w:spacing w:after="0" w:line="22" w:lineRule="exact"/>
        <w:rPr>
          <w:sz w:val="20"/>
          <w:szCs w:val="20"/>
          <w:color w:val="auto"/>
        </w:rPr>
      </w:pPr>
    </w:p>
    <w:p>
      <w:pPr>
        <w:ind w:left="1260" w:hanging="750"/>
        <w:spacing w:after="0"/>
        <w:tabs>
          <w:tab w:leader="none" w:pos="12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52" w:lineRule="exact"/>
        <w:rPr>
          <w:sz w:val="20"/>
          <w:szCs w:val="20"/>
          <w:color w:val="auto"/>
        </w:rPr>
      </w:pPr>
    </w:p>
    <w:p>
      <w:pPr>
        <w:ind w:left="1260" w:right="5279" w:hanging="750"/>
        <w:spacing w:after="0" w:line="389" w:lineRule="auto"/>
        <w:tabs>
          <w:tab w:leader="none" w:pos="12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Invesco Ltd. – Bermuda</w:t>
      </w:r>
    </w:p>
    <w:p>
      <w:pPr>
        <w:spacing w:after="0" w:line="4" w:lineRule="exact"/>
        <w:rPr>
          <w:sz w:val="20"/>
          <w:szCs w:val="20"/>
          <w:color w:val="auto"/>
        </w:rPr>
      </w:pPr>
    </w:p>
    <w:p>
      <w:pPr>
        <w:ind w:left="4040" w:hanging="768"/>
        <w:spacing w:after="0"/>
        <w:tabs>
          <w:tab w:leader="none" w:pos="4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1900" w:type="dxa"/>
            <w:vAlign w:val="bottom"/>
          </w:tcPr>
          <w:p>
            <w:pPr>
              <w:jc w:val="center"/>
              <w:ind w:right="530"/>
              <w:spacing w:after="0"/>
              <w:rPr>
                <w:sz w:val="20"/>
                <w:szCs w:val="20"/>
                <w:color w:val="auto"/>
              </w:rPr>
            </w:pPr>
            <w:r>
              <w:rPr>
                <w:rFonts w:ascii="Arial" w:cs="Arial" w:eastAsia="Arial" w:hAnsi="Arial"/>
                <w:sz w:val="18"/>
                <w:szCs w:val="18"/>
                <w:color w:val="auto"/>
                <w:w w:val="96"/>
              </w:rPr>
              <w:t>NUMBER OF</w:t>
            </w:r>
          </w:p>
        </w:tc>
        <w:tc>
          <w:tcPr>
            <w:tcW w:w="106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Invesco Institutional (N.A.), Inc. – 694,098</w:t>
            </w:r>
          </w:p>
        </w:tc>
      </w:tr>
      <w:tr>
        <w:trPr>
          <w:trHeight w:val="216"/>
        </w:trPr>
        <w:tc>
          <w:tcPr>
            <w:tcW w:w="1900" w:type="dxa"/>
            <w:vAlign w:val="bottom"/>
          </w:tcPr>
          <w:p>
            <w:pPr>
              <w:jc w:val="center"/>
              <w:ind w:right="510"/>
              <w:spacing w:after="0"/>
              <w:rPr>
                <w:sz w:val="20"/>
                <w:szCs w:val="20"/>
                <w:color w:val="auto"/>
              </w:rPr>
            </w:pPr>
            <w:r>
              <w:rPr>
                <w:rFonts w:ascii="Arial" w:cs="Arial" w:eastAsia="Arial" w:hAnsi="Arial"/>
                <w:sz w:val="18"/>
                <w:szCs w:val="18"/>
                <w:color w:val="auto"/>
                <w:w w:val="94"/>
              </w:rPr>
              <w:t>SHARES</w:t>
            </w:r>
          </w:p>
        </w:tc>
        <w:tc>
          <w:tcPr>
            <w:tcW w:w="106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Invesco PowerShares Capital Management – 3,205</w:t>
            </w:r>
          </w:p>
        </w:tc>
      </w:tr>
      <w:tr>
        <w:trPr>
          <w:trHeight w:val="216"/>
        </w:trPr>
        <w:tc>
          <w:tcPr>
            <w:tcW w:w="1900" w:type="dxa"/>
            <w:vAlign w:val="bottom"/>
          </w:tcPr>
          <w:p>
            <w:pPr>
              <w:jc w:val="center"/>
              <w:ind w:right="530"/>
              <w:spacing w:after="0"/>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Invesco Management S.A. – 300</w:t>
            </w:r>
          </w:p>
        </w:tc>
      </w:tr>
      <w:tr>
        <w:trPr>
          <w:trHeight w:val="216"/>
        </w:trPr>
        <w:tc>
          <w:tcPr>
            <w:tcW w:w="1900" w:type="dxa"/>
            <w:vAlign w:val="bottom"/>
          </w:tcPr>
          <w:p>
            <w:pPr>
              <w:jc w:val="center"/>
              <w:ind w:right="530"/>
              <w:spacing w:after="0"/>
              <w:rPr>
                <w:sz w:val="20"/>
                <w:szCs w:val="20"/>
                <w:color w:val="auto"/>
              </w:rPr>
            </w:pPr>
            <w:r>
              <w:rPr>
                <w:rFonts w:ascii="Arial" w:cs="Arial" w:eastAsia="Arial" w:hAnsi="Arial"/>
                <w:sz w:val="18"/>
                <w:szCs w:val="18"/>
                <w:color w:val="auto"/>
                <w:w w:val="97"/>
              </w:rPr>
              <w:t>OWNED BY</w:t>
            </w:r>
          </w:p>
        </w:tc>
        <w:tc>
          <w:tcPr>
            <w:tcW w:w="106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Invesco Aim Private Asset Management, Inc. – 145</w:t>
            </w:r>
          </w:p>
        </w:tc>
      </w:tr>
      <w:tr>
        <w:trPr>
          <w:trHeight w:val="216"/>
        </w:trPr>
        <w:tc>
          <w:tcPr>
            <w:tcW w:w="1900" w:type="dxa"/>
            <w:vAlign w:val="bottom"/>
          </w:tcPr>
          <w:p>
            <w:pPr>
              <w:jc w:val="center"/>
              <w:ind w:right="510"/>
              <w:spacing w:after="0"/>
              <w:rPr>
                <w:sz w:val="20"/>
                <w:szCs w:val="20"/>
                <w:color w:val="auto"/>
              </w:rPr>
            </w:pPr>
            <w:r>
              <w:rPr>
                <w:rFonts w:ascii="Arial" w:cs="Arial" w:eastAsia="Arial" w:hAnsi="Arial"/>
                <w:sz w:val="18"/>
                <w:szCs w:val="18"/>
                <w:color w:val="auto"/>
                <w:w w:val="99"/>
              </w:rPr>
              <w:t>EACH</w:t>
            </w:r>
          </w:p>
        </w:tc>
        <w:tc>
          <w:tcPr>
            <w:tcW w:w="106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w w:val="89"/>
              </w:rPr>
              <w:t>Invesco PowerShares Capital Management Ireland Ltd. – 77</w:t>
            </w:r>
          </w:p>
        </w:tc>
      </w:tr>
      <w:tr>
        <w:trPr>
          <w:trHeight w:val="216"/>
        </w:trPr>
        <w:tc>
          <w:tcPr>
            <w:tcW w:w="1900" w:type="dxa"/>
            <w:vAlign w:val="bottom"/>
          </w:tcPr>
          <w:p>
            <w:pPr>
              <w:jc w:val="center"/>
              <w:ind w:right="530"/>
              <w:spacing w:after="0"/>
              <w:rPr>
                <w:sz w:val="20"/>
                <w:szCs w:val="20"/>
                <w:color w:val="auto"/>
              </w:rPr>
            </w:pPr>
            <w:r>
              <w:rPr>
                <w:rFonts w:ascii="Arial" w:cs="Arial" w:eastAsia="Arial" w:hAnsi="Arial"/>
                <w:sz w:val="18"/>
                <w:szCs w:val="18"/>
                <w:color w:val="auto"/>
                <w:w w:val="93"/>
              </w:rPr>
              <w:t>REPORTING</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6</w:t>
            </w:r>
          </w:p>
        </w:tc>
        <w:tc>
          <w:tcPr>
            <w:tcW w:w="4680" w:type="dxa"/>
            <w:vAlign w:val="bottom"/>
          </w:tcPr>
          <w:p>
            <w:pPr>
              <w:ind w:left="340"/>
              <w:spacing w:after="0"/>
              <w:rPr>
                <w:sz w:val="20"/>
                <w:szCs w:val="20"/>
                <w:color w:val="auto"/>
              </w:rPr>
            </w:pPr>
            <w:r>
              <w:rPr>
                <w:rFonts w:ascii="Arial" w:cs="Arial" w:eastAsia="Arial" w:hAnsi="Arial"/>
                <w:sz w:val="18"/>
                <w:szCs w:val="18"/>
                <w:color w:val="auto"/>
              </w:rPr>
              <w:t>SHARED VOTING POWER</w:t>
            </w:r>
          </w:p>
        </w:tc>
      </w:tr>
      <w:tr>
        <w:trPr>
          <w:trHeight w:val="216"/>
        </w:trPr>
        <w:tc>
          <w:tcPr>
            <w:tcW w:w="1900" w:type="dxa"/>
            <w:vAlign w:val="bottom"/>
          </w:tcPr>
          <w:p>
            <w:pPr>
              <w:jc w:val="center"/>
              <w:ind w:right="510"/>
              <w:spacing w:after="0"/>
              <w:rPr>
                <w:sz w:val="20"/>
                <w:szCs w:val="20"/>
                <w:color w:val="auto"/>
              </w:rPr>
            </w:pPr>
            <w:r>
              <w:rPr>
                <w:rFonts w:ascii="Arial" w:cs="Arial" w:eastAsia="Arial" w:hAnsi="Arial"/>
                <w:sz w:val="18"/>
                <w:szCs w:val="18"/>
                <w:color w:val="auto"/>
                <w:w w:val="92"/>
              </w:rPr>
              <w:t>PERSON</w:t>
            </w:r>
          </w:p>
        </w:tc>
        <w:tc>
          <w:tcPr>
            <w:tcW w:w="106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57"/>
        </w:trPr>
        <w:tc>
          <w:tcPr>
            <w:tcW w:w="1900" w:type="dxa"/>
            <w:vAlign w:val="bottom"/>
          </w:tcPr>
          <w:p>
            <w:pPr>
              <w:jc w:val="center"/>
              <w:ind w:right="510"/>
              <w:spacing w:after="0"/>
              <w:rPr>
                <w:sz w:val="20"/>
                <w:szCs w:val="20"/>
                <w:color w:val="auto"/>
              </w:rPr>
            </w:pPr>
            <w:r>
              <w:rPr>
                <w:rFonts w:ascii="Arial" w:cs="Arial" w:eastAsia="Arial" w:hAnsi="Arial"/>
                <w:sz w:val="18"/>
                <w:szCs w:val="18"/>
                <w:color w:val="auto"/>
                <w:w w:val="99"/>
              </w:rPr>
              <w:t>WITH</w:t>
            </w:r>
          </w:p>
        </w:tc>
        <w:tc>
          <w:tcPr>
            <w:tcW w:w="1060" w:type="dxa"/>
            <w:vAlign w:val="bottom"/>
          </w:tcPr>
          <w:p>
            <w:pPr>
              <w:spacing w:after="0"/>
              <w:rPr>
                <w:sz w:val="22"/>
                <w:szCs w:val="22"/>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Invesco Institutional (N.A.), Inc. – 13,837</w:t>
            </w:r>
          </w:p>
        </w:tc>
      </w:tr>
      <w:tr>
        <w:trPr>
          <w:trHeight w:val="243"/>
        </w:trPr>
        <w:tc>
          <w:tcPr>
            <w:tcW w:w="190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7</w:t>
            </w:r>
          </w:p>
        </w:tc>
        <w:tc>
          <w:tcPr>
            <w:tcW w:w="4680" w:type="dxa"/>
            <w:vAlign w:val="bottom"/>
          </w:tcPr>
          <w:p>
            <w:pPr>
              <w:ind w:left="340"/>
              <w:spacing w:after="0"/>
              <w:rPr>
                <w:sz w:val="20"/>
                <w:szCs w:val="20"/>
                <w:color w:val="auto"/>
              </w:rPr>
            </w:pPr>
            <w:r>
              <w:rPr>
                <w:rFonts w:ascii="Arial" w:cs="Arial" w:eastAsia="Arial" w:hAnsi="Arial"/>
                <w:sz w:val="18"/>
                <w:szCs w:val="18"/>
                <w:color w:val="auto"/>
              </w:rPr>
              <w:t>SOLE DISPOSITIVE POWER</w:t>
            </w:r>
          </w:p>
        </w:tc>
      </w:tr>
      <w:tr>
        <w:trPr>
          <w:trHeight w:val="418"/>
        </w:trPr>
        <w:tc>
          <w:tcPr>
            <w:tcW w:w="1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Invesco Institutional (N.A.), Inc. – 1,021,212</w:t>
            </w:r>
          </w:p>
        </w:tc>
      </w:tr>
      <w:tr>
        <w:trPr>
          <w:trHeight w:val="216"/>
        </w:trPr>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w w:val="97"/>
              </w:rPr>
              <w:t>Invesco Global Asset Management (N.A.), Inc. – 20,809</w:t>
            </w:r>
          </w:p>
        </w:tc>
      </w:tr>
      <w:tr>
        <w:trPr>
          <w:trHeight w:val="216"/>
        </w:trPr>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Invesco PowerShares Capital Management – 3,205</w:t>
            </w:r>
          </w:p>
        </w:tc>
      </w:tr>
      <w:tr>
        <w:trPr>
          <w:trHeight w:val="216"/>
        </w:trPr>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Invesco Management S.A. – 300</w:t>
            </w:r>
          </w:p>
        </w:tc>
      </w:tr>
      <w:tr>
        <w:trPr>
          <w:trHeight w:val="216"/>
        </w:trPr>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Invesco Aim Private Asset Management, Inc. – 145</w:t>
            </w:r>
          </w:p>
        </w:tc>
      </w:tr>
      <w:tr>
        <w:trPr>
          <w:trHeight w:val="230"/>
        </w:trPr>
        <w:tc>
          <w:tcPr>
            <w:tcW w:w="1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w w:val="89"/>
              </w:rPr>
              <w:t>Invesco PowerShares Capital Management Ireland Ltd. – 77</w:t>
            </w:r>
          </w:p>
        </w:tc>
      </w:tr>
      <w:tr>
        <w:trPr>
          <w:trHeight w:val="243"/>
        </w:trPr>
        <w:tc>
          <w:tcPr>
            <w:tcW w:w="190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8</w:t>
            </w:r>
          </w:p>
        </w:tc>
        <w:tc>
          <w:tcPr>
            <w:tcW w:w="4680" w:type="dxa"/>
            <w:vAlign w:val="bottom"/>
          </w:tcPr>
          <w:p>
            <w:pPr>
              <w:ind w:left="340"/>
              <w:spacing w:after="0"/>
              <w:rPr>
                <w:sz w:val="20"/>
                <w:szCs w:val="20"/>
                <w:color w:val="auto"/>
              </w:rPr>
            </w:pPr>
            <w:r>
              <w:rPr>
                <w:rFonts w:ascii="Arial" w:cs="Arial" w:eastAsia="Arial" w:hAnsi="Arial"/>
                <w:sz w:val="18"/>
                <w:szCs w:val="18"/>
                <w:color w:val="auto"/>
              </w:rPr>
              <w:t>SHARED DISPOSITIVE POWER</w:t>
            </w:r>
          </w:p>
        </w:tc>
      </w:tr>
    </w:tbl>
    <w:p>
      <w:pPr>
        <w:spacing w:after="0" w:line="20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Invesco Institutional (N.A.), Inc. – 5,600</w:t>
      </w:r>
    </w:p>
    <w:p>
      <w:pPr>
        <w:spacing w:after="0" w:line="36" w:lineRule="exact"/>
        <w:rPr>
          <w:sz w:val="20"/>
          <w:szCs w:val="20"/>
          <w:color w:val="auto"/>
        </w:rPr>
      </w:pPr>
    </w:p>
    <w:p>
      <w:pPr>
        <w:ind w:left="1140" w:hanging="691"/>
        <w:spacing w:after="0"/>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1,051,348</w:t>
      </w:r>
    </w:p>
    <w:p>
      <w:pPr>
        <w:spacing w:after="0" w:line="36" w:lineRule="exact"/>
        <w:rPr>
          <w:sz w:val="20"/>
          <w:szCs w:val="20"/>
          <w:color w:val="auto"/>
        </w:rPr>
      </w:pPr>
    </w:p>
    <w:p>
      <w:pPr>
        <w:ind w:left="1140" w:right="1919" w:hanging="736"/>
        <w:spacing w:after="0" w:line="389" w:lineRule="auto"/>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N/A</w:t>
      </w:r>
    </w:p>
    <w:p>
      <w:pPr>
        <w:spacing w:after="0" w:line="4" w:lineRule="exact"/>
        <w:rPr>
          <w:rFonts w:ascii="Arial" w:cs="Arial" w:eastAsia="Arial" w:hAnsi="Arial"/>
          <w:sz w:val="18"/>
          <w:szCs w:val="18"/>
          <w:b w:val="1"/>
          <w:bCs w:val="1"/>
          <w:color w:val="auto"/>
        </w:rPr>
      </w:pPr>
    </w:p>
    <w:p>
      <w:pPr>
        <w:ind w:left="1140" w:right="4139" w:hanging="731"/>
        <w:spacing w:after="0" w:line="389" w:lineRule="auto"/>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1.7%</w:t>
      </w:r>
    </w:p>
    <w:p>
      <w:pPr>
        <w:spacing w:after="0" w:line="4" w:lineRule="exact"/>
        <w:rPr>
          <w:rFonts w:ascii="Arial" w:cs="Arial" w:eastAsia="Arial" w:hAnsi="Arial"/>
          <w:sz w:val="18"/>
          <w:szCs w:val="18"/>
          <w:b w:val="1"/>
          <w:bCs w:val="1"/>
          <w:color w:val="auto"/>
        </w:rPr>
      </w:pPr>
    </w:p>
    <w:p>
      <w:pPr>
        <w:ind w:left="1140" w:right="6479" w:hanging="736"/>
        <w:spacing w:after="0" w:line="624" w:lineRule="auto"/>
        <w:tabs>
          <w:tab w:leader="none" w:pos="11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TYPE OF REPORTING PERSON* See Item 3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1(a). Name of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Trust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 Rockville, MD 20852-4041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Principal Business Office or, if none, residence of filing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1555 Peachtree Street NE; Atlanta, GA 30309;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Citizenship of filing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Title of Classes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REIT .01 par value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CUSIP Numbers: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313747206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ss240.13d-1(b) or 240.13d-2(b) or (c), Check Whether the Person Filing is 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 [x] An investment adviser in accordance with section 240.13d-1(b)(1)(ii)(E)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 [x] A parent holding company or control person in accordance with section 240.13d-1(b)(1)(ii)(G)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Ownership: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Please see responses to Items 5-8 on the cover of this statement, which are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color w:val="auto"/>
        </w:rPr>
        <w:t>Ownership of Five Percent or Less of a Class: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Ownership of More than Five Percent on Behalf of Another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subsidiaries of Invesco Ltd. are investment advisers which hold shares of the security being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Invesco Institutional (N.A.),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Invesco Global Asset Management (N.A.),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PowerShares Capital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Management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Aim Private Asset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PowerShares Capital Management Ireland Ltd.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color w:val="auto"/>
        </w:rPr>
        <w:t>Identification and Classification of Members of the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color w:val="auto"/>
        </w:rPr>
        <w:t>Notice of Dissolution of a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color w:val="auto"/>
        </w:rPr>
        <w:t>Certification:</w:t>
      </w:r>
    </w:p>
    <w:p>
      <w:pPr>
        <w:spacing w:after="0" w:line="25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02/10/2010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18"/>
                <w:szCs w:val="18"/>
                <w:color w:val="auto"/>
              </w:rPr>
            </w:pPr>
          </w:p>
        </w:tc>
        <w:tc>
          <w:tcPr>
            <w:tcW w:w="10660" w:type="dxa"/>
            <w:vAlign w:val="bottom"/>
            <w:gridSpan w:val="2"/>
          </w:tcPr>
          <w:p>
            <w:pPr>
              <w:spacing w:after="0"/>
              <w:rPr>
                <w:sz w:val="20"/>
                <w:szCs w:val="20"/>
                <w:color w:val="auto"/>
              </w:rPr>
            </w:pPr>
            <w:r>
              <w:rPr>
                <w:rFonts w:ascii="Arial" w:cs="Arial" w:eastAsia="Arial" w:hAnsi="Arial"/>
                <w:sz w:val="18"/>
                <w:szCs w:val="18"/>
                <w:color w:val="auto"/>
              </w:rPr>
              <w:t>/s/ Lisa Brinkley</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200"/>
              <w:spacing w:after="0"/>
              <w:rPr>
                <w:sz w:val="20"/>
                <w:szCs w:val="20"/>
                <w:color w:val="auto"/>
              </w:rPr>
            </w:pPr>
            <w:r>
              <w:rPr>
                <w:rFonts w:ascii="Arial" w:cs="Arial" w:eastAsia="Arial" w:hAnsi="Arial"/>
                <w:sz w:val="18"/>
                <w:szCs w:val="18"/>
                <w:color w:val="auto"/>
              </w:rPr>
              <w:t>Lisa Brinkley</w:t>
            </w: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200"/>
              <w:spacing w:after="0"/>
              <w:rPr>
                <w:sz w:val="20"/>
                <w:szCs w:val="20"/>
                <w:color w:val="auto"/>
              </w:rPr>
            </w:pPr>
            <w:r>
              <w:rPr>
                <w:rFonts w:ascii="Arial" w:cs="Arial" w:eastAsia="Arial" w:hAnsi="Arial"/>
                <w:sz w:val="18"/>
                <w:szCs w:val="18"/>
                <w:color w:val="auto"/>
              </w:rPr>
              <w:t>Global Assurance Officer</w:t>
            </w:r>
          </w:p>
        </w:tc>
      </w:tr>
      <w:tr>
        <w:trPr>
          <w:trHeight w:val="659"/>
        </w:trPr>
        <w:tc>
          <w:tcPr>
            <w:tcW w:w="4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9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5"/>
      <w:numFmt w:val="bullet"/>
      <w:start w:val="1"/>
    </w:lvl>
  </w:abstractNum>
  <w:abstractNum w:abstractNumId="6">
    <w:nsid w:val="79E2A9E3"/>
    <w:multiLevelType w:val="hybridMultilevel"/>
    <w:lvl w:ilvl="0">
      <w:lvlJc w:val="left"/>
      <w:lvlText w:val="9"/>
      <w:numFmt w:val="bullet"/>
      <w:start w:val="1"/>
    </w:lvl>
  </w:abstractNum>
  <w:abstractNum w:abstractNumId="7">
    <w:nsid w:val="7545E14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2019-12-10T00:08:10Z</dcterms:created>
  <dcterms:modified xsi:type="dcterms:W3CDTF">2019-12-10T00:08:10Z</dcterms:modified>
</cp:coreProperties>
</file>