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Federal Realty Investment Trust</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Common Shares of Beneficial Interest, $.01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313747206</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2002</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1380" w:right="6939" w:hanging="3"/>
        <w:spacing w:after="0" w:line="268" w:lineRule="auto"/>
        <w:tabs>
          <w:tab w:leader="none" w:pos="190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140" w:val="left"/>
          <w:tab w:leader="none" w:pos="3880" w:val="left"/>
          <w:tab w:leader="none" w:pos="6420" w:val="left"/>
        </w:tabs>
        <w:rPr>
          <w:sz w:val="20"/>
          <w:szCs w:val="20"/>
          <w:color w:val="auto"/>
        </w:rPr>
      </w:pPr>
      <w:r>
        <w:rPr>
          <w:rFonts w:ascii="Courier New" w:cs="Courier New" w:eastAsia="Courier New" w:hAnsi="Courier New"/>
          <w:sz w:val="18"/>
          <w:szCs w:val="18"/>
          <w:color w:val="auto"/>
        </w:rPr>
        <w:t>CUSIP No.</w:t>
        <w:tab/>
        <w:t>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Security Capital Group Incorporated</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180" w:hanging="430"/>
        <w:spacing w:after="0" w:line="238" w:lineRule="auto"/>
        <w:tabs>
          <w:tab w:leader="none" w:pos="718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180" w:hanging="430"/>
        <w:spacing w:after="0" w:line="238" w:lineRule="auto"/>
        <w:tabs>
          <w:tab w:leader="none" w:pos="718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Maryland</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5700" w:type="dxa"/>
            <w:vAlign w:val="bottom"/>
          </w:tcPr>
          <w:p>
            <w:pPr>
              <w:ind w:left="420"/>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4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1040" w:type="dxa"/>
            <w:vAlign w:val="bottom"/>
          </w:tcPr>
          <w:p>
            <w:pPr>
              <w:spacing w:after="0"/>
              <w:rPr>
                <w:sz w:val="17"/>
                <w:szCs w:val="17"/>
                <w:color w:val="auto"/>
              </w:rPr>
            </w:pPr>
          </w:p>
        </w:tc>
        <w:tc>
          <w:tcPr>
            <w:tcW w:w="5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 Common Shares of Beneficial Interest</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104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580" w:type="dxa"/>
            <w:vAlign w:val="bottom"/>
          </w:tcPr>
          <w:p>
            <w:pPr>
              <w:spacing w:after="0"/>
              <w:rPr>
                <w:sz w:val="17"/>
                <w:szCs w:val="17"/>
                <w:color w:val="auto"/>
              </w:rPr>
            </w:pPr>
          </w:p>
        </w:tc>
        <w:tc>
          <w:tcPr>
            <w:tcW w:w="6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-0- Common Shares of Beneficial Interest</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 Common Shares of Beneficial Interest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 of the Common Shares of Beneficial Interest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2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140" w:val="left"/>
          <w:tab w:leader="none" w:pos="3880" w:val="left"/>
          <w:tab w:leader="none" w:pos="6420" w:val="left"/>
        </w:tabs>
        <w:rPr>
          <w:sz w:val="20"/>
          <w:szCs w:val="20"/>
          <w:color w:val="auto"/>
        </w:rPr>
      </w:pPr>
      <w:r>
        <w:rPr>
          <w:rFonts w:ascii="Courier New" w:cs="Courier New" w:eastAsia="Courier New" w:hAnsi="Courier New"/>
          <w:sz w:val="18"/>
          <w:szCs w:val="18"/>
          <w:color w:val="auto"/>
        </w:rPr>
        <w:t>CUSIP No.</w:t>
        <w:tab/>
        <w:t>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Security Capital Research &amp; Management Incorporated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180" w:hanging="430"/>
        <w:spacing w:after="0" w:line="238" w:lineRule="auto"/>
        <w:tabs>
          <w:tab w:leader="none" w:pos="71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180" w:hanging="430"/>
        <w:spacing w:after="0" w:line="238" w:lineRule="auto"/>
        <w:tabs>
          <w:tab w:leader="none" w:pos="71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700" w:type="dxa"/>
            <w:vAlign w:val="bottom"/>
          </w:tcPr>
          <w:p>
            <w:pPr>
              <w:ind w:left="420"/>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6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4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40" w:type="dxa"/>
            <w:vAlign w:val="bottom"/>
          </w:tcPr>
          <w:p>
            <w:pPr>
              <w:spacing w:after="0"/>
              <w:rPr>
                <w:sz w:val="17"/>
                <w:szCs w:val="17"/>
                <w:color w:val="auto"/>
              </w:rPr>
            </w:pPr>
          </w:p>
        </w:tc>
        <w:tc>
          <w:tcPr>
            <w:tcW w:w="5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1,455,725 Common Shares of Beneficial Interest</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6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04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1040" w:type="dxa"/>
            <w:vAlign w:val="bottom"/>
          </w:tcPr>
          <w:p>
            <w:pPr>
              <w:spacing w:after="0"/>
              <w:rPr>
                <w:sz w:val="17"/>
                <w:szCs w:val="17"/>
                <w:color w:val="auto"/>
              </w:rPr>
            </w:pPr>
          </w:p>
        </w:tc>
        <w:tc>
          <w:tcPr>
            <w:tcW w:w="5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580" w:type="dxa"/>
            <w:vAlign w:val="bottom"/>
          </w:tcPr>
          <w:p>
            <w:pPr>
              <w:spacing w:after="0"/>
              <w:rPr>
                <w:sz w:val="17"/>
                <w:szCs w:val="17"/>
                <w:color w:val="auto"/>
              </w:rPr>
            </w:pPr>
          </w:p>
        </w:tc>
        <w:tc>
          <w:tcPr>
            <w:tcW w:w="6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1,455,725 Common Shares of Beneficial Interest</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1,455,725 Common Shares of Beneficial Interest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3.36% of the Common Shares of Beneficial Interest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23" w:right="1440" w:bottom="1440" w:gutter="0" w:footer="0" w:header="0"/>
        </w:sectPr>
      </w:pPr>
    </w:p>
    <w:bookmarkStart w:id="3" w:name="page4"/>
    <w:bookmarkEnd w:id="3"/>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1626 East Jefferson Street, Rockville, Maryland 20852-4041</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left="1380" w:right="1879"/>
        <w:spacing w:after="0" w:line="290" w:lineRule="auto"/>
        <w:rPr>
          <w:sz w:val="20"/>
          <w:szCs w:val="20"/>
          <w:color w:val="auto"/>
        </w:rPr>
      </w:pPr>
      <w:r>
        <w:rPr>
          <w:rFonts w:ascii="Courier New" w:cs="Courier New" w:eastAsia="Courier New" w:hAnsi="Courier New"/>
          <w:sz w:val="16"/>
          <w:szCs w:val="16"/>
          <w:color w:val="auto"/>
        </w:rPr>
        <w:t>Security Capital Research &amp; Management Incorporated, a corporation organized and existing under the laws of Delaware ("SCR&amp;M").</w:t>
      </w:r>
    </w:p>
    <w:p>
      <w:pPr>
        <w:spacing w:after="0" w:line="164"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11 South LaSalle Street, 2nd Floor, Chicago, Illinois 60603</w:t>
      </w:r>
    </w:p>
    <w:p>
      <w:pPr>
        <w:spacing w:after="0" w:line="201"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Common Shares of Beneficial Interest, $.01 par value per share</w:t>
      </w:r>
    </w:p>
    <w:p>
      <w:pPr>
        <w:spacing w:after="0" w:line="201"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313747206</w:t>
      </w:r>
    </w:p>
    <w:p>
      <w:pPr>
        <w:spacing w:after="0" w:line="207" w:lineRule="exact"/>
        <w:rPr>
          <w:sz w:val="20"/>
          <w:szCs w:val="20"/>
          <w:color w:val="auto"/>
        </w:rPr>
      </w:pPr>
    </w:p>
    <w:p>
      <w:pPr>
        <w:ind w:left="860" w:right="21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or (c), check whether the person filing is a:</w:t>
      </w:r>
    </w:p>
    <w:p>
      <w:pPr>
        <w:spacing w:after="0" w:line="208" w:lineRule="exact"/>
        <w:rPr>
          <w:sz w:val="20"/>
          <w:szCs w:val="20"/>
          <w:color w:val="auto"/>
        </w:rPr>
      </w:pPr>
    </w:p>
    <w:p>
      <w:pPr>
        <w:ind w:left="2220" w:right="2619" w:hanging="843"/>
        <w:spacing w:after="0" w:line="235" w:lineRule="auto"/>
        <w:tabs>
          <w:tab w:leader="none" w:pos="179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Exchange Act;</w:t>
      </w:r>
    </w:p>
    <w:p>
      <w:pPr>
        <w:spacing w:after="0" w:line="1" w:lineRule="exact"/>
        <w:rPr>
          <w:rFonts w:ascii="Courier New" w:cs="Courier New" w:eastAsia="Courier New" w:hAnsi="Courier New"/>
          <w:sz w:val="18"/>
          <w:szCs w:val="18"/>
          <w:color w:val="auto"/>
        </w:rPr>
      </w:pPr>
    </w:p>
    <w:p>
      <w:pPr>
        <w:ind w:left="1800" w:hanging="423"/>
        <w:spacing w:after="0" w:line="238" w:lineRule="auto"/>
        <w:tabs>
          <w:tab w:leader="none" w:pos="18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4" w:lineRule="exact"/>
        <w:rPr>
          <w:rFonts w:ascii="Courier New" w:cs="Courier New" w:eastAsia="Courier New" w:hAnsi="Courier New"/>
          <w:sz w:val="18"/>
          <w:szCs w:val="18"/>
          <w:color w:val="auto"/>
        </w:rPr>
      </w:pPr>
    </w:p>
    <w:p>
      <w:pPr>
        <w:ind w:left="2220" w:right="2199" w:hanging="843"/>
        <w:spacing w:after="0" w:line="235" w:lineRule="auto"/>
        <w:tabs>
          <w:tab w:leader="none" w:pos="179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5" w:lineRule="exact"/>
        <w:rPr>
          <w:rFonts w:ascii="Courier New" w:cs="Courier New" w:eastAsia="Courier New" w:hAnsi="Courier New"/>
          <w:sz w:val="18"/>
          <w:szCs w:val="18"/>
          <w:color w:val="auto"/>
        </w:rPr>
      </w:pPr>
    </w:p>
    <w:p>
      <w:pPr>
        <w:ind w:left="2220" w:right="2619" w:hanging="843"/>
        <w:spacing w:after="0" w:line="235" w:lineRule="auto"/>
        <w:tabs>
          <w:tab w:leader="none" w:pos="179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Investmet company registered under Section 8 of the Investment Company Act;</w:t>
      </w:r>
    </w:p>
    <w:p>
      <w:pPr>
        <w:spacing w:after="0" w:line="1" w:lineRule="exact"/>
        <w:rPr>
          <w:rFonts w:ascii="Courier New" w:cs="Courier New" w:eastAsia="Courier New" w:hAnsi="Courier New"/>
          <w:sz w:val="18"/>
          <w:szCs w:val="18"/>
          <w:color w:val="auto"/>
        </w:rPr>
      </w:pPr>
    </w:p>
    <w:p>
      <w:pPr>
        <w:ind w:left="1800" w:hanging="423"/>
        <w:spacing w:after="0" w:line="238" w:lineRule="auto"/>
        <w:tabs>
          <w:tab w:leader="none" w:pos="18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w:t>
      </w:r>
    </w:p>
    <w:p>
      <w:pPr>
        <w:ind w:left="2220"/>
        <w:spacing w:after="0"/>
        <w:rPr>
          <w:sz w:val="20"/>
          <w:szCs w:val="20"/>
          <w:color w:val="auto"/>
        </w:rPr>
      </w:pPr>
      <w:r>
        <w:rPr>
          <w:rFonts w:ascii="Courier New" w:cs="Courier New" w:eastAsia="Courier New" w:hAnsi="Courier New"/>
          <w:sz w:val="18"/>
          <w:szCs w:val="18"/>
          <w:color w:val="auto"/>
        </w:rPr>
        <w:t>13d-1(b)(1)(ii)(E);</w:t>
      </w:r>
    </w:p>
    <w:p>
      <w:pPr>
        <w:spacing w:after="0" w:line="3" w:lineRule="exact"/>
        <w:rPr>
          <w:sz w:val="20"/>
          <w:szCs w:val="20"/>
          <w:color w:val="auto"/>
        </w:rPr>
      </w:pPr>
    </w:p>
    <w:p>
      <w:pPr>
        <w:ind w:left="2220" w:right="2099" w:hanging="843"/>
        <w:spacing w:after="0" w:line="235" w:lineRule="auto"/>
        <w:tabs>
          <w:tab w:leader="none" w:pos="179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2220" w:right="2099" w:hanging="843"/>
        <w:spacing w:after="0" w:line="235" w:lineRule="auto"/>
        <w:tabs>
          <w:tab w:leader="none" w:pos="179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2320" w:right="2199" w:hanging="943"/>
        <w:spacing w:after="0" w:line="235" w:lineRule="auto"/>
        <w:tabs>
          <w:tab w:leader="none" w:pos="17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ederal Deposit Insurance Act;</w:t>
      </w:r>
    </w:p>
    <w:p>
      <w:pPr>
        <w:spacing w:after="0" w:line="5" w:lineRule="exact"/>
        <w:rPr>
          <w:rFonts w:ascii="Courier New" w:cs="Courier New" w:eastAsia="Courier New" w:hAnsi="Courier New"/>
          <w:sz w:val="18"/>
          <w:szCs w:val="18"/>
          <w:color w:val="auto"/>
        </w:rPr>
      </w:pPr>
    </w:p>
    <w:p>
      <w:pPr>
        <w:ind w:left="2220" w:right="1779" w:hanging="843"/>
        <w:spacing w:after="0" w:line="236" w:lineRule="auto"/>
        <w:tabs>
          <w:tab w:leader="none" w:pos="179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1" w:lineRule="exact"/>
        <w:rPr>
          <w:rFonts w:ascii="Courier New" w:cs="Courier New" w:eastAsia="Courier New" w:hAnsi="Courier New"/>
          <w:sz w:val="18"/>
          <w:szCs w:val="18"/>
          <w:color w:val="auto"/>
        </w:rPr>
      </w:pPr>
    </w:p>
    <w:p>
      <w:pPr>
        <w:ind w:left="1800" w:hanging="423"/>
        <w:spacing w:after="0" w:line="238" w:lineRule="auto"/>
        <w:tabs>
          <w:tab w:leader="none" w:pos="18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Amount Beneficially Owned:</w:t>
      </w:r>
    </w:p>
    <w:p>
      <w:pPr>
        <w:spacing w:after="0" w:line="207" w:lineRule="exact"/>
        <w:rPr>
          <w:sz w:val="20"/>
          <w:szCs w:val="20"/>
          <w:color w:val="auto"/>
        </w:rPr>
      </w:pPr>
    </w:p>
    <w:p>
      <w:pPr>
        <w:ind w:left="1900" w:right="1879"/>
        <w:spacing w:after="0" w:line="235" w:lineRule="auto"/>
        <w:rPr>
          <w:sz w:val="20"/>
          <w:szCs w:val="20"/>
          <w:color w:val="auto"/>
        </w:rPr>
      </w:pPr>
      <w:r>
        <w:rPr>
          <w:rFonts w:ascii="Courier New" w:cs="Courier New" w:eastAsia="Courier New" w:hAnsi="Courier New"/>
          <w:sz w:val="18"/>
          <w:szCs w:val="18"/>
          <w:color w:val="auto"/>
        </w:rPr>
        <w:t>SCR&amp;M beneficially owns 1,455,725 Common Shares of Beneficial Interest.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Percent of Class:</w:t>
      </w:r>
    </w:p>
    <w:p>
      <w:pPr>
        <w:spacing w:after="0" w:line="207" w:lineRule="exact"/>
        <w:rPr>
          <w:sz w:val="20"/>
          <w:szCs w:val="20"/>
          <w:color w:val="auto"/>
        </w:rPr>
      </w:pPr>
    </w:p>
    <w:p>
      <w:pPr>
        <w:ind w:left="1900" w:right="1999"/>
        <w:spacing w:after="0" w:line="236" w:lineRule="auto"/>
        <w:rPr>
          <w:sz w:val="20"/>
          <w:szCs w:val="20"/>
          <w:color w:val="auto"/>
        </w:rPr>
      </w:pPr>
      <w:r>
        <w:rPr>
          <w:rFonts w:ascii="Courier New" w:cs="Courier New" w:eastAsia="Courier New" w:hAnsi="Courier New"/>
          <w:sz w:val="18"/>
          <w:szCs w:val="18"/>
          <w:color w:val="auto"/>
        </w:rPr>
        <w:t>3.36% of the Common Shares of Beneficial Interest determined in accordance with the provisions of Rule 13d-1 promulgated under the Act.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900"/>
        <w:spacing w:after="0"/>
        <w:tabs>
          <w:tab w:leader="none" w:pos="262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1900"/>
        <w:spacing w:after="0"/>
        <w:tabs>
          <w:tab w:leader="none" w:pos="26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w:t>
      </w:r>
    </w:p>
    <w:p>
      <w:pPr>
        <w:spacing w:after="0" w:line="207" w:lineRule="exact"/>
        <w:rPr>
          <w:sz w:val="20"/>
          <w:szCs w:val="20"/>
          <w:color w:val="auto"/>
        </w:rPr>
      </w:pPr>
    </w:p>
    <w:p>
      <w:pPr>
        <w:ind w:left="2640" w:right="2099"/>
        <w:spacing w:after="0" w:line="235" w:lineRule="auto"/>
        <w:rPr>
          <w:sz w:val="20"/>
          <w:szCs w:val="20"/>
          <w:color w:val="auto"/>
        </w:rPr>
      </w:pPr>
      <w:r>
        <w:rPr>
          <w:rFonts w:ascii="Courier New" w:cs="Courier New" w:eastAsia="Courier New" w:hAnsi="Courier New"/>
          <w:sz w:val="18"/>
          <w:szCs w:val="18"/>
          <w:color w:val="auto"/>
        </w:rPr>
        <w:t>SCR&amp;M has shared power to vote or direct the vote of 1,455,725 Common Shares of Beneficial Interest.</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2640" w:right="2099" w:hanging="736"/>
        <w:spacing w:after="0" w:line="235" w:lineRule="auto"/>
        <w:tabs>
          <w:tab w:leader="none" w:pos="2620" w:val="left"/>
        </w:tabs>
        <w:rPr>
          <w:sz w:val="20"/>
          <w:szCs w:val="20"/>
          <w:color w:val="auto"/>
        </w:rPr>
      </w:pPr>
      <w:r>
        <w:rPr>
          <w:rFonts w:ascii="Courier New" w:cs="Courier New" w:eastAsia="Courier New" w:hAnsi="Courier New"/>
          <w:sz w:val="18"/>
          <w:szCs w:val="18"/>
          <w:color w:val="auto"/>
        </w:rPr>
        <w:t>(iv).</w:t>
        <w:tab/>
        <w:t>Shared power to dispose or to direct the disposition of:</w:t>
      </w:r>
    </w:p>
    <w:p>
      <w:pPr>
        <w:spacing w:after="0" w:line="208" w:lineRule="exact"/>
        <w:rPr>
          <w:sz w:val="20"/>
          <w:szCs w:val="20"/>
          <w:color w:val="auto"/>
        </w:rPr>
      </w:pPr>
    </w:p>
    <w:p>
      <w:pPr>
        <w:ind w:left="2640" w:right="2099"/>
        <w:spacing w:after="0" w:line="236" w:lineRule="auto"/>
        <w:rPr>
          <w:sz w:val="20"/>
          <w:szCs w:val="20"/>
          <w:color w:val="auto"/>
        </w:rPr>
      </w:pPr>
      <w:r>
        <w:rPr>
          <w:rFonts w:ascii="Courier New" w:cs="Courier New" w:eastAsia="Courier New" w:hAnsi="Courier New"/>
          <w:sz w:val="18"/>
          <w:szCs w:val="18"/>
          <w:color w:val="auto"/>
        </w:rPr>
        <w:t>SCR&amp;M has shared power to dispose or to direct the disposition of 1,455,725 Common Shares of Beneficial Interest.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Security Capital Group Incorporated ("SCGI") previously filed as part of this Schedule 13G by virtue of its position as the parent of SCR&amp;M. SCGI is no longer the parent corporation of SCR&amp;M and no longer beneficially owns any of the shares of Common Shares of Beneficial Interest reported on this Schedule 13G.</w:t>
      </w:r>
    </w:p>
    <w:p>
      <w:pPr>
        <w:spacing w:after="0" w:line="210" w:lineRule="exact"/>
        <w:rPr>
          <w:sz w:val="20"/>
          <w:szCs w:val="20"/>
          <w:color w:val="auto"/>
        </w:rPr>
      </w:pPr>
    </w:p>
    <w:p>
      <w:pPr>
        <w:ind w:left="1900" w:right="1879"/>
        <w:spacing w:after="0" w:line="235" w:lineRule="auto"/>
        <w:rPr>
          <w:sz w:val="20"/>
          <w:szCs w:val="20"/>
          <w:color w:val="auto"/>
        </w:rPr>
      </w:pPr>
      <w:r>
        <w:rPr>
          <w:rFonts w:ascii="Courier New" w:cs="Courier New" w:eastAsia="Courier New" w:hAnsi="Courier New"/>
          <w:sz w:val="18"/>
          <w:szCs w:val="18"/>
          <w:color w:val="auto"/>
        </w:rPr>
        <w:t>SCR&amp;M has ceased to be the beneficial owner of more than five percent of the Common Shares of Beneficial Interest.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Shares of Beneficial Interest. No one person's interest in the Common Shares of Beneficial Interest is more than five percent of the total outstanding Common Shares of Beneficial Interest.</w:t>
      </w:r>
    </w:p>
    <w:p>
      <w:pPr>
        <w:sectPr>
          <w:pgSz w:w="11900" w:h="16838" w:orient="portrait"/>
          <w:cols w:equalWidth="0" w:num="1">
            <w:col w:w="10219"/>
          </w:cols>
          <w:pgMar w:left="240" w:top="717" w:right="1440" w:bottom="1440" w:gutter="0" w:footer="0" w:header="0"/>
        </w:sectPr>
      </w:pPr>
    </w:p>
    <w:bookmarkStart w:id="5" w:name="page6"/>
    <w:bookmarkEnd w:id="5"/>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099" w:firstLine="948"/>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723"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13, 2003</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SECURITY CAPITAL GROUP INCORPORATED</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Jeffrey A. Klopf</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Jeffrey A. Klopf</w:t>
      </w:r>
    </w:p>
    <w:p>
      <w:pPr>
        <w:ind w:left="4640"/>
        <w:spacing w:after="0" w:line="237" w:lineRule="auto"/>
        <w:tabs>
          <w:tab w:leader="none" w:pos="5460" w:val="left"/>
        </w:tabs>
        <w:rPr>
          <w:sz w:val="20"/>
          <w:szCs w:val="20"/>
          <w:color w:val="auto"/>
        </w:rPr>
      </w:pPr>
      <w:r>
        <w:rPr>
          <w:rFonts w:ascii="Courier New" w:cs="Courier New" w:eastAsia="Courier New" w:hAnsi="Courier New"/>
          <w:sz w:val="18"/>
          <w:szCs w:val="18"/>
          <w:color w:val="auto"/>
        </w:rPr>
        <w:t>Title:</w:t>
        <w:tab/>
        <w:t>Senior Vice President</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Date: February 13, 2003</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SECURITY CAPITAL RESEARCH &amp; MANAGEMENT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INCORPORATED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David T. Novick</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David T. Novick</w:t>
      </w:r>
    </w:p>
    <w:p>
      <w:pPr>
        <w:ind w:left="4220"/>
        <w:spacing w:after="0"/>
        <w:tabs>
          <w:tab w:leader="none" w:pos="5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General Counsel</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upperLetter"/>
      <w:start w:val="24"/>
    </w:lvl>
  </w:abstractNum>
  <w:abstractNum w:abstractNumId="4">
    <w:nsid w:val="41A7C4C9"/>
    <w:multiLevelType w:val="hybridMultilevel"/>
    <w:lvl w:ilvl="0">
      <w:lvlJc w:val="left"/>
      <w:lvlText w:val="-"/>
      <w:numFmt w:val="bullet"/>
      <w:start w:val="1"/>
    </w:lvl>
    <w:lvl w:ilvl="1">
      <w:lvlJc w:val="left"/>
      <w:lvlText w:val="%2."/>
      <w:numFmt w:val="decimal"/>
      <w:start w:val="1"/>
    </w:lvl>
  </w:abstractNum>
  <w:abstractNum w:abstractNumId="5">
    <w:nsid w:val="6B68079A"/>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6">
    <w:nsid w:val="4E6AFB66"/>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7">
    <w:nsid w:val="25E45D32"/>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8">
    <w:nsid w:val="519B500D"/>
    <w:multiLevelType w:val="hybridMultilevel"/>
    <w:lvl w:ilvl="0">
      <w:lvlJc w:val="left"/>
      <w:lvlText w:val="-"/>
      <w:numFmt w:val="bullet"/>
      <w:start w:val="1"/>
    </w:lvl>
    <w:lvl w:ilvl="1">
      <w:lvlJc w:val="left"/>
      <w:lvlText w:val="%2."/>
      <w:numFmt w:val="decimal"/>
      <w:start w:val="5"/>
    </w:lvl>
  </w:abstractNum>
  <w:abstractNum w:abstractNumId="9">
    <w:nsid w:val="431BD7B7"/>
    <w:multiLevelType w:val="hybridMultilevel"/>
    <w:lvl w:ilvl="0">
      <w:lvlJc w:val="left"/>
      <w:lvlText w:val="-"/>
      <w:numFmt w:val="bullet"/>
      <w:start w:val="1"/>
    </w:lvl>
    <w:lvl w:ilvl="1">
      <w:lvlJc w:val="left"/>
      <w:lvlText w:val="%2."/>
      <w:numFmt w:val="decimal"/>
      <w:start w:val="9"/>
    </w:lvl>
  </w:abstractNum>
  <w:abstractNum w:abstractNumId="10">
    <w:nsid w:val="3F2DBA31"/>
    <w:multiLevelType w:val="hybridMultilevel"/>
    <w:lvl w:ilvl="0">
      <w:lvlJc w:val="left"/>
      <w:lvlText w:val="%1."/>
      <w:numFmt w:val="decimal"/>
      <w:start w:val="10"/>
    </w:lvl>
  </w:abstractNum>
  <w:abstractNum w:abstractNumId="11">
    <w:nsid w:val="7C83E458"/>
    <w:multiLevelType w:val="hybridMultilevel"/>
    <w:lvl w:ilvl="0">
      <w:lvlJc w:val="left"/>
      <w:lvlText w:val="%1."/>
      <w:numFmt w:val="decimal"/>
      <w:start w:val="11"/>
    </w:lvl>
  </w:abstractNum>
  <w:abstractNum w:abstractNumId="12">
    <w:nsid w:val="257130A3"/>
    <w:multiLevelType w:val="hybridMultilevel"/>
    <w:lvl w:ilvl="0">
      <w:lvlJc w:val="left"/>
      <w:lvlText w:val="%1."/>
      <w:numFmt w:val="decimal"/>
      <w:start w:val="12"/>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lvl w:ilvl="1">
      <w:lvlJc w:val="left"/>
      <w:lvlText w:val="%2."/>
      <w:numFmt w:val="decimal"/>
      <w:start w:val="1"/>
    </w:lvl>
  </w:abstractNum>
  <w:abstractNum w:abstractNumId="15">
    <w:nsid w:val="628C895D"/>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6">
    <w:nsid w:val="333AB105"/>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7">
    <w:nsid w:val="721DA317"/>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8">
    <w:nsid w:val="2443A858"/>
    <w:multiLevelType w:val="hybridMultilevel"/>
    <w:lvl w:ilvl="0">
      <w:lvlJc w:val="left"/>
      <w:lvlText w:val="-"/>
      <w:numFmt w:val="bullet"/>
      <w:start w:val="1"/>
    </w:lvl>
    <w:lvl w:ilvl="1">
      <w:lvlJc w:val="left"/>
      <w:lvlText w:val="%2."/>
      <w:numFmt w:val="decimal"/>
      <w:start w:val="5"/>
    </w:lvl>
  </w:abstractNum>
  <w:abstractNum w:abstractNumId="19">
    <w:nsid w:val="2D1D5AE9"/>
    <w:multiLevelType w:val="hybridMultilevel"/>
    <w:lvl w:ilvl="0">
      <w:lvlJc w:val="left"/>
      <w:lvlText w:val="-"/>
      <w:numFmt w:val="bullet"/>
      <w:start w:val="1"/>
    </w:lvl>
    <w:lvl w:ilvl="1">
      <w:lvlJc w:val="left"/>
      <w:lvlText w:val="%2."/>
      <w:numFmt w:val="decimal"/>
      <w:start w:val="9"/>
    </w:lvl>
  </w:abstractNum>
  <w:abstractNum w:abstractNumId="20">
    <w:nsid w:val="6763845E"/>
    <w:multiLevelType w:val="hybridMultilevel"/>
    <w:lvl w:ilvl="0">
      <w:lvlJc w:val="left"/>
      <w:lvlText w:val="%1."/>
      <w:numFmt w:val="decimal"/>
      <w:start w:val="10"/>
    </w:lvl>
  </w:abstractNum>
  <w:abstractNum w:abstractNumId="21">
    <w:nsid w:val="75A2A8D4"/>
    <w:multiLevelType w:val="hybridMultilevel"/>
    <w:lvl w:ilvl="0">
      <w:lvlJc w:val="left"/>
      <w:lvlText w:val="%1."/>
      <w:numFmt w:val="decimal"/>
      <w:start w:val="11"/>
    </w:lvl>
  </w:abstractNum>
  <w:abstractNum w:abstractNumId="22">
    <w:nsid w:val="8EDBDAB"/>
    <w:multiLevelType w:val="hybridMultilevel"/>
    <w:lvl w:ilvl="0">
      <w:lvlJc w:val="left"/>
      <w:lvlText w:val="%1."/>
      <w:numFmt w:val="decimal"/>
      <w:start w:val="12"/>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2019-12-12T09:24:01Z</dcterms:created>
  <dcterms:modified xsi:type="dcterms:W3CDTF">2019-12-12T09:24:01Z</dcterms:modified>
</cp:coreProperties>
</file>