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pPr>
      <w:r>
        <w:rPr>
          <w:rFonts w:ascii="Times New Roman;sans-serif" w:hAnsi="Times New Roman;sans-serif"/>
          <w:b/>
          <w:color w:val="000000"/>
          <w:sz w:val="28"/>
        </w:rPr>
        <w:t>WASHINGTON, D.C. 20549</w:t>
      </w:r>
      <w:r>
        <w:rPr>
          <w:color w:val="000000"/>
        </w:rPr>
        <w:t> </w:t>
      </w:r>
    </w:p>
    <w:p>
      <w:pPr>
        <w:pStyle w:val="TextBody"/>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9447" w:type="dxa"/>
        <w:jc w:val="center"/>
        <w:tblInd w:w="0" w:type="dxa"/>
        <w:tblCellMar>
          <w:top w:w="28" w:type="dxa"/>
          <w:left w:w="28" w:type="dxa"/>
          <w:bottom w:w="28" w:type="dxa"/>
          <w:right w:w="28" w:type="dxa"/>
        </w:tblCellMar>
      </w:tblPr>
      <w:tblGrid>
        <w:gridCol w:w="124"/>
        <w:gridCol w:w="109"/>
        <w:gridCol w:w="109"/>
        <w:gridCol w:w="2661"/>
        <w:gridCol w:w="2661"/>
        <w:gridCol w:w="37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c>
          <w:tcPr>
            <w:tcW w:w="37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QUARTERLY REPORT PURSUANT TO THE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For the quarterly period ended March 31, 2023 </w:t>
      </w:r>
    </w:p>
    <w:p>
      <w:pPr>
        <w:pStyle w:val="TextBody"/>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OR</w:t>
      </w:r>
    </w:p>
    <w:tbl>
      <w:tblPr>
        <w:tblW w:w="9041" w:type="dxa"/>
        <w:jc w:val="left"/>
        <w:tblInd w:w="0" w:type="dxa"/>
        <w:tblCellMar>
          <w:top w:w="28" w:type="dxa"/>
          <w:left w:w="28" w:type="dxa"/>
          <w:bottom w:w="28" w:type="dxa"/>
          <w:right w:w="28" w:type="dxa"/>
        </w:tblCellMar>
      </w:tblPr>
      <w:tblGrid>
        <w:gridCol w:w="124"/>
        <w:gridCol w:w="109"/>
        <w:gridCol w:w="109"/>
        <w:gridCol w:w="2545"/>
        <w:gridCol w:w="2545"/>
        <w:gridCol w:w="360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5" w:type="dxa"/>
            <w:tcBorders/>
            <w:shd w:fill="auto" w:val="clear"/>
            <w:vAlign w:val="center"/>
          </w:tcPr>
          <w:p>
            <w:pPr>
              <w:pStyle w:val="TableContents"/>
              <w:spacing w:before="0" w:after="283"/>
              <w:rPr>
                <w:sz w:val="4"/>
                <w:szCs w:val="4"/>
              </w:rPr>
            </w:pPr>
            <w:r>
              <w:rPr>
                <w:sz w:val="4"/>
                <w:szCs w:val="4"/>
              </w:rPr>
            </w:r>
          </w:p>
        </w:tc>
        <w:tc>
          <w:tcPr>
            <w:tcW w:w="2545" w:type="dxa"/>
            <w:tcBorders/>
            <w:shd w:fill="auto" w:val="clear"/>
            <w:vAlign w:val="center"/>
          </w:tcPr>
          <w:p>
            <w:pPr>
              <w:pStyle w:val="TableContents"/>
              <w:spacing w:before="0" w:after="283"/>
              <w:rPr>
                <w:sz w:val="4"/>
                <w:szCs w:val="4"/>
              </w:rPr>
            </w:pPr>
            <w:r>
              <w:rPr>
                <w:sz w:val="4"/>
                <w:szCs w:val="4"/>
              </w:rPr>
            </w:r>
          </w:p>
        </w:tc>
        <w:tc>
          <w:tcPr>
            <w:tcW w:w="360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17"/>
        </w:rPr>
      </w:pPr>
      <w:r>
        <w:rPr>
          <w:rFonts w:ascii="Times New Roman;sans-serif" w:hAnsi="Times New Roman;sans-serif"/>
          <w:b/>
          <w:color w:val="000000"/>
          <w:sz w:val="17"/>
        </w:rPr>
        <w:t>For the transition period from              to             </w:t>
      </w:r>
    </w:p>
    <w:p>
      <w:pPr>
        <w:pStyle w:val="TextBody"/>
        <w:spacing w:lineRule="auto" w:line="288" w:before="80" w:after="283"/>
        <w:jc w:val="center"/>
        <w:rPr/>
      </w:pPr>
      <w:r>
        <w:rPr>
          <w:rFonts w:ascii="Times New Roman;sans-serif" w:hAnsi="Times New Roman;sans-serif"/>
          <w:b/>
          <w:color w:val="000000"/>
          <w:sz w:val="17"/>
        </w:rPr>
        <w:t>Commission file number: 1-07533</w:t>
      </w:r>
      <w:r>
        <w:rPr>
          <w:color w:val="000000"/>
        </w:rPr>
        <w:t> </w:t>
      </w:r>
      <w:r>
        <w:rPr>
          <w:rFonts w:ascii="Times New Roman;sans-serif" w:hAnsi="Times New Roman;sans-serif"/>
          <w:b/>
          <w:color w:val="000000"/>
          <w:sz w:val="17"/>
        </w:rPr>
        <w:t>(Federal Realty Investment Trust)</w:t>
      </w:r>
    </w:p>
    <w:p>
      <w:pPr>
        <w:pStyle w:val="TextBody"/>
        <w:spacing w:lineRule="auto" w:line="288" w:before="20" w:after="283"/>
        <w:jc w:val="center"/>
        <w:rPr/>
      </w:pPr>
      <w:r>
        <w:rPr>
          <w:rFonts w:ascii="Times New Roman;sans-serif" w:hAnsi="Times New Roman;sans-serif"/>
          <w:b/>
          <w:color w:val="000000"/>
          <w:sz w:val="17"/>
        </w:rPr>
        <w:t>Commission file number: 333-262016-01</w:t>
      </w:r>
      <w:r>
        <w:rPr>
          <w:color w:val="000000"/>
        </w:rPr>
        <w:t> </w:t>
      </w:r>
      <w:r>
        <w:rPr>
          <w:rFonts w:ascii="Times New Roman;sans-serif" w:hAnsi="Times New Roman;sans-serif"/>
          <w:b/>
          <w:color w:val="000000"/>
          <w:sz w:val="17"/>
        </w:rPr>
        <w:t>(Federal Realty OP LP)</w:t>
      </w:r>
    </w:p>
    <w:p>
      <w:pPr>
        <w:pStyle w:val="TextBody"/>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 xml:space="preserve">FEDERAL REALTY INVESTMENT TRUST </w:t>
      </w:r>
    </w:p>
    <w:p>
      <w:pPr>
        <w:pStyle w:val="TextBody"/>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FEDERAL REALTY OP LP</w:t>
      </w:r>
    </w:p>
    <w:p>
      <w:pPr>
        <w:pStyle w:val="TextBody"/>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(Exact Name of Registrant as Specified in its Charter)</w:t>
      </w:r>
    </w:p>
    <w:tbl>
      <w:tblPr>
        <w:tblW w:w="6290" w:type="dxa"/>
        <w:jc w:val="center"/>
        <w:tblInd w:w="0" w:type="dxa"/>
        <w:tblCellMar>
          <w:top w:w="28" w:type="dxa"/>
          <w:left w:w="28" w:type="dxa"/>
          <w:bottom w:w="28" w:type="dxa"/>
          <w:right w:w="28" w:type="dxa"/>
        </w:tblCellMar>
      </w:tblPr>
      <w:tblGrid>
        <w:gridCol w:w="418"/>
        <w:gridCol w:w="367"/>
        <w:gridCol w:w="367"/>
        <w:gridCol w:w="367"/>
        <w:gridCol w:w="367"/>
        <w:gridCol w:w="367"/>
        <w:gridCol w:w="367"/>
        <w:gridCol w:w="367"/>
        <w:gridCol w:w="367"/>
        <w:gridCol w:w="109"/>
        <w:gridCol w:w="109"/>
        <w:gridCol w:w="109"/>
        <w:gridCol w:w="760"/>
        <w:gridCol w:w="760"/>
        <w:gridCol w:w="1089"/>
      </w:tblGrid>
      <w:tr>
        <w:trPr/>
        <w:tc>
          <w:tcPr>
            <w:tcW w:w="4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r>
      <w:tr>
        <w:trPr/>
        <w:tc>
          <w:tcPr>
            <w:tcW w:w="335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Maryland (Federal Realty Investment Trust)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87-3916363</w:t>
            </w:r>
          </w:p>
        </w:tc>
      </w:tr>
      <w:tr>
        <w:trPr/>
        <w:tc>
          <w:tcPr>
            <w:tcW w:w="335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Delaware (Federal Realty OP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52-0782497</w:t>
            </w:r>
          </w:p>
        </w:tc>
      </w:tr>
      <w:tr>
        <w:trPr/>
        <w:tc>
          <w:tcPr>
            <w:tcW w:w="33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of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(IRS Employer Identification No.)</w:t>
            </w:r>
          </w:p>
        </w:tc>
      </w:tr>
    </w:tbl>
    <w:p>
      <w:pPr>
        <w:pStyle w:val="TextBody"/>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909 Rose Avenue, Suite 200, North Bethesda, Maryland 20852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(301) 998-8100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Investment Trust</w:t>
      </w:r>
    </w:p>
    <w:tbl>
      <w:tblPr>
        <w:tblW w:w="10205" w:type="dxa"/>
        <w:jc w:val="center"/>
        <w:tblInd w:w="0" w:type="dxa"/>
        <w:tblCellMar>
          <w:top w:w="28" w:type="dxa"/>
          <w:left w:w="28" w:type="dxa"/>
          <w:bottom w:w="28" w:type="dxa"/>
          <w:right w:w="28" w:type="dxa"/>
        </w:tblCellMar>
      </w:tblPr>
      <w:tblGrid>
        <w:gridCol w:w="2022"/>
        <w:gridCol w:w="1766"/>
        <w:gridCol w:w="1778"/>
        <w:gridCol w:w="415"/>
        <w:gridCol w:w="415"/>
        <w:gridCol w:w="416"/>
        <w:gridCol w:w="991"/>
        <w:gridCol w:w="991"/>
        <w:gridCol w:w="1411"/>
      </w:tblGrid>
      <w:tr>
        <w:trPr/>
        <w:tc>
          <w:tcPr>
            <w:tcW w:w="2022" w:type="dxa"/>
            <w:tcBorders/>
            <w:shd w:fill="auto" w:val="clear"/>
            <w:vAlign w:val="center"/>
          </w:tcPr>
          <w:p>
            <w:pPr>
              <w:pStyle w:val="TableContents"/>
              <w:spacing w:before="0" w:after="283"/>
              <w:rPr>
                <w:sz w:val="4"/>
                <w:szCs w:val="4"/>
              </w:rPr>
            </w:pPr>
            <w:r>
              <w:rPr>
                <w:sz w:val="4"/>
                <w:szCs w:val="4"/>
              </w:rPr>
            </w:r>
          </w:p>
        </w:tc>
        <w:tc>
          <w:tcPr>
            <w:tcW w:w="1766"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r>
      <w:tr>
        <w:trPr/>
        <w:tc>
          <w:tcPr>
            <w:tcW w:w="5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3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5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Shares of Beneficial Interest</w:t>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w:t>
            </w:r>
          </w:p>
        </w:tc>
        <w:tc>
          <w:tcPr>
            <w:tcW w:w="33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 par value per share, with associated Common Share Purchase Rights</w:t>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Depositary Shares, each representing 1/1000 of a share of </w:t>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FRT-C</w:t>
            </w:r>
          </w:p>
        </w:tc>
        <w:tc>
          <w:tcPr>
            <w:tcW w:w="33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5.00% Series C Cumulative Redeemable Preferred Stock, $.01 par value per share</w:t>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OP LP</w:t>
      </w:r>
    </w:p>
    <w:tbl>
      <w:tblPr>
        <w:tblW w:w="6253" w:type="dxa"/>
        <w:jc w:val="center"/>
        <w:tblInd w:w="0" w:type="dxa"/>
        <w:tblCellMar>
          <w:top w:w="28" w:type="dxa"/>
          <w:left w:w="28" w:type="dxa"/>
          <w:bottom w:w="28" w:type="dxa"/>
          <w:right w:w="28" w:type="dxa"/>
        </w:tblCellMar>
      </w:tblPr>
      <w:tblGrid>
        <w:gridCol w:w="530"/>
        <w:gridCol w:w="468"/>
        <w:gridCol w:w="471"/>
        <w:gridCol w:w="424"/>
        <w:gridCol w:w="424"/>
        <w:gridCol w:w="426"/>
        <w:gridCol w:w="1027"/>
        <w:gridCol w:w="1027"/>
        <w:gridCol w:w="1456"/>
      </w:tblGrid>
      <w:tr>
        <w:trPr/>
        <w:tc>
          <w:tcPr>
            <w:tcW w:w="53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None</w:t>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bl>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spacing w:lineRule="auto" w:line="288" w:before="0" w:after="0"/>
        <w:jc w:val="center"/>
        <w:rPr/>
      </w:pPr>
      <w:r>
        <w:rPr>
          <w:color w:val="000000"/>
        </w:rPr>
        <w:t> </w:t>
      </w: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0" w:after="0"/>
        <w:jc w:val="center"/>
        <w:rPr/>
      </w:pP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826" w:type="dxa"/>
        <w:jc w:val="left"/>
        <w:tblInd w:w="0" w:type="dxa"/>
        <w:tblCellMar>
          <w:top w:w="28" w:type="dxa"/>
          <w:left w:w="28" w:type="dxa"/>
          <w:bottom w:w="28" w:type="dxa"/>
          <w:right w:w="28" w:type="dxa"/>
        </w:tblCellMar>
      </w:tblPr>
      <w:tblGrid>
        <w:gridCol w:w="630"/>
        <w:gridCol w:w="553"/>
        <w:gridCol w:w="557"/>
        <w:gridCol w:w="191"/>
        <w:gridCol w:w="191"/>
        <w:gridCol w:w="191"/>
        <w:gridCol w:w="673"/>
        <w:gridCol w:w="673"/>
        <w:gridCol w:w="678"/>
        <w:gridCol w:w="191"/>
        <w:gridCol w:w="191"/>
        <w:gridCol w:w="191"/>
        <w:gridCol w:w="109"/>
        <w:gridCol w:w="109"/>
        <w:gridCol w:w="109"/>
        <w:gridCol w:w="574"/>
        <w:gridCol w:w="574"/>
        <w:gridCol w:w="576"/>
        <w:gridCol w:w="131"/>
        <w:gridCol w:w="131"/>
        <w:gridCol w:w="131"/>
        <w:gridCol w:w="673"/>
        <w:gridCol w:w="673"/>
        <w:gridCol w:w="678"/>
        <w:gridCol w:w="131"/>
        <w:gridCol w:w="131"/>
        <w:gridCol w:w="186"/>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910"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Investment Trust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OP LP</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48"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48"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48" w:type="dxa"/>
            <w:gridSpan w:val="3"/>
            <w:tcBorders/>
            <w:shd w:fill="auto" w:val="clear"/>
            <w:tcMar>
              <w:top w:w="0" w:type="dxa"/>
              <w:left w:w="0" w:type="dxa"/>
              <w:bottom w:w="0" w:type="dxa"/>
              <w:right w:w="0" w:type="dxa"/>
            </w:tcMar>
            <w:vAlign w:val="center"/>
          </w:tcPr>
          <w:p>
            <w:pPr>
              <w:pStyle w:val="TableContents"/>
              <w:spacing w:lineRule="auto" w:line="240" w:before="160" w:after="283"/>
              <w:jc w:val="left"/>
              <w:rPr>
                <w:color w:val="000000"/>
              </w:rPr>
            </w:pPr>
            <w:r>
              <w:rPr>
                <w:color w:val="000000"/>
              </w:rPr>
              <w:t>☐</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checkmark if the registrant has elected not to use the extended transition period for complying with any new or revised financial accounting standards provided pursuant to Section 13(a) of the Exchange Act.</w:t>
      </w:r>
    </w:p>
    <w:p>
      <w:pPr>
        <w:pStyle w:val="TextBody"/>
        <w:spacing w:lineRule="auto" w:line="288" w:before="0" w:after="0"/>
        <w:jc w:val="center"/>
        <w:rPr/>
      </w:pP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w:t>
      </w:r>
    </w:p>
    <w:p>
      <w:pPr>
        <w:pStyle w:val="TextBody"/>
        <w:spacing w:lineRule="auto" w:line="288" w:before="0" w:after="0"/>
        <w:jc w:val="center"/>
        <w:rPr/>
      </w:pPr>
      <w:r>
        <w:rPr>
          <w:rFonts w:ascii="Times New Roman;sans-serif" w:hAnsi="Times New Roman;sans-serif"/>
          <w:b w:val="false"/>
          <w:color w:val="000000"/>
          <w:sz w:val="16"/>
        </w:rPr>
        <w:t xml:space="preserve">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w:t>
      </w:r>
    </w:p>
    <w:p>
      <w:pPr>
        <w:pStyle w:val="TextBody"/>
        <w:spacing w:lineRule="auto" w:line="288" w:before="10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 xml:space="preserve">The number of registrant’s common shares outstanding on May 1, 2023 was 81,515,397.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EXPLANATORY NOTE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quarter ended March 31, 2023,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March 31, 2023, the Parent Company owned 100% of the outstanding partnership units (the "OP Units") in the Operating Partnership.</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believes combining the quarterly reports on Form 10-Q of the Parent Company and the Operating Partnership into this single report provides the following benefits: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Eliminates duplicate disclosure and provides a more streamlined and readable presentation;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Stockholders' equity, partner capital, and non-controlling interests are the primary areas of difference between the unaudited Condensed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MARCH 31, 2023 </w:t>
      </w:r>
    </w:p>
    <w:p>
      <w:pPr>
        <w:pStyle w:val="TextBody"/>
        <w:spacing w:before="60" w:after="283"/>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60" w:after="283"/>
        <w:rPr/>
      </w:pPr>
      <w:r>
        <w:rPr/>
      </w:r>
    </w:p>
    <w:tbl>
      <w:tblPr>
        <w:tblW w:w="10205" w:type="dxa"/>
        <w:jc w:val="center"/>
        <w:tblInd w:w="0" w:type="dxa"/>
        <w:tblCellMar>
          <w:top w:w="28" w:type="dxa"/>
          <w:left w:w="28" w:type="dxa"/>
          <w:bottom w:w="28" w:type="dxa"/>
          <w:right w:w="28" w:type="dxa"/>
        </w:tblCellMar>
      </w:tblPr>
      <w:tblGrid>
        <w:gridCol w:w="576"/>
        <w:gridCol w:w="501"/>
        <w:gridCol w:w="501"/>
        <w:gridCol w:w="2786"/>
        <w:gridCol w:w="2714"/>
        <w:gridCol w:w="2753"/>
        <w:gridCol w:w="109"/>
        <w:gridCol w:w="109"/>
        <w:gridCol w:w="156"/>
      </w:tblGrid>
      <w:tr>
        <w:trPr/>
        <w:tc>
          <w:tcPr>
            <w:tcW w:w="57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14" w:type="dxa"/>
            <w:tcBorders/>
            <w:shd w:fill="auto" w:val="clear"/>
            <w:vAlign w:val="center"/>
          </w:tcPr>
          <w:p>
            <w:pPr>
              <w:pStyle w:val="TableContents"/>
              <w:spacing w:before="0" w:after="283"/>
              <w:rPr>
                <w:sz w:val="4"/>
                <w:szCs w:val="4"/>
              </w:rPr>
            </w:pPr>
            <w:r>
              <w:rPr>
                <w:sz w:val="4"/>
                <w:szCs w:val="4"/>
              </w:rPr>
            </w:r>
          </w:p>
        </w:tc>
        <w:tc>
          <w:tcPr>
            <w:tcW w:w="2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3">
              <w:r>
                <w:rPr>
                  <w:rStyle w:val="InternetLink"/>
                  <w:rFonts w:ascii="Times New Roman;sans-serif" w:hAnsi="Times New Roman;sans-serif"/>
                  <w:b w:val="false"/>
                  <w:color w:val="0000FF"/>
                  <w:sz w:val="20"/>
                  <w:u w:val="single"/>
                </w:rPr>
                <w:t>3</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(unaudited) as of March 31, 2023 and December 31,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9">
              <w:r>
                <w:rPr>
                  <w:rStyle w:val="InternetLink"/>
                  <w:rFonts w:ascii="Times New Roman;sans-serif" w:hAnsi="Times New Roman;sans-serif"/>
                  <w:b w:val="false"/>
                  <w:color w:val="0000FF"/>
                  <w:sz w:val="20"/>
                  <w:u w:val="single"/>
                </w:rPr>
                <w:t>3</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25">
              <w:r>
                <w:rPr>
                  <w:rStyle w:val="InternetLink"/>
                  <w:rFonts w:ascii="Times New Roman;sans-serif" w:hAnsi="Times New Roman;sans-serif"/>
                  <w:b w:val="false"/>
                  <w:color w:val="0000FF"/>
                  <w:sz w:val="20"/>
                  <w:u w:val="single"/>
                </w:rPr>
                <w:t>4</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28">
              <w:r>
                <w:rPr>
                  <w:rStyle w:val="InternetLink"/>
                  <w:rFonts w:ascii="Times New Roman;sans-serif" w:hAnsi="Times New Roman;sans-serif"/>
                  <w:b w:val="false"/>
                  <w:color w:val="0000FF"/>
                  <w:sz w:val="20"/>
                  <w:u w:val="single"/>
                </w:rPr>
                <w:t>5</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31">
              <w:r>
                <w:rPr>
                  <w:rStyle w:val="InternetLink"/>
                  <w:rFonts w:ascii="Times New Roman;sans-serif" w:hAnsi="Times New Roman;sans-serif"/>
                  <w:b w:val="false"/>
                  <w:color w:val="0000FF"/>
                  <w:sz w:val="20"/>
                  <w:u w:val="single"/>
                </w:rPr>
                <w:t>6</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(unaudited) as of March 31, 2023 and December 31,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37">
              <w:r>
                <w:rPr>
                  <w:rStyle w:val="InternetLink"/>
                  <w:rFonts w:ascii="Times New Roman;sans-serif" w:hAnsi="Times New Roman;sans-serif"/>
                  <w:b w:val="false"/>
                  <w:color w:val="0000FF"/>
                  <w:sz w:val="20"/>
                  <w:u w:val="single"/>
                </w:rPr>
                <w:t>7</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40">
              <w:r>
                <w:rPr>
                  <w:rStyle w:val="InternetLink"/>
                  <w:rFonts w:ascii="Times New Roman;sans-serif" w:hAnsi="Times New Roman;sans-serif"/>
                  <w:b w:val="false"/>
                  <w:color w:val="0000FF"/>
                  <w:sz w:val="20"/>
                  <w:u w:val="single"/>
                </w:rPr>
                <w:t>8</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Capital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43">
              <w:r>
                <w:rPr>
                  <w:rStyle w:val="InternetLink"/>
                  <w:rFonts w:ascii="Times New Roman;sans-serif" w:hAnsi="Times New Roman;sans-serif"/>
                  <w:b w:val="false"/>
                  <w:color w:val="0000FF"/>
                  <w:sz w:val="20"/>
                  <w:u w:val="single"/>
                </w:rPr>
                <w:t>9</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three months ended March 31, 2023 and 2022</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46">
              <w:r>
                <w:rPr>
                  <w:rStyle w:val="InternetLink"/>
                  <w:rFonts w:ascii="Times New Roman;sans-serif" w:hAnsi="Times New Roman;sans-serif"/>
                  <w:b w:val="false"/>
                  <w:color w:val="0000FF"/>
                  <w:sz w:val="20"/>
                  <w:u w:val="single"/>
                </w:rPr>
                <w:t>10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49">
              <w:r>
                <w:rPr>
                  <w:rStyle w:val="InternetLink"/>
                  <w:rFonts w:ascii="Times New Roman;sans-serif" w:hAnsi="Times New Roman;sans-serif"/>
                  <w:b w:val="false"/>
                  <w:color w:val="0000FF"/>
                  <w:sz w:val="20"/>
                  <w:u w:val="single"/>
                </w:rPr>
                <w:t>11</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82">
              <w:r>
                <w:rPr>
                  <w:rStyle w:val="InternetLink"/>
                  <w:rFonts w:ascii="Times New Roman;sans-serif" w:hAnsi="Times New Roman;sans-serif"/>
                  <w:b w:val="false"/>
                  <w:color w:val="0000FF"/>
                  <w:sz w:val="20"/>
                  <w:u w:val="single"/>
                </w:rPr>
                <w:t>16</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94">
              <w:r>
                <w:rPr>
                  <w:rStyle w:val="InternetLink"/>
                  <w:rFonts w:ascii="Times New Roman;sans-serif" w:hAnsi="Times New Roman;sans-serif"/>
                  <w:b w:val="false"/>
                  <w:color w:val="0000FF"/>
                  <w:sz w:val="20"/>
                  <w:u w:val="single"/>
                </w:rPr>
                <w:t>28</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97">
              <w:r>
                <w:rPr>
                  <w:rStyle w:val="InternetLink"/>
                  <w:rFonts w:ascii="Times New Roman;sans-serif" w:hAnsi="Times New Roman;sans-serif"/>
                  <w:b w:val="false"/>
                  <w:color w:val="0000FF"/>
                  <w:sz w:val="20"/>
                  <w:u w:val="single"/>
                </w:rPr>
                <w:t>29</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00">
              <w:r>
                <w:rPr>
                  <w:rStyle w:val="InternetLink"/>
                  <w:rFonts w:ascii="Times New Roman;sans-serif" w:hAnsi="Times New Roman;sans-serif"/>
                  <w:b w:val="false"/>
                  <w:color w:val="0000FF"/>
                  <w:sz w:val="20"/>
                  <w:u w:val="single"/>
                </w:rPr>
                <w:t>30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03">
              <w:r>
                <w:rPr>
                  <w:rStyle w:val="InternetLink"/>
                  <w:rFonts w:ascii="Times New Roman;sans-serif" w:hAnsi="Times New Roman;sans-serif"/>
                  <w:b w:val="false"/>
                  <w:color w:val="0000FF"/>
                  <w:sz w:val="20"/>
                  <w:u w:val="single"/>
                </w:rPr>
                <w:t>30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06">
              <w:r>
                <w:rPr>
                  <w:rStyle w:val="InternetLink"/>
                  <w:rFonts w:ascii="Times New Roman;sans-serif" w:hAnsi="Times New Roman;sans-serif"/>
                  <w:b w:val="false"/>
                  <w:color w:val="0000FF"/>
                  <w:sz w:val="20"/>
                  <w:u w:val="single"/>
                </w:rPr>
                <w:t>30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09">
              <w:r>
                <w:rPr>
                  <w:rStyle w:val="InternetLink"/>
                  <w:rFonts w:ascii="Times New Roman;sans-serif" w:hAnsi="Times New Roman;sans-serif"/>
                  <w:b w:val="false"/>
                  <w:color w:val="0000FF"/>
                  <w:sz w:val="20"/>
                  <w:u w:val="single"/>
                </w:rPr>
                <w:t>30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Defaults Upon Senior Securities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12">
              <w:r>
                <w:rPr>
                  <w:rStyle w:val="InternetLink"/>
                  <w:rFonts w:ascii="Times New Roman;sans-serif" w:hAnsi="Times New Roman;sans-serif"/>
                  <w:b w:val="false"/>
                  <w:color w:val="0000FF"/>
                  <w:sz w:val="20"/>
                  <w:u w:val="single"/>
                </w:rPr>
                <w:t>30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15">
              <w:r>
                <w:rPr>
                  <w:rStyle w:val="InternetLink"/>
                  <w:rFonts w:ascii="Times New Roman;sans-serif" w:hAnsi="Times New Roman;sans-serif"/>
                  <w:b w:val="false"/>
                  <w:color w:val="0000FF"/>
                  <w:sz w:val="20"/>
                  <w:u w:val="single"/>
                </w:rPr>
                <w:t>30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18">
              <w:r>
                <w:rPr>
                  <w:rStyle w:val="InternetLink"/>
                  <w:rFonts w:ascii="Times New Roman;sans-serif" w:hAnsi="Times New Roman;sans-serif"/>
                  <w:b w:val="false"/>
                  <w:color w:val="0000FF"/>
                  <w:sz w:val="20"/>
                  <w:u w:val="single"/>
                </w:rPr>
                <w:t>30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21">
              <w:r>
                <w:rPr>
                  <w:rStyle w:val="InternetLink"/>
                  <w:rFonts w:ascii="Times New Roman;sans-serif" w:hAnsi="Times New Roman;sans-serif"/>
                  <w:b w:val="false"/>
                  <w:color w:val="0000FF"/>
                  <w:sz w:val="20"/>
                  <w:u w:val="single"/>
                </w:rPr>
                <w:t>30</w:t>
              </w:r>
            </w:hyperlink>
          </w:p>
        </w:tc>
      </w:tr>
      <w:tr>
        <w:trPr/>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SIGNATURES</w:t>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ff65318b8449fb88ed2725959507e3_127">
              <w:r>
                <w:rPr>
                  <w:rStyle w:val="InternetLink"/>
                  <w:rFonts w:ascii="Times New Roman;sans-serif" w:hAnsi="Times New Roman;sans-serif"/>
                  <w:b w:val="false"/>
                  <w:color w:val="0000FF"/>
                  <w:sz w:val="20"/>
                  <w:u w:val="single"/>
                </w:rPr>
                <w:t>41</w:t>
              </w:r>
            </w:hyperlink>
          </w:p>
        </w:tc>
      </w:tr>
    </w:tbl>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CellMar>
          <w:top w:w="28" w:type="dxa"/>
          <w:left w:w="28" w:type="dxa"/>
          <w:bottom w:w="28" w:type="dxa"/>
          <w:right w:w="28" w:type="dxa"/>
        </w:tblCellMar>
      </w:tblPr>
      <w:tblGrid>
        <w:gridCol w:w="2934"/>
        <w:gridCol w:w="2021"/>
        <w:gridCol w:w="1994"/>
        <w:gridCol w:w="231"/>
        <w:gridCol w:w="1072"/>
        <w:gridCol w:w="119"/>
        <w:gridCol w:w="119"/>
        <w:gridCol w:w="119"/>
        <w:gridCol w:w="119"/>
        <w:gridCol w:w="231"/>
        <w:gridCol w:w="1072"/>
        <w:gridCol w:w="174"/>
      </w:tblGrid>
      <w:tr>
        <w:trPr/>
        <w:tc>
          <w:tcPr>
            <w:tcW w:w="2934"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6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$2,002,163 and $1,997,583 of consolidated variable interest entities, respectively)</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9,532,332 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$12,174 and $8,477 of consolidated variable interest entities, respectively)</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664,184 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10,196,516 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$376,441 and $362,921 of consolidated variable interest entities, respectively)</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(2,771,150)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7,425,366 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143,464 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257,050 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8,269,294 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$191,193 and $191,827 of consolidated variable interest entities, respectively)</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319,910 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661,391 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3,408,104 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196,092 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237,316 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5,086,700 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178,353 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4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100,000,000 shares authorized, 81,511,204 and 81,342,959 shares issued and outstanding, respectively</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3,828,930 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3,821,801 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(1,068,892)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(1,034,186)</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2,925,226 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3,004,241 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8,269,294 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77" w:type="dxa"/>
        <w:jc w:val="center"/>
        <w:tblInd w:w="0" w:type="dxa"/>
        <w:tblCellMar>
          <w:top w:w="28" w:type="dxa"/>
          <w:left w:w="28" w:type="dxa"/>
          <w:bottom w:w="28" w:type="dxa"/>
          <w:right w:w="28" w:type="dxa"/>
        </w:tblCellMar>
      </w:tblPr>
      <w:tblGrid>
        <w:gridCol w:w="1975"/>
        <w:gridCol w:w="1733"/>
        <w:gridCol w:w="1736"/>
        <w:gridCol w:w="109"/>
        <w:gridCol w:w="109"/>
        <w:gridCol w:w="191"/>
        <w:gridCol w:w="191"/>
        <w:gridCol w:w="371"/>
        <w:gridCol w:w="1453"/>
        <w:gridCol w:w="191"/>
        <w:gridCol w:w="109"/>
        <w:gridCol w:w="109"/>
        <w:gridCol w:w="109"/>
        <w:gridCol w:w="211"/>
        <w:gridCol w:w="826"/>
        <w:gridCol w:w="154"/>
      </w:tblGrid>
      <w:tr>
        <w:trPr/>
        <w:tc>
          <w:tcPr>
            <w:tcW w:w="1975"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5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real estate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TRUST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54,124 </w:t>
            </w:r>
          </w:p>
        </w:tc>
        <w:tc>
          <w:tcPr>
            <w:tcW w:w="19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 and 2022</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648" w:type="dxa"/>
        <w:jc w:val="center"/>
        <w:tblInd w:w="0" w:type="dxa"/>
        <w:tblCellMar>
          <w:top w:w="28" w:type="dxa"/>
          <w:left w:w="28" w:type="dxa"/>
          <w:bottom w:w="28" w:type="dxa"/>
          <w:right w:w="28" w:type="dxa"/>
        </w:tblCellMar>
      </w:tblPr>
      <w:tblGrid>
        <w:gridCol w:w="520"/>
        <w:gridCol w:w="325"/>
        <w:gridCol w:w="326"/>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01"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77" w:type="dxa"/>
            <w:gridSpan w:val="5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81,342,959 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$1,668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$125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($1.08 per share)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$1,560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57,064 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141,234 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downREIT OP units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81,511,204 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2884" w:type="dxa"/>
        <w:jc w:val="center"/>
        <w:tblInd w:w="0" w:type="dxa"/>
        <w:tblCellMar>
          <w:top w:w="28" w:type="dxa"/>
          <w:left w:w="28" w:type="dxa"/>
          <w:bottom w:w="28" w:type="dxa"/>
          <w:right w:w="28" w:type="dxa"/>
        </w:tblCellMar>
      </w:tblPr>
      <w:tblGrid>
        <w:gridCol w:w="520"/>
        <w:gridCol w:w="325"/>
        <w:gridCol w:w="326"/>
        <w:gridCol w:w="368"/>
        <w:gridCol w:w="368"/>
        <w:gridCol w:w="109"/>
        <w:gridCol w:w="109"/>
        <w:gridCol w:w="109"/>
        <w:gridCol w:w="109"/>
        <w:gridCol w:w="196"/>
        <w:gridCol w:w="736"/>
        <w:gridCol w:w="109"/>
        <w:gridCol w:w="109"/>
        <w:gridCol w:w="109"/>
        <w:gridCol w:w="109"/>
        <w:gridCol w:w="480"/>
        <w:gridCol w:w="481"/>
        <w:gridCol w:w="109"/>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196"/>
        <w:gridCol w:w="571"/>
        <w:gridCol w:w="109"/>
        <w:gridCol w:w="109"/>
        <w:gridCol w:w="109"/>
        <w:gridCol w:w="109"/>
        <w:gridCol w:w="196"/>
        <w:gridCol w:w="646"/>
        <w:gridCol w:w="109"/>
        <w:gridCol w:w="109"/>
        <w:gridCol w:w="109"/>
        <w:gridCol w:w="109"/>
        <w:gridCol w:w="196"/>
        <w:gridCol w:w="871"/>
        <w:gridCol w:w="154"/>
      </w:tblGrid>
      <w:tr>
        <w:trPr/>
        <w:tc>
          <w:tcPr>
            <w:tcW w:w="5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8103" w:type="dxa"/>
            <w:gridSpan w:val="36"/>
            <w:tcBorders/>
            <w:shd w:fill="auto" w:val="clea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2826" w:type="dxa"/>
            <w:gridSpan w:val="12"/>
            <w:tcBorders/>
            <w:shd w:fill="auto" w:val="clea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02" w:type="dxa"/>
            <w:gridSpan w:val="15"/>
            <w:tcBorders/>
            <w:shd w:fill="auto" w:val="clea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10868" w:type="dxa"/>
            <w:gridSpan w:val="48"/>
            <w:tcBorders/>
            <w:shd w:fill="auto" w:val="clea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78,603,305 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(1,066,932)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2,663,148 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$1,735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$344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($1.07 per share)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$1,744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and redemption of downREIT OP units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79,417,472 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(1,101,154)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40" w:after="283"/>
        <w:jc w:val="center"/>
        <w:rPr/>
      </w:pPr>
      <w:r>
        <w:rPr>
          <w:color w:val="000000"/>
        </w:rPr>
        <w:t> </w:t>
      </w:r>
      <w:r>
        <w:rPr>
          <w:rFonts w:ascii="Times New Roman;sans-serif" w:hAnsi="Times New Roman;sans-serif"/>
          <w:b/>
          <w:color w:val="000000"/>
          <w:sz w:val="20"/>
        </w:rPr>
        <w:t>(Unaudited)</w:t>
      </w:r>
    </w:p>
    <w:tbl>
      <w:tblPr>
        <w:tblW w:w="9492" w:type="dxa"/>
        <w:jc w:val="left"/>
        <w:tblInd w:w="0" w:type="dxa"/>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 w:type="dxa"/>
            <w:tcBorders/>
            <w:shd w:fill="auto" w:val="clea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shd w:fill="auto" w:val="clea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 and other notes receivable,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net of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shareholders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redeemable noncontrolling interests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CellMar>
          <w:top w:w="28" w:type="dxa"/>
          <w:left w:w="28" w:type="dxa"/>
          <w:bottom w:w="28" w:type="dxa"/>
          <w:right w:w="28" w:type="dxa"/>
        </w:tblCellMar>
      </w:tblPr>
      <w:tblGrid>
        <w:gridCol w:w="2977"/>
        <w:gridCol w:w="2142"/>
        <w:gridCol w:w="2121"/>
        <w:gridCol w:w="211"/>
        <w:gridCol w:w="976"/>
        <w:gridCol w:w="109"/>
        <w:gridCol w:w="109"/>
        <w:gridCol w:w="109"/>
        <w:gridCol w:w="109"/>
        <w:gridCol w:w="211"/>
        <w:gridCol w:w="976"/>
        <w:gridCol w:w="155"/>
      </w:tblGrid>
      <w:tr>
        <w:trPr/>
        <w:tc>
          <w:tcPr>
            <w:tcW w:w="2977"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$2,002,163 and $1,997,583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$12,174 and $8,477 of consolidated variable interest entities,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$376,441 and $362,921 of consolidated variable interest entities,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(2,771,150)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CAPITAL</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$191,193 and $191,827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capital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398,878 units issued and outstanding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81,511,204 and 81,342,959 units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2,793,467 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 capital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partnerships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8,233,991 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212"/>
        <w:gridCol w:w="1932"/>
        <w:gridCol w:w="1935"/>
        <w:gridCol w:w="109"/>
        <w:gridCol w:w="109"/>
        <w:gridCol w:w="190"/>
        <w:gridCol w:w="190"/>
        <w:gridCol w:w="369"/>
        <w:gridCol w:w="1447"/>
        <w:gridCol w:w="190"/>
        <w:gridCol w:w="109"/>
        <w:gridCol w:w="109"/>
        <w:gridCol w:w="109"/>
        <w:gridCol w:w="211"/>
        <w:gridCol w:w="826"/>
        <w:gridCol w:w="158"/>
      </w:tblGrid>
      <w:tr>
        <w:trPr/>
        <w:tc>
          <w:tcPr>
            <w:tcW w:w="2212"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22" w:type="dxa"/>
            <w:gridSpan w:val="6"/>
            <w:tcBorders/>
            <w:shd w:fill="auto" w:val="clear"/>
          </w:tcPr>
          <w:p>
            <w:pPr>
              <w:pStyle w:val="TableContents"/>
              <w:spacing w:before="0" w:after="283"/>
              <w:rPr>
                <w:sz w:val="4"/>
                <w:szCs w:val="4"/>
              </w:rPr>
            </w:pPr>
            <w:r>
              <w:rPr>
                <w:sz w:val="4"/>
                <w:szCs w:val="4"/>
              </w:rPr>
            </w:r>
          </w:p>
        </w:tc>
      </w:tr>
      <w:tr>
        <w:trPr/>
        <w:tc>
          <w:tcPr>
            <w:tcW w:w="60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52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256,507 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on sale of real estate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PARTNERSHIP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preferred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78,446 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8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78,543 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56,395 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0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PARTNERSHIP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54,124 </w:t>
            </w:r>
          </w:p>
        </w:tc>
        <w:tc>
          <w:tcPr>
            <w:tcW w:w="19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55,556 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 and 2022</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2" w:type="dxa"/>
        <w:jc w:val="left"/>
        <w:tblInd w:w="0" w:type="dxa"/>
        <w:tblCellMar>
          <w:top w:w="28" w:type="dxa"/>
          <w:left w:w="28" w:type="dxa"/>
          <w:bottom w:w="28" w:type="dxa"/>
          <w:right w:w="28" w:type="dxa"/>
        </w:tblCellMar>
      </w:tblPr>
      <w:tblGrid>
        <w:gridCol w:w="520"/>
        <w:gridCol w:w="325"/>
        <w:gridCol w:w="326"/>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2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3" w:type="dxa"/>
            <w:gridSpan w:val="3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c>
          <w:tcPr>
            <w:tcW w:w="1548" w:type="dxa"/>
            <w:gridSpan w:val="6"/>
            <w:tcBorders/>
            <w:shd w:fill="auto" w:val="clea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3,034,015 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$1,668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$125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$1,560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2,765,892 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664"/>
        <w:gridCol w:w="457"/>
        <w:gridCol w:w="459"/>
        <w:gridCol w:w="109"/>
        <w:gridCol w:w="109"/>
        <w:gridCol w:w="109"/>
        <w:gridCol w:w="196"/>
        <w:gridCol w:w="736"/>
        <w:gridCol w:w="109"/>
        <w:gridCol w:w="109"/>
        <w:gridCol w:w="109"/>
        <w:gridCol w:w="109"/>
        <w:gridCol w:w="196"/>
        <w:gridCol w:w="871"/>
        <w:gridCol w:w="109"/>
        <w:gridCol w:w="109"/>
        <w:gridCol w:w="109"/>
        <w:gridCol w:w="109"/>
        <w:gridCol w:w="109"/>
        <w:gridCol w:w="109"/>
        <w:gridCol w:w="196"/>
        <w:gridCol w:w="573"/>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56"/>
      </w:tblGrid>
      <w:tr>
        <w:trPr/>
        <w:tc>
          <w:tcPr>
            <w:tcW w:w="66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09" w:type="dxa"/>
            <w:gridSpan w:val="21"/>
            <w:tcBorders/>
            <w:shd w:fill="auto" w:val="clea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09" w:type="dxa"/>
            <w:gridSpan w:val="21"/>
            <w:tcBorders/>
            <w:shd w:fill="auto" w:val="clea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98" w:type="dxa"/>
            <w:gridSpan w:val="35"/>
            <w:tcBorders/>
            <w:shd w:fill="auto" w:val="clea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2,663,148 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$1,735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$344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$1,744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82,749 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2,714,577 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40" w:after="283"/>
        <w:jc w:val="center"/>
        <w:rPr/>
      </w:pPr>
      <w:r>
        <w:rPr>
          <w:color w:val="000000"/>
        </w:rPr>
        <w:t> </w:t>
      </w:r>
      <w:r>
        <w:rPr>
          <w:rFonts w:ascii="Times New Roman;sans-serif" w:hAnsi="Times New Roman;sans-serif"/>
          <w:b/>
          <w:color w:val="000000"/>
          <w:sz w:val="20"/>
        </w:rPr>
        <w:t>(Unaudited)</w:t>
      </w:r>
    </w:p>
    <w:tbl>
      <w:tblPr>
        <w:tblW w:w="9492" w:type="dxa"/>
        <w:jc w:val="left"/>
        <w:tblInd w:w="0" w:type="dxa"/>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 w:type="dxa"/>
            <w:tcBorders/>
            <w:shd w:fill="auto" w:val="clea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shd w:fill="auto" w:val="clea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 and other notes receivable,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units, net of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common and preferred unit holders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redeemable noncontrolling interests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2023 </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1—BUSINESS AND ORGANIZATION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March 31, 2023, we owned or had a majority interest in community and neighborhood shopping centers and mixed-use properties which are operated as 102 predominantly retail real estate projects.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months ended March 31, 2023 are not necessarily indicative of the results that may be expected for the full year.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spacing w:lineRule="auto" w:line="288" w:before="100" w:after="283"/>
        <w:rPr/>
      </w:pPr>
      <w:r>
        <w:rPr>
          <w:rFonts w:ascii="Times New Roman;sans-serif" w:hAnsi="Times New Roman;sans-serif"/>
          <w:b w:val="false"/>
          <w:color w:val="000000"/>
          <w:sz w:val="20"/>
        </w:rPr>
        <w:t xml:space="preserve">As discussed in the </w:t>
      </w:r>
      <w:hyperlink w:anchor="i81ff65318b8449fb88ed2725959507e3_7">
        <w:r>
          <w:rPr>
            <w:rStyle w:val="InternetLink"/>
            <w:rFonts w:ascii="Times New Roman;sans-serif" w:hAnsi="Times New Roman;sans-serif"/>
            <w:b w:val="false"/>
            <w:color w:val="0000FF"/>
            <w:sz w:val="20"/>
            <w:u w:val="single"/>
          </w:rPr>
          <w:t>Explanatory Note</w:t>
        </w:r>
      </w:hyperlink>
      <w:r>
        <w:rPr>
          <w:rFonts w:ascii="Times New Roman;sans-serif" w:hAnsi="Times New Roman;sans-serif"/>
          <w:b w:val="false"/>
          <w:color w:val="000000"/>
          <w:sz w:val="20"/>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tbl>
      <w:tblPr>
        <w:tblW w:w="10205" w:type="dxa"/>
        <w:jc w:val="left"/>
        <w:tblInd w:w="0" w:type="dxa"/>
        <w:tblCellMar>
          <w:top w:w="28" w:type="dxa"/>
          <w:left w:w="28" w:type="dxa"/>
          <w:bottom w:w="28" w:type="dxa"/>
          <w:right w:w="28" w:type="dxa"/>
        </w:tblCellMar>
      </w:tblPr>
      <w:tblGrid>
        <w:gridCol w:w="574"/>
        <w:gridCol w:w="505"/>
        <w:gridCol w:w="508"/>
        <w:gridCol w:w="109"/>
        <w:gridCol w:w="109"/>
        <w:gridCol w:w="109"/>
        <w:gridCol w:w="1509"/>
        <w:gridCol w:w="1509"/>
        <w:gridCol w:w="1521"/>
        <w:gridCol w:w="109"/>
        <w:gridCol w:w="109"/>
        <w:gridCol w:w="109"/>
        <w:gridCol w:w="1249"/>
        <w:gridCol w:w="897"/>
        <w:gridCol w:w="1279"/>
      </w:tblGrid>
      <w:tr>
        <w:trPr/>
        <w:tc>
          <w:tcPr>
            <w:tcW w:w="57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r>
      <w:tr>
        <w:trPr/>
        <w:tc>
          <w:tcPr>
            <w:tcW w:w="15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on the financial statements or significant matters</w:t>
            </w:r>
          </w:p>
        </w:tc>
      </w:tr>
      <w:tr>
        <w:trPr/>
        <w:tc>
          <w:tcPr>
            <w:tcW w:w="15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9"/>
              </w:rPr>
              <w:t xml:space="preserve">ASU 2023-01, March 2023, </w:t>
            </w:r>
            <w:r>
              <w:rPr>
                <w:rFonts w:ascii="Times New Roman;sans-serif" w:hAnsi="Times New Roman;sans-serif"/>
                <w:b w:val="false"/>
                <w:i/>
                <w:color w:val="000000"/>
                <w:sz w:val="19"/>
              </w:rPr>
              <w:t>Leases (Topic 842) Common Control Arrangements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pPr>
            <w:r>
              <w:rPr>
                <w:rFonts w:ascii="Times New Roman;sans-serif" w:hAnsi="Times New Roman;sans-serif"/>
                <w:b w:val="false"/>
                <w:color w:val="000000"/>
                <w:sz w:val="19"/>
              </w:rPr>
              <w:t>This ASU requires all lessees in a lease with a lessor under common control to (1) amortize leasehold improvements over their useful life to the common control group, as long as the lessee controls the use of the underlying asset through a lease and (2) account for the leasehold improvements as a transfer of assets between entities under common control through an adjustment to equity when the lessee no longer controls the use of the underlying asset.</w:t>
              <w:br/>
            </w:r>
            <w:r>
              <w:rPr>
                <w:rFonts w:ascii="Times New Roman;sans-serif" w:hAnsi="Times New Roman;sans-serif"/>
                <w:b w:val="false"/>
                <w:sz w:val="19"/>
              </w:rPr>
              <w:br/>
            </w:r>
            <w:r>
              <w:rPr>
                <w:rFonts w:ascii="Times New Roman;sans-serif" w:hAnsi="Times New Roman;sans-serif"/>
                <w:b w:val="false"/>
                <w:color w:val="000000"/>
                <w:sz w:val="19"/>
              </w:rPr>
              <w:t xml:space="preserve">The guidance may be applied prospectively to new and existing leasehold improvements, with the remaining balance of existing leasehold improvements amortized over their remaining useful life to the common control group or retrospectively, through a cumulative-effect adjustment to opening retained earnings. </w:t>
              <w:br/>
            </w:r>
            <w:r>
              <w:rPr>
                <w:rFonts w:ascii="Times New Roman;sans-serif" w:hAnsi="Times New Roman;sans-serif"/>
                <w:b w:val="false"/>
                <w:sz w:val="19"/>
              </w:rPr>
              <w:br/>
            </w:r>
            <w:r>
              <w:rPr>
                <w:rFonts w:ascii="Times New Roman;sans-serif" w:hAnsi="Times New Roman;sans-serif"/>
                <w:b w:val="false"/>
                <w:color w:val="000000"/>
                <w:sz w:val="19"/>
              </w:rPr>
              <w:t>The guidance is effective in fiscal years beginning after December 15, 2023, and interim periods withing those fiscal years. Early adoption is permitted.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do not expect this ASU to have an impact on our consolidated financial statements.</w:t>
            </w:r>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9"/>
              </w:rPr>
              <w:t xml:space="preserve">ASU 2020-04, March 2020, </w:t>
            </w:r>
            <w:r>
              <w:rPr>
                <w:rFonts w:ascii="Times New Roman;sans-serif" w:hAnsi="Times New Roman;sans-serif"/>
                <w:b w:val="false"/>
                <w:i/>
                <w:color w:val="000000"/>
                <w:sz w:val="19"/>
              </w:rPr>
              <w:t>Reference Rate Reform (Topic 848)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pPr>
            <w:r>
              <w:rPr>
                <w:rFonts w:ascii="Times New Roman;sans-serif" w:hAnsi="Times New Roman;sans-serif"/>
                <w:b w:val="false"/>
                <w:color w:val="000000"/>
                <w:sz w:val="19"/>
              </w:rPr>
              <w:t xml:space="preserve">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 </w:t>
              <w:br/>
            </w:r>
            <w:r>
              <w:rPr>
                <w:rFonts w:ascii="Times New Roman;sans-serif" w:hAnsi="Times New Roman;sans-serif"/>
                <w:b w:val="false"/>
                <w:sz w:val="19"/>
              </w:rPr>
              <w:br/>
            </w:r>
            <w:r>
              <w:rPr>
                <w:rFonts w:ascii="Times New Roman;sans-serif" w:hAnsi="Times New Roman;sans-serif"/>
                <w:b w:val="false"/>
                <w:color w:val="000000"/>
                <w:sz w:val="19"/>
              </w:rPr>
              <w:t>ASU 2022-06 extended the period for which this guidance can be immediately applied through December 24, 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expect to apply some of the practical expedients, as we are in the process of transitioning the $54.7 million mortgage loan at Hoboken and the $37.7 million mortgage loan related to the unconsolidated Assembly Row hotel (of which our share is $18.8 million) from LIBOR to alternative interest rates. We do not expect a significant impact to our financial results, financial position, or cash flows from this transition.</w:t>
            </w:r>
          </w:p>
        </w:tc>
      </w:tr>
      <w:tr>
        <w:trPr/>
        <w:tc>
          <w:tcPr>
            <w:tcW w:w="15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2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Consolidated Statements of Cash Flows—Supplemental Disclosures</w:t>
      </w:r>
    </w:p>
    <w:p>
      <w:pPr>
        <w:pStyle w:val="TextBody"/>
        <w:spacing w:lineRule="auto" w:line="288" w:before="180" w:after="10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supplemental disclosures related to the Consolidated Statements of Cash Flows:</w:t>
      </w:r>
    </w:p>
    <w:tbl>
      <w:tblPr>
        <w:tblW w:w="8327" w:type="dxa"/>
        <w:jc w:val="left"/>
        <w:tblInd w:w="0" w:type="dxa"/>
        <w:tblCellMar>
          <w:top w:w="28" w:type="dxa"/>
          <w:left w:w="28" w:type="dxa"/>
          <w:bottom w:w="28" w:type="dxa"/>
          <w:right w:w="28" w:type="dxa"/>
        </w:tblCellMar>
      </w:tblPr>
      <w:tblGrid>
        <w:gridCol w:w="2048"/>
        <w:gridCol w:w="1801"/>
        <w:gridCol w:w="1806"/>
        <w:gridCol w:w="211"/>
        <w:gridCol w:w="721"/>
        <w:gridCol w:w="109"/>
        <w:gridCol w:w="109"/>
        <w:gridCol w:w="109"/>
        <w:gridCol w:w="109"/>
        <w:gridCol w:w="211"/>
        <w:gridCol w:w="721"/>
        <w:gridCol w:w="109"/>
        <w:gridCol w:w="109"/>
        <w:gridCol w:w="154"/>
      </w:tblGrid>
      <w:tr>
        <w:trPr/>
        <w:tc>
          <w:tcPr>
            <w:tcW w:w="2048"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shd w:fill="auto" w:val="clea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 redeemed for common shares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dividend reinvestment plan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9716" w:type="dxa"/>
        <w:jc w:val="center"/>
        <w:tblInd w:w="0" w:type="dxa"/>
        <w:tblCellMar>
          <w:top w:w="28" w:type="dxa"/>
          <w:left w:w="28" w:type="dxa"/>
          <w:bottom w:w="28" w:type="dxa"/>
          <w:right w:w="28" w:type="dxa"/>
        </w:tblCellMar>
      </w:tblPr>
      <w:tblGrid>
        <w:gridCol w:w="2495"/>
        <w:gridCol w:w="2191"/>
        <w:gridCol w:w="2199"/>
        <w:gridCol w:w="211"/>
        <w:gridCol w:w="826"/>
        <w:gridCol w:w="109"/>
        <w:gridCol w:w="109"/>
        <w:gridCol w:w="109"/>
        <w:gridCol w:w="109"/>
        <w:gridCol w:w="222"/>
        <w:gridCol w:w="759"/>
        <w:gridCol w:w="114"/>
        <w:gridCol w:w="109"/>
        <w:gridCol w:w="154"/>
      </w:tblGrid>
      <w:tr>
        <w:trPr/>
        <w:tc>
          <w:tcPr>
            <w:tcW w:w="2495"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21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shd w:fill="auto" w:val="clea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(1)Restricted cash balances are included in "prepaid expenses and other assets" on our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3—REAL ESTATE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property and the "operating lease right of use assets, net" on our consolidated balance sheet decreased by $5.3 million. Approximately $4.1 million and $1.3 million of net assets acquired were allocated to other assets for "acquired lease costs" and "above market leases," respectively.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sold one retail property for $13.2 million, resulting in a gain on sale of $1.6 million.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4—DEBT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maximum amount of borrowings outstanding under our $1.25 billion revolving credit facility was $80.5 million. The weighted average amount of borrowings outstanding was $49.7 million, and the weighted average interest rate, before amortization of debt fees, was 5.4%, for the three months ended March 31, 2023. At March 31, 2023, our revolving credit facility had $60.0 million outstanding.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March 31, 2023, we were in compliance with all default related debt covenants.</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5—FAIR VALUE OF FINANCIAL INSTRUMENTS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pStyle w:val="TextBody"/>
        <w:spacing w:before="0" w:after="0"/>
        <w:rPr/>
      </w:pPr>
      <w:r>
        <w:rPr/>
      </w:r>
    </w:p>
    <w:tbl>
      <w:tblPr>
        <w:tblW w:w="9059" w:type="dxa"/>
        <w:jc w:val="left"/>
        <w:tblInd w:w="0" w:type="dxa"/>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49" w:type="dxa"/>
            <w:gridSpan w:val="3"/>
            <w:vMerge w:val="continue"/>
            <w:tcBorders/>
            <w:shd w:fill="auto" w:val="clear"/>
            <w:tcMar>
              <w:top w:w="0" w:type="dxa"/>
              <w:left w:w="0" w:type="dxa"/>
              <w:bottom w:w="0" w:type="dxa"/>
              <w:right w:w="0" w:type="dxa"/>
            </w:tcMar>
            <w:vAlign w:val="center"/>
          </w:tcPr>
          <w:p>
            <w:pPr>
              <w:pStyle w:val="Normal"/>
              <w:rPr/>
            </w:pPr>
            <w:r>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49" w:type="dxa"/>
            <w:gridSpan w:val="3"/>
            <w:vMerge w:val="continue"/>
            <w:tcBorders/>
            <w:shd w:fill="auto" w:val="clear"/>
            <w:tcMar>
              <w:top w:w="0" w:type="dxa"/>
              <w:left w:w="0" w:type="dxa"/>
              <w:bottom w:w="0" w:type="dxa"/>
              <w:right w:w="0" w:type="dxa"/>
            </w:tcMar>
            <w:vAlign w:val="center"/>
          </w:tcPr>
          <w:p>
            <w:pPr>
              <w:pStyle w:val="Normal"/>
              <w:rPr/>
            </w:pPr>
            <w:r>
              <w:rPr/>
            </w:r>
          </w:p>
        </w:tc>
        <w:tc>
          <w:tcPr>
            <w:tcW w:w="6210"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Mortgages and notes payable,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two interest rate swap agreements with notional amounts of $54.7 million that are measured at fair value on a recurring basis. The interest rate swap agreements fix the interest rate on $54.7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2023 was an asset of $4.9 million and is included in "prepaid expenses and other assets" on our consolidated balance sheets. For the three months ended March 31, 2023, the value of our interest rate swaps decreased $1.3 million (including $0.4 million reclassified from other comprehensive income as a decrease to interest expense). A summary of our financial assets that are measured at fair value on a recurring basis, by level within the fair value hierarchy is as follows:</w:t>
      </w:r>
    </w:p>
    <w:tbl>
      <w:tblPr>
        <w:tblW w:w="10205" w:type="dxa"/>
        <w:jc w:val="left"/>
        <w:tblInd w:w="0" w:type="dxa"/>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4"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equity method investees has two interest rate swaps which qualify for cash flow hedge accounting. For the three months ended March 31, 2023, our share of the change in fair value of the related swaps included in "accumulated other comprehensive income" was a decrease of $0.1 million. </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6—COMMITMENTS AND CONTINGENCIES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On August 25, 2022, we entered into a purchase option agreement to acquire the tenancy in common interest from our co-owner at Escondido Promenade, as discussed in our Annual Report on Form 10-K for the year ended December 31, 2022. Our agreement, as amended on February 28, 2023, allows us to exercise the option between May 1, 2023 and May 31, 2023.</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Under the terms of certain partnership agreements, the partners have the right to exchange their operating partnership units for cash or common shares, at our option. A total of 637,031 downREIT operating partnership units are outstanding which have a total fair value of approximately $63.0 million, which is calculated by multiplying the outstanding number of downREIT partnership units by our closing stock price on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7—SHAREHOLDERS’ EQUITY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dividends declared and paid per share:</w:t>
      </w:r>
    </w:p>
    <w:p>
      <w:pPr>
        <w:pStyle w:val="TextBody"/>
        <w:spacing w:before="0" w:after="0"/>
        <w:rPr/>
      </w:pPr>
      <w:r>
        <w:rPr/>
      </w:r>
    </w:p>
    <w:tbl>
      <w:tblPr>
        <w:tblW w:w="10080" w:type="dxa"/>
        <w:jc w:val="left"/>
        <w:tblInd w:w="0" w:type="dxa"/>
        <w:tblCellMar>
          <w:top w:w="28" w:type="dxa"/>
          <w:left w:w="28" w:type="dxa"/>
          <w:bottom w:w="28" w:type="dxa"/>
          <w:right w:w="28" w:type="dxa"/>
        </w:tblCellMar>
      </w:tblPr>
      <w:tblGrid>
        <w:gridCol w:w="1764"/>
        <w:gridCol w:w="1550"/>
        <w:gridCol w:w="15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64"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81" w:type="dxa"/>
            <w:gridSpan w:val="4"/>
            <w:tcBorders/>
            <w:shd w:fill="auto" w:val="clear"/>
          </w:tcPr>
          <w:p>
            <w:pPr>
              <w:pStyle w:val="TableContents"/>
              <w:spacing w:before="0" w:after="283"/>
              <w:rPr>
                <w:sz w:val="4"/>
                <w:szCs w:val="4"/>
              </w:rPr>
            </w:pPr>
            <w:r>
              <w:rPr>
                <w:sz w:val="4"/>
                <w:szCs w:val="4"/>
              </w:rPr>
            </w:r>
          </w:p>
        </w:tc>
      </w:tr>
      <w:tr>
        <w:trPr/>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(1)Amount represents dividends per depository share, each representing 1/1000th of a share.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at-the-market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we issued 57,034 common shares at a weighted average price per share of $111.64 for net cash proceeds of $6.2 million including paying $0.1 million in commissions and $0.1 million in additional offering expenses related to the sales of these common shares. We have the remaining capacity to issue up to $445.6 million in common shares under our ATM equity program as of March 31, 2023.</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NOTE 8—SHARE-BASED COMPENSATION PLANS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expense included in net income is as follows:</w:t>
      </w:r>
    </w:p>
    <w:tbl>
      <w:tblPr>
        <w:tblW w:w="8530" w:type="dxa"/>
        <w:jc w:val="center"/>
        <w:tblInd w:w="0" w:type="dxa"/>
        <w:tblCellMar>
          <w:top w:w="28" w:type="dxa"/>
          <w:left w:w="28" w:type="dxa"/>
          <w:bottom w:w="28" w:type="dxa"/>
          <w:right w:w="28" w:type="dxa"/>
        </w:tblCellMar>
      </w:tblPr>
      <w:tblGrid>
        <w:gridCol w:w="1797"/>
        <w:gridCol w:w="1581"/>
        <w:gridCol w:w="1587"/>
        <w:gridCol w:w="109"/>
        <w:gridCol w:w="109"/>
        <w:gridCol w:w="151"/>
        <w:gridCol w:w="151"/>
        <w:gridCol w:w="293"/>
        <w:gridCol w:w="857"/>
        <w:gridCol w:w="151"/>
        <w:gridCol w:w="109"/>
        <w:gridCol w:w="109"/>
        <w:gridCol w:w="109"/>
        <w:gridCol w:w="211"/>
        <w:gridCol w:w="616"/>
        <w:gridCol w:w="109"/>
        <w:gridCol w:w="109"/>
        <w:gridCol w:w="109"/>
        <w:gridCol w:w="109"/>
        <w:gridCol w:w="154"/>
      </w:tblGrid>
      <w:tr>
        <w:trPr/>
        <w:tc>
          <w:tcPr>
            <w:tcW w:w="1797"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5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of common shares, restricted stock units, and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9—EARNINGS PER SHARE AND UNIT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months ended March 31, 2023 and 2022,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issuable shares were excluded from the diluted EPS and EPU calculations because their impact is anti-dilutive: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exercise of 1,829 stock options for the three months ended March 31, 2023,</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conversions of downREIT operating partnership units for both the three months ended March 31, 2023 and 2022,</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conversions of 5.417% Series 1 Cumulative Convertible Preferred Shares and units for both the three months ended March 31, 2023 and 2022,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issuance of 0.7 million shares and units issuable under common share forward sales agreements for the three months ended March 31, 2022.</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Additionally, 10,441 unvested restricted stock units are excluded from the diluted EPS and EPU calculations as the market based performance criteria in the awards has not yet been achieved.</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Federal Realty Investment Trust Earnings per Share</w:t>
      </w:r>
    </w:p>
    <w:tbl>
      <w:tblPr>
        <w:tblW w:w="9027" w:type="dxa"/>
        <w:jc w:val="left"/>
        <w:tblInd w:w="0" w:type="dxa"/>
        <w:tblCellMar>
          <w:top w:w="28" w:type="dxa"/>
          <w:left w:w="28" w:type="dxa"/>
          <w:bottom w:w="28" w:type="dxa"/>
          <w:right w:w="28" w:type="dxa"/>
        </w:tblCellMar>
      </w:tblPr>
      <w:tblGrid>
        <w:gridCol w:w="2064"/>
        <w:gridCol w:w="1814"/>
        <w:gridCol w:w="1822"/>
        <w:gridCol w:w="109"/>
        <w:gridCol w:w="109"/>
        <w:gridCol w:w="139"/>
        <w:gridCol w:w="139"/>
        <w:gridCol w:w="278"/>
        <w:gridCol w:w="951"/>
        <w:gridCol w:w="143"/>
        <w:gridCol w:w="112"/>
        <w:gridCol w:w="112"/>
        <w:gridCol w:w="112"/>
        <w:gridCol w:w="218"/>
        <w:gridCol w:w="746"/>
        <w:gridCol w:w="159"/>
      </w:tblGrid>
      <w:tr>
        <w:trPr/>
        <w:tc>
          <w:tcPr>
            <w:tcW w:w="2064"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459" w:type="dxa"/>
            <w:gridSpan w:val="6"/>
            <w:tcBorders/>
            <w:shd w:fill="auto" w:val="clea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459" w:type="dxa"/>
            <w:gridSpan w:val="6"/>
            <w:tcBorders/>
            <w:shd w:fill="auto" w:val="clea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8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dividends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1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forward contracts for share issuances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8"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43"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before="100" w:after="283"/>
        <w:rPr/>
      </w:pPr>
      <w:r>
        <w:rPr/>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Federal Realty OP LP Earnings per Unit</w:t>
      </w:r>
    </w:p>
    <w:tbl>
      <w:tblPr>
        <w:tblW w:w="9281" w:type="dxa"/>
        <w:jc w:val="left"/>
        <w:tblInd w:w="0" w:type="dxa"/>
        <w:tblCellMar>
          <w:top w:w="28" w:type="dxa"/>
          <w:left w:w="28" w:type="dxa"/>
          <w:bottom w:w="28" w:type="dxa"/>
          <w:right w:w="28" w:type="dxa"/>
        </w:tblCellMar>
      </w:tblPr>
      <w:tblGrid>
        <w:gridCol w:w="2189"/>
        <w:gridCol w:w="1924"/>
        <w:gridCol w:w="1932"/>
        <w:gridCol w:w="109"/>
        <w:gridCol w:w="109"/>
        <w:gridCol w:w="139"/>
        <w:gridCol w:w="139"/>
        <w:gridCol w:w="269"/>
        <w:gridCol w:w="919"/>
        <w:gridCol w:w="139"/>
        <w:gridCol w:w="109"/>
        <w:gridCol w:w="109"/>
        <w:gridCol w:w="109"/>
        <w:gridCol w:w="211"/>
        <w:gridCol w:w="721"/>
        <w:gridCol w:w="154"/>
      </w:tblGrid>
      <w:tr>
        <w:trPr/>
        <w:tc>
          <w:tcPr>
            <w:tcW w:w="2189"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413" w:type="dxa"/>
            <w:gridSpan w:val="6"/>
            <w:tcBorders/>
            <w:shd w:fill="auto" w:val="clea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unit distributions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issuances relating to open common share forward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3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10—SUBSEQUENT EVENT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April 12, 2023, we issued $350.0 million of fixed rate senior unsecured notes that mature on May 1, 2028 and bear interest at 5.375%. The notes were offered at 99.590% of the principal amount with a yield to maturity of 5.468%.</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00" w:after="283"/>
        <w:rPr/>
      </w:pPr>
      <w:r>
        <w:rPr>
          <w:rFonts w:ascii="Times New Roman;sans-serif" w:hAnsi="Times New Roman;sans-serif"/>
          <w:b w:val="false"/>
          <w:color w:val="000000"/>
          <w:sz w:val="20"/>
        </w:rPr>
        <w:t xml:space="preserve">The following discussion should be read in conjunction with the consolidated interim financial statements and notes thereto appearing in Item 1 of this report and the more detailed information contained in our Annual Report on </w:t>
      </w:r>
      <w:hyperlink r:id="rId2">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2022 filed with the Securities and Exchange Commission (the “SEC”) on February 8, 2023.</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that our tenants will not pay rent, may vacate early or may file for bankruptcy or that we may be unable to renew leases or re-let space at favorable rents as leases expire;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pStyle w:val="TextBody"/>
        <w:spacing w:lineRule="auto" w:line="288" w:before="0" w:after="0"/>
        <w:ind w:left="0" w:right="0" w:hanging="360"/>
        <w:rPr/>
      </w:pPr>
      <w:r>
        <w:rPr>
          <w:color w:val="212529"/>
        </w:rPr>
        <w:t>•</w:t>
      </w:r>
      <w:r>
        <w:rPr>
          <w:rFonts w:ascii="Times New Roman;sans-serif" w:hAnsi="Times New Roman;sans-serif"/>
          <w:b w:val="false"/>
          <w:color w:val="000000"/>
          <w:sz w:val="20"/>
        </w:rPr>
        <w:t xml:space="preserve">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issues may develop at our properties and result in unanticipated costs, and, because real estate is illiquid, that we may not be able to sell properties when appropriate;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that our growth will be limited if we cannot obtain additional capital;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readers are cautioned not to place undue reliance on any forward-looking statements that we make, including those in this Quarterly Report on Form 10-Q. You should carefully review the risks and the risk factors included in our Annual Report on Form 10-K for the year ended December 31, 2022 and under Part II, Item 1A in this Quarterly Report on Form 10-Q, before making any investments in us.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As of March 31, 2023, we owned or had a majority interest in community and neighborhood shopping centers and mixed-use properties which are operated as 102 predominantly retail real estate projects comprising approximately 25.9 million square feet. In total, the real estate projects were 94.2% leased and 92.6% occupied at March 31,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spacing w:lineRule="auto" w:line="288" w:before="100" w:after="283"/>
        <w:rPr/>
      </w:pPr>
      <w:r>
        <w:rPr>
          <w:rFonts w:ascii="Times New Roman;sans-serif" w:hAnsi="Times New Roman;sans-serif"/>
          <w:b w:val="false"/>
          <w:color w:val="212529"/>
          <w:sz w:val="20"/>
        </w:rPr>
        <w:t xml:space="preserve">Given the higher levels of inflation, rising interest rates, and </w:t>
      </w:r>
      <w:r>
        <w:rPr>
          <w:rFonts w:ascii="Times New Roman;sans-serif" w:hAnsi="Times New Roman;sans-serif"/>
          <w:b w:val="false"/>
          <w:color w:val="000000"/>
          <w:sz w:val="20"/>
        </w:rPr>
        <w:t>potentially worsening economic conditions</w:t>
      </w:r>
      <w:r>
        <w:rPr>
          <w:rFonts w:ascii="Times New Roman;sans-serif" w:hAnsi="Times New Roman;sans-serif"/>
          <w:b w:val="false"/>
          <w:color w:val="212529"/>
          <w:sz w:val="20"/>
        </w:rPr>
        <w:t xml:space="preserve">, we continue to monitor and address risks related to the general state of the economy. </w:t>
      </w:r>
      <w:r>
        <w:rPr>
          <w:rFonts w:ascii="Times New Roman;sans-serif" w:hAnsi="Times New Roman;sans-serif"/>
          <w:b w:val="false"/>
          <w:color w:val="000000"/>
          <w:sz w:val="20"/>
        </w:rPr>
        <w:t xml:space="preserve">We believe that the actions we have taken to improve our financial position and maximize our liquidity, as described further in the “Management’s Discussion and Analysis of Financial Condition and Results of Operations” in our 2022 Annual Report on </w:t>
      </w:r>
      <w:hyperlink r:id="rId3">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 xml:space="preserve">, will continue to mitigate the impact to our cash flow caused by tenants not timely paying contractual rent.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the impact of current economic conditions on our business throughout Item 2.</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100" w:after="283"/>
        <w:rPr/>
      </w:pPr>
      <w:r>
        <w:rPr>
          <w:rFonts w:ascii="Times New Roman;sans-serif" w:hAnsi="Times New Roman;sans-serif"/>
          <w:b w:val="false"/>
          <w:color w:val="000000"/>
          <w:sz w:val="20"/>
        </w:rPr>
        <w:t xml:space="preserve">There have been no significant changes to the critical accounting policies disclosed in “Management’s Discussion and Analysis of Financial Condition and Results of Operations” in our 2022 Annual Report on </w:t>
      </w:r>
      <w:hyperlink r:id="rId4">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Property Acquisition and Disposition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property and the "operating lease right of use assets" on our consolidated balance sheet decreased by $5.3 million. Approximately $4.1 million and $1.3 million of net assets acquired were allocated to other assets for "acquired lease costs" and "above market leases," respectively.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sold one retail property for $13.2 million, resulting in a gain on sale of $1.6 million.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Debt and Equity Transactions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we issued 57,034 common shares at a weighted average price per share of $111.64 for net cash proceeds of $6.2 million including paying $0.1 million in commissions and $0.1 million in additional offering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expenses related to the sales of these common shares. We have the remaining capacity to issue up to $445.6 million in common shares under our ATM equity program as of March 31, 2023.</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April 12, 2023, we issued $350.0 million of fixed rate senior unsecured notes that mature on May 1, 2028 and bear interest at 5.375%. The notes were offered at 99.590% of the principal amount with a yield to maturity of 5.468%. The net proceeds of these notes, or "green bonds," will be allocated to the financing and refinancing of recently completed and future eligible green projects, which includes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Gold or Platinum certification (or environmentally equivalent successor standards). Net proceeds allocated to previously incurred costs associated with eligible green projects will be available for repayment of indebtedness, or pending allocation, may be invested in short-term income-producing investments or may be used to temporarily repay current and/or future amounts outstanding under our revolving credit facility.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Capitalized Costs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$53 million and $2 million, respectively, for the three months ended March 31, 2023, and $69 million and $3 million for the three months ended March 31, 2022. We capitalized external and internal costs related to other property improvements of $23 million and $1 million, respectively, for the three months ended March 31, 2023, and $22 million and $1 million, respectively, for the three months ended March 31, 2022. We capitalized external and internal costs related to leasing activities of $4 million and $1 million, respectively, for both the three months ended March 31, 2023 and 2022. The amount of capitalized internal costs for salaries and related benefits for development and redevelopment activities, other property improvements, and leasing activities were $2 million, $1 million, and $1 million, respectively for both the three months ended March 31, 2023 and 2022. Total capitalized costs were $80 million and $99 million for the three months ended March 31, 2023 and 2022, respectively.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focused on growth in earnings, funds from operations, and cash flows primarily through a combination of the following:</w:t>
      </w:r>
    </w:p>
    <w:p>
      <w:pPr>
        <w:pStyle w:val="TextBody"/>
        <w:spacing w:lineRule="auto" w:line="288" w:before="60" w:after="283"/>
        <w:ind w:left="0" w:right="0" w:hanging="900"/>
        <w:rPr/>
      </w:pPr>
      <w:r>
        <w:rPr>
          <w:color w:val="000000"/>
        </w:rPr>
        <w:t>•</w:t>
      </w:r>
      <w:r>
        <w:rPr>
          <w:rFonts w:ascii="Times New Roman;sans-serif" w:hAnsi="Times New Roman;sans-serif"/>
          <w:b w:val="false"/>
          <w:color w:val="000000"/>
          <w:sz w:val="20"/>
        </w:rPr>
        <w:t>growth in our comparable property portfolio,</w:t>
      </w:r>
    </w:p>
    <w:p>
      <w:pPr>
        <w:pStyle w:val="TextBody"/>
        <w:spacing w:lineRule="auto" w:line="288" w:before="60" w:after="283"/>
        <w:ind w:left="0" w:right="0" w:hanging="900"/>
        <w:rPr/>
      </w:pPr>
      <w:r>
        <w:rPr>
          <w:color w:val="000000"/>
        </w:rPr>
        <w:t>•</w:t>
      </w:r>
      <w:r>
        <w:rPr>
          <w:rFonts w:ascii="Times New Roman;sans-serif" w:hAnsi="Times New Roman;sans-serif"/>
          <w:b w:val="false"/>
          <w:color w:val="000000"/>
          <w:sz w:val="20"/>
        </w:rPr>
        <w:t>growth in our portfolio from property redevelopments and expansions, and</w:t>
      </w:r>
    </w:p>
    <w:p>
      <w:pPr>
        <w:pStyle w:val="TextBody"/>
        <w:spacing w:lineRule="auto" w:line="288" w:before="60" w:after="283"/>
        <w:ind w:left="0" w:right="0" w:hanging="900"/>
        <w:rPr/>
      </w:pPr>
      <w:r>
        <w:rPr>
          <w:color w:val="000000"/>
        </w:rPr>
        <w:t>•</w:t>
      </w:r>
      <w:r>
        <w:rPr>
          <w:rFonts w:ascii="Times New Roman;sans-serif" w:hAnsi="Times New Roman;sans-serif"/>
          <w:b w:val="false"/>
          <w:color w:val="000000"/>
          <w:sz w:val="20"/>
        </w:rPr>
        <w:t>expansion of our portfolio through property acquisitions.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Although the general economic impacts of the elevated levels of inflation and rising interest rates are impacting us in the short-term, our long-term focus has not changed. See our 10-K filed on February 8, 2023, for discussion of our long-term strategies.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212529"/>
          <w:sz w:val="20"/>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2.0 </w:t>
      </w:r>
      <w:r>
        <w:rPr>
          <w:rFonts w:ascii="Times New Roman;sans-serif" w:hAnsi="Times New Roman;sans-serif"/>
          <w:b w:val="false"/>
          <w:color w:val="000000"/>
          <w:sz w:val="20"/>
        </w:rPr>
        <w:t>million</w:t>
      </w:r>
      <w:r>
        <w:rPr>
          <w:color w:val="212529"/>
        </w:rPr>
        <w:t xml:space="preserve"> </w:t>
      </w:r>
      <w:r>
        <w:rPr>
          <w:rFonts w:ascii="Times New Roman;sans-serif" w:hAnsi="Times New Roman;sans-serif"/>
          <w:b w:val="false"/>
          <w:color w:val="212529"/>
          <w:sz w:val="20"/>
        </w:rPr>
        <w:t>square feet of comparable space leasing we've completed in the last twelve months, and the 1.6% spread between our leased rate of 94.2% and our occupied rate of 92.6%. However, the effects of high levels of inflation and rising interest rates continue to negatively impact our business with the largest current impacts being increased material costs, higher interest costs, and higher operating costs. We continue to see impacts of increased costs for certain construction and other materials that support our development and redevelopment activities. Worsening supply change disruptions could also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rPr>
          <w:rFonts w:ascii="Times New Roman;sans-serif" w:hAnsi="Times New Roman;sans-serif"/>
          <w:b w:val="false"/>
          <w:color w:val="212529"/>
          <w:sz w:val="20"/>
        </w:rPr>
      </w:pPr>
      <w:r>
        <w:rPr>
          <w:rFonts w:ascii="Times New Roman;sans-serif" w:hAnsi="Times New Roman;sans-serif"/>
          <w:b w:val="false"/>
          <w:color w:val="212529"/>
          <w:sz w:val="20"/>
        </w:rPr>
        <w:t>The duration and severity of the current economic environment will depend on future developments, which are highly uncertain and cannot be fully predicted, however, we seek to position the Company to continue to participate in the resulting economic recovery.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continue to have several development projects in process being delivered as follows: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Phase IV at Pike &amp; Rose is a 276,000 square foot office building (which includes 10,000 square feet of ground floor retail space). Approximately 157,000 square feet of the office space is pre-leased to two tenants and approximately 5,000 square feet of retail space is pre-leased. The building is expected to cost between $185 million and $200 million, and begin delivering in late 2023.</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first phase of construction on Santana West includes an eight story 376,000 square foot office building, which is expected to cost between $315 million and $330 million.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Throughout the portfolio, we currently have redevelopment projects underway with a projected total cost of approximately $229 million that we expect to stabilize over the next several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2023, the leasable square feet in our properties was 94.2% leased and 92.6%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Lease Rollovers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we signed leases for a total of 524,000 square feet of retail space including 505,000 square feet of comparable space leases (leases for which there was a prior tenant) at an average rental increase of 11% on a cash basis. New leases for comparable spaces were signed for 242,000 square feet, with an average rental increase of 9% on a cash basis. Renewals for comparable spaces were signed for 262,000 square feet at a 14% average rental increase on a cash basis. Tenant improvements and incentives for comparable spaces were $39.47 per square foot, of which $79.20 per square foot was for new leases and $2.83 per square foot was for renewals for the three months ended March 31, 2023.</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require judgement by management in determining what are costs specific to the tenant and not deferred maintenance on the space.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Historically, we have executed comparable space leases for 1.4 to 2.0 million square feet of retail space each year. We expect the volume in 2023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leases signed in 2023 generally become effective over the following two years though some may not become effective until 2026 and beyond. Further, there is a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Comparable Properties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2023, all or a portion of 94 properties, respectively, were considered comparable properties and eight properties were considered non-comparable properties. For the three months ended March 31, 2023, one property was moved from comparable properties to non-comparable properties, four properties and one portion of a property were moved from acquisitions to comparable properties, and one property was removed from comparable properties, as it was sold; all compared to the designations as of December 31, 2022.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THREE MONTHS ENDED MARCH 31, 2023 AND 2022 </w:t>
      </w:r>
    </w:p>
    <w:tbl>
      <w:tblPr>
        <w:tblW w:w="9490" w:type="dxa"/>
        <w:jc w:val="left"/>
        <w:tblInd w:w="0" w:type="dxa"/>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316"/>
      </w:tblGrid>
      <w:tr>
        <w:trPr/>
        <w:tc>
          <w:tcPr>
            <w:tcW w:w="1537"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4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March 31, 2023 and 2022 is as follows:</w:t>
      </w:r>
    </w:p>
    <w:tbl>
      <w:tblPr>
        <w:tblW w:w="5259" w:type="dxa"/>
        <w:jc w:val="left"/>
        <w:tblInd w:w="0" w:type="dxa"/>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 of real estate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$16.3 million, or 6.3%, to $273.1 million in the three months ended March 31, 2023 compared to $256.8 million in the three months ended March 31, 2022. The percentage occupied at our shopping centers was 92.6% and 91.2% at March 31, 2023 and 2022, respectively. Changes in the components of property revenue are discussed below.</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Rental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Rental income consists primarily of minimum rent, cost reimbursements from tenants and percentage rent, and is net of collectibility related adjustments. Rental income increased $16.3 million, or 6.4%, to $272.8 million in the three months ended March 31, 2023 compared to $256.5 million in the three months ended March 31, 2022 due primarily to the following:</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an increase of $10.1 million from 2022 and 2023 acquisitions,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an increase of $6.3 million from non-comparable properties primarily driven by occupancy increases at Assembly Row Phase III, CocoWalk, Pike &amp; Rose Phase III, and Darien Commons,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an increase of $4.7 million from comparable properties primarily related to higher rental rates of $4.6 million, a $1.8 million increase in real estate tax and tenant recoveries on higher costs, higher average occupancy of approximately $1.7 million, and higher percentage rent and parking income of $0.6 million, partially offset by a $3.1 million decrease in common area maintenance ("CAM") recoveries primarily due to lower snow removal costs, and a $0.3 million increase in collectibility related adjustments, and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an increase of $1.0 million from improving demand at our Pike &amp; Rose hotel,</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 decrease of $3.3 million from property sales, and</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 decrease of $2.6 million from the deconsolidation of Escondido Promenade in the third quarter of 2022, which is now being recorded as an equity method investment.</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$1.0 million, or 1.2%, to $87.8 million in the three months ended March 31, 2023 compared to $86.8 million in the three months ended March 31, 2022. Changes in the components of property expenses are discussed below.</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Rental expenses decreased $1.0 million, or 1.8%, to $55.2 million in the three months ended March 31, 2023 compared to $56.2 million in the three months ended March 31, 2022. This decrease is primarily due to the following:</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 decrease of $2.0 million from comparable properties due primarily to lower snow removal costs, partially offset by higher repairs and maintenance costs and utilities, as 2022 had lower costs as a result of COVID-19 impacts as well as inflationary impacts in 2023, and</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a decrease of $1.4 million from property sales, </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an increase of $1.8 million from 2022 acquisitions, and</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an increase of $0.6 million from non-comparable properties driven by openings at Assembly Row Phase III and Darien Commons.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decreased to 20.2% in the three months ended March 31, 2023 from 21.9% in the three months ended March 31, 2022. </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$2.0 million, or 6.6%, to $32.6 million in the three months ended March 31, 2023 compared to $30.6 million in the three months ended March 31, 2022. This increase is primarily due to the following:</w:t>
      </w:r>
    </w:p>
    <w:p>
      <w:pPr>
        <w:pStyle w:val="TextBody"/>
        <w:spacing w:lineRule="auto" w:line="288" w:before="100" w:after="283"/>
        <w:ind w:left="0" w:right="0" w:hanging="270"/>
        <w:rPr/>
      </w:pPr>
      <w:r>
        <w:rPr>
          <w:color w:val="000000"/>
        </w:rPr>
        <w:t>•</w:t>
      </w:r>
      <w:r>
        <w:rPr>
          <w:rFonts w:ascii="Times New Roman;sans-serif" w:hAnsi="Times New Roman;sans-serif"/>
          <w:b w:val="false"/>
          <w:color w:val="000000"/>
          <w:sz w:val="20"/>
        </w:rPr>
        <w:t>an increase of $1.4 million from 2022 acquisitions, and</w:t>
      </w:r>
    </w:p>
    <w:p>
      <w:pPr>
        <w:pStyle w:val="TextBody"/>
        <w:spacing w:lineRule="auto" w:line="288" w:before="100" w:after="283"/>
        <w:ind w:left="0" w:right="0" w:hanging="270"/>
        <w:rPr/>
      </w:pPr>
      <w:r>
        <w:rPr>
          <w:color w:val="000000"/>
        </w:rPr>
        <w:t>•</w:t>
      </w:r>
      <w:r>
        <w:rPr>
          <w:rFonts w:ascii="Times New Roman;sans-serif" w:hAnsi="Times New Roman;sans-serif"/>
          <w:b w:val="false"/>
          <w:color w:val="000000"/>
          <w:sz w:val="20"/>
        </w:rPr>
        <w:t>an increase of $0.9 million from comparable properties due primarily to successful tax appeals recorded during 2022 and higher assessments.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increased $15.3 million, or 9.0%, to $185.3 million in the three months ended March 31, 2023 compared to $170.0 million in the three months ended March 31, 2022. This increase is primarily driven by 2022 and 2023 acquisitions, higher rental rates and occupancy at comparable properties, the 2022 openings at Assembly Row Phase III, and higher percentage rent and parking income, partially offset by 2022 property sales.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$7.0 million, or 9.7%, to $78.6 million in the three months ended March 31, 2023 from $71.7 million in the three months ended March 31, 2022. This increase is due primarily to property acquisitions, and placing redevelopment properties into service, partially offset by 2022 property sales and the 2022 deconsolidation of Escondido Promenade.</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$1.7 million gain on sale of real estate for the three months ended March 31, 2023 is due primarily to the sale of one retail property.</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increased $9.8 million, or 11.4%, to $95.8 million in the three months ended March 31, 2023 compared to $86.0 million in the three months ended March 31, 2022. This increase is primarily driven by higher occupancy and rental rates at comparable properties, the 2022 openings at Assembly Row Phase III, higher percentage rent and parking income, gain on the sale of real estate, and 2022 and 2023 acquisitions, partially offset by 2022 property sales.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Other</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Other Interest Income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interest income increased $0.5 million to $0.6 million in the three months ended March 31, 2023 compared to $0.1 million in the three months ended March 31, 2022. This increase is due primarily to higher interest earned due to higher interest rates on cash accounts. </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$7.7 million, or 24.2%, to $39.2 million in the three months ended March 31, 2023 compared to $31.6 million in the three months ended March 31, 2022. This increase is due primarily to the following:</w:t>
      </w:r>
    </w:p>
    <w:p>
      <w:pPr>
        <w:pStyle w:val="TextBody"/>
        <w:spacing w:lineRule="auto" w:line="288" w:before="100" w:after="283"/>
        <w:ind w:left="0" w:right="0" w:hanging="270"/>
        <w:rPr/>
      </w:pPr>
      <w:r>
        <w:rPr>
          <w:color w:val="000000"/>
        </w:rPr>
        <w:t>•</w:t>
      </w:r>
      <w:r>
        <w:rPr>
          <w:rFonts w:ascii="Times New Roman;sans-serif" w:hAnsi="Times New Roman;sans-serif"/>
          <w:b w:val="false"/>
          <w:color w:val="000000"/>
          <w:sz w:val="20"/>
        </w:rPr>
        <w:t>an increase of $5.6 million due to a higher overall weighted average borrowing rate, and</w:t>
      </w:r>
    </w:p>
    <w:p>
      <w:pPr>
        <w:pStyle w:val="TextBody"/>
        <w:spacing w:lineRule="auto" w:line="288" w:before="100" w:after="283"/>
        <w:ind w:left="0" w:right="0" w:hanging="270"/>
        <w:rPr/>
      </w:pPr>
      <w:r>
        <w:rPr>
          <w:color w:val="000000"/>
        </w:rPr>
        <w:t>•</w:t>
      </w:r>
      <w:r>
        <w:rPr>
          <w:rFonts w:ascii="Times New Roman;sans-serif" w:hAnsi="Times New Roman;sans-serif"/>
          <w:b w:val="false"/>
          <w:color w:val="000000"/>
          <w:sz w:val="20"/>
        </w:rPr>
        <w:t xml:space="preserve">an increase of $2.8 million due to higher weighted average borrowings,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spacing w:lineRule="auto" w:line="288" w:before="100" w:after="283"/>
        <w:ind w:left="0" w:right="0" w:hanging="270"/>
        <w:rPr/>
      </w:pPr>
      <w:r>
        <w:rPr>
          <w:color w:val="000000"/>
        </w:rPr>
        <w:t>•</w:t>
      </w:r>
      <w:r>
        <w:rPr>
          <w:rFonts w:ascii="Times New Roman;sans-serif" w:hAnsi="Times New Roman;sans-serif"/>
          <w:b w:val="false"/>
          <w:color w:val="000000"/>
          <w:sz w:val="20"/>
        </w:rPr>
        <w:t>an increase of $0.8 million in capitalized interest.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$44.6 million and $36.2 million in the three months ended March 31, 2023 and 2022, respectively. Capitalized interest was $5.4 million and $4.6 million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from Partnerships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Income from partnerships increased $0.3 million, or 161.9%, to $0.5 million in the three months ended March 31, 2023 compared to $0.2 million in the three months ended March 31, 2022. This increase is due primarily to operating results of Escondido Promenade, which is now recorded as an equity method investment following the deconsolidation during the third quarter of 2022.</w:t>
      </w:r>
    </w:p>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three months ended March 31, 2023 were approximately $89.9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of $99.4 million and $60.0 million outstanding on our $1.25 billion revolving credit facility. For the three months ended March 31, 2023, the weighted average amount of borrowings outstanding on our revolving credit facility was $49.7 million, and the weighted average interest rate, before amortization of debt fees, was 5.4%. We also have the capacity to issue up to $445.6 million in common shares under our ATM equity program.</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April 12, 2023, we issued $350.0 million of fixed rate senior unsecured notes that mature on May 1, 2028 and bear interest at 5.375%. A portion of the net proceeds from this transaction will be used to repay the $275.0 million of 2.75% senior unsecured notes that mature in June 2023. We have no other debt maturing for the remainder of 2023.</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Our overall capital requirements for the remainder of 2023 will be impacted by the overall economic environment including impacts of inflation, higher interest rates, and a potential recession, as well as acquisition opportunities and the level and general timing of our redevelopment and development activities. We currently have development and redevelopment projects in various stages of constructions with remaining costs of $250 million. We expect to incur the majority of these costs in the next two years. We expect overall capital costs to be at levels consistent with 2022, or slightly reduced as we complete current redevelopment projects, prepare vacant space for new tenants, and complete the current phase and start on the next phase of our larger mixed use development projects.</w:t>
      </w:r>
    </w:p>
    <w:p>
      <w:pPr>
        <w:pStyle w:val="TextBody"/>
        <w:spacing w:lineRule="auto" w:line="288" w:before="180" w:after="283"/>
        <w:rPr/>
      </w:pPr>
      <w:r>
        <w:rPr>
          <w:rFonts w:ascii="Times New Roman;sans-serif" w:hAnsi="Times New Roman;sans-serif"/>
          <w:b w:val="false"/>
          <w:color w:val="000000"/>
          <w:sz w:val="20"/>
        </w:rPr>
        <w:t xml:space="preserve">We believe cash flow from operations, the cash </w:t>
      </w:r>
      <w:r>
        <w:rPr>
          <w:rFonts w:ascii="Times New Roman;sans-serif" w:hAnsi="Times New Roman;sans-serif"/>
          <w:b w:val="false"/>
          <w:color w:val="212529"/>
          <w:sz w:val="20"/>
        </w:rPr>
        <w:t xml:space="preserve">on our balance sheet, and our </w:t>
      </w:r>
      <w:r>
        <w:rPr>
          <w:rFonts w:ascii="Times New Roman;sans-serif" w:hAnsi="Times New Roman;sans-serif"/>
          <w:b w:val="false"/>
          <w:color w:val="000000"/>
          <w:sz w:val="20"/>
        </w:rPr>
        <w:t>$1.25 billion</w:t>
      </w:r>
      <w:r>
        <w:rPr>
          <w:color w:val="212529"/>
        </w:rPr>
        <w:t xml:space="preserve"> </w:t>
      </w:r>
      <w:r>
        <w:rPr>
          <w:rFonts w:ascii="Times New Roman;sans-serif" w:hAnsi="Times New Roman;sans-serif"/>
          <w:b w:val="false"/>
          <w:color w:val="212529"/>
          <w:sz w:val="20"/>
        </w:rPr>
        <w:t xml:space="preserve">revolving credit facility will allow us to continue to operate our business in the short-term. </w:t>
      </w:r>
      <w:r>
        <w:rPr>
          <w:rFonts w:ascii="Times New Roman;sans-serif" w:hAnsi="Times New Roman;sans-serif"/>
          <w:b w:val="false"/>
          <w:color w:val="000000"/>
          <w:sz w:val="20"/>
        </w:rPr>
        <w:t>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spacing w:before="180" w:after="283"/>
        <w:rPr/>
      </w:pPr>
      <w:r>
        <w:rPr/>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Summary of Cash Flows</w:t>
      </w:r>
    </w:p>
    <w:tbl>
      <w:tblPr>
        <w:tblW w:w="7899" w:type="dxa"/>
        <w:jc w:val="left"/>
        <w:tblInd w:w="0" w:type="dxa"/>
        <w:tblCellMar>
          <w:top w:w="28" w:type="dxa"/>
          <w:left w:w="28" w:type="dxa"/>
          <w:bottom w:w="28" w:type="dxa"/>
          <w:right w:w="28" w:type="dxa"/>
        </w:tblCellMar>
      </w:tblPr>
      <w:tblGrid>
        <w:gridCol w:w="1895"/>
        <w:gridCol w:w="1668"/>
        <w:gridCol w:w="1672"/>
        <w:gridCol w:w="211"/>
        <w:gridCol w:w="826"/>
        <w:gridCol w:w="109"/>
        <w:gridCol w:w="109"/>
        <w:gridCol w:w="109"/>
        <w:gridCol w:w="109"/>
        <w:gridCol w:w="211"/>
        <w:gridCol w:w="826"/>
        <w:gridCol w:w="154"/>
      </w:tblGrid>
      <w:tr>
        <w:trPr/>
        <w:tc>
          <w:tcPr>
            <w:tcW w:w="1895"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$39.9 million to $143.0 million during the three months ended March 31, 2023 from $103.1 million during the three months ended March 31, 2022. The increase was primarily attributable to the timing of payments, higher collections related to year end recovery billings, and higher net income before adjusting for non-cash items and the gain on sale of real estate.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$12.6 million to $100.8 million during the three months ended March 31, 2023 from $88.2 million during the three months ended March 31, 2022. The increase was primarily attributable to:</w:t>
      </w:r>
    </w:p>
    <w:p>
      <w:pPr>
        <w:pStyle w:val="TextBody"/>
        <w:spacing w:lineRule="auto" w:line="256" w:before="60" w:after="283"/>
        <w:ind w:left="0" w:right="0" w:hanging="270"/>
        <w:rPr/>
      </w:pPr>
      <w:r>
        <w:rPr>
          <w:color w:val="000000"/>
        </w:rPr>
        <w:t>•</w:t>
      </w:r>
      <w:r>
        <w:rPr>
          <w:rFonts w:ascii="Times New Roman;sans-serif" w:hAnsi="Times New Roman;sans-serif"/>
          <w:b w:val="false"/>
          <w:color w:val="000000"/>
          <w:sz w:val="20"/>
        </w:rPr>
        <w:t>a $35.3 million increase in acquisition of real estate due to the January 2023 Huntington Square acquisition (see Note 3 to the consolidated financial statements for additional information),</w:t>
      </w:r>
    </w:p>
    <w:p>
      <w:pPr>
        <w:pStyle w:val="TextBody"/>
        <w:spacing w:lineRule="auto" w:line="256" w:before="60" w:after="283"/>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spacing w:lineRule="auto" w:line="256" w:before="60" w:after="283"/>
        <w:ind w:left="0" w:right="0" w:hanging="270"/>
        <w:rPr/>
      </w:pPr>
      <w:r>
        <w:rPr>
          <w:color w:val="000000"/>
        </w:rPr>
        <w:t>•</w:t>
      </w:r>
      <w:r>
        <w:rPr>
          <w:rFonts w:ascii="Times New Roman;sans-serif" w:hAnsi="Times New Roman;sans-serif"/>
          <w:b w:val="false"/>
          <w:color w:val="000000"/>
          <w:sz w:val="20"/>
        </w:rPr>
        <w:t>$12.6 million of net proceeds from the sale of one retail property during the three months ended March 31, 2023, and</w:t>
      </w:r>
    </w:p>
    <w:p>
      <w:pPr>
        <w:pStyle w:val="TextBody"/>
        <w:spacing w:lineRule="auto" w:line="256" w:before="60" w:after="283"/>
        <w:ind w:left="0" w:right="0" w:hanging="270"/>
        <w:rPr/>
      </w:pPr>
      <w:r>
        <w:rPr>
          <w:color w:val="000000"/>
        </w:rPr>
        <w:t>•</w:t>
      </w:r>
      <w:r>
        <w:rPr>
          <w:rFonts w:ascii="Times New Roman;sans-serif" w:hAnsi="Times New Roman;sans-serif"/>
          <w:b w:val="false"/>
          <w:color w:val="000000"/>
          <w:sz w:val="20"/>
        </w:rPr>
        <w:t>an $8.5 million decrease in capital expenditures.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$19.4 million to $31.3 million during the three months ended March 31, 2023 from $11.8 million during the three months ended March 31, 2022. The increase was primarily attributable to:</w:t>
      </w:r>
    </w:p>
    <w:p>
      <w:pPr>
        <w:pStyle w:val="TextBody"/>
        <w:spacing w:lineRule="auto" w:line="256" w:before="60" w:after="283"/>
        <w:ind w:left="0" w:right="0" w:hanging="270"/>
        <w:rPr/>
      </w:pPr>
      <w:r>
        <w:rPr>
          <w:color w:val="000000"/>
        </w:rPr>
        <w:t>•</w:t>
      </w:r>
      <w:r>
        <w:rPr>
          <w:rFonts w:ascii="Times New Roman;sans-serif" w:hAnsi="Times New Roman;sans-serif"/>
          <w:b w:val="false"/>
          <w:color w:val="000000"/>
          <w:sz w:val="20"/>
        </w:rPr>
        <w:t>a $76.6 million decrease in net proceeds from the issuance of common shares under our ATM program, and</w:t>
      </w:r>
    </w:p>
    <w:p>
      <w:pPr>
        <w:pStyle w:val="TextBody"/>
        <w:spacing w:lineRule="auto" w:line="256" w:before="60" w:after="283"/>
        <w:ind w:left="0" w:right="0" w:hanging="270"/>
        <w:rPr/>
      </w:pPr>
      <w:r>
        <w:rPr>
          <w:color w:val="000000"/>
        </w:rPr>
        <w:t>•</w:t>
      </w:r>
      <w:r>
        <w:rPr>
          <w:rFonts w:ascii="Times New Roman;sans-serif" w:hAnsi="Times New Roman;sans-serif"/>
          <w:b w:val="false"/>
          <w:color w:val="000000"/>
          <w:sz w:val="20"/>
        </w:rPr>
        <w:t>a $3.7 million increase in dividends paid to common and preferred shareholders due to an increase in the number of outstanding shares, as well as an increase to the common share dividend rate.</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spacing w:lineRule="auto" w:line="256" w:before="60" w:after="283"/>
        <w:ind w:left="0" w:right="0" w:hanging="270"/>
        <w:rPr/>
      </w:pPr>
      <w:r>
        <w:rPr>
          <w:color w:val="000000"/>
        </w:rPr>
        <w:t>•</w:t>
      </w:r>
      <w:r>
        <w:rPr>
          <w:rFonts w:ascii="Times New Roman;sans-serif" w:hAnsi="Times New Roman;sans-serif"/>
          <w:b w:val="false"/>
          <w:color w:val="000000"/>
          <w:sz w:val="20"/>
        </w:rPr>
        <w:t>$60.0 million of borrowings on our revolving credit facility.</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Debt Financing Arrangements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March 31, 2023:</w:t>
      </w:r>
    </w:p>
    <w:tbl>
      <w:tblPr>
        <w:tblW w:w="10205" w:type="dxa"/>
        <w:jc w:val="left"/>
        <w:tblInd w:w="0" w:type="dxa"/>
        <w:tblCellMar>
          <w:top w:w="28" w:type="dxa"/>
          <w:left w:w="28" w:type="dxa"/>
          <w:bottom w:w="28" w:type="dxa"/>
          <w:right w:w="28" w:type="dxa"/>
        </w:tblCellMar>
      </w:tblPr>
      <w:tblGrid>
        <w:gridCol w:w="807"/>
        <w:gridCol w:w="698"/>
        <w:gridCol w:w="702"/>
        <w:gridCol w:w="435"/>
        <w:gridCol w:w="436"/>
        <w:gridCol w:w="258"/>
        <w:gridCol w:w="109"/>
        <w:gridCol w:w="109"/>
        <w:gridCol w:w="109"/>
        <w:gridCol w:w="398"/>
        <w:gridCol w:w="1770"/>
        <w:gridCol w:w="221"/>
        <w:gridCol w:w="109"/>
        <w:gridCol w:w="109"/>
        <w:gridCol w:w="109"/>
        <w:gridCol w:w="433"/>
        <w:gridCol w:w="352"/>
        <w:gridCol w:w="828"/>
        <w:gridCol w:w="109"/>
        <w:gridCol w:w="109"/>
        <w:gridCol w:w="109"/>
        <w:gridCol w:w="502"/>
        <w:gridCol w:w="502"/>
        <w:gridCol w:w="504"/>
        <w:gridCol w:w="109"/>
        <w:gridCol w:w="109"/>
        <w:gridCol w:w="160"/>
      </w:tblGrid>
      <w:tr>
        <w:trPr/>
        <w:tc>
          <w:tcPr>
            <w:tcW w:w="80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77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w:t>
              <w:br/>
              <w:t>Debt</w:t>
              <w:br/>
              <w:t>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1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11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11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11,761 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(1)</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56,450 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54,699 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LIBOR + 1.95%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 (2)</w:t>
            </w:r>
          </w:p>
        </w:tc>
        <w:tc>
          <w:tcPr>
            <w:tcW w:w="11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30,626 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11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319,910 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(3) (5)</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2024</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(3) (4) (5)</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7,749 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662,913 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1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(5)</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1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2.75% notes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2023</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2024</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3,419,200 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(11,096)</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3,408,104 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net</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4,389,405 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(1)On November 26, 2019, we entered into two interest rate swap agreements that fix the interest rate on this mortgage loan at 3.67%.</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interest rates on these mortgages range from 3.91% to 5.00%.</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(3)Our revolving credit facility SOFR loans bear interest at Daily Simple SOFR or Term SOFR, and our term loan bears interest at Term SOFR as defined in the credit agreement, plus 0.10%, plus a spread, based on our current credit rating.</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(4)The maximum amount drawn under our revolving credit facility during the three months ended March 31, 2023 was $80.5 million and the weighted average interest rate on borrowings under our revolving credit facility, before amortization of debt fees, was 5.4%. </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Operating Partnership is the obligor under our revolving credit facility, term loan, and senior notes and debentures.</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(6)The interest rates on these notes payable range from 3.00% to 11.31%.</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facility, unsecured term loan, and other debt agreements include financial and other covenants that may limit our operating activities in the future. As of March 31, 2023,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scheduled principal repayments as of March 31, 2023:</w:t>
      </w:r>
    </w:p>
    <w:p>
      <w:pPr>
        <w:pStyle w:val="TextBody"/>
        <w:spacing w:lineRule="auto" w:line="288" w:before="0" w:after="0"/>
        <w:rPr>
          <w:color w:val="000000"/>
        </w:rPr>
      </w:pPr>
      <w:r>
        <w:rPr>
          <w:color w:val="000000"/>
        </w:rPr>
        <w:t> </w:t>
      </w:r>
    </w:p>
    <w:tbl>
      <w:tblPr>
        <w:tblW w:w="5971" w:type="dxa"/>
        <w:jc w:val="left"/>
        <w:tblInd w:w="0" w:type="dxa"/>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09"/>
        <w:gridCol w:w="109"/>
        <w:gridCol w:w="109"/>
        <w:gridCol w:w="109"/>
        <w:gridCol w:w="146"/>
        <w:gridCol w:w="211"/>
        <w:gridCol w:w="976"/>
        <w:gridCol w:w="109"/>
        <w:gridCol w:w="110"/>
        <w:gridCol w:w="110"/>
        <w:gridCol w:w="155"/>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08" w:type="dxa"/>
            <w:gridSpan w:val="1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46" w:type="dxa"/>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71" w:type="dxa"/>
            <w:gridSpan w:val="6"/>
            <w:tcBorders/>
            <w:shd w:fill="auto" w:val="clea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spacing w:lineRule="auto" w:line="288" w:before="0" w:after="0"/>
        <w:rPr/>
      </w:pPr>
      <w:r>
        <w:rPr>
          <w:rFonts w:ascii="Times New Roman;sans-serif" w:hAnsi="Times New Roman;sans-serif"/>
          <w:b w:val="false"/>
          <w:color w:val="000000"/>
          <w:sz w:val="20"/>
        </w:rPr>
        <w:t>__________________</w:t>
      </w:r>
      <w:r>
        <w:rPr>
          <w:color w:val="000000"/>
          <w:highlight w:val="white"/>
        </w:rPr>
        <w:t>    </w:t>
      </w:r>
    </w:p>
    <w:p>
      <w:pPr>
        <w:pStyle w:val="TextBody"/>
        <w:spacing w:lineRule="auto" w:line="288" w:before="60" w:after="283"/>
        <w:ind w:left="0" w:right="0" w:hanging="630"/>
        <w:rPr/>
      </w:pPr>
      <w:r>
        <w:rPr>
          <w:rFonts w:ascii="Times New Roman;sans-serif" w:hAnsi="Times New Roman;sans-serif"/>
          <w:b w:val="false"/>
          <w:color w:val="000000"/>
          <w:sz w:val="20"/>
        </w:rPr>
        <w:t>(1)</w:t>
      </w:r>
      <w:r>
        <w:rPr>
          <w:rFonts w:ascii="Times New Roman;sans-serif" w:hAnsi="Times New Roman;sans-serif"/>
          <w:b w:val="false"/>
          <w:color w:val="000000"/>
          <w:sz w:val="20"/>
          <w:highlight w:val="white"/>
        </w:rPr>
        <w:t>Our</w:t>
      </w:r>
      <w:r>
        <w:rPr>
          <w:color w:val="000000"/>
        </w:rPr>
        <w:t xml:space="preserve"> </w:t>
      </w:r>
      <w:r>
        <w:rPr>
          <w:rFonts w:ascii="Times New Roman;sans-serif" w:hAnsi="Times New Roman;sans-serif"/>
          <w:b w:val="false"/>
          <w:color w:val="000000"/>
          <w:sz w:val="20"/>
        </w:rPr>
        <w:t xml:space="preserve">$600.0 million term loan matures on April 16, 2024, plus two one-year extensions at our option to April 16, 2026. </w:t>
      </w:r>
    </w:p>
    <w:p>
      <w:pPr>
        <w:pStyle w:val="TextBody"/>
        <w:spacing w:lineRule="auto" w:line="288" w:before="60" w:after="283"/>
        <w:ind w:left="0" w:right="0" w:hanging="630"/>
        <w:rPr/>
      </w:pPr>
      <w:r>
        <w:rPr>
          <w:rFonts w:ascii="Times New Roman;sans-serif" w:hAnsi="Times New Roman;sans-serif"/>
          <w:b w:val="false"/>
          <w:color w:val="000000"/>
          <w:sz w:val="20"/>
        </w:rPr>
        <w:t>(2)</w:t>
      </w:r>
      <w:r>
        <w:rPr>
          <w:rFonts w:ascii="Times New Roman;sans-serif" w:hAnsi="Times New Roman;sans-serif"/>
          <w:b w:val="false"/>
          <w:color w:val="000000"/>
          <w:sz w:val="20"/>
          <w:highlight w:val="white"/>
        </w:rPr>
        <w:t xml:space="preserve">Our $1.25 billion revolving credit facility matures on April 5, 2027, plus two six-month extensions at our option to April 5, 2028. As of </w:t>
      </w:r>
      <w:r>
        <w:rPr>
          <w:rFonts w:ascii="Times New Roman;sans-serif" w:hAnsi="Times New Roman;sans-serif"/>
          <w:b w:val="false"/>
          <w:color w:val="000000"/>
          <w:sz w:val="20"/>
        </w:rPr>
        <w:t xml:space="preserve">March 31, 2023, there was $60.0 million outstanding under this credit facility. </w:t>
      </w:r>
    </w:p>
    <w:p>
      <w:pPr>
        <w:pStyle w:val="TextBody"/>
        <w:spacing w:lineRule="auto" w:line="288" w:before="6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(3)The total debt maturities differ from the total reported on the consolidated balance sheets due to the unamortized net debt issuance costs and premium/discount on mortgage loans, notes payable, and senior notes as of March 31, 2023.</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Rate Hedging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two interest rate swap agreements that effectively fix the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earnings as of March 31, 2023.</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REIT Qualification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spacing w:lineRule="auto" w:line="288" w:before="60" w:after="283"/>
        <w:ind w:left="0" w:right="0" w:hanging="900"/>
        <w:rPr/>
      </w:pPr>
      <w:r>
        <w:rPr>
          <w:color w:val="000000"/>
        </w:rPr>
        <w:t>•</w:t>
      </w:r>
      <w:r>
        <w:rPr>
          <w:rFonts w:ascii="Times New Roman;sans-serif" w:hAnsi="Times New Roman;sans-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spacing w:lineRule="auto" w:line="288" w:before="60" w:after="283"/>
        <w:ind w:left="0" w:right="0" w:hanging="900"/>
        <w:rPr/>
      </w:pPr>
      <w:r>
        <w:rPr>
          <w:color w:val="000000"/>
        </w:rPr>
        <w:t>•</w:t>
      </w:r>
      <w:r>
        <w:rPr>
          <w:rFonts w:ascii="Times New Roman;sans-serif" w:hAnsi="Times New Roman;sans-serif"/>
          <w:b w:val="false"/>
          <w:color w:val="000000"/>
          <w:sz w:val="20"/>
        </w:rPr>
        <w:t>should not be considered an alternative to net income as an indication of our performance; and</w:t>
      </w:r>
    </w:p>
    <w:p>
      <w:pPr>
        <w:pStyle w:val="TextBody"/>
        <w:spacing w:lineRule="auto" w:line="288" w:before="60" w:after="283"/>
        <w:ind w:left="0" w:right="0" w:hanging="900"/>
        <w:rPr/>
      </w:pPr>
      <w:r>
        <w:rPr>
          <w:color w:val="000000"/>
        </w:rPr>
        <w:t>•</w:t>
      </w:r>
      <w:r>
        <w:rPr>
          <w:rFonts w:ascii="Times New Roman;sans-serif" w:hAnsi="Times New Roman;sans-serif"/>
          <w:b w:val="false"/>
          <w:color w:val="000000"/>
          <w:sz w:val="20"/>
        </w:rPr>
        <w:t>is not necessarily indicative of cash flow as a measure of liquidity or ability to fund cash needs, including the payment of dividends.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to FFO available for common shareholders is as follows:</w:t>
      </w:r>
    </w:p>
    <w:p>
      <w:pPr>
        <w:pStyle w:val="TextBody"/>
        <w:spacing w:before="0" w:after="0"/>
        <w:rPr/>
      </w:pPr>
      <w:r>
        <w:rPr/>
      </w:r>
    </w:p>
    <w:tbl>
      <w:tblPr>
        <w:tblW w:w="9865" w:type="dxa"/>
        <w:jc w:val="left"/>
        <w:tblInd w:w="0" w:type="dxa"/>
        <w:tblCellMar>
          <w:top w:w="28" w:type="dxa"/>
          <w:left w:w="28" w:type="dxa"/>
          <w:bottom w:w="28" w:type="dxa"/>
          <w:right w:w="28" w:type="dxa"/>
        </w:tblCellMar>
      </w:tblPr>
      <w:tblGrid>
        <w:gridCol w:w="2361"/>
        <w:gridCol w:w="2073"/>
        <w:gridCol w:w="2091"/>
        <w:gridCol w:w="109"/>
        <w:gridCol w:w="109"/>
        <w:gridCol w:w="128"/>
        <w:gridCol w:w="128"/>
        <w:gridCol w:w="248"/>
        <w:gridCol w:w="972"/>
        <w:gridCol w:w="128"/>
        <w:gridCol w:w="109"/>
        <w:gridCol w:w="109"/>
        <w:gridCol w:w="109"/>
        <w:gridCol w:w="211"/>
        <w:gridCol w:w="826"/>
        <w:gridCol w:w="154"/>
      </w:tblGrid>
      <w:tr>
        <w:trPr/>
        <w:tc>
          <w:tcPr>
            <w:tcW w:w="2361"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8" w:type="dxa"/>
            <w:gridSpan w:val="6"/>
            <w:tcBorders/>
            <w:shd w:fill="auto" w:val="clear"/>
          </w:tcPr>
          <w:p>
            <w:pPr>
              <w:pStyle w:val="TableContents"/>
              <w:spacing w:before="0" w:after="283"/>
              <w:rPr>
                <w:sz w:val="4"/>
                <w:szCs w:val="4"/>
              </w:rPr>
            </w:pPr>
            <w:r>
              <w:rPr>
                <w:sz w:val="4"/>
                <w:szCs w:val="4"/>
              </w:rPr>
            </w:r>
          </w:p>
        </w:tc>
      </w:tr>
      <w:tr>
        <w:trPr/>
        <w:tc>
          <w:tcPr>
            <w:tcW w:w="6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6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81,877 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 per diluted share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(1)For the three months ended March 31, 2023 and 2022, dividends on our Series 1 preferred stock were not deducted in the calculation of FFO available to common shareholders, as the related shares were dilutive and included in "weighted average common shares, diluted." </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dilutive EPS for these periods.</w:t>
      </w:r>
    </w:p>
    <w:p>
      <w:pPr>
        <w:pStyle w:val="TextBody"/>
        <w:spacing w:before="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Fixed Interest Rate Debt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March 31, 2023, we had $3.7 billion of fixed-rate debt outstanding, including $54.7 million of mortgage payables for which the rate is effectively fixed by two interest rate swap agreements. If market interest rates used to calculate the fair value on our fixed-rate debt instruments at March 31, 2023 had been 1.0% higher, the fair value of those debt instruments on that date would have decreased by approximately $163.1 million. If market interest rates used to calculate the fair value on our fixed-rate debt instruments at March 31, 2023 had been 1.0% lower, the fair value of those debt instruments on that date would have increased by approximately $183.3 million.</w:t>
      </w:r>
    </w:p>
    <w:p>
      <w:pPr>
        <w:pStyle w:val="TextBody"/>
        <w:spacing w:lineRule="auto" w:line="288"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Variable Interest Rate Debt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Generally, we believe that our primary interest rate risk is due to fluctuations in interest rates on our outstanding variable rate debt. At March 31, 2023, we had $660.0 million of variable rate debt outstanding (the principal balance on our unsecured term loan and $60.0 million outstanding on our revolving credit facility). Based upon this amount of variable rate debt and the specific terms, if market interest rates increased 1.0%, our annual interest expense would increase approximately $6.6 million with a corresponding decrease in our net income and cash flows for the year. Conversely, if market interest rates decreased 1.0%, our annual interest expense would decrease by approximately $6.6 million with a corresponding increase in our net income and cash flows for the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Controls and Procedures (Federal Realty Investment Trust)</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Trust's disclosure controls and procedures as of March 31, 2023. Based on this evaluation, our management, including our Chief Executive Officer and Chief Financial Officer, concluded that the Trust's disclosure controls and procedures were effective as of March 31, 2023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Controls and Procedures (Federal Realty OP LP)</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March 31, 2023. Based on this evaluation, our management, including our Chief Executive Officer and Chief Financial Officer, concluded that the Operating Partnership's disclosure controls and procedures were effective as of March 31, 2023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in any of our legal proceedings since the disclosure contained in our Annual Report to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Annual Report to our Form 10-K for the year ended December 31, 2022 filed with the SEC on February 8,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March 31, 2023, we redeemed 7,523 downREIT operating partnership units for common shares.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From time to time, we could be deemed to have repurchased shares as a result of shares withheld for tax purposes upon a stock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compensation related vesting event.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Quarterly Report on Form 10-Q is set forth on the Exhibit Index immediately preceding such exhibits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54"/>
        <w:gridCol w:w="222"/>
        <w:gridCol w:w="224"/>
        <w:gridCol w:w="121"/>
        <w:gridCol w:w="121"/>
        <w:gridCol w:w="121"/>
        <w:gridCol w:w="3053"/>
        <w:gridCol w:w="2688"/>
        <w:gridCol w:w="2696"/>
        <w:gridCol w:w="109"/>
        <w:gridCol w:w="109"/>
        <w:gridCol w:w="109"/>
        <w:gridCol w:w="109"/>
        <w:gridCol w:w="109"/>
        <w:gridCol w:w="160"/>
      </w:tblGrid>
      <w:tr>
        <w:trPr/>
        <w:tc>
          <w:tcPr>
            <w:tcW w:w="25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053"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5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3312023ex31.htm">
              <w:r>
                <w:rPr>
                  <w:rStyle w:val="InternetLink"/>
                  <w:rFonts w:ascii="Times New Roman;sans-serif" w:hAnsi="Times New Roman;sans-serif"/>
                  <w:b w:val="false"/>
                  <w:color w:val="0000FF"/>
                  <w:sz w:val="20"/>
                  <w:u w:val="single"/>
                </w:rPr>
                <w:t>3.1</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the Parent Company dated January 1, 2022, as amended February 7, 2023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03312023xex311.htm">
              <w:r>
                <w:rPr>
                  <w:rStyle w:val="InternetLink"/>
                  <w:rFonts w:ascii="Times New Roman;sans-serif" w:hAnsi="Times New Roman;sans-serif"/>
                  <w:b w:val="false"/>
                  <w:color w:val="0000FF"/>
                  <w:sz w:val="20"/>
                  <w:u w:val="single"/>
                </w:rPr>
                <w:t>31.1</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Investment Trust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03312023xex312.htm">
              <w:r>
                <w:rPr>
                  <w:rStyle w:val="InternetLink"/>
                  <w:rFonts w:ascii="Times New Roman;sans-serif" w:hAnsi="Times New Roman;sans-serif"/>
                  <w:b w:val="false"/>
                  <w:color w:val="0000FF"/>
                  <w:sz w:val="20"/>
                  <w:u w:val="single"/>
                </w:rPr>
                <w:t>31.2</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Investment Trust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03312023xex313.htm">
              <w:r>
                <w:rPr>
                  <w:rStyle w:val="InternetLink"/>
                  <w:rFonts w:ascii="Times New Roman;sans-serif" w:hAnsi="Times New Roman;sans-serif"/>
                  <w:b w:val="false"/>
                  <w:color w:val="0000FF"/>
                  <w:sz w:val="20"/>
                  <w:u w:val="single"/>
                </w:rPr>
                <w:t>31.3</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OP LP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03312023xex314.htm">
              <w:r>
                <w:rPr>
                  <w:rStyle w:val="InternetLink"/>
                  <w:rFonts w:ascii="Times New Roman;sans-serif" w:hAnsi="Times New Roman;sans-serif"/>
                  <w:b w:val="false"/>
                  <w:color w:val="0000FF"/>
                  <w:sz w:val="20"/>
                  <w:u w:val="single"/>
                </w:rPr>
                <w:t>31.4</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OP LP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03312023xex321.htm">
              <w:r>
                <w:rPr>
                  <w:rStyle w:val="InternetLink"/>
                  <w:rFonts w:ascii="Times New Roman;sans-serif" w:hAnsi="Times New Roman;sans-serif"/>
                  <w:b w:val="false"/>
                  <w:color w:val="0000FF"/>
                  <w:sz w:val="20"/>
                  <w:u w:val="single"/>
                </w:rPr>
                <w:t>32.1</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Investment Trust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03312023xex322.htm">
              <w:r>
                <w:rPr>
                  <w:rStyle w:val="InternetLink"/>
                  <w:rFonts w:ascii="Times New Roman;sans-serif" w:hAnsi="Times New Roman;sans-serif"/>
                  <w:b w:val="false"/>
                  <w:color w:val="0000FF"/>
                  <w:sz w:val="20"/>
                  <w:u w:val="single"/>
                </w:rPr>
                <w:t>32.2</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Investment Trust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03312023xex323.htm">
              <w:r>
                <w:rPr>
                  <w:rStyle w:val="InternetLink"/>
                  <w:rFonts w:ascii="Times New Roman;sans-serif" w:hAnsi="Times New Roman;sans-serif"/>
                  <w:b w:val="false"/>
                  <w:color w:val="0000FF"/>
                  <w:sz w:val="20"/>
                  <w:u w:val="single"/>
                </w:rPr>
                <w:t>32.3</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OP LP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frt-03312023xex324.htm">
              <w:r>
                <w:rPr>
                  <w:rStyle w:val="InternetLink"/>
                  <w:rFonts w:ascii="Times New Roman;sans-serif" w:hAnsi="Times New Roman;sans-serif"/>
                  <w:b w:val="false"/>
                  <w:color w:val="0000FF"/>
                  <w:sz w:val="20"/>
                  <w:u w:val="single"/>
                </w:rPr>
                <w:t>32.4</w:t>
              </w:r>
            </w:hyperlink>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OP LP (filed 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Federal Realty Investment Trust’s Quarterly Report on Form 10-Q for the quarter ended March 31, 2023,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authorized.</w:t>
      </w:r>
    </w:p>
    <w:p>
      <w:pPr>
        <w:pStyle w:val="TextBody"/>
        <w:spacing w:before="0" w:after="0"/>
        <w:rPr/>
      </w:pPr>
      <w:r>
        <w:rPr/>
      </w:r>
    </w:p>
    <w:tbl>
      <w:tblPr>
        <w:tblW w:w="5457" w:type="dxa"/>
        <w:jc w:val="left"/>
        <w:tblInd w:w="0" w:type="dxa"/>
        <w:tblCellMar>
          <w:top w:w="28" w:type="dxa"/>
          <w:left w:w="28" w:type="dxa"/>
          <w:bottom w:w="28" w:type="dxa"/>
          <w:right w:w="28" w:type="dxa"/>
        </w:tblCellMar>
      </w:tblPr>
      <w:tblGrid>
        <w:gridCol w:w="417"/>
        <w:gridCol w:w="368"/>
        <w:gridCol w:w="370"/>
        <w:gridCol w:w="109"/>
        <w:gridCol w:w="109"/>
        <w:gridCol w:w="109"/>
        <w:gridCol w:w="1163"/>
        <w:gridCol w:w="1163"/>
        <w:gridCol w:w="1649"/>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5457" w:type="dxa"/>
        <w:jc w:val="center"/>
        <w:tblInd w:w="0" w:type="dxa"/>
        <w:tblCellMar>
          <w:top w:w="28" w:type="dxa"/>
          <w:left w:w="28" w:type="dxa"/>
          <w:bottom w:w="28" w:type="dxa"/>
          <w:right w:w="28" w:type="dxa"/>
        </w:tblCellMar>
      </w:tblPr>
      <w:tblGrid>
        <w:gridCol w:w="417"/>
        <w:gridCol w:w="368"/>
        <w:gridCol w:w="370"/>
        <w:gridCol w:w="109"/>
        <w:gridCol w:w="109"/>
        <w:gridCol w:w="109"/>
        <w:gridCol w:w="1163"/>
        <w:gridCol w:w="1163"/>
        <w:gridCol w:w="1649"/>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before="0" w:after="0"/>
        <w:rPr/>
      </w:pPr>
      <w:r>
        <w:rPr/>
        <w:drawing>
          <wp:inline distT="0" distB="63500" distL="0" distR="0">
            <wp:extent cx="5943600" cy="885825"/>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5"/>
                    <a:stretch>
                      <a:fillRect/>
                    </a:stretch>
                  </pic:blipFill>
                  <pic:spPr bwMode="auto">
                    <a:xfrm>
                      <a:off x="0" y="0"/>
                      <a:ext cx="5943600" cy="885825"/>
                    </a:xfrm>
                    <a:prstGeom prst="rect">
                      <a:avLst/>
                    </a:prstGeom>
                  </pic:spPr>
                </pic:pic>
              </a:graphicData>
            </a:graphic>
          </wp:inline>
        </w:drawing>
      </w:r>
    </w:p>
    <w:p>
      <w:pPr>
        <w:pStyle w:val="TextBody"/>
        <w:spacing w:before="0" w:after="0"/>
        <w:jc w:val="center"/>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Federal Realty Investment Trust f/k/a FRT Holdco REIT</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Amended and Restated Bylaws</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(Effective as of January 1, 2022)</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I</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OFFICES</w:t>
      </w:r>
    </w:p>
    <w:p>
      <w:pPr>
        <w:pStyle w:val="TextBody"/>
        <w:spacing w:before="0" w:after="0"/>
        <w:rPr/>
      </w:pPr>
      <w:r>
        <w:rPr/>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PRINCIPAL OFFICE. The principal office of the Trust shall be located at such place or places as the Board of Trustees (“Board”) may designate.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ADDITIONAL OFFICES. The Trust may have additional offices at such places as the Board may from time to time determine or the business of the Trust may require.</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II</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MEETINGS OF SHAREHOLDERS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PLACE. All meetings of shareholders shall be held at the principal executive office of the Trust or at such other place within the United States as shall be stated in the notice of the meeting. In determining the location of any meeting of shareholders, the Board may determine that the meeting not be held at any place, but instead may be held solely by means of remote communication. If a meeting is held solely by means of remote communication, the Trust shall implement reasonable measures (a) to verify that each person considered present and authorized to vote at the meeting by means of remote communication is a shareholder or proxy holder and (b) to provide the shareholders and proxy holders a reasonable opportunity to participate in the meeting and to vote on matters submitted to the shareholders, including an opportunity to read or hear the proceedings of the meeting substantially concurrently with the proceedings.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2022. Failure to hold an annual meeting does not invalidate the Trust’s existence or affect any otherwise valid acts of the Trust.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pStyle w:val="TextBody"/>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Section 8. VOTING. In any uncontested election, a majority of all the votes cast at a meeting of shareholders duly called and at which a quorum is present shall be required to elect a Trustee. A majority of the votes cast means that the number of shares voted “for” a Trustee must exceed 50% of the votes cast with respect to that Trustee. In any contested election (in which the number of nominees exceeds the number of trustees to be elected),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 </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pStyle w:val="TextBody"/>
        <w:spacing w:before="0" w:after="0"/>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pStyle w:val="TextBody"/>
        <w:spacing w:before="0" w:after="0"/>
        <w:rPr/>
      </w:pPr>
      <w:r>
        <w:rPr/>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13. NOMINATIONS AND PROPOSALS BY SHAREHOLDERS.</w:t>
      </w:r>
    </w:p>
    <w:p>
      <w:pPr>
        <w:pStyle w:val="TextBody"/>
        <w:spacing w:before="0" w:after="0"/>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(a) Annual Meetings of Shareholders. Nominations of persons for election to the Board and the proposal of business to be considered by the shareholders may be made at an annual meeting of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shareholders: (i) pursuant to the Trust’s notice of meeting; (ii) by or at the direction of the Trustees; or (iii) by any shareholder of the Trust in accordance with the requirements of Section 13.</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(b) Shareholder Nominees in Proxy Statement</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(1) Subject to the provisions of this Section 13(b), the Trust shall include in its proxy statement and ballot for any annual meeting of shareholders the name of any person nominated for election (the “Nominee”), by any Eligible Holder (as defined below) or group of up to 20 Eligible Holders that has (individually and collectively, in the case of a group) satisfied, as determined by the Board all applicable conditions and complied with all applicable procedures set forth in this Section 13(b) (such Eligible Holder or group of Eligible Holders being a “Nominating Shareholder”). Whenever the Eligible Holder consists of a group of shareholders: (i) each provision in this Section 13(b) that requires the Eligible Holder to provide any written information, statements, representations, undertakings, agreements or other instruments or to meet any other conditions shall be deemed to require each shareholder (including each individual fund) that is a member of such group to provide such information, statements, representations, undertakings, agreements or other instruments and to meet such other conditions (except that the members of such group may aggregate the shares that each member has Owned continuously throughout the three-year period preceding and including the date of submission of the Nomination Notice in order to meet the 3% Ownership requirement), and (ii) a breach of any obligation, agreement or representation under this Section 13(b) by any member of such group shall be deemed a breach by the Eligible Holder. No shareholder may be a member of more than one group of shareholders constituting an Eligible Holder with respect to any annual meeting.</w:t>
      </w:r>
    </w:p>
    <w:p>
      <w:pPr>
        <w:pStyle w:val="TextBody"/>
        <w:spacing w:before="0" w:after="0"/>
        <w:rPr/>
      </w:pPr>
      <w:r>
        <w:rPr/>
      </w:r>
    </w:p>
    <w:p>
      <w:pPr>
        <w:pStyle w:val="TextBody"/>
        <w:spacing w:lineRule="auto" w:line="268"/>
        <w:ind w:left="0" w:right="0" w:firstLine="720"/>
        <w:jc w:val="both"/>
        <w:rPr>
          <w:rFonts w:ascii="Arial;sans-serif" w:hAnsi="Arial;sans-serif"/>
          <w:b w:val="false"/>
          <w:color w:val="000000"/>
          <w:sz w:val="20"/>
        </w:rPr>
      </w:pPr>
      <w:r>
        <w:rPr>
          <w:rFonts w:ascii="Arial;sans-serif" w:hAnsi="Arial;sans-serif"/>
          <w:b w:val="false"/>
          <w:color w:val="000000"/>
          <w:sz w:val="20"/>
        </w:rPr>
        <w:t xml:space="preserve">(2) The maximum number of Nominees nominated by all Eligible Holders that will be included in the Trust’s proxy statement with respect to an annual meeting of shareholders shall not exceed the greater of two or 20% of the number of trustees in office as of the last day on which a Nomination Notice may be submitted pursuant to and in accordance with this Section 13(b) or, if such amount is not a whole number, the closest whole number below 20% (the “Maximum Number”). For purposes of determining when the maximum number of Nominees provided for in Section 13 has been reached, each of the following persons shall be counted as one of the Nominees: (i) any individual nominated by an Eligible Holder for inclusion in the Trust’s proxy statement pursuant to Section 13 whose nomination is subsequently withdrawn; and (ii) any individual nominated by an Eligible Holder for inclusion in the Trust’s proxy statement pursuant to Section 13 whom the Board decides to nominate for election to the Board; and (iii) any trustee in office as of the Nomination Notice who was included in the Trust’s proxy statement as a Nominee for either of the two (2) preceding annual meetings of shareholders (including any individual counted as a Nominee pursuant to the immediately preceding clause (ii)) and whom the Board decides to renominate for election to the Board. In the event that one or more vacancies for any reason occurs on the Board after the deadline set forth in this Section 13(b) but before the date of the annual meeting, and the Board resolves to reduce the size of the board in connection therewith, the Maximum Number shall be calculated based on the number of trustees in office as so reduced. Any Eligible Holder submitting more than one Nominee for inclusion in the Trust’s proxy statement pursuant to Section 13 shall rank such Nominees based on the order in which the Eligible Holder desires such Nominees to be selected for inclusion in the Trust’s proxy statement in the event that the total number of Nominees submitted by all Eligible Holders pursuant to Section 13 exceeds the maximum number of Nominees provided for in this Section 13(b). In the event that the number of Nominees submitted by Eligible Holders pursuant to Section 13(b) exceeds the maximum number of Nominees provided for in Section 13(b), the highest ranking Nominee who meets the requirements of Section 13 from each Eligible Holder will be selected for inclusion in the Trust’s proxy statement until the maximum number is reached, going in order of the amount (largest to smallest) of shares of beneficial interest of the Trust each Eligible Holder disclosed as owned in its Nomination Notice. If the maximum number is not reached after the highest ranking Nominee who meets the requirements of Section 13 from each Eligible Holder has been selected, then the next highest ranking Nominee who meets the requirements of this Section 13(b) from each Eligible Holder will be selected for inclusion in the Trust’s proxy statement, and this process will continue as many times as necessary, following the same order each time, until the maximum number is reached. If, after the deadline for submitting a Nomination Notice as set forth in this Section 13(b), a Nominating Shareholder becomes ineligible or withdraws its nomination or a Nominee becomes unwilling to serve on the Board, whether before or after the mailing of the definitive proxy statement, then the nomination shall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be disregarded, and the Trust shall not be required to include in its proxy statement or on any ballot or form of proxy the disregarded Nominee or any successor or replacement nominee proposed by the Nominating Shareholder and may so communicate to its shareholders,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(3) For purposes of this Section 13(b), an “Eligible Holder” is a person who has owned at least 3% of the Trust’s outstanding common shares of beneficial interest (“Required Shares”) continuously for the three-year period preceding and including the date of submission of the Nomination Notice (“Required Holding Period”) and continues to own such minimum amount through the date of the annual shareholder meeting. The foregoing 3% ownership requirement can be satisfied collectively by a group of up to 20 shareholders each of whom has owned its portion of the Trust’s common shares of beneficial interest continuously for the three-year period preceding and including the date of submission of the Nomination Notice. Concurrently with delivery of the Nomination Notice, the Eligible Holder or group of Eligible Holders shall provide to the Secretary of the Trust evidence of its satisfaction of the ownership requirements in a form that the Board or its designee, acting in good faith, determines would be deemed acceptable for purposes of a shareholder proposal under Rule 14a-8(b)(2) under the Securities Exchange Act of 1934 (the “Exchange Act”) (or any successor rule). For purposes of this Section 13(b), an Eligible Holder shall be deemed to “own” only those outstanding shares of beneficial interest of the Trust as to which the shareholder possesses both (i) 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(x) sold by such shareholder or any of its affiliates in any transaction that has not been settled or closed; (y) borrowed by such shareholder or any of its affiliates for any purposes or purchased by such shareholder or any of its affiliates pursuant to an agreement to resell; or (z) subject to any option, warrant, forward contract, swap, contract of sale, other derivative or similar instrument or agreement entered into by such shareholder or any of its affiliates, whether any such instrument or agreement is to be settled with shares or with cash based on the notional amount or value of shares of beneficial interest outstanding of the Trust, if, in any such case, such instrument or agreement has, or is intended to have, the purpose or effect of reducing in any manner, to any extent or at any time in the future, such shareholder’s or its affiliates’ full right to vote or direct the voting of any such shares and/or hedging, offsetting or altering to any degree any gain or loss realized or realizable from maintaining the full economic ownership of such shares by such shareholder or affiliate. Without limiting the foregoing, to the extent not excluded by the immediately preceding sentence, an Eligible Shareholder’s “short position” as defined in Rule 14e-4 under the Exchange Act shall be deducted from the shares otherwise “owned.” A shareholder shall “own” shares held in the name of a nominee or other intermediary so long as the shareholder retains the right to instruct how the shares are voted with respect to the election of trustees and possesses the full economic interest in the shares. A shareholder’s ownership of shares shall be deemed to continue during any period in which: (A) the shareholder has loaned such shares, provided that the shareholder has the power to recall such loaned shares on five business days’ notice and includes with the Nomination Notice an agreement that it will promptly recall such loaned shares upon being notified that any of its Nominees will be included in the Trust’s proxy statement and will continue to hold such shares through the date of the annual meeting; or (B) the shareholder has delegated any voting power by means of a proxy, power of attorney or other instrument or arrangement which is revocable at any time by the shareholder. The terms “owned,” “owning” and other variations of the word “own” shall have correlative meanings. Whether outstanding shares of beneficial interest of the Trust are “owned” for these purposes shall be determined by the Board or any committee thereof. For purposes of this Section 13(b), the term “affiliate” or “affiliates” shall have the meaning ascribed thereto under the General Rules and Regulations under the Exchange Act.</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(4) To be in proper form for purposes of this Section 13(b), the Nomination Notice must include the following:</w:t>
      </w:r>
    </w:p>
    <w:p>
      <w:pPr>
        <w:pStyle w:val="TextBody"/>
        <w:spacing w:before="0" w:after="0"/>
        <w:rPr/>
      </w:pPr>
      <w:r>
        <w:rPr/>
      </w:r>
    </w:p>
    <w:p>
      <w:pPr>
        <w:pStyle w:val="TextBody"/>
        <w:spacing w:lineRule="auto" w:line="268"/>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(i) a written statement by the Eligible Holder setting forth and certifying as to the number of shares it owns and has owned continuously during the Required Holding Period, and the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Eligible Holder’s agreement to provide immediate notice if the Eligible Holder ceases to own any of the Required Shares prior to the date of the annual meeting;</w:t>
      </w:r>
    </w:p>
    <w:p>
      <w:pPr>
        <w:pStyle w:val="TextBody"/>
        <w:spacing w:before="0" w:after="0"/>
        <w:rPr/>
      </w:pPr>
      <w:r>
        <w:rPr/>
      </w:r>
    </w:p>
    <w:p>
      <w:pPr>
        <w:pStyle w:val="TextBody"/>
        <w:spacing w:lineRule="auto" w:line="268" w:before="0" w:after="0"/>
        <w:ind w:left="0" w:right="0" w:firstLine="1440"/>
        <w:jc w:val="both"/>
        <w:rPr>
          <w:rFonts w:ascii="Arial;sans-serif" w:hAnsi="Arial;sans-serif"/>
          <w:b w:val="false"/>
          <w:color w:val="000000"/>
          <w:sz w:val="20"/>
        </w:rPr>
      </w:pPr>
      <w:r>
        <w:rPr>
          <w:rFonts w:ascii="Arial;sans-serif" w:hAnsi="Arial;sans-serif"/>
          <w:b w:val="false"/>
          <w:color w:val="000000"/>
          <w:sz w:val="20"/>
        </w:rPr>
        <w:t>(ii) one or more written statements from the record holder of the Required Shares (and from each intermediary through which the Required Shares are or have been held during the Required Holding Period) verifying that, as of a date within seven calendar days prior to the date the Nomination Notice is delivered to the Secretary of the Trust, the Eligible Holder owns, and has owned continuously for the Required Holding Period, the Required Shares, and the Eligible Holder’s agreement to provide, within five business days after the later of the record date for the annual meeting and the date on which notice of the record date is first publicly disclosed, one or more written statements from the record holder and such intermediaries verifying the Eligible Holder’s continuous ownership of the Required Shares through the record date;</w:t>
      </w:r>
    </w:p>
    <w:p>
      <w:pPr>
        <w:pStyle w:val="TextBody"/>
        <w:spacing w:before="0" w:after="0"/>
        <w:rPr/>
      </w:pPr>
      <w:r>
        <w:rPr/>
      </w:r>
    </w:p>
    <w:p>
      <w:pPr>
        <w:pStyle w:val="TextBody"/>
        <w:spacing w:lineRule="auto" w:line="268" w:before="0" w:after="0"/>
        <w:ind w:left="0" w:right="0" w:firstLine="1440"/>
        <w:jc w:val="both"/>
        <w:rPr>
          <w:rFonts w:ascii="Arial;sans-serif" w:hAnsi="Arial;sans-serif"/>
          <w:b w:val="false"/>
          <w:color w:val="000000"/>
          <w:sz w:val="20"/>
        </w:rPr>
      </w:pPr>
      <w:r>
        <w:rPr>
          <w:rFonts w:ascii="Arial;sans-serif" w:hAnsi="Arial;sans-serif"/>
          <w:b w:val="false"/>
          <w:color w:val="000000"/>
          <w:sz w:val="20"/>
        </w:rPr>
        <w:t>(iii) a copy of the Schedule 14N (or any successor form) that has been filed with the United States Securities and Exchange Commission (“SEC”) as required by Rule 14a-18 under the Exchange Act;</w:t>
      </w:r>
    </w:p>
    <w:p>
      <w:pPr>
        <w:pStyle w:val="TextBody"/>
        <w:spacing w:before="0" w:after="0"/>
        <w:rPr/>
      </w:pPr>
      <w:r>
        <w:rPr/>
      </w:r>
    </w:p>
    <w:p>
      <w:pPr>
        <w:pStyle w:val="TextBody"/>
        <w:spacing w:lineRule="auto" w:line="268" w:before="0" w:after="0"/>
        <w:ind w:left="0" w:right="0" w:firstLine="1440"/>
        <w:jc w:val="both"/>
        <w:rPr>
          <w:rFonts w:ascii="Arial;sans-serif" w:hAnsi="Arial;sans-serif"/>
          <w:b w:val="false"/>
          <w:color w:val="000000"/>
          <w:sz w:val="20"/>
        </w:rPr>
      </w:pPr>
      <w:r>
        <w:rPr>
          <w:rFonts w:ascii="Arial;sans-serif" w:hAnsi="Arial;sans-serif"/>
          <w:b w:val="false"/>
          <w:color w:val="000000"/>
          <w:sz w:val="20"/>
        </w:rPr>
        <w:t>(iv) the information required by Section 13(c) (including the consent of each Nominee to being named in the proxy statement as a nominee and to serving as a trustee if elected);</w:t>
      </w:r>
    </w:p>
    <w:p>
      <w:pPr>
        <w:pStyle w:val="TextBody"/>
        <w:spacing w:before="0" w:after="0"/>
        <w:rPr/>
      </w:pPr>
      <w:r>
        <w:rPr/>
      </w:r>
    </w:p>
    <w:p>
      <w:pPr>
        <w:pStyle w:val="TextBody"/>
        <w:spacing w:lineRule="auto" w:line="268" w:before="0" w:after="0"/>
        <w:ind w:left="0" w:right="0" w:firstLine="1440"/>
        <w:jc w:val="both"/>
        <w:rPr>
          <w:rFonts w:ascii="Arial;sans-serif" w:hAnsi="Arial;sans-serif"/>
          <w:b w:val="false"/>
          <w:color w:val="000000"/>
          <w:sz w:val="20"/>
        </w:rPr>
      </w:pPr>
      <w:r>
        <w:rPr>
          <w:rFonts w:ascii="Arial;sans-serif" w:hAnsi="Arial;sans-serif"/>
          <w:b w:val="false"/>
          <w:color w:val="000000"/>
          <w:sz w:val="20"/>
        </w:rPr>
        <w:t>(v) a representation that the Eligible Holder: (A) will continue to hold the Required Shares through the annual meeting date; (B) acquired the Required Shares in the ordinary course of business and not with the intent to change or influence control at the Trust, and does not presently have such intent; (C) has not nominated and will not nominate for election to the Board at the annual meeting any person other than the Nominee(s) it is nominating pursuant to Section 13; (D) has not engaged and will not engage in, and has not and will not be a “participant” in another person’s, “solicitation” within the meaning of Rule 14a-1(l) under the Exchange Act in support of the election of any individual as a trustee at the annual meeting other than its Nominee(s) or a nominee of the Board; (E) has not distributed and will not distribute to any shareholder of the Trust any form of proxy for the annual meeting other than the form distributed by the Trust; (F) has complied with and will comply with all laws and regulations applicable to solicitations and the use, if any, of soliciting material in connection with the annual meeting; and (G) has provided and will provide facts, statements and other information in all communications with the Trust and its shareholders that are or will be true and correct in all material respects and do not and will not omit to state a material fact necessary in order to make such information, in light of the circumstances under which it was or will be made or provided, not misleading; and</w:t>
      </w:r>
    </w:p>
    <w:p>
      <w:pPr>
        <w:pStyle w:val="TextBody"/>
        <w:spacing w:before="0" w:after="0"/>
        <w:rPr/>
      </w:pPr>
      <w:r>
        <w:rPr/>
      </w:r>
    </w:p>
    <w:p>
      <w:pPr>
        <w:pStyle w:val="TextBody"/>
        <w:spacing w:lineRule="auto" w:line="268" w:before="0" w:after="0"/>
        <w:ind w:left="0" w:right="0" w:firstLine="1440"/>
        <w:jc w:val="both"/>
        <w:rPr>
          <w:rFonts w:ascii="Arial;sans-serif" w:hAnsi="Arial;sans-serif"/>
          <w:b w:val="false"/>
          <w:color w:val="000000"/>
          <w:sz w:val="20"/>
        </w:rPr>
      </w:pPr>
      <w:r>
        <w:rPr>
          <w:rFonts w:ascii="Arial;sans-serif" w:hAnsi="Arial;sans-serif"/>
          <w:b w:val="false"/>
          <w:color w:val="000000"/>
          <w:sz w:val="20"/>
        </w:rPr>
        <w:t>(vi) an undertaking that the Eligible Holder agrees to: (A) assume all liability stemming from any legal or regulatory violation arising out communications with the shareholders of the Trust by the Eligible Holder, its affiliates and associates or their respective agents and representatives, either before or after providing a Nomination Notice pursuant to Section 13, or out of the facts, statements or other information that the Eligible Holder or its Nominee(s) provided to the Trust pursuant to this Section 13(b) or otherwise in connection with the inclusion of such Nominee(s) in the Trust’s proxy statement pursuant to Section 13; (B) indemnify and hold harmless the Trust and each of its trustees, directors, officers and employees individually against any liability, loss or damages in connection with any threatened or pending action, suit or proceeding, whether legal, administrative or investigative, against the Trust or any of its trustees, directors, officers or employees arising out of any nomination submitted by the Eligible Holder pursuant to Section 13; and (C) file with the SEC any solicitation or other communication with the shareholders of the Trust relating to the meeting at which its Nominee(s) will be nominated, regardless of whether any such filing is required under Regulation 14A of the Exchange Act or whether any exemption from filing is available for such solicitation or other communication under Regulation 14A of the Exchange Act.</w:t>
      </w:r>
    </w:p>
    <w:p>
      <w:pPr>
        <w:pStyle w:val="TextBody"/>
        <w:spacing w:before="0" w:after="0"/>
        <w:rPr/>
      </w:pPr>
      <w:r>
        <w:rPr/>
      </w:r>
    </w:p>
    <w:p>
      <w:pPr>
        <w:pStyle w:val="TextBody"/>
        <w:spacing w:lineRule="auto" w:line="268"/>
        <w:ind w:left="0" w:right="0" w:firstLine="720"/>
        <w:jc w:val="both"/>
        <w:rPr>
          <w:rFonts w:ascii="Arial;sans-serif" w:hAnsi="Arial;sans-serif"/>
          <w:b w:val="false"/>
          <w:color w:val="000000"/>
          <w:sz w:val="20"/>
        </w:rPr>
      </w:pPr>
      <w:r>
        <w:rPr>
          <w:rFonts w:ascii="Arial;sans-serif" w:hAnsi="Arial;sans-serif"/>
          <w:b w:val="false"/>
          <w:color w:val="000000"/>
          <w:sz w:val="20"/>
        </w:rPr>
        <w:t xml:space="preserve">(5) In addition to the information required pursuant to Section 13(b)(4) or any other provision of these Bylaws, the Trust may require: (i) each Nominee to furnish any other information: (A) that may reasonably be requested by the Trust to determine whether the Nominee would be independent under the rules and listing standards of the principal United States securities exchanges upon which the common shares of beneficial interest of the Trust is listed or traded, any applicable rules of the SEC or any publicly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disclosed standards used by the Board in determining and disclosing the independence of the Trust’s trustees (collectively, the “Independence Standards”); (B) that could be material to a reasonable shareholder’s understanding of the independence, or lack thereof, of such Nominee; or (C) that may reasonably be requested by the Trust to determine the eligibility of such Nominee to be included in the Trust’s proxy statement pursuant to Section 13 or to serve as a trustee of the Trust; (ii) each Nominee to complete the Trust’s director’s and officer’s questionnaire; and (iii) the Eligible Holder to furnish any other information that may reasonably be requested by the Trust to verify the Eligible Holder’s continuous ownership of the Required Shares for the Minimum Holding Period and through the date of the annual meeting.</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(6) The Eligible Holder may, at its option, provide to the Secretary of the Trust, at the time the Nomination Notice is provided, a written statement, not to exceed 500 words, in support of Nominee(s)’ candidacy (a “Supporting Statement”). Only one Supporting Statement may be submitted by an Eligible Holder (including any group of shareholders together constituting an Eligible Holder) in support of its Nominee(s). Notwithstanding anything to the contrary contained in Section 13, the Trust may omit from its proxy materials any information or Supporting Statement (or portion thereof) that it, in good faith, believes would violate any applicable law or regulation.</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(7) Notwithstanding anything to the contrary contained in this Section 13(b), the Trust may omit from its proxy statement any Nominee and any information concerning such Nominee (including a Nominating Shareholder’s statement in support) and no vote on such Nominee will occur (notwithstanding that proxies in respect of such vote may have been received by the Trust), and the Nominating Shareholder may not, after the last day on which a Nomination Notice would be timely, cure in any way any defect preventing the nomination of the Nominee, if: (A) the Trust receives a notice pursuant to Section 13(c) of Article II of these Bylaws that a shareholder intends to nominate a candidate for trustee at the annual meeting; (B) the Nominating Shareholder or the designated lead group member, as applicable, or any qualified representative thereof, does not appear at the meeting of shareholders to present the nomination submitted or the Nominating Shareholder withdraws its nomination; (C) the Board determines that such Nominee’s nomination or election to the Board would result in the Trust violating or failing to be in compliance with the Trust’s bylaws or declaration of trust or any applicable law, rule or regulation to which the Trust is subject, including any rules or regulations of any share exchange on which the Trust’s securities are traded; (D) the Nominee was nominated for election to the Board pursuant to this Section 13(b) at one of the Trust’s two preceding annual meetings of shareholders and either withdrew or became ineligible or received a vote of less than 25% of the common shares of beneficial interests entitled to vote for such Nominee; (E) the Nominee has been, within the past three years, an officer or director of a competitor; or (F) the Trust is notified, or the Board acting in good faith determines, that a Nominating Shareholder has failed to continue to satisfy the ownership requirements described above, any of the representations and warranties made in the Nomination Notice ceases to be true and accurate in all material respects (or omits a material fact necessary to make the statement not misleading), the Nominee becomes unwilling or unable to serve on the Board or any material violation or breach occurs of the obligations, agreements, representations or warranties of the Nominating Shareholder or the Nominee made under this Section 13(b). Further, notwithstanding anything to the contrary, the Trust may omit from its proxy statement, or may supplement or correct, any information, including all or any portion of the statement in support of the Nominee included in the Nomination Notice, if the Board in good faith determines that: (1) such information is not true in all material respects or omits a material statement necessary to make the statements made not misleading; (2) such information directly or indirectly impugns character, integrity or personal reputation of, or directly or indirectly makes charges concerning improper, illegal or immoral conduct or associations, without factual foundation, with respect to, any person; or (3) the inclusion of such information in the proxy statement would otherwise violate the SEC proxy rules or any other applicable law, rule or regulation. The Trust may solicit against, and include in the proxy statement its own statement relating to, any Nominee.</w:t>
      </w:r>
    </w:p>
    <w:p>
      <w:pPr>
        <w:pStyle w:val="TextBody"/>
        <w:spacing w:before="0" w:after="0"/>
        <w:rPr/>
      </w:pPr>
      <w:r>
        <w:rPr/>
      </w:r>
    </w:p>
    <w:p>
      <w:pPr>
        <w:pStyle w:val="TextBody"/>
        <w:spacing w:lineRule="auto" w:line="268"/>
        <w:jc w:val="both"/>
        <w:rPr/>
      </w:pPr>
      <w:r>
        <w:rPr>
          <w:rFonts w:ascii="Arial;sans-serif" w:hAnsi="Arial;sans-serif"/>
          <w:b w:val="false"/>
          <w:color w:val="000000"/>
          <w:sz w:val="20"/>
        </w:rPr>
        <w:t>(c) Any Nomination Notice or submission for other business to be properly brought before an annual meeting by a shareholder pursuant to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calendar day and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not earlier than the 150th calendar day prior to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(1) as to each person whom the shareholder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(2)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together and (3) as to the shareholder giving the notice and the beneficial owner, if any, on whose behalf the nomination or proposal is made, (A) the name and address of such shareholder, as they appear on the Trust’s books, and of such beneficial owner and (B) the number of each class of shares of the Trust which are owned beneficially and of record by such shareholder and such beneficial owner.</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(d) Special Meetings of Shareholders. Only such business shall be conducted at a special meeting of shareholders as shall have been brought before the meeting pursuant to the Trust’s notice of meeting. Nominations of persons for election to the Board may be made at a special meeting of shareholders at which Trustees are to be elected: (i) pursuant to the Trust’s notice of meeting; (ii) by or at the direction of the Board; or (iii) provided that the Board has determined that Trustees shall be elected at such special meeting, by any shareholder of the Trust who was a shareholder of record both at the time of giving of notice provided for in this Section 13(d) and at the time of the special meeting, who is entitled to vote at the meeting and who complied with the notice procedures set forth in this Section 13(d). In the event the Trust calls a special meeting of shareholders for the purpose of electing one or more Trustees to the Board, any such shareholder may nominate a person or persons (as the case may be) for election to such position as specified in the Trust’s notice of meeting, if the shareholder’s notice containing the information required by paragraph (a)(2) of this Section 13(d)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(e) General.</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(1) Only such persons who are nominated in accordance with the procedures set forth in Section 13(b)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(2) 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pStyle w:val="TextBody"/>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(3) 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14. INFORMAL ACTION BY SHAREHOLDERS.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(a)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(b) In order that the Trust may determine the shareholders entitled to consent to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Any shareholder of record seeking to have the shareholders authorize or take action by written consent shall, by written notice to the Secretary of the Trust, request the Board to fix a record date. The Board shall promptly, but in all events within ten (10) days of the date on which such a request is received, adopt a resolution fixing the record date. If no record date has been fixed by the Board within ten (10) days of the date on which such a request is received and no prior action by the Board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within ten (10) days of the date on which such a request is received and prior action by the Board is required by applicable law, the record date for determining shareholders entitled to consent to action in writing without a meeting shall be at the close of business on the date on which the Board adopts the resolution taking such prior action.</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15. VOTING BY BALLOT. Voting on any question or in any election may be viva voce unless the presiding officer shall order or any shareholder shall demand that voting be by ballot.</w:t>
      </w:r>
    </w:p>
    <w:p>
      <w:pPr>
        <w:pStyle w:val="TextBody"/>
        <w:spacing w:before="0" w:after="0"/>
        <w:rPr/>
      </w:pPr>
      <w:r>
        <w:rPr/>
      </w:r>
    </w:p>
    <w:p>
      <w:pPr>
        <w:pStyle w:val="TextBody"/>
        <w:spacing w:lineRule="auto" w:line="268" w:before="0" w:after="0"/>
        <w:ind w:left="0" w:right="0" w:firstLine="400"/>
        <w:jc w:val="center"/>
        <w:rPr>
          <w:rFonts w:ascii="Arial;sans-serif" w:hAnsi="Arial;sans-serif"/>
          <w:b/>
          <w:i/>
          <w:color w:val="000000"/>
          <w:sz w:val="20"/>
        </w:rPr>
      </w:pPr>
      <w:r>
        <w:rPr>
          <w:rFonts w:ascii="Arial;sans-serif" w:hAnsi="Arial;sans-serif"/>
          <w:b/>
          <w:i/>
          <w:color w:val="000000"/>
          <w:sz w:val="20"/>
        </w:rPr>
        <w:t>ARTICLE III</w:t>
      </w:r>
    </w:p>
    <w:p>
      <w:pPr>
        <w:pStyle w:val="TextBody"/>
        <w:spacing w:lineRule="auto" w:line="268" w:before="0" w:after="0"/>
        <w:ind w:left="0" w:right="0" w:firstLine="400"/>
        <w:jc w:val="center"/>
        <w:rPr>
          <w:rFonts w:ascii="Arial;sans-serif" w:hAnsi="Arial;sans-serif"/>
          <w:b/>
          <w:i/>
          <w:color w:val="000000"/>
          <w:sz w:val="20"/>
        </w:rPr>
      </w:pPr>
      <w:r>
        <w:rPr>
          <w:rFonts w:ascii="Arial;sans-serif" w:hAnsi="Arial;sans-serif"/>
          <w:b/>
          <w:i/>
          <w:color w:val="000000"/>
          <w:sz w:val="20"/>
        </w:rPr>
        <w:t>TRUSTEES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GENERAL POWERS; QUALIFICATIONS; TRUSTEES HOLDING OVER. The business and affairs of the Trust shall be managed under the direction of its Board.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Notwithstanding the prior sentence, the term for a Trustee in an uncontested election who does not receive a majority of the votes cast with respect to such Trustee’s election shall expire on the date that is the earlier of: (a) 90 days after the date on which the voting results are determined; or (b) the date on which an individual is selected by the Board to fill the position held by such Trustee. At no time shall there be less than a majority of Trustees on the Board that fail to satisfy the definitions for independence as established from time to time in the Securities Exchange Act of 1934, the New York Stock Exchange’s Listed Company Manual and other laws, rules and regulations applicable to the Trust from time to time.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NUMBER. At any regular meeting or at any special meeting called for that purpose, a majority of the entire Board may establish, increase or decrease the number of Trustees; provided, however, that the total number of Trustees shall not be less than five (5) or more than ten (10).</w:t>
      </w:r>
    </w:p>
    <w:p>
      <w:pPr>
        <w:pStyle w:val="TextBody"/>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Trustees present at a meeting which has been duly called and convened may continue to transact business until adjournment, notwithstanding the withdrawal of enough Trustees to leave less than a quorum.</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7. VOTING. The action of the majority of the Trustees present at a meeting at which a quorum is present shall be the action of the Trustees, unless the concurrence of a greater proportion is required for such action by applicable statute.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pStyle w:val="TextBody"/>
        <w:spacing w:before="0" w:after="0"/>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(including a vacancy created by an increase in the number of Trustees) may be filled by a majority of the remaining Trustees or, if the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11. COMPENSATION; FINANCIAL ASSISTANCE.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(a) 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(b) 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approves, including a pledge of Shares.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12. REMOVAL OF TRUSTEES. The shareholders may, at any time, remove any Trustee in the manner provided in the Declaration of Trust.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13. LOSS OF DEPOSITS. No Trustee shall be liable for any loss which may occur by reason of the failure of the bank, trust company, savings and loan association, or other institution with whom moneys or shares have been deposited.</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14. SURETY BONDS. Unless required by law, no Trustee shall be obligated to give any bond or surety or other security for the performance of any of his duties.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w:t>
      </w:r>
    </w:p>
    <w:p>
      <w:pPr>
        <w:pStyle w:val="TextBody"/>
        <w:spacing w:before="0" w:after="0"/>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Section 18. CHAIRMAN OF THE BOARD OF TRUSTEES. The Board may elect from among the Trustees a Chairman of the Board by the affirmative vote of a majority of the full Board taken at any regular or special meeting of the Trustees. The Chairman shall preside over the meetings of shareholders and the meetings of the Trustees at which he shall be present. The Chairman may be removed at any time by the affirmative vote of a majority of the full Board taken at any regular or special meeting of the Trustees. The Chairman may resign from the position of Chairman at any time by written notice to the Board effective upon execution and delivery to the Trust of such written notice or upon any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future date specified in such notice, provided that such notice shall not constitute written notice to resign as a Trustee unless so designated.</w:t>
      </w:r>
    </w:p>
    <w:p>
      <w:pPr>
        <w:pStyle w:val="TextBody"/>
        <w:spacing w:before="0" w:after="0"/>
        <w:rPr/>
      </w:pPr>
      <w:r>
        <w:rPr/>
      </w:r>
    </w:p>
    <w:p>
      <w:pPr>
        <w:pStyle w:val="TextBody"/>
        <w:spacing w:lineRule="auto" w:line="268" w:before="0" w:after="0"/>
        <w:ind w:left="0" w:right="0" w:firstLine="400"/>
        <w:jc w:val="center"/>
        <w:rPr>
          <w:rFonts w:ascii="Arial;sans-serif" w:hAnsi="Arial;sans-serif"/>
          <w:b/>
          <w:i/>
          <w:color w:val="000000"/>
          <w:sz w:val="20"/>
        </w:rPr>
      </w:pPr>
      <w:r>
        <w:rPr>
          <w:rFonts w:ascii="Arial;sans-serif" w:hAnsi="Arial;sans-serif"/>
          <w:b/>
          <w:i/>
          <w:color w:val="000000"/>
          <w:sz w:val="20"/>
        </w:rPr>
        <w:t>ARTICLE IV</w:t>
      </w:r>
    </w:p>
    <w:p>
      <w:pPr>
        <w:pStyle w:val="TextBody"/>
        <w:spacing w:lineRule="auto" w:line="268" w:before="0" w:after="0"/>
        <w:ind w:left="0" w:right="0" w:firstLine="400"/>
        <w:jc w:val="center"/>
        <w:rPr>
          <w:rFonts w:ascii="Arial;sans-serif" w:hAnsi="Arial;sans-serif"/>
          <w:b/>
          <w:i/>
          <w:color w:val="000000"/>
          <w:sz w:val="20"/>
        </w:rPr>
      </w:pPr>
      <w:r>
        <w:rPr>
          <w:rFonts w:ascii="Arial;sans-serif" w:hAnsi="Arial;sans-serif"/>
          <w:b/>
          <w:i/>
          <w:color w:val="000000"/>
          <w:sz w:val="20"/>
        </w:rPr>
        <w:t>COMMITTEES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NUMBER, TENURE AND QUALIFICATIONS. The Trustees shall appoint from among its members an Audit Committee, a Compensation and Human Capital Management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and Human Capital Management Committee; (c) Executive Committee; and (d) Nominating and Corporate Governance Committee.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POWERS. The Trustees may delegate to committees appointed under Section 1 of this Article any of the powers of the Trustees, except as prohibited by law.</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Each committee shall keep minutes of its proceedings and shall report the same to the Board at the next succeeding meeting, and any action by the committee shall be subject to revision and alteration by the Board, provided that no vested or contractual rights of third persons shall be affected by any such revision or alteration.</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6. VACANCIES. Subject to the provisions hereof, the Board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V</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OFFICERS</w:t>
      </w:r>
    </w:p>
    <w:p>
      <w:pPr>
        <w:pStyle w:val="TextBody"/>
        <w:spacing w:before="0" w:after="0"/>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Section 1. GENERAL PROVISIONS. The officers of the Trust shall include a President, a Secretary and a Treasurer and may include a Chief Executive Officer, a Chief Operating Officer, a Chief Financial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REMOVAL AND RESIGNATION. Any officer or agent of the Trust may be removed at any time by the affirmative vote of two-thirds of the full Board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6. CHIEF FINANCIAL OFFICER. The Trustees may designate a Chief Financial Officer from among the elected or appointed officers. The Chief Financial Officer shall have the responsibilities and duties as set forth by the Trustees or the Chief Executive Officer (or, if there is no Chief Executive Officer at such time, the President).</w:t>
      </w:r>
    </w:p>
    <w:p>
      <w:pPr>
        <w:pStyle w:val="TextBody"/>
        <w:spacing w:before="0" w:after="0"/>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 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pStyle w:val="TextBody"/>
        <w:spacing w:before="0" w:after="0"/>
        <w:rPr/>
      </w:pPr>
      <w:r>
        <w:rPr/>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VI</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CONTRACTS, LOANS, CHECKS AND DEPOSITS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VII</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SHARES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Notwithstanding the foregoing, transfers of shares of beneficial interest of the Trust will be subject in all respects to the Declaration of Trust and all of the terms and conditions contained therein.</w:t>
      </w:r>
    </w:p>
    <w:p>
      <w:pPr>
        <w:pStyle w:val="TextBody"/>
        <w:spacing w:before="0" w:after="0"/>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manner as the officer shall require and/or to give bond, with sufficient surety, to the Trust to indemnify it against any loss or claim which may arise as a result of the issuance of a new certificate.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VIII</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ACCOUNTING YEAR</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Trustees shall have the power, from time to time, to fix the fiscal year of the Trust by a duly adopted resolution.</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IX</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DISTRIBUTIONS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pStyle w:val="TextBody"/>
        <w:rPr/>
      </w:pPr>
      <w:r>
        <w:rPr/>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X</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INVESTMENT POLICY</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Subject to the provisions of the Declaration of Trust, the Board may from time to time adopt, amend, revise or terminate any policy or policies with respect to investments by the Trust as it shall deem appropriate in its sole discretion.</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XI</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SEAL</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XII</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INDEMNIFICATION AND ADVANCE OF EXPENSES</w:t>
      </w:r>
    </w:p>
    <w:p>
      <w:pPr>
        <w:pStyle w:val="TextBody"/>
        <w:spacing w:before="0" w:after="0"/>
        <w:rPr/>
      </w:pPr>
      <w:r>
        <w:rPr/>
      </w:r>
    </w:p>
    <w:p>
      <w:pPr>
        <w:pStyle w:val="TextBody"/>
        <w:spacing w:lineRule="auto" w:line="268"/>
        <w:jc w:val="both"/>
        <w:rPr>
          <w:rFonts w:ascii="Arial;sans-serif" w:hAnsi="Arial;sans-serif"/>
          <w:b w:val="false"/>
          <w:color w:val="000000"/>
          <w:sz w:val="20"/>
        </w:rPr>
      </w:pPr>
      <w:r>
        <w:rPr>
          <w:rFonts w:ascii="Arial;sans-serif" w:hAnsi="Arial;sans-serif"/>
          <w:b w:val="false"/>
          <w:color w:val="000000"/>
          <w:sz w:val="20"/>
        </w:rPr>
        <w:t xml:space="preserve">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w:t>
      </w:r>
      <w:r>
        <w:br w:type="page"/>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3.1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XIII</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WAIVER OF NOTICE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XIV</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AMENDMENT OF BYLAWS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pStyle w:val="TextBody"/>
        <w:spacing w:before="0" w:after="0"/>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ARTICLE XV</w:t>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MISCELLANEOUS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All references to the Declaration of Trust shall include any amendments thereto.</w:t>
      </w:r>
    </w:p>
    <w:p>
      <w:pPr>
        <w:pStyle w:val="TextBody"/>
        <w:spacing w:before="0" w:after="0"/>
        <w:rPr/>
      </w:pPr>
      <w:r>
        <w:rPr/>
      </w:r>
    </w:p>
    <w:p>
      <w:pPr>
        <w:pStyle w:val="TextBody"/>
        <w:spacing w:lineRule="auto" w:line="268" w:before="0" w:after="0"/>
        <w:jc w:val="both"/>
        <w:rPr>
          <w:rFonts w:ascii="Arial;sans-serif" w:hAnsi="Arial;sans-serif"/>
          <w:b w:val="false"/>
          <w:color w:val="000000"/>
          <w:sz w:val="16"/>
        </w:rPr>
      </w:pPr>
      <w:r>
        <w:rPr>
          <w:rFonts w:ascii="Arial;sans-serif" w:hAnsi="Arial;sans-serif"/>
          <w:b w:val="false"/>
          <w:color w:val="000000"/>
          <w:sz w:val="16"/>
        </w:rPr>
        <w:t>Amended on February 7, 2023</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rPr/>
      </w:pPr>
      <w:r>
        <w:rPr/>
      </w:r>
    </w:p>
    <w:tbl>
      <w:tblPr>
        <w:tblW w:w="4662" w:type="dxa"/>
        <w:jc w:val="left"/>
        <w:tblInd w:w="0" w:type="dxa"/>
        <w:tblCellMar>
          <w:top w:w="28" w:type="dxa"/>
          <w:left w:w="28" w:type="dxa"/>
          <w:bottom w:w="28" w:type="dxa"/>
          <w:right w:w="28" w:type="dxa"/>
        </w:tblCellMar>
      </w:tblPr>
      <w:tblGrid>
        <w:gridCol w:w="417"/>
        <w:gridCol w:w="368"/>
        <w:gridCol w:w="370"/>
        <w:gridCol w:w="109"/>
        <w:gridCol w:w="109"/>
        <w:gridCol w:w="109"/>
        <w:gridCol w:w="930"/>
        <w:gridCol w:w="930"/>
        <w:gridCol w:w="1320"/>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rPr/>
      </w:pPr>
      <w:r>
        <w:rPr/>
      </w:r>
    </w:p>
    <w:tbl>
      <w:tblPr>
        <w:tblW w:w="5411" w:type="dxa"/>
        <w:jc w:val="left"/>
        <w:tblInd w:w="0" w:type="dxa"/>
        <w:tblCellMar>
          <w:top w:w="28" w:type="dxa"/>
          <w:left w:w="28" w:type="dxa"/>
          <w:bottom w:w="28" w:type="dxa"/>
          <w:right w:w="28" w:type="dxa"/>
        </w:tblCellMar>
      </w:tblPr>
      <w:tblGrid>
        <w:gridCol w:w="417"/>
        <w:gridCol w:w="368"/>
        <w:gridCol w:w="370"/>
        <w:gridCol w:w="109"/>
        <w:gridCol w:w="109"/>
        <w:gridCol w:w="109"/>
        <w:gridCol w:w="1150"/>
        <w:gridCol w:w="1150"/>
        <w:gridCol w:w="1629"/>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90" w:after="283"/>
        <w:ind w:left="0" w:right="0" w:hanging="450"/>
        <w:rPr/>
      </w:pPr>
      <w:r>
        <w:rPr/>
      </w:r>
    </w:p>
    <w:tbl>
      <w:tblPr>
        <w:tblW w:w="4661" w:type="dxa"/>
        <w:jc w:val="left"/>
        <w:tblInd w:w="0" w:type="dxa"/>
        <w:tblCellMar>
          <w:top w:w="28" w:type="dxa"/>
          <w:left w:w="28" w:type="dxa"/>
          <w:bottom w:w="28" w:type="dxa"/>
          <w:right w:w="28" w:type="dxa"/>
        </w:tblCellMar>
      </w:tblPr>
      <w:tblGrid>
        <w:gridCol w:w="417"/>
        <w:gridCol w:w="368"/>
        <w:gridCol w:w="370"/>
        <w:gridCol w:w="109"/>
        <w:gridCol w:w="109"/>
        <w:gridCol w:w="109"/>
        <w:gridCol w:w="930"/>
        <w:gridCol w:w="930"/>
        <w:gridCol w:w="1319"/>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9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90" w:after="283"/>
        <w:ind w:left="0" w:right="0" w:hanging="450"/>
        <w:rPr/>
      </w:pPr>
      <w:r>
        <w:rPr/>
      </w:r>
    </w:p>
    <w:tbl>
      <w:tblPr>
        <w:tblW w:w="5411" w:type="dxa"/>
        <w:jc w:val="left"/>
        <w:tblInd w:w="0" w:type="dxa"/>
        <w:tblCellMar>
          <w:top w:w="28" w:type="dxa"/>
          <w:left w:w="28" w:type="dxa"/>
          <w:bottom w:w="28" w:type="dxa"/>
          <w:right w:w="28" w:type="dxa"/>
        </w:tblCellMar>
      </w:tblPr>
      <w:tblGrid>
        <w:gridCol w:w="417"/>
        <w:gridCol w:w="368"/>
        <w:gridCol w:w="370"/>
        <w:gridCol w:w="109"/>
        <w:gridCol w:w="109"/>
        <w:gridCol w:w="109"/>
        <w:gridCol w:w="1150"/>
        <w:gridCol w:w="1150"/>
        <w:gridCol w:w="1629"/>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2023 (the “Report”). The undersigned hereby certifies, to the best of his knowledge, that:</w:t>
      </w:r>
    </w:p>
    <w:p>
      <w:pPr>
        <w:pStyle w:val="TextBody"/>
        <w:spacing w:lineRule="auto" w:line="288" w:before="120" w:after="283"/>
        <w:ind w:left="0" w:right="0" w:hanging="99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99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5291" w:type="dxa"/>
        <w:jc w:val="left"/>
        <w:tblInd w:w="0" w:type="dxa"/>
        <w:tblCellMar>
          <w:top w:w="28" w:type="dxa"/>
          <w:left w:w="28" w:type="dxa"/>
          <w:bottom w:w="28" w:type="dxa"/>
          <w:right w:w="28" w:type="dxa"/>
        </w:tblCellMar>
      </w:tblPr>
      <w:tblGrid>
        <w:gridCol w:w="417"/>
        <w:gridCol w:w="368"/>
        <w:gridCol w:w="370"/>
        <w:gridCol w:w="109"/>
        <w:gridCol w:w="109"/>
        <w:gridCol w:w="109"/>
        <w:gridCol w:w="1114"/>
        <w:gridCol w:w="1114"/>
        <w:gridCol w:w="1581"/>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2023 (the “Report”). The undersigned hereby certifies, to the best of his knowledge, that:</w:t>
      </w:r>
    </w:p>
    <w:p>
      <w:pPr>
        <w:pStyle w:val="TextBody"/>
        <w:spacing w:lineRule="auto" w:line="288" w:before="120" w:after="283"/>
        <w:ind w:left="0" w:right="0" w:hanging="99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99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5411" w:type="dxa"/>
        <w:jc w:val="left"/>
        <w:tblInd w:w="0" w:type="dxa"/>
        <w:tblCellMar>
          <w:top w:w="28" w:type="dxa"/>
          <w:left w:w="28" w:type="dxa"/>
          <w:bottom w:w="28" w:type="dxa"/>
          <w:right w:w="28" w:type="dxa"/>
        </w:tblCellMar>
      </w:tblPr>
      <w:tblGrid>
        <w:gridCol w:w="417"/>
        <w:gridCol w:w="368"/>
        <w:gridCol w:w="370"/>
        <w:gridCol w:w="109"/>
        <w:gridCol w:w="109"/>
        <w:gridCol w:w="109"/>
        <w:gridCol w:w="1150"/>
        <w:gridCol w:w="1150"/>
        <w:gridCol w:w="1629"/>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March 31, 2023 (the “Report”). The undersigned hereby certifies, to the best of his knowledge, that:</w:t>
      </w:r>
    </w:p>
    <w:p>
      <w:pPr>
        <w:pStyle w:val="TextBody"/>
        <w:spacing w:lineRule="auto" w:line="288" w:before="120" w:after="283"/>
        <w:ind w:left="0" w:right="0" w:hanging="99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99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120" w:after="283"/>
        <w:ind w:left="0" w:right="0" w:hanging="630"/>
        <w:rPr/>
      </w:pPr>
      <w:r>
        <w:rPr/>
      </w:r>
    </w:p>
    <w:tbl>
      <w:tblPr>
        <w:tblW w:w="5546" w:type="dxa"/>
        <w:jc w:val="left"/>
        <w:tblInd w:w="0" w:type="dxa"/>
        <w:tblCellMar>
          <w:top w:w="28" w:type="dxa"/>
          <w:left w:w="28" w:type="dxa"/>
          <w:bottom w:w="28" w:type="dxa"/>
          <w:right w:w="28" w:type="dxa"/>
        </w:tblCellMar>
      </w:tblPr>
      <w:tblGrid>
        <w:gridCol w:w="417"/>
        <w:gridCol w:w="368"/>
        <w:gridCol w:w="370"/>
        <w:gridCol w:w="109"/>
        <w:gridCol w:w="109"/>
        <w:gridCol w:w="109"/>
        <w:gridCol w:w="1189"/>
        <w:gridCol w:w="1189"/>
        <w:gridCol w:w="1686"/>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Chief Executive Officer and Trustee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March 31, 2023 (the “Report”). The undersigned hereby certifies, to the best of his knowledge, that:</w:t>
      </w:r>
    </w:p>
    <w:p>
      <w:pPr>
        <w:pStyle w:val="TextBody"/>
        <w:spacing w:lineRule="auto" w:line="288" w:before="120" w:after="283"/>
        <w:ind w:left="0" w:right="0" w:hanging="99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99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120" w:after="283"/>
        <w:ind w:left="0" w:right="0" w:hanging="630"/>
        <w:rPr/>
      </w:pPr>
      <w:r>
        <w:rPr/>
      </w:r>
    </w:p>
    <w:tbl>
      <w:tblPr>
        <w:tblW w:w="5411" w:type="dxa"/>
        <w:jc w:val="left"/>
        <w:tblInd w:w="0" w:type="dxa"/>
        <w:tblCellMar>
          <w:top w:w="28" w:type="dxa"/>
          <w:left w:w="28" w:type="dxa"/>
          <w:bottom w:w="28" w:type="dxa"/>
          <w:right w:w="28" w:type="dxa"/>
        </w:tblCellMar>
      </w:tblPr>
      <w:tblGrid>
        <w:gridCol w:w="417"/>
        <w:gridCol w:w="368"/>
        <w:gridCol w:w="370"/>
        <w:gridCol w:w="109"/>
        <w:gridCol w:w="109"/>
        <w:gridCol w:w="109"/>
        <w:gridCol w:w="1150"/>
        <w:gridCol w:w="1150"/>
        <w:gridCol w:w="1629"/>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4903/000003490323000020/frt-20221231.htm" TargetMode="External"/><Relationship Id="rId3" Type="http://schemas.openxmlformats.org/officeDocument/2006/relationships/hyperlink" Target="https://www.sec.gov/ix?doc=/Archives/edgar/data/34903/000003490321000020/frt-20201231.htm" TargetMode="External"/><Relationship Id="rId4" Type="http://schemas.openxmlformats.org/officeDocument/2006/relationships/hyperlink" Target="https://www.sec.gov/ix?doc=/Archives/edgar/data/34903/000003490321000020/frt-20201231.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32233</Words>
  <CharactersWithSpaces>202201</CharactersWithSpaces>
  <Paragraphs>2709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