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May 14, 2021</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By EDGAR Submission</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Real Estate &amp; Construction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Attention: Paul Cline and Wilson Lee</w:t>
      </w:r>
    </w:p>
    <w:p>
      <w:pPr>
        <w:spacing w:after="0" w:line="252"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Federal Realty Investment Trust (the “Company”)</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Form 10-K for the Fiscal Year Ended December 31, 2020</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Filed on February 11, 2021</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File No. 001-07533</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Cline and Mr. Lee:</w:t>
      </w:r>
    </w:p>
    <w:p>
      <w:pPr>
        <w:spacing w:after="0" w:line="25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This letter responds to your letter dated May 13, 2021, providing comments relating to the Company's Form 10-K for the fiscal year ended December 31, 2020. In order to facilitate the Staff's review of this letter, we have restated your comment below and have included the Company's response underneath the comment.</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2020</w:t>
      </w:r>
    </w:p>
    <w:p>
      <w:pPr>
        <w:spacing w:after="0" w:line="252" w:lineRule="exact"/>
        <w:rPr>
          <w:sz w:val="24"/>
          <w:szCs w:val="24"/>
          <w:color w:val="auto"/>
        </w:rPr>
      </w:pPr>
    </w:p>
    <w:p>
      <w:pPr>
        <w:ind w:right="3780"/>
        <w:spacing w:after="0" w:line="282" w:lineRule="auto"/>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 Property Operating Income, page 42</w:t>
      </w:r>
    </w:p>
    <w:p>
      <w:pPr>
        <w:spacing w:after="0" w:line="189" w:lineRule="exact"/>
        <w:rPr>
          <w:sz w:val="24"/>
          <w:szCs w:val="24"/>
          <w:color w:val="auto"/>
        </w:rPr>
      </w:pPr>
    </w:p>
    <w:p>
      <w:pPr>
        <w:jc w:val="both"/>
        <w:ind w:left="660" w:right="140" w:hanging="328"/>
        <w:spacing w:after="0" w:line="314" w:lineRule="auto"/>
        <w:tabs>
          <w:tab w:leader="none" w:pos="66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 present property operating income as a Non-GAAP measure. It appears the reconciliation of operating income to property operating income included in prior annual reports has been removed from the current annual report. Please revise your future filings to include this reconciliation to comply with the requirements outlined within paragraph 10(e)(i)(B) of Regulation S-K.</w:t>
      </w:r>
    </w:p>
    <w:p>
      <w:pPr>
        <w:spacing w:after="0" w:line="173" w:lineRule="exact"/>
        <w:rPr>
          <w:sz w:val="24"/>
          <w:szCs w:val="24"/>
          <w:color w:val="auto"/>
        </w:rPr>
      </w:pPr>
    </w:p>
    <w:p>
      <w:pPr>
        <w:ind w:left="660"/>
        <w:spacing w:after="0"/>
        <w:rPr>
          <w:sz w:val="20"/>
          <w:szCs w:val="20"/>
          <w:color w:val="auto"/>
        </w:rPr>
      </w:pPr>
      <w:r>
        <w:rPr>
          <w:rFonts w:ascii="Arial" w:cs="Arial" w:eastAsia="Arial" w:hAnsi="Arial"/>
          <w:sz w:val="16"/>
          <w:szCs w:val="16"/>
          <w:color w:val="auto"/>
        </w:rPr>
        <w:t>Company Response: In future filings, we will revise our disclosure to include a reconciliation of operating income to property operating income.</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further questions or require additional information, please do not hesitate to contact me at (301) 998-8232.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Thank you for your consideration in these matters.</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/s/ Daniel Guglielmone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Daniel Guglielmone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Federal Realty Investment Trust</w:t>
      </w:r>
    </w:p>
    <w:p>
      <w:pPr>
        <w:sectPr>
          <w:pgSz w:w="11900" w:h="16838" w:orient="portrait"/>
          <w:cols w:equalWidth="0" w:num="1">
            <w:col w:w="11200"/>
          </w:cols>
          <w:pgMar w:left="320" w:top="1440" w:right="379" w:bottom="1440" w:gutter="0" w:footer="0" w:header="0"/>
        </w:sectPr>
      </w:pPr>
    </w:p>
    <w:bookmarkStart w:id="1" w:name="page2"/>
    <w:bookmarkEnd w:id="1"/>
    <w:p>
      <w:pPr>
        <w:spacing w:after="0" w:line="225" w:lineRule="exact"/>
        <w:rPr>
          <w:sz w:val="20"/>
          <w:szCs w:val="20"/>
          <w:color w:val="auto"/>
        </w:rPr>
      </w:pPr>
    </w:p>
    <w:p>
      <w:pPr>
        <w:ind w:left="652" w:right="5799" w:hanging="652"/>
        <w:spacing w:after="0" w:line="277" w:lineRule="auto"/>
        <w:tabs>
          <w:tab w:leader="none" w:pos="439" w:val="left"/>
        </w:tabs>
        <w:numPr>
          <w:ilvl w:val="0"/>
          <w:numId w:val="2"/>
        </w:numPr>
        <w:rPr>
          <w:rFonts w:ascii="Arial" w:cs="Arial" w:eastAsia="Arial" w:hAnsi="Arial"/>
          <w:sz w:val="18"/>
          <w:szCs w:val="18"/>
          <w:color w:val="auto"/>
        </w:rPr>
      </w:pPr>
      <w:r>
        <w:rPr>
          <w:rFonts w:ascii="Arial" w:cs="Arial" w:eastAsia="Arial" w:hAnsi="Arial"/>
          <w:sz w:val="18"/>
          <w:szCs w:val="18"/>
          <w:color w:val="auto"/>
        </w:rPr>
        <w:t>Justin Bintrim, Pillsbury Winthrop Shaw Pittman LLP Nishit Mehta, Grant Thornton LLP</w:t>
      </w:r>
    </w:p>
    <w:sectPr>
      <w:pgSz w:w="11900" w:h="16838" w:orient="portrait"/>
      <w:cols w:equalWidth="0" w:num="1">
        <w:col w:w="10131"/>
      </w:cols>
      <w:pgMar w:left="328"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2021-06-15T23:09:43Z</dcterms:created>
  <dcterms:modified xsi:type="dcterms:W3CDTF">2021-06-15T23:09:43Z</dcterms:modified>
</cp:coreProperties>
</file>