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Pursuant to Section 13 or 15(d) of the Securities Exchange Act of 1934 Date of Report: May 5, 1999</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District of Columbia</w:t>
            </w:r>
          </w:p>
        </w:tc>
        <w:tc>
          <w:tcPr>
            <w:tcW w:w="20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1-7533</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52-0782497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540" w:right="2519" w:hanging="526"/>
        <w:spacing w:after="0" w:line="235" w:lineRule="auto"/>
        <w:rPr>
          <w:sz w:val="20"/>
          <w:szCs w:val="20"/>
          <w:color w:val="auto"/>
        </w:rPr>
      </w:pPr>
      <w:r>
        <w:rPr>
          <w:rFonts w:ascii="Courier New" w:cs="Courier New" w:eastAsia="Courier New" w:hAnsi="Courier New"/>
          <w:sz w:val="18"/>
          <w:szCs w:val="18"/>
          <w:color w:val="auto"/>
        </w:rPr>
        <w:t>(State or other jurisdiction</w:t>
      </w:r>
      <w:r>
        <w:rPr>
          <w:sz w:val="20"/>
          <w:szCs w:val="20"/>
          <w:color w:val="auto"/>
        </w:rPr>
        <w:t xml:space="preserve"> </w:t>
      </w:r>
      <w:r>
        <w:rPr>
          <w:rFonts w:ascii="Courier New" w:cs="Courier New" w:eastAsia="Courier New" w:hAnsi="Courier New"/>
          <w:sz w:val="18"/>
          <w:szCs w:val="18"/>
          <w:color w:val="auto"/>
        </w:rPr>
        <w:t>(Commission (I.R.S. Employer of incorporation) File Number) Identification No.)</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060"/>
        <w:spacing w:after="0"/>
        <w:tabs>
          <w:tab w:leader="none" w:pos="6200" w:val="left"/>
        </w:tabs>
        <w:rPr>
          <w:sz w:val="20"/>
          <w:szCs w:val="20"/>
          <w:color w:val="auto"/>
        </w:rPr>
      </w:pPr>
      <w:r>
        <w:rPr>
          <w:rFonts w:ascii="Courier New" w:cs="Courier New" w:eastAsia="Courier New" w:hAnsi="Courier New"/>
          <w:sz w:val="18"/>
          <w:szCs w:val="18"/>
          <w:color w:val="auto"/>
        </w:rPr>
        <w:t>1626 East Jefferson Street, Rockville, Maryland</w:t>
      </w:r>
      <w:r>
        <w:rPr>
          <w:sz w:val="20"/>
          <w:szCs w:val="20"/>
          <w:color w:val="auto"/>
        </w:rPr>
        <w:tab/>
      </w:r>
      <w:r>
        <w:rPr>
          <w:rFonts w:ascii="Courier New" w:cs="Courier New" w:eastAsia="Courier New" w:hAnsi="Courier New"/>
          <w:sz w:val="16"/>
          <w:szCs w:val="16"/>
          <w:color w:val="auto"/>
        </w:rPr>
        <w:t>20852-4041</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tabs>
          <w:tab w:leader="none" w:pos="62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301/998-8100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Index appears on page 3.</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Certifying Accountant</w:t>
      </w:r>
    </w:p>
    <w:p>
      <w:pPr>
        <w:spacing w:after="0" w:line="207" w:lineRule="exact"/>
        <w:rPr>
          <w:sz w:val="20"/>
          <w:szCs w:val="20"/>
          <w:color w:val="auto"/>
        </w:rPr>
      </w:pPr>
    </w:p>
    <w:p>
      <w:pPr>
        <w:ind w:left="540" w:right="1779" w:hanging="532"/>
        <w:spacing w:after="0" w:line="270"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5, 1999, Federal Realty Investment Trust (the "Registrant") appointed the accounting firm of Arthur Andersen LLP as independent accountants to replace Grant Thornton LLP, which was dismissed effective the same date. The Registrant's Board of Trustees approved the decision to change independent accountants upon the recommendation of the Registrant's Audit Committee. During the Registrant's two most recent fiscal years and interim period subsequent to December 31, 1998, the Registrant has not consulted with Arthur Andersen LLP regarding the application of accounting principles to a specified transaction, the type of audit opinion that might be rendered on the Registrant's financial statements, or any matter that was either the subject of a disagreement or a reportable event.</w:t>
      </w:r>
    </w:p>
    <w:p>
      <w:pPr>
        <w:spacing w:after="0" w:line="391"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Registrant's two most recent fiscal years and interim period subsequent to December 31, 1998, there were no disagreements with Grant Thornton LLP on any matter of accounting principles or practices, financial statement disclosure or auditing scope or procedure, and there were no reportable events.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reports issued by Grant Thornton LLP on the financial statements for the past two fiscal years of the Registrant contained no adverse opinion or disclaimer of opinion, and were not qualified as to uncertainty, audit scope or accounting principles.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has provided Grant Thornton LLP with a copy of this disclosure and has requested that Grant Thornton LLP furnish it with a letter addressed to the Commission stating whether or not it agrees with the above statements. A copy of such letter is filed as an exhibit to this Form 8-K.</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0" w:lineRule="exact"/>
        <w:rPr>
          <w:sz w:val="20"/>
          <w:szCs w:val="20"/>
          <w:color w:val="auto"/>
        </w:rPr>
      </w:pPr>
    </w:p>
    <w:p>
      <w:pPr>
        <w:spacing w:after="0" w:line="204" w:lineRule="exact"/>
        <w:rPr>
          <w:sz w:val="20"/>
          <w:szCs w:val="20"/>
          <w:color w:val="auto"/>
        </w:rPr>
      </w:pPr>
    </w:p>
    <w:p>
      <w:pPr>
        <w:ind w:left="960" w:hanging="42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16.1   Letter from Grant Thornton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10,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Cecily A. Ward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Cecily A. Ward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Controller</w:t>
      </w:r>
    </w:p>
    <w:p>
      <w:pPr>
        <w:spacing w:after="0" w:line="200" w:lineRule="exact"/>
        <w:rPr>
          <w:sz w:val="20"/>
          <w:szCs w:val="20"/>
          <w:color w:val="auto"/>
        </w:rPr>
      </w:pPr>
    </w:p>
    <w:p>
      <w:pPr>
        <w:sectPr>
          <w:pgSz w:w="11900" w:h="16838" w:orient="portrait"/>
          <w:cols w:equalWidth="0" w:num="4">
            <w:col w:w="540" w:space="200"/>
            <w:col w:w="2440" w:space="720"/>
            <w:col w:w="320" w:space="220"/>
            <w:col w:w="5779"/>
          </w:cols>
          <w:pgMar w:left="240" w:top="717"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No.</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060" w:space="0"/>
            <w:col w:w="2760" w:space="720"/>
            <w:col w:w="5679"/>
          </w:cols>
          <w:pgMar w:left="240" w:top="723" w:right="1440" w:bottom="144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6"/>
          <w:szCs w:val="16"/>
          <w:color w:val="auto"/>
        </w:rPr>
        <w:t>Letter from Grant Thornton LLP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w:t>
      </w:r>
    </w:p>
    <w:p>
      <w:pPr>
        <w:spacing w:after="0" w:line="216" w:lineRule="exact"/>
        <w:rPr>
          <w:sz w:val="20"/>
          <w:szCs w:val="20"/>
          <w:color w:val="auto"/>
        </w:rPr>
      </w:pPr>
    </w:p>
    <w:p>
      <w:pPr>
        <w:sectPr>
          <w:pgSz w:w="11900" w:h="16838" w:orient="portrait"/>
          <w:cols w:equalWidth="0" w:num="2">
            <w:col w:w="4240" w:space="720"/>
            <w:col w:w="5259"/>
          </w:cols>
          <w:pgMar w:left="240" w:top="723"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23"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16.1</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[LETTERHEAD OF GRANT THORNTON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10,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Mail Stop 9-5</w:t>
      </w:r>
    </w:p>
    <w:p>
      <w:pPr>
        <w:spacing w:after="0"/>
        <w:rPr>
          <w:sz w:val="20"/>
          <w:szCs w:val="20"/>
          <w:color w:val="auto"/>
        </w:rPr>
      </w:pPr>
      <w:r>
        <w:rPr>
          <w:rFonts w:ascii="Courier New" w:cs="Courier New" w:eastAsia="Courier New" w:hAnsi="Courier New"/>
          <w:sz w:val="18"/>
          <w:szCs w:val="18"/>
          <w:color w:val="auto"/>
        </w:rPr>
        <w:t>450 Fifth Street, N.W.</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20459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have read and agree with the comments relating to Grant Thornton LLP in Item 4 of Form 8-K for Federal Realty Investment Trust dated May 5,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Grant Thornton LLP</w:t>
      </w:r>
    </w:p>
    <w:p>
      <w:pPr>
        <w:spacing w:after="0" w:line="238" w:lineRule="auto"/>
        <w:rPr>
          <w:sz w:val="20"/>
          <w:szCs w:val="20"/>
          <w:color w:val="auto"/>
        </w:rPr>
      </w:pPr>
      <w:r>
        <w:rPr>
          <w:rFonts w:ascii="Courier New" w:cs="Courier New" w:eastAsia="Courier New" w:hAnsi="Courier New"/>
          <w:sz w:val="18"/>
          <w:szCs w:val="18"/>
          <w:color w:val="auto"/>
        </w:rPr>
        <w:t>_______________________________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Thornton LLP</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2020-02-22T12:55:43Z</dcterms:created>
  <dcterms:modified xsi:type="dcterms:W3CDTF">2020-02-22T12:55:43Z</dcterms:modified>
</cp:coreProperties>
</file>