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151765</wp:posOffset>
            </wp:positionH>
            <wp:positionV relativeFrom="page">
              <wp:posOffset>151765</wp:posOffset>
            </wp:positionV>
            <wp:extent cx="7258050"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29210"/>
                    </a:xfrm>
                    <a:prstGeom prst="rect">
                      <a:avLst/>
                    </a:prstGeom>
                    <a:noFill/>
                  </pic:spPr>
                </pic:pic>
              </a:graphicData>
            </a:graphic>
          </wp:anchor>
        </w:drawing>
        <w:t>SECURITIES AND EXCHANGE COMMISSION</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183515</wp:posOffset>
            </wp:positionV>
            <wp:extent cx="12484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395" w:lineRule="exact"/>
        <w:rPr>
          <w:sz w:val="24"/>
          <w:szCs w:val="24"/>
          <w:color w:val="auto"/>
        </w:rPr>
      </w:pPr>
    </w:p>
    <w:p>
      <w:pPr>
        <w:jc w:val="center"/>
        <w:ind w:right="-21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207645</wp:posOffset>
            </wp:positionV>
            <wp:extent cx="12484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CURRENT REPORT</w:t>
      </w:r>
    </w:p>
    <w:p>
      <w:pPr>
        <w:spacing w:after="0" w:line="144" w:lineRule="exact"/>
        <w:rPr>
          <w:sz w:val="24"/>
          <w:szCs w:val="24"/>
          <w:color w:val="auto"/>
        </w:rPr>
      </w:pPr>
    </w:p>
    <w:p>
      <w:pPr>
        <w:jc w:val="center"/>
        <w:ind w:right="-2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82"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Date of Report (Date of earliest event reported) February 13,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201930</wp:posOffset>
            </wp:positionV>
            <wp:extent cx="12484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219"/>
        <w:spacing w:after="0"/>
        <w:rPr>
          <w:sz w:val="20"/>
          <w:szCs w:val="20"/>
          <w:color w:val="auto"/>
        </w:rPr>
      </w:pPr>
      <w:r>
        <w:rPr>
          <w:rFonts w:ascii="Arial" w:cs="Arial" w:eastAsia="Arial" w:hAnsi="Arial"/>
          <w:sz w:val="41"/>
          <w:szCs w:val="41"/>
          <w:b w:val="1"/>
          <w:bCs w:val="1"/>
          <w:color w:val="auto"/>
        </w:rPr>
        <w:t>Federal Realty Investment Trust</w:t>
      </w:r>
    </w:p>
    <w:p>
      <w:pPr>
        <w:spacing w:after="0" w:line="47"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181610</wp:posOffset>
            </wp:positionV>
            <wp:extent cx="12484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ectPr>
          <w:pgSz w:w="11900" w:h="16838" w:orient="portrait"/>
          <w:cols w:equalWidth="0" w:num="1">
            <w:col w:w="11220"/>
          </w:cols>
          <w:pgMar w:left="240" w:top="343" w:right="439" w:bottom="1440" w:gutter="0" w:footer="0" w:header="0"/>
        </w:sectPr>
      </w:pPr>
    </w:p>
    <w:p>
      <w:pPr>
        <w:spacing w:after="0" w:line="200" w:lineRule="exact"/>
        <w:rPr>
          <w:sz w:val="24"/>
          <w:szCs w:val="24"/>
          <w:color w:val="auto"/>
        </w:rPr>
      </w:pPr>
    </w:p>
    <w:p>
      <w:pPr>
        <w:spacing w:after="0" w:line="382"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2" w:lineRule="exact"/>
        <w:rPr>
          <w:sz w:val="24"/>
          <w:szCs w:val="24"/>
          <w:color w:val="auto"/>
        </w:rPr>
      </w:pPr>
    </w:p>
    <w:p>
      <w:pPr>
        <w:jc w:val="center"/>
        <w:ind w:right="2360"/>
        <w:spacing w:after="0"/>
        <w:rPr>
          <w:sz w:val="20"/>
          <w:szCs w:val="20"/>
          <w:color w:val="auto"/>
        </w:rPr>
      </w:pPr>
      <w:r>
        <w:rPr>
          <w:rFonts w:ascii="Arial" w:cs="Arial" w:eastAsia="Arial" w:hAnsi="Arial"/>
          <w:sz w:val="15"/>
          <w:szCs w:val="15"/>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52-0782497</w:t>
      </w:r>
    </w:p>
    <w:p>
      <w:pPr>
        <w:spacing w:after="0" w:line="50" w:lineRule="exact"/>
        <w:rPr>
          <w:sz w:val="24"/>
          <w:szCs w:val="24"/>
          <w:color w:val="auto"/>
        </w:rPr>
      </w:pPr>
    </w:p>
    <w:p>
      <w:pPr>
        <w:sectPr>
          <w:pgSz w:w="11900" w:h="16838" w:orient="portrait"/>
          <w:cols w:equalWidth="0" w:num="3">
            <w:col w:w="4840" w:space="720"/>
            <w:col w:w="2920" w:space="720"/>
            <w:col w:w="2020"/>
          </w:cols>
          <w:pgMar w:left="240" w:top="343" w:right="439" w:bottom="1440" w:gutter="0" w:footer="0" w:header="0"/>
          <w:type w:val="continuous"/>
        </w:sectPr>
      </w:pPr>
    </w:p>
    <w:p>
      <w:pPr>
        <w:spacing w:after="0" w:line="5" w:lineRule="exact"/>
        <w:rPr>
          <w:sz w:val="24"/>
          <w:szCs w:val="24"/>
          <w:color w:val="auto"/>
        </w:rPr>
      </w:pPr>
    </w:p>
    <w:p>
      <w:pPr>
        <w:jc w:val="center"/>
        <w:ind w:right="480"/>
        <w:spacing w:after="0"/>
        <w:rPr>
          <w:sz w:val="20"/>
          <w:szCs w:val="20"/>
          <w:color w:val="auto"/>
        </w:rPr>
      </w:pPr>
      <w:r>
        <w:rPr>
          <w:rFonts w:ascii="Arial" w:cs="Arial" w:eastAsia="Arial" w:hAnsi="Arial"/>
          <w:sz w:val="11"/>
          <w:szCs w:val="11"/>
          <w:b w:val="1"/>
          <w:bCs w:val="1"/>
          <w:color w:val="auto"/>
        </w:rPr>
        <w:t>(State or other jurisdiction</w:t>
      </w:r>
    </w:p>
    <w:p>
      <w:pPr>
        <w:spacing w:after="0" w:line="17" w:lineRule="exact"/>
        <w:rPr>
          <w:sz w:val="24"/>
          <w:szCs w:val="24"/>
          <w:color w:val="auto"/>
        </w:rPr>
      </w:pPr>
    </w:p>
    <w:p>
      <w:pPr>
        <w:jc w:val="center"/>
        <w:ind w:right="48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800"/>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3"/>
          <w:szCs w:val="13"/>
          <w:b w:val="1"/>
          <w:bCs w:val="1"/>
          <w:color w:val="auto"/>
        </w:rPr>
        <w:t>(IRS Employer</w:t>
      </w:r>
    </w:p>
    <w:p>
      <w:pPr>
        <w:jc w:val="center"/>
        <w:ind w:right="1120"/>
        <w:spacing w:after="0"/>
        <w:rPr>
          <w:sz w:val="20"/>
          <w:szCs w:val="20"/>
          <w:color w:val="auto"/>
        </w:rPr>
      </w:pPr>
      <w:r>
        <w:rPr>
          <w:rFonts w:ascii="Arial" w:cs="Arial" w:eastAsia="Arial" w:hAnsi="Arial"/>
          <w:sz w:val="11"/>
          <w:szCs w:val="11"/>
          <w:b w:val="1"/>
          <w:bCs w:val="1"/>
          <w:color w:val="auto"/>
        </w:rPr>
        <w:t>Identification No.)</w:t>
      </w:r>
    </w:p>
    <w:p>
      <w:pPr>
        <w:spacing w:after="0" w:line="207" w:lineRule="exact"/>
        <w:rPr>
          <w:sz w:val="24"/>
          <w:szCs w:val="24"/>
          <w:color w:val="auto"/>
        </w:rPr>
      </w:pPr>
    </w:p>
    <w:p>
      <w:pPr>
        <w:sectPr>
          <w:pgSz w:w="11900" w:h="16838" w:orient="portrait"/>
          <w:cols w:equalWidth="0" w:num="3">
            <w:col w:w="4380" w:space="720"/>
            <w:col w:w="3280" w:space="720"/>
            <w:col w:w="2120"/>
          </w:cols>
          <w:pgMar w:left="240" w:top="343" w:right="439" w:bottom="1440" w:gutter="0" w:footer="0" w:header="0"/>
          <w:type w:val="continuous"/>
        </w:sectPr>
      </w:pPr>
    </w:p>
    <w:p>
      <w:pPr>
        <w:ind w:left="116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44" w:lineRule="exact"/>
        <w:rPr>
          <w:sz w:val="24"/>
          <w:szCs w:val="24"/>
          <w:color w:val="auto"/>
        </w:rPr>
      </w:pPr>
    </w:p>
    <w:p>
      <w:pPr>
        <w:sectPr>
          <w:pgSz w:w="11900" w:h="16838" w:orient="portrait"/>
          <w:cols w:equalWidth="0" w:num="2">
            <w:col w:w="7560" w:space="720"/>
            <w:col w:w="2940"/>
          </w:cols>
          <w:pgMar w:left="240" w:top="343" w:right="439" w:bottom="1440" w:gutter="0" w:footer="0" w:header="0"/>
          <w:type w:val="continuous"/>
        </w:sectPr>
      </w:pPr>
    </w:p>
    <w:p>
      <w:pPr>
        <w:ind w:left="180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58" w:lineRule="exact"/>
        <w:rPr>
          <w:sz w:val="24"/>
          <w:szCs w:val="24"/>
          <w:color w:val="auto"/>
        </w:rPr>
      </w:pPr>
    </w:p>
    <w:p>
      <w:pPr>
        <w:sectPr>
          <w:pgSz w:w="11900" w:h="16838" w:orient="portrait"/>
          <w:cols w:equalWidth="0" w:num="2">
            <w:col w:w="7680" w:space="720"/>
            <w:col w:w="2820"/>
          </w:cols>
          <w:pgMar w:left="240" w:top="343"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201930</wp:posOffset>
            </wp:positionV>
            <wp:extent cx="1248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59" w:lineRule="exact"/>
        <w:rPr>
          <w:sz w:val="24"/>
          <w:szCs w:val="24"/>
          <w:color w:val="auto"/>
        </w:rPr>
      </w:pPr>
    </w:p>
    <w:p>
      <w:pPr>
        <w:ind w:left="460" w:hanging="457"/>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2" w:lineRule="exact"/>
        <w:rPr>
          <w:rFonts w:ascii="MS PGothic" w:cs="MS PGothic" w:eastAsia="MS PGothic" w:hAnsi="MS PGothic"/>
          <w:sz w:val="17"/>
          <w:szCs w:val="17"/>
          <w:color w:val="auto"/>
        </w:rPr>
      </w:pPr>
    </w:p>
    <w:p>
      <w:pPr>
        <w:ind w:left="460" w:hanging="457"/>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02" w:lineRule="exact"/>
        <w:rPr>
          <w:rFonts w:ascii="MS PGothic" w:cs="MS PGothic" w:eastAsia="MS PGothic" w:hAnsi="MS PGothic"/>
          <w:sz w:val="17"/>
          <w:szCs w:val="17"/>
          <w:color w:val="auto"/>
        </w:rPr>
      </w:pPr>
    </w:p>
    <w:p>
      <w:pPr>
        <w:ind w:left="460" w:hanging="457"/>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2" w:lineRule="exact"/>
        <w:rPr>
          <w:rFonts w:ascii="MS PGothic" w:cs="MS PGothic" w:eastAsia="MS PGothic" w:hAnsi="MS PGothic"/>
          <w:sz w:val="17"/>
          <w:szCs w:val="17"/>
          <w:color w:val="auto"/>
        </w:rPr>
      </w:pPr>
    </w:p>
    <w:p>
      <w:pPr>
        <w:ind w:left="460" w:hanging="457"/>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050" cy="29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050" cy="29210"/>
                    </a:xfrm>
                    <a:prstGeom prst="rect">
                      <a:avLst/>
                    </a:prstGeom>
                    <a:noFill/>
                  </pic:spPr>
                </pic:pic>
              </a:graphicData>
            </a:graphic>
          </wp:anchor>
        </w:drawing>
      </w:r>
    </w:p>
    <w:p>
      <w:pPr>
        <w:sectPr>
          <w:pgSz w:w="11900" w:h="16838" w:orient="portrait"/>
          <w:cols w:equalWidth="0" w:num="1">
            <w:col w:w="11220"/>
          </w:cols>
          <w:pgMar w:left="240" w:top="343" w:right="4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3925" cy="2667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1" w:lineRule="exact"/>
        <w:rPr>
          <w:sz w:val="20"/>
          <w:szCs w:val="20"/>
          <w:color w:val="auto"/>
        </w:rPr>
      </w:pPr>
    </w:p>
    <w:p>
      <w:pPr>
        <w:ind w:right="140" w:firstLine="457"/>
        <w:spacing w:after="0" w:line="304" w:lineRule="auto"/>
        <w:rPr>
          <w:sz w:val="20"/>
          <w:szCs w:val="20"/>
          <w:color w:val="auto"/>
        </w:rPr>
      </w:pPr>
      <w:r>
        <w:rPr>
          <w:rFonts w:ascii="Arial" w:cs="Arial" w:eastAsia="Arial" w:hAnsi="Arial"/>
          <w:sz w:val="15"/>
          <w:szCs w:val="15"/>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03" w:lineRule="exact"/>
        <w:rPr>
          <w:sz w:val="20"/>
          <w:szCs w:val="20"/>
          <w:color w:val="auto"/>
        </w:rPr>
      </w:pPr>
    </w:p>
    <w:p>
      <w:pPr>
        <w:ind w:firstLine="457"/>
        <w:spacing w:after="0" w:line="305" w:lineRule="auto"/>
        <w:rPr>
          <w:sz w:val="20"/>
          <w:szCs w:val="20"/>
          <w:color w:val="auto"/>
        </w:rPr>
      </w:pPr>
      <w:r>
        <w:rPr>
          <w:rFonts w:ascii="Arial" w:cs="Arial" w:eastAsia="Arial" w:hAnsi="Arial"/>
          <w:sz w:val="16"/>
          <w:szCs w:val="16"/>
          <w:color w:val="auto"/>
        </w:rPr>
        <w:t>On February 13, 2007, Federal Realty Investment Trust issued supplemental data pertaining to its operations, as well as a press release, to report its financial results for the year and quarter ended December 31, 2006. The supplemental data and press release are furnished as Exhibit 99.1 hereto.</w:t>
      </w:r>
    </w:p>
    <w:p>
      <w:pPr>
        <w:spacing w:after="0" w:line="209"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 Exhibits</w:t>
      </w:r>
    </w:p>
    <w:p>
      <w:pPr>
        <w:spacing w:after="0" w:line="203"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information at December 31, 2006 (including press release dated February 13, 2007)</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68" w:right="25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3925" cy="26670"/>
                    </a:xfrm>
                    <a:prstGeom prst="rect">
                      <a:avLst/>
                    </a:prstGeom>
                    <a:noFill/>
                  </pic:spPr>
                </pic:pic>
              </a:graphicData>
            </a:graphic>
          </wp:anchor>
        </w:drawing>
        <w:t>SIGNATURES</w:t>
      </w:r>
    </w:p>
    <w:p>
      <w:pPr>
        <w:spacing w:after="0" w:line="168"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FEDERAL REALTY INVESTMENT TRUST</w:t>
      </w:r>
    </w:p>
    <w:p>
      <w:pPr>
        <w:spacing w:after="0" w:line="22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February 13, 2007</w:t>
      </w:r>
      <w:r>
        <w:rPr>
          <w:sz w:val="20"/>
          <w:szCs w:val="20"/>
          <w:color w:val="auto"/>
        </w:rPr>
        <w:tab/>
      </w:r>
      <w:r>
        <w:rPr>
          <w:rFonts w:ascii="Arial" w:cs="Arial" w:eastAsia="Arial" w:hAnsi="Arial"/>
          <w:sz w:val="15"/>
          <w:szCs w:val="15"/>
          <w:color w:val="auto"/>
        </w:rPr>
        <w:t>/s/ Larry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12065</wp:posOffset>
            </wp:positionV>
            <wp:extent cx="3549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Larry E. Finger</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Executive Vice President,</w:t>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Chief Financial Officer and Treasurer</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860"/>
          </w:cols>
          <w:pgMar w:left="240" w:top="268" w:right="799" w:bottom="1440" w:gutter="0" w:footer="0" w:header="0"/>
        </w:sectPr>
      </w:pPr>
    </w:p>
    <w:bookmarkStart w:id="3" w:name="page4"/>
    <w:bookmarkEnd w:id="3"/>
    <w:p>
      <w:pPr>
        <w:jc w:val="right"/>
        <w:ind w:right="389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3925" cy="26670"/>
                    </a:xfrm>
                    <a:prstGeom prst="rect">
                      <a:avLst/>
                    </a:prstGeom>
                    <a:noFill/>
                  </pic:spPr>
                </pic:pic>
              </a:graphicData>
            </a:graphic>
          </wp:anchor>
        </w:drawing>
        <w:t>EXHIBIT INDEX</w:t>
      </w:r>
    </w:p>
    <w:p>
      <w:pPr>
        <w:spacing w:after="0" w:line="199"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b w:val="1"/>
          <w:bCs w:val="1"/>
          <w:u w:val="single" w:color="auto"/>
          <w:color w:val="auto"/>
        </w:rPr>
        <w:t>Exh No.</w:t>
      </w:r>
      <w:r>
        <w:rPr>
          <w:sz w:val="20"/>
          <w:szCs w:val="20"/>
          <w:color w:val="auto"/>
        </w:rPr>
        <w:tab/>
      </w:r>
      <w:r>
        <w:rPr>
          <w:rFonts w:ascii="Arial" w:cs="Arial" w:eastAsia="Arial" w:hAnsi="Arial"/>
          <w:sz w:val="11"/>
          <w:szCs w:val="11"/>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11430</wp:posOffset>
            </wp:positionV>
            <wp:extent cx="67640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4020" cy="8255"/>
                    </a:xfrm>
                    <a:prstGeom prst="rect">
                      <a:avLst/>
                    </a:prstGeom>
                    <a:noFill/>
                  </pic:spPr>
                </pic:pic>
              </a:graphicData>
            </a:graphic>
          </wp:anchor>
        </w:drawing>
      </w:r>
    </w:p>
    <w:p>
      <w:pPr>
        <w:spacing w:after="0" w:line="1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Information at December 31, 2006</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19"/>
          </w:cols>
          <w:pgMar w:left="240" w:top="27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7"/>
        </w:trPr>
        <w:tc>
          <w:tcPr>
            <w:tcW w:w="886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Exhibit 99.1</w:t>
            </w:r>
          </w:p>
        </w:tc>
      </w:tr>
      <w:tr>
        <w:trPr>
          <w:trHeight w:val="353"/>
        </w:trPr>
        <w:tc>
          <w:tcPr>
            <w:tcW w:w="8860" w:type="dxa"/>
            <w:vAlign w:val="bottom"/>
          </w:tcPr>
          <w:p>
            <w:pPr>
              <w:jc w:val="center"/>
              <w:ind w:left="2296"/>
              <w:spacing w:after="0"/>
              <w:rPr>
                <w:sz w:val="20"/>
                <w:szCs w:val="20"/>
                <w:color w:val="auto"/>
              </w:rPr>
            </w:pPr>
            <w:r>
              <w:rPr>
                <w:rFonts w:ascii="Arial" w:cs="Arial" w:eastAsia="Arial" w:hAnsi="Arial"/>
                <w:sz w:val="17"/>
                <w:szCs w:val="17"/>
                <w:b w:val="1"/>
                <w:bCs w:val="1"/>
                <w:color w:val="auto"/>
                <w:w w:val="99"/>
              </w:rPr>
              <w:t>FEDERAL REALTY INVESTMENT TRUST</w:t>
            </w:r>
          </w:p>
        </w:tc>
        <w:tc>
          <w:tcPr>
            <w:tcW w:w="2460" w:type="dxa"/>
            <w:vAlign w:val="bottom"/>
          </w:tcPr>
          <w:p>
            <w:pPr>
              <w:spacing w:after="0"/>
              <w:rPr>
                <w:sz w:val="24"/>
                <w:szCs w:val="24"/>
                <w:color w:val="auto"/>
              </w:rPr>
            </w:pPr>
          </w:p>
        </w:tc>
      </w:tr>
      <w:tr>
        <w:trPr>
          <w:trHeight w:val="206"/>
        </w:trPr>
        <w:tc>
          <w:tcPr>
            <w:tcW w:w="8860" w:type="dxa"/>
            <w:vAlign w:val="bottom"/>
          </w:tcPr>
          <w:p>
            <w:pPr>
              <w:jc w:val="center"/>
              <w:ind w:left="2296"/>
              <w:spacing w:after="0"/>
              <w:rPr>
                <w:sz w:val="20"/>
                <w:szCs w:val="20"/>
                <w:color w:val="auto"/>
              </w:rPr>
            </w:pPr>
            <w:r>
              <w:rPr>
                <w:rFonts w:ascii="Arial" w:cs="Arial" w:eastAsia="Arial" w:hAnsi="Arial"/>
                <w:sz w:val="17"/>
                <w:szCs w:val="17"/>
                <w:color w:val="auto"/>
                <w:w w:val="95"/>
              </w:rPr>
              <w:t>SUPPLEMENTAL INFORMATION</w:t>
            </w:r>
          </w:p>
        </w:tc>
        <w:tc>
          <w:tcPr>
            <w:tcW w:w="2460" w:type="dxa"/>
            <w:vAlign w:val="bottom"/>
          </w:tcPr>
          <w:p>
            <w:pPr>
              <w:spacing w:after="0"/>
              <w:rPr>
                <w:sz w:val="17"/>
                <w:szCs w:val="17"/>
                <w:color w:val="auto"/>
              </w:rPr>
            </w:pPr>
          </w:p>
        </w:tc>
      </w:tr>
      <w:tr>
        <w:trPr>
          <w:trHeight w:val="213"/>
        </w:trPr>
        <w:tc>
          <w:tcPr>
            <w:tcW w:w="8860" w:type="dxa"/>
            <w:vAlign w:val="bottom"/>
          </w:tcPr>
          <w:p>
            <w:pPr>
              <w:jc w:val="center"/>
              <w:ind w:left="2276"/>
              <w:spacing w:after="0"/>
              <w:rPr>
                <w:sz w:val="20"/>
                <w:szCs w:val="20"/>
                <w:color w:val="auto"/>
              </w:rPr>
            </w:pPr>
            <w:r>
              <w:rPr>
                <w:rFonts w:ascii="Arial" w:cs="Arial" w:eastAsia="Arial" w:hAnsi="Arial"/>
                <w:sz w:val="17"/>
                <w:szCs w:val="17"/>
                <w:color w:val="auto"/>
                <w:w w:val="92"/>
              </w:rPr>
              <w:t>DECEMBER 31, 2006</w:t>
            </w:r>
          </w:p>
        </w:tc>
        <w:tc>
          <w:tcPr>
            <w:tcW w:w="2460" w:type="dxa"/>
            <w:vAlign w:val="bottom"/>
          </w:tcPr>
          <w:p>
            <w:pPr>
              <w:spacing w:after="0"/>
              <w:rPr>
                <w:sz w:val="18"/>
                <w:szCs w:val="18"/>
                <w:color w:val="auto"/>
              </w:rPr>
            </w:pPr>
          </w:p>
        </w:tc>
      </w:tr>
      <w:tr>
        <w:trPr>
          <w:trHeight w:val="360"/>
        </w:trPr>
        <w:tc>
          <w:tcPr>
            <w:tcW w:w="8860" w:type="dxa"/>
            <w:vAlign w:val="bottom"/>
          </w:tcPr>
          <w:p>
            <w:pPr>
              <w:jc w:val="center"/>
              <w:ind w:left="2276"/>
              <w:spacing w:after="0"/>
              <w:rPr>
                <w:sz w:val="20"/>
                <w:szCs w:val="20"/>
                <w:color w:val="auto"/>
              </w:rPr>
            </w:pPr>
            <w:r>
              <w:rPr>
                <w:rFonts w:ascii="Arial" w:cs="Arial" w:eastAsia="Arial" w:hAnsi="Arial"/>
                <w:sz w:val="17"/>
                <w:szCs w:val="17"/>
                <w:b w:val="1"/>
                <w:bCs w:val="1"/>
                <w:color w:val="auto"/>
                <w:w w:val="97"/>
              </w:rPr>
              <w:t>TABLE OF CONTENTS</w:t>
            </w:r>
          </w:p>
        </w:tc>
        <w:tc>
          <w:tcPr>
            <w:tcW w:w="2460" w:type="dxa"/>
            <w:vAlign w:val="bottom"/>
          </w:tcPr>
          <w:p>
            <w:pPr>
              <w:spacing w:after="0"/>
              <w:rPr>
                <w:sz w:val="24"/>
                <w:szCs w:val="24"/>
                <w:color w:val="auto"/>
              </w:rPr>
            </w:pPr>
          </w:p>
        </w:tc>
      </w:tr>
      <w:tr>
        <w:trPr>
          <w:trHeight w:val="591"/>
        </w:trPr>
        <w:tc>
          <w:tcPr>
            <w:tcW w:w="8860" w:type="dxa"/>
            <w:vAlign w:val="bottom"/>
          </w:tcPr>
          <w:p>
            <w:pPr>
              <w:spacing w:after="0"/>
              <w:rPr>
                <w:sz w:val="20"/>
                <w:szCs w:val="20"/>
                <w:color w:val="auto"/>
              </w:rPr>
            </w:pPr>
            <w:r>
              <w:rPr>
                <w:rFonts w:ascii="Arial" w:cs="Arial" w:eastAsia="Arial" w:hAnsi="Arial"/>
                <w:sz w:val="17"/>
                <w:szCs w:val="17"/>
                <w:color w:val="auto"/>
              </w:rPr>
              <w:t>1.   Year-End and Fourth Quarter 2006 Earnings Press Release</w:t>
            </w:r>
          </w:p>
        </w:tc>
        <w:tc>
          <w:tcPr>
            <w:tcW w:w="24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01"/>
        </w:trPr>
        <w:tc>
          <w:tcPr>
            <w:tcW w:w="8860" w:type="dxa"/>
            <w:vAlign w:val="bottom"/>
          </w:tcPr>
          <w:p>
            <w:pPr>
              <w:spacing w:after="0"/>
              <w:rPr>
                <w:sz w:val="20"/>
                <w:szCs w:val="20"/>
                <w:color w:val="auto"/>
              </w:rPr>
            </w:pPr>
            <w:r>
              <w:rPr>
                <w:rFonts w:ascii="Arial" w:cs="Arial" w:eastAsia="Arial" w:hAnsi="Arial"/>
                <w:sz w:val="17"/>
                <w:szCs w:val="17"/>
                <w:color w:val="auto"/>
              </w:rPr>
              <w:t>2.   Financial Highlights</w:t>
            </w:r>
          </w:p>
        </w:tc>
        <w:tc>
          <w:tcPr>
            <w:tcW w:w="2460" w:type="dxa"/>
            <w:vAlign w:val="bottom"/>
          </w:tcPr>
          <w:p>
            <w:pPr>
              <w:spacing w:after="0"/>
              <w:rPr>
                <w:sz w:val="24"/>
                <w:szCs w:val="24"/>
                <w:color w:val="auto"/>
              </w:rPr>
            </w:pPr>
          </w:p>
        </w:tc>
      </w:tr>
      <w:tr>
        <w:trPr>
          <w:trHeight w:val="206"/>
        </w:trPr>
        <w:tc>
          <w:tcPr>
            <w:tcW w:w="8860" w:type="dxa"/>
            <w:vAlign w:val="bottom"/>
          </w:tcPr>
          <w:p>
            <w:pPr>
              <w:ind w:left="1140"/>
              <w:spacing w:after="0"/>
              <w:rPr>
                <w:sz w:val="20"/>
                <w:szCs w:val="20"/>
                <w:color w:val="auto"/>
              </w:rPr>
            </w:pPr>
            <w:r>
              <w:rPr>
                <w:rFonts w:ascii="Arial" w:cs="Arial" w:eastAsia="Arial" w:hAnsi="Arial"/>
                <w:sz w:val="17"/>
                <w:szCs w:val="17"/>
                <w:color w:val="auto"/>
              </w:rPr>
              <w:t>Summarized Operating Results</w:t>
            </w:r>
          </w:p>
        </w:tc>
        <w:tc>
          <w:tcPr>
            <w:tcW w:w="24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6"/>
        </w:trPr>
        <w:tc>
          <w:tcPr>
            <w:tcW w:w="8860" w:type="dxa"/>
            <w:vAlign w:val="bottom"/>
          </w:tcPr>
          <w:p>
            <w:pPr>
              <w:ind w:left="1140"/>
              <w:spacing w:after="0"/>
              <w:rPr>
                <w:sz w:val="20"/>
                <w:szCs w:val="20"/>
                <w:color w:val="auto"/>
              </w:rPr>
            </w:pPr>
            <w:r>
              <w:rPr>
                <w:rFonts w:ascii="Arial" w:cs="Arial" w:eastAsia="Arial" w:hAnsi="Arial"/>
                <w:sz w:val="17"/>
                <w:szCs w:val="17"/>
                <w:color w:val="auto"/>
              </w:rPr>
              <w:t>Summarized Balance Sheets</w:t>
            </w:r>
          </w:p>
        </w:tc>
        <w:tc>
          <w:tcPr>
            <w:tcW w:w="24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6"/>
        </w:trPr>
        <w:tc>
          <w:tcPr>
            <w:tcW w:w="8860" w:type="dxa"/>
            <w:vAlign w:val="bottom"/>
          </w:tcPr>
          <w:p>
            <w:pPr>
              <w:ind w:left="1140"/>
              <w:spacing w:after="0"/>
              <w:rPr>
                <w:sz w:val="20"/>
                <w:szCs w:val="20"/>
                <w:color w:val="auto"/>
              </w:rPr>
            </w:pPr>
            <w:r>
              <w:rPr>
                <w:rFonts w:ascii="Arial" w:cs="Arial" w:eastAsia="Arial" w:hAnsi="Arial"/>
                <w:sz w:val="17"/>
                <w:szCs w:val="17"/>
                <w:color w:val="auto"/>
              </w:rPr>
              <w:t>Funds From Operations / Summary of Capital Expenditures</w:t>
            </w:r>
          </w:p>
        </w:tc>
        <w:tc>
          <w:tcPr>
            <w:tcW w:w="24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6"/>
        </w:trPr>
        <w:tc>
          <w:tcPr>
            <w:tcW w:w="8860" w:type="dxa"/>
            <w:vAlign w:val="bottom"/>
          </w:tcPr>
          <w:p>
            <w:pPr>
              <w:ind w:left="1140"/>
              <w:spacing w:after="0"/>
              <w:rPr>
                <w:sz w:val="20"/>
                <w:szCs w:val="20"/>
                <w:color w:val="auto"/>
              </w:rPr>
            </w:pPr>
            <w:r>
              <w:rPr>
                <w:rFonts w:ascii="Arial" w:cs="Arial" w:eastAsia="Arial" w:hAnsi="Arial"/>
                <w:sz w:val="17"/>
                <w:szCs w:val="17"/>
                <w:color w:val="auto"/>
              </w:rPr>
              <w:t>Market Data</w:t>
            </w:r>
          </w:p>
        </w:tc>
        <w:tc>
          <w:tcPr>
            <w:tcW w:w="24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3"/>
        </w:trPr>
        <w:tc>
          <w:tcPr>
            <w:tcW w:w="8860" w:type="dxa"/>
            <w:vAlign w:val="bottom"/>
          </w:tcPr>
          <w:p>
            <w:pPr>
              <w:ind w:left="1140"/>
              <w:spacing w:after="0"/>
              <w:rPr>
                <w:sz w:val="20"/>
                <w:szCs w:val="20"/>
                <w:color w:val="auto"/>
              </w:rPr>
            </w:pPr>
            <w:r>
              <w:rPr>
                <w:rFonts w:ascii="Arial" w:cs="Arial" w:eastAsia="Arial" w:hAnsi="Arial"/>
                <w:sz w:val="17"/>
                <w:szCs w:val="17"/>
                <w:color w:val="auto"/>
              </w:rPr>
              <w:t>Components of Rental Income</w:t>
            </w:r>
          </w:p>
        </w:tc>
        <w:tc>
          <w:tcPr>
            <w:tcW w:w="2460" w:type="dxa"/>
            <w:vAlign w:val="bottom"/>
          </w:tcPr>
          <w:p>
            <w:pPr>
              <w:jc w:val="right"/>
              <w:spacing w:after="0"/>
              <w:rPr>
                <w:sz w:val="20"/>
                <w:szCs w:val="20"/>
                <w:color w:val="auto"/>
              </w:rPr>
            </w:pPr>
            <w:r>
              <w:rPr>
                <w:rFonts w:ascii="Arial" w:cs="Arial" w:eastAsia="Arial" w:hAnsi="Arial"/>
                <w:sz w:val="17"/>
                <w:szCs w:val="17"/>
                <w:color w:val="auto"/>
              </w:rPr>
              <w:t>12</w:t>
            </w:r>
          </w:p>
        </w:tc>
      </w:tr>
    </w:tbl>
    <w:p>
      <w:pPr>
        <w:spacing w:after="0" w:line="96" w:lineRule="exact"/>
        <w:rPr>
          <w:sz w:val="20"/>
          <w:szCs w:val="20"/>
          <w:color w:val="auto"/>
        </w:rPr>
      </w:pPr>
    </w:p>
    <w:p>
      <w:pPr>
        <w:ind w:left="320" w:hanging="314"/>
        <w:spacing w:after="0"/>
        <w:tabs>
          <w:tab w:leader="none" w:pos="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Summary of Debt</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80" w:type="dxa"/>
            <w:vAlign w:val="bottom"/>
          </w:tcPr>
          <w:p>
            <w:pPr>
              <w:spacing w:after="0"/>
              <w:rPr>
                <w:sz w:val="17"/>
                <w:szCs w:val="17"/>
                <w:color w:val="auto"/>
              </w:rPr>
            </w:pPr>
          </w:p>
        </w:tc>
        <w:tc>
          <w:tcPr>
            <w:tcW w:w="8660" w:type="dxa"/>
            <w:vAlign w:val="bottom"/>
          </w:tcPr>
          <w:p>
            <w:pPr>
              <w:ind w:left="860"/>
              <w:spacing w:after="0"/>
              <w:rPr>
                <w:sz w:val="20"/>
                <w:szCs w:val="20"/>
                <w:color w:val="auto"/>
              </w:rPr>
            </w:pPr>
            <w:r>
              <w:rPr>
                <w:rFonts w:ascii="Arial" w:cs="Arial" w:eastAsia="Arial" w:hAnsi="Arial"/>
                <w:sz w:val="17"/>
                <w:szCs w:val="17"/>
                <w:color w:val="auto"/>
              </w:rPr>
              <w:t>Summary of Outstanding Debt and Capital Lease Obligations</w:t>
            </w:r>
          </w:p>
        </w:tc>
        <w:tc>
          <w:tcPr>
            <w:tcW w:w="23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3"/>
        </w:trPr>
        <w:tc>
          <w:tcPr>
            <w:tcW w:w="28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7"/>
                <w:szCs w:val="17"/>
                <w:color w:val="auto"/>
              </w:rPr>
              <w:t>Summary of Debt Maturities</w:t>
            </w:r>
          </w:p>
        </w:tc>
        <w:tc>
          <w:tcPr>
            <w:tcW w:w="23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08"/>
        </w:trPr>
        <w:tc>
          <w:tcPr>
            <w:tcW w:w="280" w:type="dxa"/>
            <w:vAlign w:val="bottom"/>
          </w:tcPr>
          <w:p>
            <w:pPr>
              <w:spacing w:after="0"/>
              <w:rPr>
                <w:sz w:val="20"/>
                <w:szCs w:val="20"/>
                <w:color w:val="auto"/>
              </w:rPr>
            </w:pPr>
            <w:r>
              <w:rPr>
                <w:rFonts w:ascii="Arial" w:cs="Arial" w:eastAsia="Arial" w:hAnsi="Arial"/>
                <w:sz w:val="17"/>
                <w:szCs w:val="17"/>
                <w:color w:val="auto"/>
              </w:rPr>
              <w:t>4.</w:t>
            </w:r>
          </w:p>
        </w:tc>
        <w:tc>
          <w:tcPr>
            <w:tcW w:w="8660" w:type="dxa"/>
            <w:vAlign w:val="bottom"/>
          </w:tcPr>
          <w:p>
            <w:pPr>
              <w:ind w:left="40"/>
              <w:spacing w:after="0"/>
              <w:rPr>
                <w:sz w:val="20"/>
                <w:szCs w:val="20"/>
                <w:color w:val="auto"/>
              </w:rPr>
            </w:pPr>
            <w:r>
              <w:rPr>
                <w:rFonts w:ascii="Arial" w:cs="Arial" w:eastAsia="Arial" w:hAnsi="Arial"/>
                <w:sz w:val="17"/>
                <w:szCs w:val="17"/>
                <w:color w:val="auto"/>
              </w:rPr>
              <w:t>Summary of Redevelopment Opportunities</w:t>
            </w:r>
          </w:p>
        </w:tc>
        <w:tc>
          <w:tcPr>
            <w:tcW w:w="23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08"/>
        </w:trPr>
        <w:tc>
          <w:tcPr>
            <w:tcW w:w="280" w:type="dxa"/>
            <w:vAlign w:val="bottom"/>
          </w:tcPr>
          <w:p>
            <w:pPr>
              <w:spacing w:after="0"/>
              <w:rPr>
                <w:sz w:val="20"/>
                <w:szCs w:val="20"/>
                <w:color w:val="auto"/>
              </w:rPr>
            </w:pPr>
            <w:r>
              <w:rPr>
                <w:rFonts w:ascii="Arial" w:cs="Arial" w:eastAsia="Arial" w:hAnsi="Arial"/>
                <w:sz w:val="17"/>
                <w:szCs w:val="17"/>
                <w:color w:val="auto"/>
              </w:rPr>
              <w:t>5.</w:t>
            </w:r>
          </w:p>
        </w:tc>
        <w:tc>
          <w:tcPr>
            <w:tcW w:w="8660" w:type="dxa"/>
            <w:vAlign w:val="bottom"/>
          </w:tcPr>
          <w:p>
            <w:pPr>
              <w:ind w:left="40"/>
              <w:spacing w:after="0"/>
              <w:rPr>
                <w:sz w:val="20"/>
                <w:szCs w:val="20"/>
                <w:color w:val="auto"/>
              </w:rPr>
            </w:pPr>
            <w:r>
              <w:rPr>
                <w:rFonts w:ascii="Arial" w:cs="Arial" w:eastAsia="Arial" w:hAnsi="Arial"/>
                <w:sz w:val="17"/>
                <w:szCs w:val="17"/>
                <w:color w:val="auto"/>
              </w:rPr>
              <w:t>2006 Significant Acquisitions and Dispositions</w:t>
            </w:r>
          </w:p>
        </w:tc>
        <w:tc>
          <w:tcPr>
            <w:tcW w:w="23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08"/>
        </w:trPr>
        <w:tc>
          <w:tcPr>
            <w:tcW w:w="280" w:type="dxa"/>
            <w:vAlign w:val="bottom"/>
          </w:tcPr>
          <w:p>
            <w:pPr>
              <w:spacing w:after="0"/>
              <w:rPr>
                <w:sz w:val="20"/>
                <w:szCs w:val="20"/>
                <w:color w:val="auto"/>
              </w:rPr>
            </w:pPr>
            <w:r>
              <w:rPr>
                <w:rFonts w:ascii="Arial" w:cs="Arial" w:eastAsia="Arial" w:hAnsi="Arial"/>
                <w:sz w:val="17"/>
                <w:szCs w:val="17"/>
                <w:color w:val="auto"/>
              </w:rPr>
              <w:t>6.</w:t>
            </w:r>
          </w:p>
        </w:tc>
        <w:tc>
          <w:tcPr>
            <w:tcW w:w="8660" w:type="dxa"/>
            <w:vAlign w:val="bottom"/>
          </w:tcPr>
          <w:p>
            <w:pPr>
              <w:ind w:left="40"/>
              <w:spacing w:after="0"/>
              <w:rPr>
                <w:sz w:val="20"/>
                <w:szCs w:val="20"/>
                <w:color w:val="auto"/>
              </w:rPr>
            </w:pPr>
            <w:r>
              <w:rPr>
                <w:rFonts w:ascii="Arial" w:cs="Arial" w:eastAsia="Arial" w:hAnsi="Arial"/>
                <w:sz w:val="17"/>
                <w:szCs w:val="17"/>
                <w:color w:val="auto"/>
              </w:rPr>
              <w:t>Real Estate Status Report</w:t>
            </w:r>
          </w:p>
        </w:tc>
        <w:tc>
          <w:tcPr>
            <w:tcW w:w="23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08"/>
        </w:trPr>
        <w:tc>
          <w:tcPr>
            <w:tcW w:w="280" w:type="dxa"/>
            <w:vAlign w:val="bottom"/>
          </w:tcPr>
          <w:p>
            <w:pPr>
              <w:spacing w:after="0"/>
              <w:rPr>
                <w:sz w:val="20"/>
                <w:szCs w:val="20"/>
                <w:color w:val="auto"/>
              </w:rPr>
            </w:pPr>
            <w:r>
              <w:rPr>
                <w:rFonts w:ascii="Arial" w:cs="Arial" w:eastAsia="Arial" w:hAnsi="Arial"/>
                <w:sz w:val="17"/>
                <w:szCs w:val="17"/>
                <w:color w:val="auto"/>
              </w:rPr>
              <w:t>7.</w:t>
            </w:r>
          </w:p>
        </w:tc>
        <w:tc>
          <w:tcPr>
            <w:tcW w:w="8660" w:type="dxa"/>
            <w:vAlign w:val="bottom"/>
          </w:tcPr>
          <w:p>
            <w:pPr>
              <w:ind w:left="40"/>
              <w:spacing w:after="0"/>
              <w:rPr>
                <w:sz w:val="20"/>
                <w:szCs w:val="20"/>
                <w:color w:val="auto"/>
              </w:rPr>
            </w:pPr>
            <w:r>
              <w:rPr>
                <w:rFonts w:ascii="Arial" w:cs="Arial" w:eastAsia="Arial" w:hAnsi="Arial"/>
                <w:sz w:val="17"/>
                <w:szCs w:val="17"/>
                <w:color w:val="auto"/>
              </w:rPr>
              <w:t>Retail Leasing Summary</w:t>
            </w:r>
          </w:p>
        </w:tc>
        <w:tc>
          <w:tcPr>
            <w:tcW w:w="23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08"/>
        </w:trPr>
        <w:tc>
          <w:tcPr>
            <w:tcW w:w="280" w:type="dxa"/>
            <w:vAlign w:val="bottom"/>
          </w:tcPr>
          <w:p>
            <w:pPr>
              <w:spacing w:after="0"/>
              <w:rPr>
                <w:sz w:val="20"/>
                <w:szCs w:val="20"/>
                <w:color w:val="auto"/>
              </w:rPr>
            </w:pPr>
            <w:r>
              <w:rPr>
                <w:rFonts w:ascii="Arial" w:cs="Arial" w:eastAsia="Arial" w:hAnsi="Arial"/>
                <w:sz w:val="17"/>
                <w:szCs w:val="17"/>
                <w:color w:val="auto"/>
              </w:rPr>
              <w:t>8.</w:t>
            </w:r>
          </w:p>
        </w:tc>
        <w:tc>
          <w:tcPr>
            <w:tcW w:w="8660" w:type="dxa"/>
            <w:vAlign w:val="bottom"/>
          </w:tcPr>
          <w:p>
            <w:pPr>
              <w:ind w:left="40"/>
              <w:spacing w:after="0"/>
              <w:rPr>
                <w:sz w:val="20"/>
                <w:szCs w:val="20"/>
                <w:color w:val="auto"/>
              </w:rPr>
            </w:pPr>
            <w:r>
              <w:rPr>
                <w:rFonts w:ascii="Arial" w:cs="Arial" w:eastAsia="Arial" w:hAnsi="Arial"/>
                <w:sz w:val="17"/>
                <w:szCs w:val="17"/>
                <w:color w:val="auto"/>
              </w:rPr>
              <w:t>Lease Expirations</w:t>
            </w:r>
          </w:p>
        </w:tc>
        <w:tc>
          <w:tcPr>
            <w:tcW w:w="23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08"/>
        </w:trPr>
        <w:tc>
          <w:tcPr>
            <w:tcW w:w="280" w:type="dxa"/>
            <w:vAlign w:val="bottom"/>
          </w:tcPr>
          <w:p>
            <w:pPr>
              <w:spacing w:after="0"/>
              <w:rPr>
                <w:sz w:val="20"/>
                <w:szCs w:val="20"/>
                <w:color w:val="auto"/>
              </w:rPr>
            </w:pPr>
            <w:r>
              <w:rPr>
                <w:rFonts w:ascii="Arial" w:cs="Arial" w:eastAsia="Arial" w:hAnsi="Arial"/>
                <w:sz w:val="17"/>
                <w:szCs w:val="17"/>
                <w:color w:val="auto"/>
              </w:rPr>
              <w:t>9.</w:t>
            </w:r>
          </w:p>
        </w:tc>
        <w:tc>
          <w:tcPr>
            <w:tcW w:w="8660" w:type="dxa"/>
            <w:vAlign w:val="bottom"/>
          </w:tcPr>
          <w:p>
            <w:pPr>
              <w:ind w:left="40"/>
              <w:spacing w:after="0"/>
              <w:rPr>
                <w:sz w:val="20"/>
                <w:szCs w:val="20"/>
                <w:color w:val="auto"/>
              </w:rPr>
            </w:pPr>
            <w:r>
              <w:rPr>
                <w:rFonts w:ascii="Arial" w:cs="Arial" w:eastAsia="Arial" w:hAnsi="Arial"/>
                <w:sz w:val="17"/>
                <w:szCs w:val="17"/>
                <w:color w:val="auto"/>
              </w:rPr>
              <w:t>Portfolio Leased Statistics</w:t>
            </w:r>
          </w:p>
        </w:tc>
        <w:tc>
          <w:tcPr>
            <w:tcW w:w="23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08"/>
        </w:trPr>
        <w:tc>
          <w:tcPr>
            <w:tcW w:w="280" w:type="dxa"/>
            <w:vAlign w:val="bottom"/>
          </w:tcPr>
          <w:p>
            <w:pPr>
              <w:spacing w:after="0"/>
              <w:rPr>
                <w:sz w:val="20"/>
                <w:szCs w:val="20"/>
                <w:color w:val="auto"/>
              </w:rPr>
            </w:pPr>
            <w:r>
              <w:rPr>
                <w:rFonts w:ascii="Arial" w:cs="Arial" w:eastAsia="Arial" w:hAnsi="Arial"/>
                <w:sz w:val="17"/>
                <w:szCs w:val="17"/>
                <w:color w:val="auto"/>
              </w:rPr>
              <w:t>10.</w:t>
            </w:r>
          </w:p>
        </w:tc>
        <w:tc>
          <w:tcPr>
            <w:tcW w:w="8660" w:type="dxa"/>
            <w:vAlign w:val="bottom"/>
          </w:tcPr>
          <w:p>
            <w:pPr>
              <w:ind w:left="40"/>
              <w:spacing w:after="0"/>
              <w:rPr>
                <w:sz w:val="20"/>
                <w:szCs w:val="20"/>
                <w:color w:val="auto"/>
              </w:rPr>
            </w:pPr>
            <w:r>
              <w:rPr>
                <w:rFonts w:ascii="Arial" w:cs="Arial" w:eastAsia="Arial" w:hAnsi="Arial"/>
                <w:sz w:val="17"/>
                <w:szCs w:val="17"/>
                <w:color w:val="auto"/>
              </w:rPr>
              <w:t>Summary of Top 25 Tenants</w:t>
            </w:r>
          </w:p>
        </w:tc>
        <w:tc>
          <w:tcPr>
            <w:tcW w:w="23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08"/>
        </w:trPr>
        <w:tc>
          <w:tcPr>
            <w:tcW w:w="280" w:type="dxa"/>
            <w:vAlign w:val="bottom"/>
          </w:tcPr>
          <w:p>
            <w:pPr>
              <w:spacing w:after="0"/>
              <w:rPr>
                <w:sz w:val="20"/>
                <w:szCs w:val="20"/>
                <w:color w:val="auto"/>
              </w:rPr>
            </w:pPr>
            <w:r>
              <w:rPr>
                <w:rFonts w:ascii="Arial" w:cs="Arial" w:eastAsia="Arial" w:hAnsi="Arial"/>
                <w:sz w:val="17"/>
                <w:szCs w:val="17"/>
                <w:color w:val="auto"/>
              </w:rPr>
              <w:t>11.</w:t>
            </w:r>
          </w:p>
        </w:tc>
        <w:tc>
          <w:tcPr>
            <w:tcW w:w="8660" w:type="dxa"/>
            <w:vAlign w:val="bottom"/>
          </w:tcPr>
          <w:p>
            <w:pPr>
              <w:ind w:left="40"/>
              <w:spacing w:after="0"/>
              <w:rPr>
                <w:sz w:val="20"/>
                <w:szCs w:val="20"/>
                <w:color w:val="auto"/>
              </w:rPr>
            </w:pPr>
            <w:r>
              <w:rPr>
                <w:rFonts w:ascii="Arial" w:cs="Arial" w:eastAsia="Arial" w:hAnsi="Arial"/>
                <w:sz w:val="17"/>
                <w:szCs w:val="17"/>
                <w:color w:val="auto"/>
              </w:rPr>
              <w:t>Reconciliation of Net Income to FFO Guidance</w:t>
            </w:r>
          </w:p>
        </w:tc>
        <w:tc>
          <w:tcPr>
            <w:tcW w:w="23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01"/>
        </w:trPr>
        <w:tc>
          <w:tcPr>
            <w:tcW w:w="280" w:type="dxa"/>
            <w:vAlign w:val="bottom"/>
          </w:tcPr>
          <w:p>
            <w:pPr>
              <w:spacing w:after="0"/>
              <w:rPr>
                <w:sz w:val="20"/>
                <w:szCs w:val="20"/>
                <w:color w:val="auto"/>
              </w:rPr>
            </w:pPr>
            <w:r>
              <w:rPr>
                <w:rFonts w:ascii="Arial" w:cs="Arial" w:eastAsia="Arial" w:hAnsi="Arial"/>
                <w:sz w:val="17"/>
                <w:szCs w:val="17"/>
                <w:color w:val="auto"/>
              </w:rPr>
              <w:t>12.</w:t>
            </w:r>
          </w:p>
        </w:tc>
        <w:tc>
          <w:tcPr>
            <w:tcW w:w="8660" w:type="dxa"/>
            <w:vAlign w:val="bottom"/>
          </w:tcPr>
          <w:p>
            <w:pPr>
              <w:ind w:left="40"/>
              <w:spacing w:after="0"/>
              <w:rPr>
                <w:sz w:val="20"/>
                <w:szCs w:val="20"/>
                <w:color w:val="auto"/>
              </w:rPr>
            </w:pPr>
            <w:r>
              <w:rPr>
                <w:rFonts w:ascii="Arial" w:cs="Arial" w:eastAsia="Arial" w:hAnsi="Arial"/>
                <w:sz w:val="17"/>
                <w:szCs w:val="17"/>
                <w:color w:val="auto"/>
              </w:rPr>
              <w:t>Joint Venture Disclosure</w:t>
            </w:r>
          </w:p>
        </w:tc>
        <w:tc>
          <w:tcPr>
            <w:tcW w:w="2380" w:type="dxa"/>
            <w:vAlign w:val="bottom"/>
          </w:tcPr>
          <w:p>
            <w:pPr>
              <w:spacing w:after="0"/>
              <w:rPr>
                <w:sz w:val="24"/>
                <w:szCs w:val="24"/>
                <w:color w:val="auto"/>
              </w:rPr>
            </w:pPr>
          </w:p>
        </w:tc>
      </w:tr>
      <w:tr>
        <w:trPr>
          <w:trHeight w:val="206"/>
        </w:trPr>
        <w:tc>
          <w:tcPr>
            <w:tcW w:w="280" w:type="dxa"/>
            <w:vAlign w:val="bottom"/>
          </w:tcPr>
          <w:p>
            <w:pPr>
              <w:spacing w:after="0"/>
              <w:rPr>
                <w:sz w:val="17"/>
                <w:szCs w:val="17"/>
                <w:color w:val="auto"/>
              </w:rPr>
            </w:pPr>
          </w:p>
        </w:tc>
        <w:tc>
          <w:tcPr>
            <w:tcW w:w="8660" w:type="dxa"/>
            <w:vAlign w:val="bottom"/>
          </w:tcPr>
          <w:p>
            <w:pPr>
              <w:ind w:left="860"/>
              <w:spacing w:after="0"/>
              <w:rPr>
                <w:sz w:val="20"/>
                <w:szCs w:val="20"/>
                <w:color w:val="auto"/>
              </w:rPr>
            </w:pPr>
            <w:r>
              <w:rPr>
                <w:rFonts w:ascii="Arial" w:cs="Arial" w:eastAsia="Arial" w:hAnsi="Arial"/>
                <w:sz w:val="17"/>
                <w:szCs w:val="17"/>
                <w:color w:val="auto"/>
              </w:rPr>
              <w:t>Summarized Operating Results and Balance Sheets</w:t>
            </w:r>
          </w:p>
        </w:tc>
        <w:tc>
          <w:tcPr>
            <w:tcW w:w="23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6"/>
        </w:trPr>
        <w:tc>
          <w:tcPr>
            <w:tcW w:w="280" w:type="dxa"/>
            <w:vAlign w:val="bottom"/>
          </w:tcPr>
          <w:p>
            <w:pPr>
              <w:spacing w:after="0"/>
              <w:rPr>
                <w:sz w:val="17"/>
                <w:szCs w:val="17"/>
                <w:color w:val="auto"/>
              </w:rPr>
            </w:pPr>
          </w:p>
        </w:tc>
        <w:tc>
          <w:tcPr>
            <w:tcW w:w="8660" w:type="dxa"/>
            <w:vAlign w:val="bottom"/>
          </w:tcPr>
          <w:p>
            <w:pPr>
              <w:ind w:left="860"/>
              <w:spacing w:after="0"/>
              <w:rPr>
                <w:sz w:val="20"/>
                <w:szCs w:val="20"/>
                <w:color w:val="auto"/>
              </w:rPr>
            </w:pPr>
            <w:r>
              <w:rPr>
                <w:rFonts w:ascii="Arial" w:cs="Arial" w:eastAsia="Arial" w:hAnsi="Arial"/>
                <w:sz w:val="17"/>
                <w:szCs w:val="17"/>
                <w:color w:val="auto"/>
              </w:rPr>
              <w:t>Summary of Outstanding Debt and Debt Maturities</w:t>
            </w:r>
          </w:p>
        </w:tc>
        <w:tc>
          <w:tcPr>
            <w:tcW w:w="23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6"/>
        </w:trPr>
        <w:tc>
          <w:tcPr>
            <w:tcW w:w="280" w:type="dxa"/>
            <w:vAlign w:val="bottom"/>
          </w:tcPr>
          <w:p>
            <w:pPr>
              <w:spacing w:after="0"/>
              <w:rPr>
                <w:sz w:val="17"/>
                <w:szCs w:val="17"/>
                <w:color w:val="auto"/>
              </w:rPr>
            </w:pPr>
          </w:p>
        </w:tc>
        <w:tc>
          <w:tcPr>
            <w:tcW w:w="8660" w:type="dxa"/>
            <w:vAlign w:val="bottom"/>
          </w:tcPr>
          <w:p>
            <w:pPr>
              <w:ind w:left="860"/>
              <w:spacing w:after="0"/>
              <w:rPr>
                <w:sz w:val="20"/>
                <w:szCs w:val="20"/>
                <w:color w:val="auto"/>
              </w:rPr>
            </w:pPr>
            <w:r>
              <w:rPr>
                <w:rFonts w:ascii="Arial" w:cs="Arial" w:eastAsia="Arial" w:hAnsi="Arial"/>
                <w:sz w:val="17"/>
                <w:szCs w:val="17"/>
                <w:color w:val="auto"/>
              </w:rPr>
              <w:t>Significant Acquisitions and Dispositions</w:t>
            </w:r>
          </w:p>
        </w:tc>
        <w:tc>
          <w:tcPr>
            <w:tcW w:w="23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3"/>
        </w:trPr>
        <w:tc>
          <w:tcPr>
            <w:tcW w:w="28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7"/>
                <w:szCs w:val="17"/>
                <w:color w:val="auto"/>
              </w:rPr>
              <w:t>Real Estate Status Report</w:t>
            </w:r>
          </w:p>
        </w:tc>
        <w:tc>
          <w:tcPr>
            <w:tcW w:w="23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08"/>
        </w:trPr>
        <w:tc>
          <w:tcPr>
            <w:tcW w:w="280" w:type="dxa"/>
            <w:vAlign w:val="bottom"/>
          </w:tcPr>
          <w:p>
            <w:pPr>
              <w:spacing w:after="0"/>
              <w:rPr>
                <w:sz w:val="20"/>
                <w:szCs w:val="20"/>
                <w:color w:val="auto"/>
              </w:rPr>
            </w:pPr>
            <w:r>
              <w:rPr>
                <w:rFonts w:ascii="Arial" w:cs="Arial" w:eastAsia="Arial" w:hAnsi="Arial"/>
                <w:sz w:val="17"/>
                <w:szCs w:val="17"/>
                <w:color w:val="auto"/>
              </w:rPr>
              <w:t>13.</w:t>
            </w:r>
          </w:p>
        </w:tc>
        <w:tc>
          <w:tcPr>
            <w:tcW w:w="8660" w:type="dxa"/>
            <w:vAlign w:val="bottom"/>
          </w:tcPr>
          <w:p>
            <w:pPr>
              <w:ind w:left="40"/>
              <w:spacing w:after="0"/>
              <w:rPr>
                <w:sz w:val="20"/>
                <w:szCs w:val="20"/>
                <w:color w:val="auto"/>
              </w:rPr>
            </w:pPr>
            <w:r>
              <w:rPr>
                <w:rFonts w:ascii="Arial" w:cs="Arial" w:eastAsia="Arial" w:hAnsi="Arial"/>
                <w:sz w:val="17"/>
                <w:szCs w:val="17"/>
                <w:color w:val="auto"/>
              </w:rPr>
              <w:t>Glossary of Terms</w:t>
            </w:r>
          </w:p>
        </w:tc>
        <w:tc>
          <w:tcPr>
            <w:tcW w:w="23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53"/>
        </w:trPr>
        <w:tc>
          <w:tcPr>
            <w:tcW w:w="280" w:type="dxa"/>
            <w:vAlign w:val="bottom"/>
          </w:tcPr>
          <w:p>
            <w:pPr>
              <w:spacing w:after="0"/>
              <w:rPr>
                <w:sz w:val="24"/>
                <w:szCs w:val="24"/>
                <w:color w:val="auto"/>
              </w:rPr>
            </w:pPr>
          </w:p>
        </w:tc>
        <w:tc>
          <w:tcPr>
            <w:tcW w:w="8660" w:type="dxa"/>
            <w:vAlign w:val="bottom"/>
          </w:tcPr>
          <w:p>
            <w:pPr>
              <w:jc w:val="center"/>
              <w:ind w:left="1916"/>
              <w:spacing w:after="0"/>
              <w:rPr>
                <w:sz w:val="20"/>
                <w:szCs w:val="20"/>
                <w:color w:val="auto"/>
              </w:rPr>
            </w:pPr>
            <w:r>
              <w:rPr>
                <w:rFonts w:ascii="Arial" w:cs="Arial" w:eastAsia="Arial" w:hAnsi="Arial"/>
                <w:sz w:val="17"/>
                <w:szCs w:val="17"/>
                <w:color w:val="auto"/>
                <w:w w:val="86"/>
              </w:rPr>
              <w:t>1626 East Jefferson Street</w:t>
            </w:r>
          </w:p>
        </w:tc>
        <w:tc>
          <w:tcPr>
            <w:tcW w:w="2380" w:type="dxa"/>
            <w:vAlign w:val="bottom"/>
          </w:tcPr>
          <w:p>
            <w:pPr>
              <w:spacing w:after="0"/>
              <w:rPr>
                <w:sz w:val="24"/>
                <w:szCs w:val="24"/>
                <w:color w:val="auto"/>
              </w:rPr>
            </w:pPr>
          </w:p>
        </w:tc>
      </w:tr>
      <w:tr>
        <w:trPr>
          <w:trHeight w:val="206"/>
        </w:trPr>
        <w:tc>
          <w:tcPr>
            <w:tcW w:w="280" w:type="dxa"/>
            <w:vAlign w:val="bottom"/>
          </w:tcPr>
          <w:p>
            <w:pPr>
              <w:spacing w:after="0"/>
              <w:rPr>
                <w:sz w:val="17"/>
                <w:szCs w:val="17"/>
                <w:color w:val="auto"/>
              </w:rPr>
            </w:pPr>
          </w:p>
        </w:tc>
        <w:tc>
          <w:tcPr>
            <w:tcW w:w="8660" w:type="dxa"/>
            <w:vAlign w:val="bottom"/>
          </w:tcPr>
          <w:p>
            <w:pPr>
              <w:jc w:val="center"/>
              <w:ind w:left="1936"/>
              <w:spacing w:after="0"/>
              <w:rPr>
                <w:sz w:val="20"/>
                <w:szCs w:val="20"/>
                <w:color w:val="auto"/>
              </w:rPr>
            </w:pPr>
            <w:r>
              <w:rPr>
                <w:rFonts w:ascii="Arial" w:cs="Arial" w:eastAsia="Arial" w:hAnsi="Arial"/>
                <w:sz w:val="17"/>
                <w:szCs w:val="17"/>
                <w:color w:val="auto"/>
                <w:w w:val="92"/>
              </w:rPr>
              <w:t>Rockville, Maryland 20852-4041</w:t>
            </w:r>
          </w:p>
        </w:tc>
        <w:tc>
          <w:tcPr>
            <w:tcW w:w="2380" w:type="dxa"/>
            <w:vAlign w:val="bottom"/>
          </w:tcPr>
          <w:p>
            <w:pPr>
              <w:spacing w:after="0"/>
              <w:rPr>
                <w:sz w:val="17"/>
                <w:szCs w:val="17"/>
                <w:color w:val="auto"/>
              </w:rPr>
            </w:pPr>
          </w:p>
        </w:tc>
      </w:tr>
      <w:tr>
        <w:trPr>
          <w:trHeight w:val="213"/>
        </w:trPr>
        <w:tc>
          <w:tcPr>
            <w:tcW w:w="280" w:type="dxa"/>
            <w:vAlign w:val="bottom"/>
          </w:tcPr>
          <w:p>
            <w:pPr>
              <w:spacing w:after="0"/>
              <w:rPr>
                <w:sz w:val="18"/>
                <w:szCs w:val="18"/>
                <w:color w:val="auto"/>
              </w:rPr>
            </w:pPr>
          </w:p>
        </w:tc>
        <w:tc>
          <w:tcPr>
            <w:tcW w:w="8660" w:type="dxa"/>
            <w:vAlign w:val="bottom"/>
          </w:tcPr>
          <w:p>
            <w:pPr>
              <w:jc w:val="center"/>
              <w:ind w:left="1916"/>
              <w:spacing w:after="0"/>
              <w:rPr>
                <w:sz w:val="20"/>
                <w:szCs w:val="20"/>
                <w:color w:val="auto"/>
              </w:rPr>
            </w:pPr>
            <w:r>
              <w:rPr>
                <w:rFonts w:ascii="Arial" w:cs="Arial" w:eastAsia="Arial" w:hAnsi="Arial"/>
                <w:sz w:val="17"/>
                <w:szCs w:val="17"/>
                <w:color w:val="auto"/>
                <w:w w:val="89"/>
              </w:rPr>
              <w:t>301/998-8100</w:t>
            </w:r>
          </w:p>
        </w:tc>
        <w:tc>
          <w:tcPr>
            <w:tcW w:w="2380" w:type="dxa"/>
            <w:vAlign w:val="bottom"/>
          </w:tcPr>
          <w:p>
            <w:pPr>
              <w:spacing w:after="0"/>
              <w:rPr>
                <w:sz w:val="18"/>
                <w:szCs w:val="18"/>
                <w:color w:val="auto"/>
              </w:rPr>
            </w:pPr>
          </w:p>
        </w:tc>
      </w:tr>
    </w:tbl>
    <w:p>
      <w:pPr>
        <w:sectPr>
          <w:pgSz w:w="11900" w:h="16838" w:orient="portrait"/>
          <w:cols w:equalWidth="0" w:num="1">
            <w:col w:w="11320"/>
          </w:cols>
          <w:pgMar w:left="340" w:top="127"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3925" cy="26670"/>
                    </a:xfrm>
                    <a:prstGeom prst="rect">
                      <a:avLst/>
                    </a:prstGeom>
                    <a:noFill/>
                  </pic:spPr>
                </pic:pic>
              </a:graphicData>
            </a:graphic>
          </wp:anchor>
        </w:drawing>
        <w:t>Safe Harbor Language</w:t>
      </w:r>
    </w:p>
    <w:p>
      <w:pPr>
        <w:spacing w:after="0" w:line="91"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March 3, 2006 (as amended), and include the following:</w:t>
      </w:r>
    </w:p>
    <w:p>
      <w:pPr>
        <w:spacing w:after="0" w:line="56" w:lineRule="exact"/>
        <w:rPr>
          <w:sz w:val="20"/>
          <w:szCs w:val="20"/>
          <w:color w:val="auto"/>
        </w:rPr>
      </w:pPr>
    </w:p>
    <w:p>
      <w:pPr>
        <w:ind w:left="880" w:hanging="312"/>
        <w:spacing w:after="0"/>
        <w:tabs>
          <w:tab w:leader="none" w:pos="88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tenants will not pay rent or that we may be unable to renew leases or re-let space at favorable rents as leases expire;</w:t>
      </w:r>
    </w:p>
    <w:p>
      <w:pPr>
        <w:spacing w:after="0" w:line="87" w:lineRule="exact"/>
        <w:rPr>
          <w:rFonts w:ascii="Arial" w:cs="Arial" w:eastAsia="Arial" w:hAnsi="Arial"/>
          <w:sz w:val="17"/>
          <w:szCs w:val="17"/>
          <w:i w:val="1"/>
          <w:iCs w:val="1"/>
          <w:color w:val="auto"/>
        </w:rPr>
      </w:pPr>
    </w:p>
    <w:p>
      <w:pPr>
        <w:ind w:left="880" w:right="60" w:hanging="312"/>
        <w:spacing w:after="0" w:line="305" w:lineRule="auto"/>
        <w:tabs>
          <w:tab w:leader="none" w:pos="8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20" w:lineRule="exact"/>
        <w:rPr>
          <w:rFonts w:ascii="Arial" w:cs="Arial" w:eastAsia="Arial" w:hAnsi="Arial"/>
          <w:sz w:val="16"/>
          <w:szCs w:val="16"/>
          <w:i w:val="1"/>
          <w:iCs w:val="1"/>
          <w:color w:val="auto"/>
        </w:rPr>
      </w:pPr>
    </w:p>
    <w:p>
      <w:pPr>
        <w:ind w:left="880" w:right="240" w:hanging="312"/>
        <w:spacing w:after="0" w:line="273" w:lineRule="auto"/>
        <w:tabs>
          <w:tab w:leader="none" w:pos="88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the number of properties we acquire for our own account, and therefore the amount of capital we invest in acquisitions, may be impacted by our real estate partnership;</w:t>
      </w:r>
    </w:p>
    <w:p>
      <w:pPr>
        <w:spacing w:after="0" w:line="43" w:lineRule="exact"/>
        <w:rPr>
          <w:rFonts w:ascii="Arial" w:cs="Arial" w:eastAsia="Arial" w:hAnsi="Arial"/>
          <w:sz w:val="17"/>
          <w:szCs w:val="17"/>
          <w:i w:val="1"/>
          <w:iCs w:val="1"/>
          <w:color w:val="auto"/>
        </w:rPr>
      </w:pPr>
    </w:p>
    <w:p>
      <w:pPr>
        <w:ind w:left="880" w:right="40" w:hanging="312"/>
        <w:spacing w:after="0" w:line="259" w:lineRule="auto"/>
        <w:tabs>
          <w:tab w:leader="none" w:pos="88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55" w:lineRule="exact"/>
        <w:rPr>
          <w:rFonts w:ascii="Arial" w:cs="Arial" w:eastAsia="Arial" w:hAnsi="Arial"/>
          <w:sz w:val="17"/>
          <w:szCs w:val="17"/>
          <w:i w:val="1"/>
          <w:iCs w:val="1"/>
          <w:color w:val="auto"/>
        </w:rPr>
      </w:pPr>
    </w:p>
    <w:p>
      <w:pPr>
        <w:ind w:left="880" w:hanging="312"/>
        <w:spacing w:after="0"/>
        <w:tabs>
          <w:tab w:leader="none" w:pos="88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growth will be limited if we cannot obtain additional capital;</w:t>
      </w:r>
    </w:p>
    <w:p>
      <w:pPr>
        <w:spacing w:after="0" w:line="87" w:lineRule="exact"/>
        <w:rPr>
          <w:rFonts w:ascii="Arial" w:cs="Arial" w:eastAsia="Arial" w:hAnsi="Arial"/>
          <w:sz w:val="17"/>
          <w:szCs w:val="17"/>
          <w:i w:val="1"/>
          <w:iCs w:val="1"/>
          <w:color w:val="auto"/>
        </w:rPr>
      </w:pPr>
    </w:p>
    <w:p>
      <w:pPr>
        <w:ind w:left="880" w:right="100" w:hanging="312"/>
        <w:spacing w:after="0" w:line="263" w:lineRule="auto"/>
        <w:tabs>
          <w:tab w:leader="none" w:pos="88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1" w:lineRule="exact"/>
        <w:rPr>
          <w:rFonts w:ascii="Arial" w:cs="Arial" w:eastAsia="Arial" w:hAnsi="Arial"/>
          <w:sz w:val="17"/>
          <w:szCs w:val="17"/>
          <w:i w:val="1"/>
          <w:iCs w:val="1"/>
          <w:color w:val="auto"/>
        </w:rPr>
      </w:pPr>
    </w:p>
    <w:p>
      <w:pPr>
        <w:ind w:left="880" w:hanging="312"/>
        <w:spacing w:after="0" w:line="263" w:lineRule="auto"/>
        <w:tabs>
          <w:tab w:leader="none" w:pos="88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8"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March 3, 2006 (as amended).</w:t>
      </w:r>
    </w:p>
    <w:p>
      <w:pPr>
        <w:sectPr>
          <w:pgSz w:w="11900" w:h="16838" w:orient="portrait"/>
          <w:cols w:equalWidth="0" w:num="1">
            <w:col w:w="11420"/>
          </w:cols>
          <w:pgMar w:left="240" w:top="268"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128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3925" cy="128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6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3620" w:type="dxa"/>
            <w:vAlign w:val="bottom"/>
          </w:tcPr>
          <w:p>
            <w:pPr>
              <w:spacing w:after="0"/>
              <w:rPr>
                <w:sz w:val="18"/>
                <w:szCs w:val="18"/>
                <w:color w:val="auto"/>
              </w:rPr>
            </w:pPr>
          </w:p>
        </w:tc>
      </w:tr>
      <w:tr>
        <w:trPr>
          <w:trHeight w:val="361"/>
        </w:trPr>
        <w:tc>
          <w:tcPr>
            <w:tcW w:w="196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0"/>
              </w:rPr>
              <w:t>Investor and Media Inquiries</w:t>
            </w:r>
          </w:p>
        </w:tc>
        <w:tc>
          <w:tcPr>
            <w:tcW w:w="13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15"/>
        </w:trPr>
        <w:tc>
          <w:tcPr>
            <w:tcW w:w="3260" w:type="dxa"/>
            <w:vAlign w:val="bottom"/>
            <w:gridSpan w:val="2"/>
          </w:tcPr>
          <w:p>
            <w:pPr>
              <w:spacing w:after="0"/>
              <w:rPr>
                <w:sz w:val="20"/>
                <w:szCs w:val="20"/>
                <w:color w:val="auto"/>
              </w:rPr>
            </w:pPr>
            <w:r>
              <w:rPr>
                <w:rFonts w:ascii="Arial" w:cs="Arial" w:eastAsia="Arial" w:hAnsi="Arial"/>
                <w:sz w:val="17"/>
                <w:szCs w:val="17"/>
                <w:color w:val="auto"/>
              </w:rPr>
              <w:t>Andrew Blocher</w:t>
            </w:r>
          </w:p>
        </w:tc>
        <w:tc>
          <w:tcPr>
            <w:tcW w:w="3620" w:type="dxa"/>
            <w:vAlign w:val="bottom"/>
          </w:tcPr>
          <w:p>
            <w:pPr>
              <w:ind w:left="760"/>
              <w:spacing w:after="0"/>
              <w:rPr>
                <w:sz w:val="20"/>
                <w:szCs w:val="20"/>
                <w:color w:val="auto"/>
              </w:rPr>
            </w:pPr>
            <w:r>
              <w:rPr>
                <w:rFonts w:ascii="Arial" w:cs="Arial" w:eastAsia="Arial" w:hAnsi="Arial"/>
                <w:sz w:val="17"/>
                <w:szCs w:val="17"/>
                <w:color w:val="auto"/>
              </w:rPr>
              <w:t>Vikki Kayne</w:t>
            </w:r>
          </w:p>
        </w:tc>
      </w:tr>
      <w:tr>
        <w:trPr>
          <w:trHeight w:val="206"/>
        </w:trPr>
        <w:tc>
          <w:tcPr>
            <w:tcW w:w="3260" w:type="dxa"/>
            <w:vAlign w:val="bottom"/>
            <w:gridSpan w:val="2"/>
          </w:tcPr>
          <w:p>
            <w:pPr>
              <w:spacing w:after="0"/>
              <w:rPr>
                <w:sz w:val="20"/>
                <w:szCs w:val="20"/>
                <w:color w:val="auto"/>
              </w:rPr>
            </w:pPr>
            <w:r>
              <w:rPr>
                <w:rFonts w:ascii="Arial" w:cs="Arial" w:eastAsia="Arial" w:hAnsi="Arial"/>
                <w:sz w:val="17"/>
                <w:szCs w:val="17"/>
                <w:color w:val="auto"/>
              </w:rPr>
              <w:t>Vice President,</w:t>
            </w:r>
          </w:p>
        </w:tc>
        <w:tc>
          <w:tcPr>
            <w:tcW w:w="3620" w:type="dxa"/>
            <w:vAlign w:val="bottom"/>
          </w:tcPr>
          <w:p>
            <w:pPr>
              <w:ind w:left="760"/>
              <w:spacing w:after="0"/>
              <w:rPr>
                <w:sz w:val="20"/>
                <w:szCs w:val="20"/>
                <w:color w:val="auto"/>
              </w:rPr>
            </w:pPr>
            <w:r>
              <w:rPr>
                <w:rFonts w:ascii="Arial" w:cs="Arial" w:eastAsia="Arial" w:hAnsi="Arial"/>
                <w:sz w:val="17"/>
                <w:szCs w:val="17"/>
                <w:color w:val="auto"/>
              </w:rPr>
              <w:t>Vice President,</w:t>
            </w:r>
          </w:p>
        </w:tc>
      </w:tr>
      <w:tr>
        <w:trPr>
          <w:trHeight w:val="206"/>
        </w:trPr>
        <w:tc>
          <w:tcPr>
            <w:tcW w:w="3260" w:type="dxa"/>
            <w:vAlign w:val="bottom"/>
            <w:gridSpan w:val="2"/>
          </w:tcPr>
          <w:p>
            <w:pPr>
              <w:spacing w:after="0"/>
              <w:rPr>
                <w:sz w:val="20"/>
                <w:szCs w:val="20"/>
                <w:color w:val="auto"/>
              </w:rPr>
            </w:pPr>
            <w:r>
              <w:rPr>
                <w:rFonts w:ascii="Arial" w:cs="Arial" w:eastAsia="Arial" w:hAnsi="Arial"/>
                <w:sz w:val="17"/>
                <w:szCs w:val="17"/>
                <w:color w:val="auto"/>
              </w:rPr>
              <w:t>Capital Markets &amp; Investor Relations</w:t>
            </w:r>
          </w:p>
        </w:tc>
        <w:tc>
          <w:tcPr>
            <w:tcW w:w="3620" w:type="dxa"/>
            <w:vAlign w:val="bottom"/>
          </w:tcPr>
          <w:p>
            <w:pPr>
              <w:ind w:left="760"/>
              <w:spacing w:after="0"/>
              <w:rPr>
                <w:sz w:val="20"/>
                <w:szCs w:val="20"/>
                <w:color w:val="auto"/>
              </w:rPr>
            </w:pPr>
            <w:r>
              <w:rPr>
                <w:rFonts w:ascii="Arial" w:cs="Arial" w:eastAsia="Arial" w:hAnsi="Arial"/>
                <w:sz w:val="17"/>
                <w:szCs w:val="17"/>
                <w:color w:val="auto"/>
                <w:w w:val="88"/>
              </w:rPr>
              <w:t>Marketing and Corporate Communications</w:t>
            </w:r>
          </w:p>
        </w:tc>
      </w:tr>
      <w:tr>
        <w:trPr>
          <w:trHeight w:val="199"/>
        </w:trPr>
        <w:tc>
          <w:tcPr>
            <w:tcW w:w="1960" w:type="dxa"/>
            <w:vAlign w:val="bottom"/>
          </w:tcPr>
          <w:p>
            <w:pPr>
              <w:spacing w:after="0"/>
              <w:rPr>
                <w:sz w:val="20"/>
                <w:szCs w:val="20"/>
                <w:color w:val="auto"/>
              </w:rPr>
            </w:pPr>
            <w:r>
              <w:rPr>
                <w:rFonts w:ascii="Arial" w:cs="Arial" w:eastAsia="Arial" w:hAnsi="Arial"/>
                <w:sz w:val="17"/>
                <w:szCs w:val="17"/>
                <w:color w:val="auto"/>
              </w:rPr>
              <w:t>301/998-8166</w:t>
            </w:r>
          </w:p>
        </w:tc>
        <w:tc>
          <w:tcPr>
            <w:tcW w:w="1300" w:type="dxa"/>
            <w:vAlign w:val="bottom"/>
          </w:tcPr>
          <w:p>
            <w:pPr>
              <w:spacing w:after="0"/>
              <w:rPr>
                <w:sz w:val="17"/>
                <w:szCs w:val="17"/>
                <w:color w:val="auto"/>
              </w:rPr>
            </w:pPr>
          </w:p>
        </w:tc>
        <w:tc>
          <w:tcPr>
            <w:tcW w:w="3620" w:type="dxa"/>
            <w:vAlign w:val="bottom"/>
          </w:tcPr>
          <w:p>
            <w:pPr>
              <w:ind w:left="760"/>
              <w:spacing w:after="0"/>
              <w:rPr>
                <w:sz w:val="20"/>
                <w:szCs w:val="20"/>
                <w:color w:val="auto"/>
              </w:rPr>
            </w:pPr>
            <w:r>
              <w:rPr>
                <w:rFonts w:ascii="Arial" w:cs="Arial" w:eastAsia="Arial" w:hAnsi="Arial"/>
                <w:sz w:val="17"/>
                <w:szCs w:val="17"/>
                <w:color w:val="auto"/>
              </w:rPr>
              <w:t>301/998-8178</w:t>
            </w:r>
          </w:p>
        </w:tc>
      </w:tr>
      <w:tr>
        <w:trPr>
          <w:trHeight w:val="219"/>
        </w:trPr>
        <w:tc>
          <w:tcPr>
            <w:tcW w:w="3260" w:type="dxa"/>
            <w:vAlign w:val="bottom"/>
            <w:gridSpan w:val="2"/>
          </w:tcPr>
          <w:p>
            <w:pPr>
              <w:spacing w:after="0"/>
              <w:rPr>
                <w:sz w:val="20"/>
                <w:szCs w:val="20"/>
                <w:color w:val="auto"/>
              </w:rPr>
            </w:pPr>
            <w:r>
              <w:rPr>
                <w:rFonts w:ascii="Arial" w:cs="Arial" w:eastAsia="Arial" w:hAnsi="Arial"/>
                <w:sz w:val="17"/>
                <w:szCs w:val="17"/>
                <w:i w:val="1"/>
                <w:iCs w:val="1"/>
                <w:color w:val="auto"/>
              </w:rPr>
              <w:t>ablocher@federalrealty.com</w:t>
            </w:r>
          </w:p>
        </w:tc>
        <w:tc>
          <w:tcPr>
            <w:tcW w:w="3620" w:type="dxa"/>
            <w:vAlign w:val="bottom"/>
          </w:tcPr>
          <w:p>
            <w:pPr>
              <w:ind w:left="760"/>
              <w:spacing w:after="0"/>
              <w:rPr>
                <w:sz w:val="20"/>
                <w:szCs w:val="20"/>
                <w:color w:val="auto"/>
              </w:rPr>
            </w:pPr>
            <w:r>
              <w:rPr>
                <w:rFonts w:ascii="Arial" w:cs="Arial" w:eastAsia="Arial" w:hAnsi="Arial"/>
                <w:sz w:val="17"/>
                <w:szCs w:val="17"/>
                <w:i w:val="1"/>
                <w:iCs w:val="1"/>
                <w:color w:val="auto"/>
              </w:rPr>
              <w:t>vkayne@federalrealty.com</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 ANNOUNCES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FOURTH QUARTER AND YEAR-END 2006 OPERATING RESULTS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-Results reflect continued strong internal growth and redevelopment returns-</w:t>
      </w:r>
    </w:p>
    <w:p>
      <w:pPr>
        <w:spacing w:after="0" w:line="164" w:lineRule="exact"/>
        <w:rPr>
          <w:sz w:val="20"/>
          <w:szCs w:val="20"/>
          <w:color w:val="auto"/>
        </w:rPr>
      </w:pPr>
    </w:p>
    <w:p>
      <w:pPr>
        <w:ind w:right="860"/>
        <w:spacing w:after="0" w:line="273" w:lineRule="auto"/>
        <w:rPr>
          <w:sz w:val="20"/>
          <w:szCs w:val="20"/>
          <w:color w:val="auto"/>
        </w:rPr>
      </w:pPr>
      <w:r>
        <w:rPr>
          <w:rFonts w:ascii="Arial" w:cs="Arial" w:eastAsia="Arial" w:hAnsi="Arial"/>
          <w:sz w:val="17"/>
          <w:szCs w:val="17"/>
          <w:color w:val="auto"/>
        </w:rPr>
        <w:t>ROCKVILLE, Md. (February 13, 2007) – Federal Realty Investment Trust (NYSE:FRT) today reported operating results for its fourth quarter and year-ended December 31, 2006.</w:t>
      </w:r>
    </w:p>
    <w:p>
      <w:pPr>
        <w:spacing w:after="0" w:line="44" w:lineRule="exact"/>
        <w:rPr>
          <w:sz w:val="20"/>
          <w:szCs w:val="20"/>
          <w:color w:val="auto"/>
        </w:rPr>
      </w:pPr>
    </w:p>
    <w:p>
      <w:pPr>
        <w:ind w:left="880" w:hanging="312"/>
        <w:spacing w:after="0" w:line="273" w:lineRule="auto"/>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Funds from operations available for common shareholders (FFO) per diluted share was $3.26 and earnings per diluted share was $1.92 for 2006, compared to $3.06 and $1.94, respectively, for 2005.</w:t>
      </w:r>
    </w:p>
    <w:p>
      <w:pPr>
        <w:spacing w:after="0" w:line="43" w:lineRule="exact"/>
        <w:rPr>
          <w:rFonts w:ascii="Arial" w:cs="Arial" w:eastAsia="Arial" w:hAnsi="Arial"/>
          <w:sz w:val="17"/>
          <w:szCs w:val="17"/>
          <w:color w:val="auto"/>
        </w:rPr>
      </w:pPr>
    </w:p>
    <w:p>
      <w:pPr>
        <w:ind w:left="880" w:right="200" w:hanging="312"/>
        <w:spacing w:after="0" w:line="273" w:lineRule="auto"/>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FFO per diluted share grew 9.5% to $3.35 in 2006, excluding the impact of the $0.09 per diluted share non-cash redemption charge in fourth quarter 2006, from $3.06 in 2005.</w:t>
      </w:r>
    </w:p>
    <w:p>
      <w:pPr>
        <w:spacing w:after="0" w:line="43" w:lineRule="exact"/>
        <w:rPr>
          <w:rFonts w:ascii="Arial" w:cs="Arial" w:eastAsia="Arial" w:hAnsi="Arial"/>
          <w:sz w:val="17"/>
          <w:szCs w:val="17"/>
          <w:color w:val="auto"/>
        </w:rPr>
      </w:pPr>
    </w:p>
    <w:p>
      <w:pPr>
        <w:ind w:left="880" w:right="260" w:hanging="312"/>
        <w:spacing w:after="0" w:line="273" w:lineRule="auto"/>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When compared to 2005, full year same-center property operating income increased 6.2% including redevelopments and expansions, and 5.4% excluding redevelopments and expansions.</w:t>
      </w:r>
    </w:p>
    <w:p>
      <w:pPr>
        <w:spacing w:after="0" w:line="43" w:lineRule="exact"/>
        <w:rPr>
          <w:rFonts w:ascii="Arial" w:cs="Arial" w:eastAsia="Arial" w:hAnsi="Arial"/>
          <w:sz w:val="17"/>
          <w:szCs w:val="17"/>
          <w:color w:val="auto"/>
        </w:rPr>
      </w:pPr>
    </w:p>
    <w:p>
      <w:pPr>
        <w:ind w:left="880" w:hanging="312"/>
        <w:spacing w:after="0"/>
        <w:tabs>
          <w:tab w:leader="none" w:pos="88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Rent increases on lease rollovers for 1.2 million square feet of comparable retail space in 2006 were 18% on a cash-basis and 29% on a GAAP-basis.</w:t>
      </w:r>
    </w:p>
    <w:p>
      <w:pPr>
        <w:spacing w:after="0" w:line="110" w:lineRule="exact"/>
        <w:rPr>
          <w:rFonts w:ascii="Arial" w:cs="Arial" w:eastAsia="Arial" w:hAnsi="Arial"/>
          <w:sz w:val="15"/>
          <w:szCs w:val="15"/>
          <w:color w:val="auto"/>
        </w:rPr>
      </w:pPr>
    </w:p>
    <w:p>
      <w:pPr>
        <w:ind w:left="880" w:hanging="312"/>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Guidance for 2007 FFO per diluted share remains unchanged at $3.60 to $3.65.</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Results</w:t>
      </w:r>
    </w:p>
    <w:p>
      <w:pPr>
        <w:spacing w:after="0" w:line="9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fourth quarter 2006, Federal Realty generated FFO of $48.0 million, or $0.86 per diluted share, which excludes the impact of a $4.8 million, or $0.09 per diluted share, non-cash charge relating to the redemption of our Series B Preferred Shares in November 2006. This compares to FFO of $42.0 million, or $0.78 per diluted share, generated and reported in fourth quarter 2005. FFO reported by Federal Realty for fourth quarter 2006 was $43.3 million, or $0.77 per diluted share including the preferred share redemption charge.</w:t>
      </w:r>
    </w:p>
    <w:p>
      <w:pPr>
        <w:sectPr>
          <w:pgSz w:w="11900" w:h="16838" w:orient="portrait"/>
          <w:cols w:equalWidth="0" w:num="1">
            <w:col w:w="11420"/>
          </w:cols>
          <w:pgMar w:left="240" w:top="1440"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 ANNOUNCES FOURTH QUARTER AND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YEAR-END 2006 OPERATING RESULTS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February 13, 2007</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For the year ended December 31, 2006, Federal Realty generated FFO of $181.9 million, or $3.35 per diluted share, which excludes the impact of the $4.8 million, or</w:t>
      </w:r>
    </w:p>
    <w:p>
      <w:pPr>
        <w:spacing w:after="0" w:line="40"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$0.09 per diluted share, non-cash preferred share redemption charge described above. This compares to FFO of $163.5 million, or $3.06 per diluted share, generated and reported in 2005. FFO reported by Federal Realty for the year ended December 31, 2006 was $177.1 million, or $3.26 per diluted share including the preferred share redemption charge.</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Net income available for common shareholders was $17.8 million and earnings per diluted share was $0.32 for the quarter ended December 31, 2006 versus $32.3 million and $0.61, respectively, for fourth quarter 2005. For the full year 2006, Federal Realty reported net income available for common shareholders of $103.5 million, or $1.92 per diluted share. This compares to net income available for common shareholders of $103.1 million, or $1.94 per diluted share, for the year ended December 31, 2005.</w:t>
      </w:r>
    </w:p>
    <w:p>
      <w:pPr>
        <w:spacing w:after="0" w:line="1" w:lineRule="exact"/>
        <w:rPr>
          <w:sz w:val="20"/>
          <w:szCs w:val="20"/>
          <w:color w:val="auto"/>
        </w:rPr>
      </w:pPr>
    </w:p>
    <w:p>
      <w:pPr>
        <w:ind w:right="500"/>
        <w:spacing w:after="0" w:line="258" w:lineRule="auto"/>
        <w:rPr>
          <w:sz w:val="20"/>
          <w:szCs w:val="20"/>
          <w:color w:val="auto"/>
        </w:rPr>
      </w:pPr>
      <w:r>
        <w:rPr>
          <w:rFonts w:ascii="Arial" w:cs="Arial" w:eastAsia="Arial" w:hAnsi="Arial"/>
          <w:sz w:val="17"/>
          <w:szCs w:val="17"/>
          <w:color w:val="auto"/>
        </w:rPr>
        <w:t>Federal Realty’s net income available for common shareholders and earnings per diluted share results include the aforementioned $4.8 million Series B Preferred redemption charge in fourth quarter and year-end 2006 results, and a significant decline in gain on sale of real estate, reflecting the completion of the Santana Row condominium sales in August 2006.</w:t>
      </w:r>
    </w:p>
    <w:p>
      <w:pPr>
        <w:spacing w:after="0" w:line="13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FFO is a non-GAAP supplemental earnings measure which the Trust considers meaningful in measuring its operating performance. A reconciliation of FFO and FFO per diluted share to net income is attached to this press release.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Portfolio Results</w:t>
      </w:r>
    </w:p>
    <w:p>
      <w:pPr>
        <w:spacing w:after="0" w:line="9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On an annual basis, same-center property operating income in 2006 increased 6.2% including redevelopments and expansions, and 5.4% excluding redevelopments and expansions. In fourth quarter 2006, same-center property operating income, including redevelopment and expansion properties, increased 4.7% over fourth quarter 2005. When redevelopment and expansion properties are excluded from same-center results, property operating income for fourth quarter 2006 increased 5.0% compared to fourth quarter 2005.</w:t>
      </w:r>
    </w:p>
    <w:p>
      <w:pPr>
        <w:spacing w:after="0" w:line="13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Trust’s overall portfolio was 96.5% leased as of December 31, 2006, compared to 96.3% on December 31, 2005. Federal Realty’s same-center portfolio was 96.8% leased on December 31, 2006, compared to 97.2% on December 31, 2005.</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380"/>
          </w:cols>
          <w:pgMar w:left="240" w:top="272" w:right="27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 ANNOUNCES FOURTH QUARTER AND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YEAR-END 2006 OPERATING RESULTS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February 13, 2007</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14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During fourth quarter 2006, the Trust signed 84 leases for 321,000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spaces for which there was a former tenant), the Trust leased 304,000 square feet at an 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excluding the impact of straight-line rents) of 17%. The average contractual rent on this comparable space for the first year of the new lease is $26.72 per square foot compared to the average contractual rent of $22.80 per square foot for the last year of the prior lease. The previous average contractual rent is calculated by including both the minimum rent and the percentage rent actually paid during the last year of the lease term for the re-leased space. On a GAAP basis (</w:t>
      </w:r>
      <w:r>
        <w:rPr>
          <w:rFonts w:ascii="Arial" w:cs="Arial" w:eastAsia="Arial" w:hAnsi="Arial"/>
          <w:sz w:val="16"/>
          <w:szCs w:val="16"/>
          <w:i w:val="1"/>
          <w:iCs w:val="1"/>
          <w:color w:val="auto"/>
        </w:rPr>
        <w:t>i.e.</w:t>
      </w:r>
      <w:r>
        <w:rPr>
          <w:rFonts w:ascii="Arial" w:cs="Arial" w:eastAsia="Arial" w:hAnsi="Arial"/>
          <w:sz w:val="16"/>
          <w:szCs w:val="16"/>
          <w:color w:val="auto"/>
        </w:rPr>
        <w:t>, including the impact of straight-line rents), rent increases per square foot for comparable retail space averaged 30% for fourth quarter 2006.</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2006, Federal Realty signed 257 leases representing 1.2 million square feet of comparable retail space at an average cash-basis contractual rent increase per square foot of 18%, and 29% on a GAAP-basis. The average cash-basis contractual rent on this comparable space for the first year of the new lease is $23.45 per square foot compared to the average cash-basis contractual rent of $19.84 per square foot for the last year of the prior lease. As of December 31, 2006, Federal Realty’s average contractual minimum rent for retail and commercial space in its portfolio is $18.97 per square foot.</w:t>
      </w:r>
    </w:p>
    <w:p>
      <w:pPr>
        <w:spacing w:after="0" w:line="133"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“Our 2006 results continue to reflect the consistency and sustainability of our business strategy,” commented Donald C. Wood, president and chief executive officer of Federal Realty Investment Trust. “Strong leasing results and redevelopment returns provide not only significant earnings growth, but considerable value creation for our shareholders.”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Regular Quarterly Dividends</w:t>
      </w:r>
    </w:p>
    <w:p>
      <w:pPr>
        <w:spacing w:after="0" w:line="9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Federal Realty also announced today that its Board of Trustees left the regular dividend rate on its common shares unchanged, declaring a regular quarterly cash dividend of $0.575 per share on its common shares, resulting in an indicated annual rate of $2.30 per share. The regular common dividend will be payable on April 16, 2007 to common shareholders of record as of March 13, 2007.</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Guidance</w:t>
      </w:r>
    </w:p>
    <w:p>
      <w:pPr>
        <w:spacing w:after="0" w:line="9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Federal Realty left its guidance for 2007 FFO per diluted share unchanged at a range of $3.60 to $3.65, and its 2007 earnings per diluted share guidance unchanged at a range of $1.79 to $1.84.</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380"/>
          </w:cols>
          <w:pgMar w:left="240" w:top="272" w:right="27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 ANNOUNCES FOURTH QUARTER AND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YEAR-END 2006 OPERATING RESULTS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February 13, 2007</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Page 4</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Other Quarterly Activities and Recent Developments</w:t>
      </w:r>
    </w:p>
    <w:p>
      <w:pPr>
        <w:spacing w:after="0" w:line="91" w:lineRule="exact"/>
        <w:rPr>
          <w:sz w:val="20"/>
          <w:szCs w:val="20"/>
          <w:color w:val="auto"/>
        </w:rPr>
      </w:pPr>
    </w:p>
    <w:p>
      <w:pPr>
        <w:ind w:left="880" w:right="40" w:hanging="312"/>
        <w:spacing w:after="0" w:line="259"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January 5, 2007 – Sam J. Gorlitz, co-founder of Federal Realty, passed away at the age of 89. Mr. Gorlitz established the Trust in 1962 with three properties in the metropolitan D.C. area including Congressional Plaza in Rockville, Maryland. Mr. Gorlitz retired from the Trust’s Board of Trustees in 1999, the same year that Federal Realty renamed Park and Shop Center in Washington, D.C. to Sam’s Park and Shop to thank him for his contributions to the Company and industry.</w:t>
      </w:r>
    </w:p>
    <w:p>
      <w:pPr>
        <w:spacing w:after="0" w:line="55" w:lineRule="exact"/>
        <w:rPr>
          <w:rFonts w:ascii="Arial" w:cs="Arial" w:eastAsia="Arial" w:hAnsi="Arial"/>
          <w:sz w:val="17"/>
          <w:szCs w:val="17"/>
          <w:color w:val="auto"/>
        </w:rPr>
      </w:pPr>
    </w:p>
    <w:p>
      <w:pPr>
        <w:ind w:left="880" w:hanging="312"/>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November 28, 2006 – Issued $135 million of 5.40% Notes due 2013. Proceeds of the offering were used to repay outstanding debt.</w:t>
      </w:r>
    </w:p>
    <w:p>
      <w:pPr>
        <w:spacing w:after="0" w:line="87" w:lineRule="exact"/>
        <w:rPr>
          <w:rFonts w:ascii="Arial" w:cs="Arial" w:eastAsia="Arial" w:hAnsi="Arial"/>
          <w:sz w:val="17"/>
          <w:szCs w:val="17"/>
          <w:color w:val="auto"/>
        </w:rPr>
      </w:pPr>
    </w:p>
    <w:p>
      <w:pPr>
        <w:ind w:left="880" w:hanging="312"/>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November 27, 2006 – The Trust redeemed all 5,400,000 outstanding shares of its 8.50% Series B Cumulative Redeemable Preferred Shares.</w:t>
      </w:r>
    </w:p>
    <w:p>
      <w:pPr>
        <w:spacing w:after="0" w:line="98" w:lineRule="exact"/>
        <w:rPr>
          <w:rFonts w:ascii="Arial" w:cs="Arial" w:eastAsia="Arial" w:hAnsi="Arial"/>
          <w:sz w:val="16"/>
          <w:szCs w:val="16"/>
          <w:color w:val="auto"/>
        </w:rPr>
      </w:pPr>
    </w:p>
    <w:p>
      <w:pPr>
        <w:ind w:left="880" w:right="160" w:hanging="312"/>
        <w:spacing w:after="0" w:line="263"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November 6, 2006 – Federal Realty announced the acquisition of Melville Mall, a 100% leased supermarket-anchored community center located in Huntington, New York, approximately 1-1/2 miles south of the Trust’s Huntington Shopping Center. Tenants at Melville Mall include Waldbaum’s, Kohl’s, Marshall’s and Dick’s Sporting Goods.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Information</w:t>
      </w:r>
    </w:p>
    <w:p>
      <w:pPr>
        <w:spacing w:after="0" w:line="9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Federal Realty’s management team will present an in-depth discussion of the Trust’s operating performance on its fourth quarter and year-end 2006 earnings conference call, which is scheduled for February 14, 2007, at 11 a.m. Eastern Standard Time. To participate, please call (800) 299-0148 five to ten minutes prior to the call’s start time and use the Passcode 12532544 (required). The conference leader is Andrew Blocher. Federal Realty will also provide an online Web Simulcast on the Company’s Web site, www.federalrealty.com, which will remain available for 30 days following the call. A telephone recording of the call will also be available through March 19, 2007, by dialing (888) 286-8010 and using the Passcode 29937458.</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Federal Realty</w:t>
      </w:r>
    </w:p>
    <w:p>
      <w:pPr>
        <w:spacing w:after="0" w:line="91"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18.8 million square feet located primarily in strategic metropolitan markets in the Northeast, Mid-Atlantic, and California. In addition, the Trust has an ownership interest in approximately 0.7 million square feet of retail space through its joint venture with Clarion Lion Properties Fund in which the Trust has a 30% interest. Our operating portfolio (excluding joint venture properties) was 96.5% leased to national, regional, and local retailers as of December 31, 2006, with no single tenant accounting for more than approximately 2.5% of annualized base rent. Federal Realty has paid quarterly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420"/>
          </w:cols>
          <w:pgMar w:left="240" w:top="272"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 ANNOUNCES FOURTH QUARTER AND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YEAR-END 2006 OPERATING RESULTS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February 13, 2007</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Page 5</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dividends to its shareholders continuously since its founding in 1962, and has increased its dividend rate for 39 consecutive years, the longest record in the REIT industry.</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Shares of Federal Realty are traded on the NYSE under the symbol FRT.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Safe Harbor Language</w:t>
      </w:r>
    </w:p>
    <w:p>
      <w:pPr>
        <w:spacing w:after="0" w:line="9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March 3, 2006 (as amended) and include the following:</w:t>
      </w:r>
    </w:p>
    <w:p>
      <w:pPr>
        <w:spacing w:after="0" w:line="56" w:lineRule="exact"/>
        <w:rPr>
          <w:sz w:val="20"/>
          <w:szCs w:val="20"/>
          <w:color w:val="auto"/>
        </w:rPr>
      </w:pPr>
    </w:p>
    <w:p>
      <w:pPr>
        <w:ind w:left="880" w:hanging="312"/>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that our tenants will not pay rent or that we may be unable to renew leases or re-let space at favorable rents as leases expire;</w:t>
      </w:r>
    </w:p>
    <w:p>
      <w:pPr>
        <w:spacing w:after="0" w:line="87" w:lineRule="exact"/>
        <w:rPr>
          <w:rFonts w:ascii="Arial" w:cs="Arial" w:eastAsia="Arial" w:hAnsi="Arial"/>
          <w:sz w:val="17"/>
          <w:szCs w:val="17"/>
          <w:color w:val="auto"/>
        </w:rPr>
      </w:pPr>
    </w:p>
    <w:p>
      <w:pPr>
        <w:ind w:left="880" w:right="120" w:hanging="312"/>
        <w:spacing w:after="0" w:line="305"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20" w:lineRule="exact"/>
        <w:rPr>
          <w:rFonts w:ascii="Arial" w:cs="Arial" w:eastAsia="Arial" w:hAnsi="Arial"/>
          <w:sz w:val="16"/>
          <w:szCs w:val="16"/>
          <w:color w:val="auto"/>
        </w:rPr>
      </w:pPr>
    </w:p>
    <w:p>
      <w:pPr>
        <w:ind w:left="880" w:right="260" w:hanging="312"/>
        <w:spacing w:after="0" w:line="273"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that the number of properties we acquire for our own account, and therefore the amount of capital we invest in acquisitions, may be impacted by our real estate partnership;</w:t>
      </w:r>
    </w:p>
    <w:p>
      <w:pPr>
        <w:spacing w:after="0" w:line="43" w:lineRule="exact"/>
        <w:rPr>
          <w:rFonts w:ascii="Arial" w:cs="Arial" w:eastAsia="Arial" w:hAnsi="Arial"/>
          <w:sz w:val="17"/>
          <w:szCs w:val="17"/>
          <w:color w:val="auto"/>
        </w:rPr>
      </w:pPr>
    </w:p>
    <w:p>
      <w:pPr>
        <w:ind w:left="880" w:right="40" w:hanging="312"/>
        <w:spacing w:after="0" w:line="259"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55" w:lineRule="exact"/>
        <w:rPr>
          <w:rFonts w:ascii="Arial" w:cs="Arial" w:eastAsia="Arial" w:hAnsi="Arial"/>
          <w:sz w:val="17"/>
          <w:szCs w:val="17"/>
          <w:color w:val="auto"/>
        </w:rPr>
      </w:pPr>
    </w:p>
    <w:p>
      <w:pPr>
        <w:ind w:left="880" w:hanging="312"/>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that our growth will be limited if we cannot obtain additional capital;</w:t>
      </w:r>
    </w:p>
    <w:p>
      <w:pPr>
        <w:spacing w:after="0" w:line="87" w:lineRule="exact"/>
        <w:rPr>
          <w:rFonts w:ascii="Arial" w:cs="Arial" w:eastAsia="Arial" w:hAnsi="Arial"/>
          <w:sz w:val="17"/>
          <w:szCs w:val="17"/>
          <w:color w:val="auto"/>
        </w:rPr>
      </w:pPr>
    </w:p>
    <w:p>
      <w:pPr>
        <w:ind w:left="880" w:hanging="312"/>
        <w:spacing w:after="0" w:line="263"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1" w:lineRule="exact"/>
        <w:rPr>
          <w:rFonts w:ascii="Arial" w:cs="Arial" w:eastAsia="Arial" w:hAnsi="Arial"/>
          <w:sz w:val="17"/>
          <w:szCs w:val="17"/>
          <w:color w:val="auto"/>
        </w:rPr>
      </w:pPr>
    </w:p>
    <w:p>
      <w:pPr>
        <w:jc w:val="both"/>
        <w:ind w:left="880" w:hanging="312"/>
        <w:spacing w:after="0" w:line="263"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March 3, 2006 (as amended).</w:t>
      </w:r>
    </w:p>
    <w:p>
      <w:pPr>
        <w:sectPr>
          <w:pgSz w:w="11900" w:h="16838" w:orient="portrait"/>
          <w:cols w:equalWidth="0" w:num="1">
            <w:col w:w="11420"/>
          </w:cols>
          <w:pgMar w:left="240" w:top="272"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Operating Results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w w:val="96"/>
              </w:rPr>
              <w:t>Three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tcPr>
          <w:p>
            <w:pPr>
              <w:ind w:left="120"/>
              <w:spacing w:after="0"/>
              <w:rPr>
                <w:sz w:val="20"/>
                <w:szCs w:val="20"/>
                <w:color w:val="auto"/>
              </w:rPr>
            </w:pPr>
            <w:r>
              <w:rPr>
                <w:rFonts w:ascii="Arial" w:cs="Arial" w:eastAsia="Arial" w:hAnsi="Arial"/>
                <w:sz w:val="13"/>
                <w:szCs w:val="13"/>
                <w:b w:val="1"/>
                <w:bCs w:val="1"/>
                <w:color w:val="auto"/>
              </w:rPr>
              <w:t>Twelve months ended</w:t>
            </w: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4"/>
        </w:trPr>
        <w:tc>
          <w:tcPr>
            <w:tcW w:w="3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8"/>
              <w:spacing w:after="0" w:line="134" w:lineRule="exact"/>
              <w:rPr>
                <w:sz w:val="20"/>
                <w:szCs w:val="20"/>
                <w:color w:val="auto"/>
              </w:rPr>
            </w:pPr>
            <w:r>
              <w:rPr>
                <w:rFonts w:ascii="Arial" w:cs="Arial" w:eastAsia="Arial" w:hAnsi="Arial"/>
                <w:sz w:val="13"/>
                <w:szCs w:val="13"/>
                <w:b w:val="1"/>
                <w:bCs w:val="1"/>
                <w:color w:val="auto"/>
              </w:rPr>
              <w:t>2006</w:t>
            </w: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7"/>
              <w:spacing w:after="0" w:line="134" w:lineRule="exact"/>
              <w:rPr>
                <w:sz w:val="20"/>
                <w:szCs w:val="20"/>
                <w:color w:val="auto"/>
              </w:rPr>
            </w:pPr>
            <w:r>
              <w:rPr>
                <w:rFonts w:ascii="Arial" w:cs="Arial" w:eastAsia="Arial" w:hAnsi="Arial"/>
                <w:sz w:val="13"/>
                <w:szCs w:val="13"/>
                <w:b w:val="1"/>
                <w:bCs w:val="1"/>
                <w:color w:val="auto"/>
              </w:rPr>
              <w:t>2005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ind w:left="120"/>
              <w:spacing w:after="0" w:line="134" w:lineRule="exact"/>
              <w:rPr>
                <w:sz w:val="20"/>
                <w:szCs w:val="20"/>
                <w:color w:val="auto"/>
              </w:rPr>
            </w:pPr>
            <w:r>
              <w:rPr>
                <w:rFonts w:ascii="Arial" w:cs="Arial" w:eastAsia="Arial" w:hAnsi="Arial"/>
                <w:sz w:val="13"/>
                <w:szCs w:val="13"/>
                <w:b w:val="1"/>
                <w:bCs w:val="1"/>
                <w:color w:val="auto"/>
              </w:rPr>
              <w:t>2006</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7"/>
              <w:spacing w:after="0" w:line="134" w:lineRule="exact"/>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Revenue</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60" w:type="dxa"/>
            <w:vAlign w:val="bottom"/>
            <w:gridSpan w:val="3"/>
          </w:tcPr>
          <w:p>
            <w:pPr>
              <w:ind w:left="420"/>
              <w:spacing w:after="0"/>
              <w:rPr>
                <w:sz w:val="20"/>
                <w:szCs w:val="20"/>
                <w:color w:val="auto"/>
              </w:rPr>
            </w:pPr>
            <w:r>
              <w:rPr>
                <w:rFonts w:ascii="Arial" w:cs="Arial" w:eastAsia="Arial" w:hAnsi="Arial"/>
                <w:sz w:val="17"/>
                <w:szCs w:val="17"/>
                <w:color w:val="auto"/>
              </w:rPr>
              <w:t>Rental income</w:t>
            </w:r>
          </w:p>
        </w:tc>
        <w:tc>
          <w:tcPr>
            <w:tcW w:w="2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117,192</w:t>
            </w:r>
          </w:p>
        </w:tc>
        <w:tc>
          <w:tcPr>
            <w:tcW w:w="2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w w:val="87"/>
              </w:rPr>
              <w:t>103,231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438,201</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393,548</w:t>
            </w:r>
          </w:p>
        </w:tc>
        <w:tc>
          <w:tcPr>
            <w:tcW w:w="0" w:type="dxa"/>
            <w:vAlign w:val="bottom"/>
          </w:tcPr>
          <w:p>
            <w:pPr>
              <w:spacing w:after="0"/>
              <w:rPr>
                <w:sz w:val="1"/>
                <w:szCs w:val="1"/>
                <w:color w:val="auto"/>
              </w:rPr>
            </w:pPr>
          </w:p>
        </w:tc>
      </w:tr>
      <w:tr>
        <w:trPr>
          <w:trHeight w:val="206"/>
        </w:trPr>
        <w:tc>
          <w:tcPr>
            <w:tcW w:w="59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3,144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9,551</w:t>
            </w:r>
          </w:p>
        </w:tc>
        <w:tc>
          <w:tcPr>
            <w:tcW w:w="0" w:type="dxa"/>
            <w:vAlign w:val="bottom"/>
          </w:tcPr>
          <w:p>
            <w:pPr>
              <w:spacing w:after="0"/>
              <w:rPr>
                <w:sz w:val="1"/>
                <w:szCs w:val="1"/>
                <w:color w:val="auto"/>
              </w:rPr>
            </w:pPr>
          </w:p>
        </w:tc>
      </w:tr>
      <w:tr>
        <w:trPr>
          <w:trHeight w:val="206"/>
        </w:trPr>
        <w:tc>
          <w:tcPr>
            <w:tcW w:w="5960" w:type="dxa"/>
            <w:vAlign w:val="bottom"/>
            <w:gridSpan w:val="3"/>
          </w:tcPr>
          <w:p>
            <w:pPr>
              <w:ind w:left="420"/>
              <w:spacing w:after="0"/>
              <w:rPr>
                <w:sz w:val="20"/>
                <w:szCs w:val="20"/>
                <w:color w:val="auto"/>
              </w:rPr>
            </w:pPr>
            <w:r>
              <w:rPr>
                <w:rFonts w:ascii="Arial" w:cs="Arial" w:eastAsia="Arial" w:hAnsi="Arial"/>
                <w:sz w:val="17"/>
                <w:szCs w:val="17"/>
                <w:color w:val="auto"/>
              </w:rPr>
              <w:t>Mortgage interest income</w:t>
            </w: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1,317</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5,095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5,370</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120,491</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107,706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451,022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408,469</w:t>
            </w:r>
          </w:p>
        </w:tc>
        <w:tc>
          <w:tcPr>
            <w:tcW w:w="0" w:type="dxa"/>
            <w:vAlign w:val="bottom"/>
          </w:tcPr>
          <w:p>
            <w:pPr>
              <w:spacing w:after="0"/>
              <w:rPr>
                <w:sz w:val="1"/>
                <w:szCs w:val="1"/>
                <w:color w:val="auto"/>
              </w:rPr>
            </w:pPr>
          </w:p>
        </w:tc>
      </w:tr>
      <w:tr>
        <w:trPr>
          <w:trHeight w:val="211"/>
        </w:trPr>
        <w:tc>
          <w:tcPr>
            <w:tcW w:w="5960" w:type="dxa"/>
            <w:vAlign w:val="bottom"/>
            <w:gridSpan w:val="3"/>
          </w:tcPr>
          <w:p>
            <w:pPr>
              <w:spacing w:after="0"/>
              <w:rPr>
                <w:sz w:val="20"/>
                <w:szCs w:val="20"/>
                <w:color w:val="auto"/>
              </w:rPr>
            </w:pPr>
            <w:r>
              <w:rPr>
                <w:rFonts w:ascii="Arial" w:cs="Arial" w:eastAsia="Arial" w:hAnsi="Arial"/>
                <w:sz w:val="17"/>
                <w:szCs w:val="17"/>
                <w:color w:val="auto"/>
              </w:rPr>
              <w:t>Expenses</w:t>
            </w:r>
          </w:p>
        </w:tc>
        <w:tc>
          <w:tcPr>
            <w:tcW w:w="19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Rental</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24,973</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88,130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84,736</w:t>
            </w:r>
          </w:p>
        </w:tc>
        <w:tc>
          <w:tcPr>
            <w:tcW w:w="0" w:type="dxa"/>
            <w:vAlign w:val="bottom"/>
          </w:tcPr>
          <w:p>
            <w:pPr>
              <w:spacing w:after="0"/>
              <w:rPr>
                <w:sz w:val="1"/>
                <w:szCs w:val="1"/>
                <w:color w:val="auto"/>
              </w:rPr>
            </w:pPr>
          </w:p>
        </w:tc>
      </w:tr>
      <w:tr>
        <w:trPr>
          <w:trHeight w:val="206"/>
        </w:trPr>
        <w:tc>
          <w:tcPr>
            <w:tcW w:w="5960" w:type="dxa"/>
            <w:vAlign w:val="bottom"/>
            <w:gridSpan w:val="3"/>
          </w:tcPr>
          <w:p>
            <w:pPr>
              <w:ind w:left="420"/>
              <w:spacing w:after="0"/>
              <w:rPr>
                <w:sz w:val="20"/>
                <w:szCs w:val="20"/>
                <w:color w:val="auto"/>
              </w:rPr>
            </w:pPr>
            <w:r>
              <w:rPr>
                <w:rFonts w:ascii="Arial" w:cs="Arial" w:eastAsia="Arial" w:hAnsi="Arial"/>
                <w:sz w:val="17"/>
                <w:szCs w:val="17"/>
                <w:color w:val="auto"/>
              </w:rPr>
              <w:t>Real estate taxes</w:t>
            </w: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12,113</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11,131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44,898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39,372</w:t>
            </w:r>
          </w:p>
        </w:tc>
        <w:tc>
          <w:tcPr>
            <w:tcW w:w="0" w:type="dxa"/>
            <w:vAlign w:val="bottom"/>
          </w:tcPr>
          <w:p>
            <w:pPr>
              <w:spacing w:after="0"/>
              <w:rPr>
                <w:sz w:val="1"/>
                <w:szCs w:val="1"/>
                <w:color w:val="auto"/>
              </w:rPr>
            </w:pPr>
          </w:p>
        </w:tc>
      </w:tr>
      <w:tr>
        <w:trPr>
          <w:trHeight w:val="206"/>
        </w:trPr>
        <w:tc>
          <w:tcPr>
            <w:tcW w:w="59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General and administrative</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5,593</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5,468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21,340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19,909</w:t>
            </w:r>
          </w:p>
        </w:tc>
        <w:tc>
          <w:tcPr>
            <w:tcW w:w="0" w:type="dxa"/>
            <w:vAlign w:val="bottom"/>
          </w:tcPr>
          <w:p>
            <w:pPr>
              <w:spacing w:after="0"/>
              <w:rPr>
                <w:sz w:val="1"/>
                <w:szCs w:val="1"/>
                <w:color w:val="auto"/>
              </w:rPr>
            </w:pPr>
          </w:p>
        </w:tc>
      </w:tr>
      <w:tr>
        <w:trPr>
          <w:trHeight w:val="206"/>
        </w:trPr>
        <w:tc>
          <w:tcPr>
            <w:tcW w:w="5960" w:type="dxa"/>
            <w:vAlign w:val="bottom"/>
            <w:gridSpan w:val="3"/>
          </w:tcPr>
          <w:p>
            <w:pPr>
              <w:ind w:left="420"/>
              <w:spacing w:after="0"/>
              <w:rPr>
                <w:sz w:val="20"/>
                <w:szCs w:val="20"/>
                <w:color w:val="auto"/>
              </w:rPr>
            </w:pPr>
            <w:r>
              <w:rPr>
                <w:rFonts w:ascii="Arial" w:cs="Arial" w:eastAsia="Arial" w:hAnsi="Arial"/>
                <w:sz w:val="17"/>
                <w:szCs w:val="17"/>
                <w:color w:val="auto"/>
              </w:rPr>
              <w:t>Depreciation and amortization</w:t>
            </w: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25,561</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22,797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97,618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88,927</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68,240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61,942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251,986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232,944</w:t>
            </w: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ind w:left="420"/>
              <w:spacing w:after="0"/>
              <w:rPr>
                <w:sz w:val="20"/>
                <w:szCs w:val="20"/>
                <w:color w:val="auto"/>
              </w:rPr>
            </w:pPr>
            <w:r>
              <w:rPr>
                <w:rFonts w:ascii="Arial" w:cs="Arial" w:eastAsia="Arial" w:hAnsi="Arial"/>
                <w:sz w:val="17"/>
                <w:szCs w:val="17"/>
                <w:color w:val="auto"/>
              </w:rPr>
              <w:t>Operating income</w:t>
            </w: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3"/>
            <w:vMerge w:val="continue"/>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52,251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45,764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199,036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175,525</w:t>
            </w:r>
          </w:p>
        </w:tc>
        <w:tc>
          <w:tcPr>
            <w:tcW w:w="0" w:type="dxa"/>
            <w:vAlign w:val="bottom"/>
          </w:tcPr>
          <w:p>
            <w:pPr>
              <w:spacing w:after="0"/>
              <w:rPr>
                <w:sz w:val="1"/>
                <w:szCs w:val="1"/>
                <w:color w:val="auto"/>
              </w:rPr>
            </w:pPr>
          </w:p>
        </w:tc>
      </w:tr>
      <w:tr>
        <w:trPr>
          <w:trHeight w:val="104"/>
        </w:trPr>
        <w:tc>
          <w:tcPr>
            <w:tcW w:w="3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5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Interest-rate swap and other interest income</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2,215</w:t>
            </w:r>
          </w:p>
        </w:tc>
        <w:tc>
          <w:tcPr>
            <w:tcW w:w="0" w:type="dxa"/>
            <w:vAlign w:val="bottom"/>
          </w:tcPr>
          <w:p>
            <w:pPr>
              <w:spacing w:after="0"/>
              <w:rPr>
                <w:sz w:val="1"/>
                <w:szCs w:val="1"/>
                <w:color w:val="auto"/>
              </w:rPr>
            </w:pPr>
          </w:p>
        </w:tc>
      </w:tr>
      <w:tr>
        <w:trPr>
          <w:trHeight w:val="206"/>
        </w:trPr>
        <w:tc>
          <w:tcPr>
            <w:tcW w:w="5960" w:type="dxa"/>
            <w:vAlign w:val="bottom"/>
            <w:gridSpan w:val="3"/>
          </w:tcPr>
          <w:p>
            <w:pPr>
              <w:spacing w:after="0"/>
              <w:rPr>
                <w:sz w:val="20"/>
                <w:szCs w:val="20"/>
                <w:color w:val="auto"/>
              </w:rPr>
            </w:pPr>
            <w:r>
              <w:rPr>
                <w:rFonts w:ascii="Arial" w:cs="Arial" w:eastAsia="Arial" w:hAnsi="Arial"/>
                <w:sz w:val="17"/>
                <w:szCs w:val="17"/>
                <w:color w:val="auto"/>
              </w:rPr>
              <w:t>Interest expense</w:t>
            </w: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w w:val="91"/>
              </w:rPr>
              <w:t>(27,625)</w:t>
            </w: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(23,012)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w w:val="87"/>
              </w:rPr>
              <w:t>(102,808)</w:t>
            </w:r>
          </w:p>
        </w:tc>
        <w:tc>
          <w:tcPr>
            <w:tcW w:w="1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w w:val="91"/>
              </w:rPr>
              <w:t>(88,566)</w:t>
            </w:r>
          </w:p>
        </w:tc>
        <w:tc>
          <w:tcPr>
            <w:tcW w:w="0" w:type="dxa"/>
            <w:vAlign w:val="bottom"/>
          </w:tcPr>
          <w:p>
            <w:pPr>
              <w:spacing w:after="0"/>
              <w:rPr>
                <w:sz w:val="1"/>
                <w:szCs w:val="1"/>
                <w:color w:val="auto"/>
              </w:rPr>
            </w:pPr>
          </w:p>
        </w:tc>
      </w:tr>
      <w:tr>
        <w:trPr>
          <w:trHeight w:val="206"/>
        </w:trPr>
        <w:tc>
          <w:tcPr>
            <w:tcW w:w="5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Income from real estate partnership</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06"/>
        </w:trPr>
        <w:tc>
          <w:tcPr>
            <w:tcW w:w="5960" w:type="dxa"/>
            <w:vAlign w:val="bottom"/>
            <w:gridSpan w:val="3"/>
          </w:tcPr>
          <w:p>
            <w:pPr>
              <w:spacing w:after="0"/>
              <w:rPr>
                <w:sz w:val="20"/>
                <w:szCs w:val="20"/>
                <w:color w:val="auto"/>
              </w:rPr>
            </w:pPr>
            <w:r>
              <w:rPr>
                <w:rFonts w:ascii="Arial" w:cs="Arial" w:eastAsia="Arial" w:hAnsi="Arial"/>
                <w:sz w:val="17"/>
                <w:szCs w:val="17"/>
                <w:color w:val="auto"/>
              </w:rPr>
              <w:t>Minority interests</w:t>
            </w: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(870)</w:t>
            </w: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(1,231)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(4,353)</w:t>
            </w:r>
          </w:p>
        </w:tc>
        <w:tc>
          <w:tcPr>
            <w:tcW w:w="1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(5,234)</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24,335</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21,933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95,076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84,433</w:t>
            </w:r>
          </w:p>
        </w:tc>
        <w:tc>
          <w:tcPr>
            <w:tcW w:w="0" w:type="dxa"/>
            <w:vAlign w:val="bottom"/>
          </w:tcPr>
          <w:p>
            <w:pPr>
              <w:spacing w:after="0"/>
              <w:rPr>
                <w:sz w:val="1"/>
                <w:szCs w:val="1"/>
                <w:color w:val="auto"/>
              </w:rPr>
            </w:pPr>
          </w:p>
        </w:tc>
      </w:tr>
      <w:tr>
        <w:trPr>
          <w:trHeight w:val="308"/>
        </w:trPr>
        <w:tc>
          <w:tcPr>
            <w:tcW w:w="5960" w:type="dxa"/>
            <w:vAlign w:val="bottom"/>
            <w:gridSpan w:val="3"/>
          </w:tcPr>
          <w:p>
            <w:pPr>
              <w:spacing w:after="0"/>
              <w:rPr>
                <w:sz w:val="20"/>
                <w:szCs w:val="20"/>
                <w:color w:val="auto"/>
              </w:rPr>
            </w:pPr>
            <w:r>
              <w:rPr>
                <w:rFonts w:ascii="Arial" w:cs="Arial" w:eastAsia="Arial" w:hAnsi="Arial"/>
                <w:sz w:val="17"/>
                <w:szCs w:val="17"/>
                <w:color w:val="auto"/>
              </w:rPr>
              <w:t>Discontinued operations</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9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Operating income (loss) from discontinued operations</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06"/>
        </w:trPr>
        <w:tc>
          <w:tcPr>
            <w:tcW w:w="5960" w:type="dxa"/>
            <w:vAlign w:val="bottom"/>
            <w:gridSpan w:val="3"/>
          </w:tcPr>
          <w:p>
            <w:pPr>
              <w:ind w:left="420"/>
              <w:spacing w:after="0"/>
              <w:rPr>
                <w:sz w:val="20"/>
                <w:szCs w:val="20"/>
                <w:color w:val="auto"/>
              </w:rPr>
            </w:pPr>
            <w:r>
              <w:rPr>
                <w:rFonts w:ascii="Arial" w:cs="Arial" w:eastAsia="Arial" w:hAnsi="Arial"/>
                <w:sz w:val="17"/>
                <w:szCs w:val="17"/>
                <w:color w:val="auto"/>
              </w:rPr>
              <w:t>Gain on sale of real estate</w:t>
            </w: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13,402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23,956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30,748</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Results from discontinued operations</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23,636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30,179</w:t>
            </w: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Arial" w:cs="Arial" w:eastAsia="Arial" w:hAnsi="Arial"/>
                <w:sz w:val="17"/>
                <w:szCs w:val="17"/>
                <w:color w:val="auto"/>
              </w:rPr>
              <w:t>Net income</w:t>
            </w: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3"/>
            <w:vMerge w:val="continue"/>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24,441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35,128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118,712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114,612</w:t>
            </w:r>
          </w:p>
        </w:tc>
        <w:tc>
          <w:tcPr>
            <w:tcW w:w="0" w:type="dxa"/>
            <w:vAlign w:val="bottom"/>
          </w:tcPr>
          <w:p>
            <w:pPr>
              <w:spacing w:after="0"/>
              <w:rPr>
                <w:sz w:val="1"/>
                <w:szCs w:val="1"/>
                <w:color w:val="auto"/>
              </w:rPr>
            </w:pPr>
          </w:p>
        </w:tc>
      </w:tr>
      <w:tr>
        <w:trPr>
          <w:trHeight w:val="104"/>
        </w:trPr>
        <w:tc>
          <w:tcPr>
            <w:tcW w:w="3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59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Dividends on preferred stock</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(1,817)</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(10,423)</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(11,475)</w:t>
            </w:r>
          </w:p>
        </w:tc>
        <w:tc>
          <w:tcPr>
            <w:tcW w:w="0" w:type="dxa"/>
            <w:vAlign w:val="bottom"/>
          </w:tcPr>
          <w:p>
            <w:pPr>
              <w:spacing w:after="0"/>
              <w:rPr>
                <w:sz w:val="1"/>
                <w:szCs w:val="1"/>
                <w:color w:val="auto"/>
              </w:rPr>
            </w:pPr>
          </w:p>
        </w:tc>
      </w:tr>
      <w:tr>
        <w:trPr>
          <w:trHeight w:val="206"/>
        </w:trPr>
        <w:tc>
          <w:tcPr>
            <w:tcW w:w="5960" w:type="dxa"/>
            <w:vAlign w:val="bottom"/>
            <w:gridSpan w:val="3"/>
          </w:tcPr>
          <w:p>
            <w:pPr>
              <w:ind w:left="420"/>
              <w:spacing w:after="0"/>
              <w:rPr>
                <w:sz w:val="20"/>
                <w:szCs w:val="20"/>
                <w:color w:val="auto"/>
              </w:rPr>
            </w:pPr>
            <w:r>
              <w:rPr>
                <w:rFonts w:ascii="Arial" w:cs="Arial" w:eastAsia="Arial" w:hAnsi="Arial"/>
                <w:sz w:val="17"/>
                <w:szCs w:val="17"/>
                <w:color w:val="auto"/>
              </w:rPr>
              <w:t>Preferred stock redemption costs</w:t>
            </w: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(4,775)</w:t>
            </w:r>
          </w:p>
        </w:tc>
        <w:tc>
          <w:tcPr>
            <w:tcW w:w="8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(4,775)</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17,849</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32,259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103,514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103,137</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7"/>
                <w:szCs w:val="17"/>
                <w:color w:val="auto"/>
                <w:w w:val="93"/>
              </w:rPr>
              <w:t>EARNINGS PER COMMON SHARE, BASIC</w:t>
            </w:r>
          </w:p>
        </w:tc>
        <w:tc>
          <w:tcPr>
            <w:tcW w:w="2780" w:type="dxa"/>
            <w:vAlign w:val="bottom"/>
            <w:gridSpan w:val="2"/>
            <w:vMerge w:val="restart"/>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180" w:type="dxa"/>
            <w:vAlign w:val="bottom"/>
            <w:tcBorders>
              <w:bottom w:val="single" w:sz="8" w:color="auto"/>
            </w:tcBorders>
            <w:vMerge w:val="continue"/>
          </w:tcPr>
          <w:p>
            <w:pPr>
              <w:spacing w:after="0"/>
              <w:rPr>
                <w:sz w:val="23"/>
                <w:szCs w:val="23"/>
                <w:color w:val="auto"/>
              </w:rPr>
            </w:pPr>
          </w:p>
        </w:tc>
        <w:tc>
          <w:tcPr>
            <w:tcW w:w="2780" w:type="dxa"/>
            <w:vAlign w:val="bottom"/>
            <w:gridSpan w:val="2"/>
            <w:vMerge w:val="continue"/>
          </w:tcPr>
          <w:p>
            <w:pPr>
              <w:spacing w:after="0"/>
              <w:rPr>
                <w:sz w:val="23"/>
                <w:szCs w:val="23"/>
                <w:color w:val="auto"/>
              </w:rPr>
            </w:pPr>
          </w:p>
        </w:tc>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Continuing operations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6"/>
        </w:trPr>
        <w:tc>
          <w:tcPr>
            <w:tcW w:w="5960" w:type="dxa"/>
            <w:vAlign w:val="bottom"/>
            <w:gridSpan w:val="3"/>
          </w:tcPr>
          <w:p>
            <w:pPr>
              <w:spacing w:after="0"/>
              <w:rPr>
                <w:sz w:val="20"/>
                <w:szCs w:val="20"/>
                <w:color w:val="auto"/>
              </w:rPr>
            </w:pPr>
            <w:r>
              <w:rPr>
                <w:rFonts w:ascii="Arial" w:cs="Arial" w:eastAsia="Arial" w:hAnsi="Arial"/>
                <w:sz w:val="17"/>
                <w:szCs w:val="17"/>
                <w:color w:val="auto"/>
              </w:rPr>
              <w:t>Discontinued operations</w:t>
            </w: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0.44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0.57</w:t>
            </w: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Arial" w:cs="Arial" w:eastAsia="Arial" w:hAnsi="Arial"/>
                <w:sz w:val="17"/>
                <w:szCs w:val="17"/>
                <w:color w:val="auto"/>
              </w:rPr>
              <w:t>Weighted average number of common shares, basic</w:t>
            </w: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gridSpan w:val="3"/>
            <w:vMerge w:val="continue"/>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55,092</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52,738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53,469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52,533</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5960" w:type="dxa"/>
            <w:vAlign w:val="bottom"/>
            <w:gridSpan w:val="3"/>
            <w:shd w:val="clear" w:color="auto" w:fill="CCEEFF"/>
          </w:tcPr>
          <w:p>
            <w:pPr>
              <w:spacing w:after="0" w:line="167" w:lineRule="exact"/>
              <w:rPr>
                <w:sz w:val="20"/>
                <w:szCs w:val="20"/>
                <w:color w:val="auto"/>
              </w:rPr>
            </w:pPr>
            <w:r>
              <w:rPr>
                <w:rFonts w:ascii="Arial" w:cs="Arial" w:eastAsia="Arial" w:hAnsi="Arial"/>
                <w:sz w:val="17"/>
                <w:szCs w:val="17"/>
                <w:color w:val="auto"/>
              </w:rPr>
              <w:t>EARNINGS PER COMMON SHARE, DILUTED</w:t>
            </w:r>
          </w:p>
        </w:tc>
        <w:tc>
          <w:tcPr>
            <w:tcW w:w="1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Continuing operations</w:t>
            </w:r>
          </w:p>
        </w:tc>
        <w:tc>
          <w:tcPr>
            <w:tcW w:w="2560" w:type="dxa"/>
            <w:vAlign w:val="bottom"/>
            <w:tcBorders>
              <w:top w:val="single" w:sz="8" w:color="CCEEFF"/>
            </w:tcBorders>
          </w:tcPr>
          <w:p>
            <w:pPr>
              <w:spacing w:after="0"/>
              <w:rPr>
                <w:sz w:val="17"/>
                <w:szCs w:val="17"/>
                <w:color w:val="auto"/>
              </w:rPr>
            </w:pPr>
          </w:p>
        </w:tc>
        <w:tc>
          <w:tcPr>
            <w:tcW w:w="202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0.32</w:t>
            </w: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7"/>
                <w:szCs w:val="17"/>
                <w:color w:val="auto"/>
              </w:rPr>
              <w:t>0.36</w:t>
            </w:r>
          </w:p>
        </w:tc>
        <w:tc>
          <w:tcPr>
            <w:tcW w:w="2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1.48</w:t>
            </w: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06"/>
        </w:trPr>
        <w:tc>
          <w:tcPr>
            <w:tcW w:w="5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Discontinued operations</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0.57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0.32</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0.61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Weighted average number of common shares, diluted</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55,576</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53,189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53,962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53,050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8"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Balance Sheets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56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54"/>
        </w:trPr>
        <w:tc>
          <w:tcPr>
            <w:tcW w:w="95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2006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956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9560" w:type="dxa"/>
            <w:vAlign w:val="bottom"/>
          </w:tcPr>
          <w:p>
            <w:pPr>
              <w:spacing w:after="0"/>
              <w:rPr>
                <w:sz w:val="20"/>
                <w:szCs w:val="20"/>
                <w:color w:val="auto"/>
              </w:rPr>
            </w:pPr>
            <w:r>
              <w:rPr>
                <w:rFonts w:ascii="Arial" w:cs="Arial" w:eastAsia="Arial" w:hAnsi="Arial"/>
                <w:sz w:val="17"/>
                <w:szCs w:val="17"/>
                <w:color w:val="auto"/>
              </w:rPr>
              <w:t>Real estate, at cost</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3,104,484</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2,731,694</w:t>
            </w:r>
          </w:p>
        </w:tc>
        <w:tc>
          <w:tcPr>
            <w:tcW w:w="0" w:type="dxa"/>
            <w:vAlign w:val="bottom"/>
          </w:tcPr>
          <w:p>
            <w:pPr>
              <w:spacing w:after="0"/>
              <w:rPr>
                <w:sz w:val="1"/>
                <w:szCs w:val="1"/>
                <w:color w:val="auto"/>
              </w:rPr>
            </w:pPr>
          </w:p>
        </w:tc>
      </w:tr>
      <w:tr>
        <w:trPr>
          <w:trHeight w:val="206"/>
        </w:trPr>
        <w:tc>
          <w:tcPr>
            <w:tcW w:w="9560" w:type="dxa"/>
            <w:vAlign w:val="bottom"/>
          </w:tcPr>
          <w:p>
            <w:pPr>
              <w:ind w:left="420"/>
              <w:spacing w:after="0"/>
              <w:rPr>
                <w:sz w:val="20"/>
                <w:szCs w:val="20"/>
                <w:color w:val="auto"/>
              </w:rPr>
            </w:pPr>
            <w:r>
              <w:rPr>
                <w:rFonts w:ascii="Arial" w:cs="Arial" w:eastAsia="Arial" w:hAnsi="Arial"/>
                <w:sz w:val="17"/>
                <w:szCs w:val="17"/>
                <w:color w:val="auto"/>
              </w:rPr>
              <w:t>Construction-in-progress</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99,774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50,593</w:t>
            </w:r>
          </w:p>
        </w:tc>
        <w:tc>
          <w:tcPr>
            <w:tcW w:w="0" w:type="dxa"/>
            <w:vAlign w:val="bottom"/>
          </w:tcPr>
          <w:p>
            <w:pPr>
              <w:spacing w:after="0"/>
              <w:rPr>
                <w:sz w:val="1"/>
                <w:szCs w:val="1"/>
                <w:color w:val="auto"/>
              </w:rPr>
            </w:pPr>
          </w:p>
        </w:tc>
      </w:tr>
      <w:tr>
        <w:trPr>
          <w:trHeight w:val="206"/>
        </w:trPr>
        <w:tc>
          <w:tcPr>
            <w:tcW w:w="9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Discontinued operations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47,034</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3,204,258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2,829,321</w:t>
            </w:r>
          </w:p>
        </w:tc>
        <w:tc>
          <w:tcPr>
            <w:tcW w:w="0" w:type="dxa"/>
            <w:vAlign w:val="bottom"/>
          </w:tcPr>
          <w:p>
            <w:pPr>
              <w:spacing w:after="0"/>
              <w:rPr>
                <w:sz w:val="1"/>
                <w:szCs w:val="1"/>
                <w:color w:val="auto"/>
              </w:rPr>
            </w:pPr>
          </w:p>
        </w:tc>
      </w:tr>
      <w:tr>
        <w:trPr>
          <w:trHeight w:val="206"/>
        </w:trPr>
        <w:tc>
          <w:tcPr>
            <w:tcW w:w="95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(740,507)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(663,750)</w:t>
            </w: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7"/>
                <w:szCs w:val="17"/>
                <w:color w:val="auto"/>
              </w:rPr>
              <w:t>Net real estate</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2,463,751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2,165,571</w:t>
            </w:r>
          </w:p>
        </w:tc>
        <w:tc>
          <w:tcPr>
            <w:tcW w:w="0" w:type="dxa"/>
            <w:vAlign w:val="bottom"/>
          </w:tcPr>
          <w:p>
            <w:pPr>
              <w:spacing w:after="0"/>
              <w:rPr>
                <w:sz w:val="1"/>
                <w:szCs w:val="1"/>
                <w:color w:val="auto"/>
              </w:rPr>
            </w:pPr>
          </w:p>
        </w:tc>
      </w:tr>
      <w:tr>
        <w:trPr>
          <w:trHeight w:val="104"/>
        </w:trPr>
        <w:tc>
          <w:tcPr>
            <w:tcW w:w="9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95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8,639</w:t>
            </w:r>
          </w:p>
        </w:tc>
        <w:tc>
          <w:tcPr>
            <w:tcW w:w="0" w:type="dxa"/>
            <w:vAlign w:val="bottom"/>
          </w:tcPr>
          <w:p>
            <w:pPr>
              <w:spacing w:after="0"/>
              <w:rPr>
                <w:sz w:val="1"/>
                <w:szCs w:val="1"/>
                <w:color w:val="auto"/>
              </w:rPr>
            </w:pPr>
          </w:p>
        </w:tc>
      </w:tr>
      <w:tr>
        <w:trPr>
          <w:trHeight w:val="206"/>
        </w:trPr>
        <w:tc>
          <w:tcPr>
            <w:tcW w:w="9560" w:type="dxa"/>
            <w:vAlign w:val="bottom"/>
          </w:tcPr>
          <w:p>
            <w:pPr>
              <w:spacing w:after="0"/>
              <w:rPr>
                <w:sz w:val="20"/>
                <w:szCs w:val="20"/>
                <w:color w:val="auto"/>
              </w:rPr>
            </w:pPr>
            <w:r>
              <w:rPr>
                <w:rFonts w:ascii="Arial" w:cs="Arial" w:eastAsia="Arial" w:hAnsi="Arial"/>
                <w:sz w:val="17"/>
                <w:szCs w:val="17"/>
                <w:color w:val="auto"/>
              </w:rPr>
              <w:t>Accounts and notes receivable</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47,493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38,161</w:t>
            </w:r>
          </w:p>
        </w:tc>
        <w:tc>
          <w:tcPr>
            <w:tcW w:w="0" w:type="dxa"/>
            <w:vAlign w:val="bottom"/>
          </w:tcPr>
          <w:p>
            <w:pPr>
              <w:spacing w:after="0"/>
              <w:rPr>
                <w:sz w:val="1"/>
                <w:szCs w:val="1"/>
                <w:color w:val="auto"/>
              </w:rPr>
            </w:pPr>
          </w:p>
        </w:tc>
      </w:tr>
      <w:tr>
        <w:trPr>
          <w:trHeight w:val="206"/>
        </w:trPr>
        <w:tc>
          <w:tcPr>
            <w:tcW w:w="9560" w:type="dxa"/>
            <w:vAlign w:val="bottom"/>
            <w:shd w:val="clear" w:color="auto" w:fill="CCEEFF"/>
          </w:tcPr>
          <w:p>
            <w:pPr>
              <w:spacing w:after="0"/>
              <w:rPr>
                <w:sz w:val="20"/>
                <w:szCs w:val="20"/>
                <w:color w:val="auto"/>
              </w:rPr>
            </w:pPr>
            <w:r>
              <w:rPr>
                <w:rFonts w:ascii="Arial" w:cs="Arial" w:eastAsia="Arial" w:hAnsi="Arial"/>
                <w:sz w:val="17"/>
                <w:szCs w:val="17"/>
                <w:color w:val="auto"/>
              </w:rPr>
              <w:t>Mortgage notes receivable</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40,756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40,531</w:t>
            </w:r>
          </w:p>
        </w:tc>
        <w:tc>
          <w:tcPr>
            <w:tcW w:w="0" w:type="dxa"/>
            <w:vAlign w:val="bottom"/>
          </w:tcPr>
          <w:p>
            <w:pPr>
              <w:spacing w:after="0"/>
              <w:rPr>
                <w:sz w:val="1"/>
                <w:szCs w:val="1"/>
                <w:color w:val="auto"/>
              </w:rPr>
            </w:pPr>
          </w:p>
        </w:tc>
      </w:tr>
      <w:tr>
        <w:trPr>
          <w:trHeight w:val="206"/>
        </w:trPr>
        <w:tc>
          <w:tcPr>
            <w:tcW w:w="9560" w:type="dxa"/>
            <w:vAlign w:val="bottom"/>
          </w:tcPr>
          <w:p>
            <w:pPr>
              <w:spacing w:after="0"/>
              <w:rPr>
                <w:sz w:val="20"/>
                <w:szCs w:val="20"/>
                <w:color w:val="auto"/>
              </w:rPr>
            </w:pPr>
            <w:r>
              <w:rPr>
                <w:rFonts w:ascii="Arial" w:cs="Arial" w:eastAsia="Arial" w:hAnsi="Arial"/>
                <w:sz w:val="17"/>
                <w:szCs w:val="17"/>
                <w:color w:val="auto"/>
              </w:rPr>
              <w:t>Investment in real estate partnership</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10,322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9,375</w:t>
            </w:r>
          </w:p>
        </w:tc>
        <w:tc>
          <w:tcPr>
            <w:tcW w:w="0" w:type="dxa"/>
            <w:vAlign w:val="bottom"/>
          </w:tcPr>
          <w:p>
            <w:pPr>
              <w:spacing w:after="0"/>
              <w:rPr>
                <w:sz w:val="1"/>
                <w:szCs w:val="1"/>
                <w:color w:val="auto"/>
              </w:rPr>
            </w:pPr>
          </w:p>
        </w:tc>
      </w:tr>
      <w:tr>
        <w:trPr>
          <w:trHeight w:val="206"/>
        </w:trPr>
        <w:tc>
          <w:tcPr>
            <w:tcW w:w="956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114,789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88,575</w:t>
            </w: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7"/>
                <w:szCs w:val="17"/>
                <w:color w:val="auto"/>
              </w:rPr>
              <w:t>TOTAL ASSETS</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56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2,688,606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2,350,852</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9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9560" w:type="dxa"/>
            <w:vAlign w:val="bottom"/>
            <w:shd w:val="clear" w:color="auto" w:fill="CCEEFF"/>
          </w:tcPr>
          <w:p>
            <w:pPr>
              <w:spacing w:after="0"/>
              <w:rPr>
                <w:sz w:val="20"/>
                <w:szCs w:val="20"/>
                <w:color w:val="auto"/>
              </w:rPr>
            </w:pPr>
            <w:r>
              <w:rPr>
                <w:rFonts w:ascii="Arial" w:cs="Arial" w:eastAsia="Arial" w:hAnsi="Arial"/>
                <w:sz w:val="17"/>
                <w:szCs w:val="17"/>
                <w:color w:val="auto"/>
              </w:rPr>
              <w:t>LIABILITIES AND SHAREHOLDERS’ EQUITY</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9560" w:type="dxa"/>
            <w:vAlign w:val="bottom"/>
          </w:tcPr>
          <w:p>
            <w:pPr>
              <w:spacing w:after="0"/>
              <w:rPr>
                <w:sz w:val="20"/>
                <w:szCs w:val="20"/>
                <w:color w:val="auto"/>
              </w:rPr>
            </w:pPr>
            <w:r>
              <w:rPr>
                <w:rFonts w:ascii="Arial" w:cs="Arial" w:eastAsia="Arial" w:hAnsi="Arial"/>
                <w:sz w:val="17"/>
                <w:szCs w:val="17"/>
                <w:color w:val="auto"/>
              </w:rPr>
              <w:t>Liabilities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Obligations under capital leases and mortgage notes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460,398</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419,713</w:t>
            </w:r>
          </w:p>
        </w:tc>
        <w:tc>
          <w:tcPr>
            <w:tcW w:w="0" w:type="dxa"/>
            <w:vAlign w:val="bottom"/>
          </w:tcPr>
          <w:p>
            <w:pPr>
              <w:spacing w:after="0"/>
              <w:rPr>
                <w:sz w:val="1"/>
                <w:szCs w:val="1"/>
                <w:color w:val="auto"/>
              </w:rPr>
            </w:pPr>
          </w:p>
        </w:tc>
      </w:tr>
      <w:tr>
        <w:trPr>
          <w:trHeight w:val="206"/>
        </w:trPr>
        <w:tc>
          <w:tcPr>
            <w:tcW w:w="9560" w:type="dxa"/>
            <w:vAlign w:val="bottom"/>
          </w:tcPr>
          <w:p>
            <w:pPr>
              <w:ind w:left="420"/>
              <w:spacing w:after="0"/>
              <w:rPr>
                <w:sz w:val="20"/>
                <w:szCs w:val="20"/>
                <w:color w:val="auto"/>
              </w:rPr>
            </w:pPr>
            <w:r>
              <w:rPr>
                <w:rFonts w:ascii="Arial" w:cs="Arial" w:eastAsia="Arial" w:hAnsi="Arial"/>
                <w:sz w:val="17"/>
                <w:szCs w:val="17"/>
                <w:color w:val="auto"/>
              </w:rPr>
              <w:t>Notes payable</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109,024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316,755</w:t>
            </w:r>
          </w:p>
        </w:tc>
        <w:tc>
          <w:tcPr>
            <w:tcW w:w="0" w:type="dxa"/>
            <w:vAlign w:val="bottom"/>
          </w:tcPr>
          <w:p>
            <w:pPr>
              <w:spacing w:after="0"/>
              <w:rPr>
                <w:sz w:val="1"/>
                <w:szCs w:val="1"/>
                <w:color w:val="auto"/>
              </w:rPr>
            </w:pPr>
          </w:p>
        </w:tc>
      </w:tr>
      <w:tr>
        <w:trPr>
          <w:trHeight w:val="206"/>
        </w:trPr>
        <w:tc>
          <w:tcPr>
            <w:tcW w:w="9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Senior notes and debentures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1,127,508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653,675</w:t>
            </w:r>
          </w:p>
        </w:tc>
        <w:tc>
          <w:tcPr>
            <w:tcW w:w="0" w:type="dxa"/>
            <w:vAlign w:val="bottom"/>
          </w:tcPr>
          <w:p>
            <w:pPr>
              <w:spacing w:after="0"/>
              <w:rPr>
                <w:sz w:val="1"/>
                <w:szCs w:val="1"/>
                <w:color w:val="auto"/>
              </w:rPr>
            </w:pPr>
          </w:p>
        </w:tc>
      </w:tr>
      <w:tr>
        <w:trPr>
          <w:trHeight w:val="206"/>
        </w:trPr>
        <w:tc>
          <w:tcPr>
            <w:tcW w:w="9560" w:type="dxa"/>
            <w:vAlign w:val="bottom"/>
          </w:tcPr>
          <w:p>
            <w:pPr>
              <w:ind w:left="420"/>
              <w:spacing w:after="0"/>
              <w:rPr>
                <w:sz w:val="20"/>
                <w:szCs w:val="20"/>
                <w:color w:val="auto"/>
              </w:rPr>
            </w:pPr>
            <w:r>
              <w:rPr>
                <w:rFonts w:ascii="Arial" w:cs="Arial" w:eastAsia="Arial" w:hAnsi="Arial"/>
                <w:sz w:val="17"/>
                <w:szCs w:val="17"/>
                <w:color w:val="auto"/>
              </w:rPr>
              <w:t>Other liabilities</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185,407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166,669</w:t>
            </w:r>
          </w:p>
        </w:tc>
        <w:tc>
          <w:tcPr>
            <w:tcW w:w="0" w:type="dxa"/>
            <w:vAlign w:val="bottom"/>
          </w:tcPr>
          <w:p>
            <w:pPr>
              <w:spacing w:after="0"/>
              <w:rPr>
                <w:sz w:val="1"/>
                <w:szCs w:val="1"/>
                <w:color w:val="auto"/>
              </w:rPr>
            </w:pPr>
          </w:p>
        </w:tc>
      </w:tr>
      <w:tr>
        <w:trPr>
          <w:trHeight w:val="26"/>
        </w:trPr>
        <w:tc>
          <w:tcPr>
            <w:tcW w:w="9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95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1,882,337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1,556,812</w:t>
            </w:r>
          </w:p>
        </w:tc>
        <w:tc>
          <w:tcPr>
            <w:tcW w:w="0" w:type="dxa"/>
            <w:vAlign w:val="bottom"/>
          </w:tcPr>
          <w:p>
            <w:pPr>
              <w:spacing w:after="0"/>
              <w:rPr>
                <w:sz w:val="1"/>
                <w:szCs w:val="1"/>
                <w:color w:val="auto"/>
              </w:rPr>
            </w:pPr>
          </w:p>
        </w:tc>
      </w:tr>
      <w:tr>
        <w:trPr>
          <w:trHeight w:val="307"/>
        </w:trPr>
        <w:tc>
          <w:tcPr>
            <w:tcW w:w="9560" w:type="dxa"/>
            <w:vAlign w:val="bottom"/>
          </w:tcPr>
          <w:p>
            <w:pPr>
              <w:spacing w:after="0"/>
              <w:rPr>
                <w:sz w:val="20"/>
                <w:szCs w:val="20"/>
                <w:color w:val="auto"/>
              </w:rPr>
            </w:pPr>
            <w:r>
              <w:rPr>
                <w:rFonts w:ascii="Arial" w:cs="Arial" w:eastAsia="Arial" w:hAnsi="Arial"/>
                <w:sz w:val="17"/>
                <w:szCs w:val="17"/>
                <w:color w:val="auto"/>
              </w:rPr>
              <w:t>Minority interests</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22,191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19,193</w:t>
            </w:r>
          </w:p>
        </w:tc>
        <w:tc>
          <w:tcPr>
            <w:tcW w:w="0" w:type="dxa"/>
            <w:vAlign w:val="bottom"/>
          </w:tcPr>
          <w:p>
            <w:pPr>
              <w:spacing w:after="0"/>
              <w:rPr>
                <w:sz w:val="1"/>
                <w:szCs w:val="1"/>
                <w:color w:val="auto"/>
              </w:rPr>
            </w:pPr>
          </w:p>
        </w:tc>
      </w:tr>
      <w:tr>
        <w:trPr>
          <w:trHeight w:val="104"/>
        </w:trPr>
        <w:tc>
          <w:tcPr>
            <w:tcW w:w="9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956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560" w:type="dxa"/>
            <w:vAlign w:val="bottom"/>
          </w:tcPr>
          <w:p>
            <w:pPr>
              <w:ind w:left="420"/>
              <w:spacing w:after="0"/>
              <w:rPr>
                <w:sz w:val="20"/>
                <w:szCs w:val="20"/>
                <w:color w:val="auto"/>
              </w:rPr>
            </w:pPr>
            <w:r>
              <w:rPr>
                <w:rFonts w:ascii="Arial" w:cs="Arial" w:eastAsia="Arial" w:hAnsi="Arial"/>
                <w:sz w:val="17"/>
                <w:szCs w:val="17"/>
                <w:color w:val="auto"/>
              </w:rPr>
              <w:t>Preferred stock</w:t>
            </w:r>
          </w:p>
        </w:tc>
        <w:tc>
          <w:tcPr>
            <w:tcW w:w="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135,000</w:t>
            </w:r>
          </w:p>
        </w:tc>
        <w:tc>
          <w:tcPr>
            <w:tcW w:w="0" w:type="dxa"/>
            <w:vAlign w:val="bottom"/>
          </w:tcPr>
          <w:p>
            <w:pPr>
              <w:spacing w:after="0"/>
              <w:rPr>
                <w:sz w:val="1"/>
                <w:szCs w:val="1"/>
                <w:color w:val="auto"/>
              </w:rPr>
            </w:pPr>
          </w:p>
        </w:tc>
      </w:tr>
      <w:tr>
        <w:trPr>
          <w:trHeight w:val="206"/>
        </w:trPr>
        <w:tc>
          <w:tcPr>
            <w:tcW w:w="9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Common shares and other shareholders’ equity</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784,078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639,847</w:t>
            </w: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7"/>
                <w:szCs w:val="17"/>
                <w:color w:val="auto"/>
              </w:rPr>
              <w:t>Total shareholders’ equity</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784,078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774,847</w:t>
            </w:r>
          </w:p>
        </w:tc>
        <w:tc>
          <w:tcPr>
            <w:tcW w:w="0" w:type="dxa"/>
            <w:vAlign w:val="bottom"/>
          </w:tcPr>
          <w:p>
            <w:pPr>
              <w:spacing w:after="0"/>
              <w:rPr>
                <w:sz w:val="1"/>
                <w:szCs w:val="1"/>
                <w:color w:val="auto"/>
              </w:rPr>
            </w:pPr>
          </w:p>
        </w:tc>
      </w:tr>
      <w:tr>
        <w:trPr>
          <w:trHeight w:val="26"/>
        </w:trPr>
        <w:tc>
          <w:tcPr>
            <w:tcW w:w="9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95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SHAREHOLDERS’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2,688,606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2,350,852</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8"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 / Summary of Capital Expenditures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7"/>
          </w:tcPr>
          <w:p>
            <w:pPr>
              <w:jc w:val="center"/>
              <w:ind w:right="300"/>
              <w:spacing w:after="0"/>
              <w:rPr>
                <w:sz w:val="20"/>
                <w:szCs w:val="20"/>
                <w:color w:val="auto"/>
              </w:rPr>
            </w:pPr>
            <w:r>
              <w:rPr>
                <w:rFonts w:ascii="Arial" w:cs="Arial" w:eastAsia="Arial" w:hAnsi="Arial"/>
                <w:sz w:val="13"/>
                <w:szCs w:val="13"/>
                <w:b w:val="1"/>
                <w:bCs w:val="1"/>
                <w:color w:val="auto"/>
                <w:w w:val="87"/>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gridSpan w:val="6"/>
          </w:tcPr>
          <w:p>
            <w:pPr>
              <w:jc w:val="center"/>
              <w:ind w:right="500"/>
              <w:spacing w:after="0"/>
              <w:rPr>
                <w:sz w:val="20"/>
                <w:szCs w:val="20"/>
                <w:color w:val="auto"/>
              </w:rPr>
            </w:pPr>
            <w:r>
              <w:rPr>
                <w:rFonts w:ascii="Arial" w:cs="Arial" w:eastAsia="Arial" w:hAnsi="Arial"/>
                <w:sz w:val="13"/>
                <w:szCs w:val="13"/>
                <w:b w:val="1"/>
                <w:bCs w:val="1"/>
                <w:color w:val="auto"/>
                <w:w w:val="86"/>
              </w:rPr>
              <w:t>Twelve months ended</w:t>
            </w:r>
          </w:p>
        </w:tc>
        <w:tc>
          <w:tcPr>
            <w:tcW w:w="0" w:type="dxa"/>
            <w:vAlign w:val="bottom"/>
          </w:tcPr>
          <w:p>
            <w:pPr>
              <w:spacing w:after="0"/>
              <w:rPr>
                <w:sz w:val="1"/>
                <w:szCs w:val="1"/>
                <w:color w:val="auto"/>
              </w:rPr>
            </w:pPr>
          </w:p>
        </w:tc>
      </w:tr>
      <w:tr>
        <w:trPr>
          <w:trHeight w:val="154"/>
        </w:trPr>
        <w:tc>
          <w:tcPr>
            <w:tcW w:w="1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jc w:val="center"/>
              <w:ind w:left="479"/>
              <w:spacing w:after="0"/>
              <w:rPr>
                <w:sz w:val="20"/>
                <w:szCs w:val="20"/>
                <w:color w:val="auto"/>
              </w:rPr>
            </w:pPr>
            <w:r>
              <w:rPr>
                <w:rFonts w:ascii="Arial" w:cs="Arial" w:eastAsia="Arial" w:hAnsi="Arial"/>
                <w:sz w:val="13"/>
                <w:szCs w:val="13"/>
                <w:b w:val="1"/>
                <w:bCs w:val="1"/>
                <w:color w:val="auto"/>
                <w:w w:val="87"/>
              </w:rPr>
              <w:t>December 31,</w:t>
            </w: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ind w:left="479"/>
              <w:spacing w:after="0"/>
              <w:rPr>
                <w:sz w:val="20"/>
                <w:szCs w:val="20"/>
                <w:color w:val="auto"/>
              </w:rPr>
            </w:pPr>
            <w:r>
              <w:rPr>
                <w:rFonts w:ascii="Arial" w:cs="Arial" w:eastAsia="Arial" w:hAnsi="Arial"/>
                <w:sz w:val="13"/>
                <w:szCs w:val="13"/>
                <w:b w:val="1"/>
                <w:bCs w:val="1"/>
                <w:color w:val="auto"/>
                <w:w w:val="87"/>
              </w:rPr>
              <w:t>December 31,</w:t>
            </w:r>
          </w:p>
        </w:tc>
        <w:tc>
          <w:tcPr>
            <w:tcW w:w="6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19"/>
              <w:spacing w:after="0" w:line="134" w:lineRule="exact"/>
              <w:rPr>
                <w:sz w:val="20"/>
                <w:szCs w:val="20"/>
                <w:color w:val="auto"/>
              </w:rPr>
            </w:pPr>
            <w:r>
              <w:rPr>
                <w:rFonts w:ascii="Arial" w:cs="Arial" w:eastAsia="Arial" w:hAnsi="Arial"/>
                <w:sz w:val="13"/>
                <w:szCs w:val="13"/>
                <w:b w:val="1"/>
                <w:bCs w:val="1"/>
                <w:color w:val="auto"/>
              </w:rPr>
              <w:t>2006</w:t>
            </w:r>
          </w:p>
        </w:tc>
        <w:tc>
          <w:tcPr>
            <w:tcW w:w="20" w:type="dxa"/>
            <w:vAlign w:val="bottom"/>
          </w:tcPr>
          <w:p>
            <w:pPr>
              <w:spacing w:after="0"/>
              <w:rPr>
                <w:sz w:val="11"/>
                <w:szCs w:val="11"/>
                <w:color w:val="auto"/>
              </w:rPr>
            </w:pPr>
          </w:p>
        </w:tc>
        <w:tc>
          <w:tcPr>
            <w:tcW w:w="4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87"/>
              </w:rPr>
              <w:t>except</w:t>
            </w: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57"/>
              <w:spacing w:after="0" w:line="134" w:lineRule="exact"/>
              <w:rPr>
                <w:sz w:val="20"/>
                <w:szCs w:val="20"/>
                <w:color w:val="auto"/>
              </w:rPr>
            </w:pPr>
            <w:r>
              <w:rPr>
                <w:rFonts w:ascii="Arial" w:cs="Arial" w:eastAsia="Arial" w:hAnsi="Arial"/>
                <w:sz w:val="13"/>
                <w:szCs w:val="13"/>
                <w:b w:val="1"/>
                <w:bCs w:val="1"/>
                <w:color w:val="auto"/>
              </w:rPr>
              <w:t>2005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39"/>
              <w:spacing w:after="0" w:line="134" w:lineRule="exact"/>
              <w:rPr>
                <w:sz w:val="20"/>
                <w:szCs w:val="20"/>
                <w:color w:val="auto"/>
              </w:rPr>
            </w:pPr>
            <w:r>
              <w:rPr>
                <w:rFonts w:ascii="Arial" w:cs="Arial" w:eastAsia="Arial" w:hAnsi="Arial"/>
                <w:sz w:val="13"/>
                <w:szCs w:val="13"/>
                <w:b w:val="1"/>
                <w:bCs w:val="1"/>
                <w:color w:val="auto"/>
              </w:rPr>
              <w:t>2006</w:t>
            </w:r>
          </w:p>
        </w:tc>
        <w:tc>
          <w:tcPr>
            <w:tcW w:w="4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except</w:t>
            </w: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7"/>
              <w:spacing w:after="0" w:line="134" w:lineRule="exact"/>
              <w:rPr>
                <w:sz w:val="20"/>
                <w:szCs w:val="20"/>
                <w:color w:val="auto"/>
              </w:rPr>
            </w:pPr>
            <w:r>
              <w:rPr>
                <w:rFonts w:ascii="Arial" w:cs="Arial" w:eastAsia="Arial" w:hAnsi="Arial"/>
                <w:sz w:val="13"/>
                <w:szCs w:val="13"/>
                <w:b w:val="1"/>
                <w:bCs w:val="1"/>
                <w:color w:val="auto"/>
              </w:rPr>
              <w:t>2005</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w w:val="80"/>
              </w:rPr>
              <w:t>(in thousands,</w:t>
            </w:r>
          </w:p>
        </w:tc>
        <w:tc>
          <w:tcPr>
            <w:tcW w:w="2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940" w:type="dxa"/>
            <w:vAlign w:val="bottom"/>
            <w:gridSpan w:val="2"/>
          </w:tcPr>
          <w:p>
            <w:pPr>
              <w:ind w:left="20"/>
              <w:spacing w:after="0" w:line="134" w:lineRule="exact"/>
              <w:rPr>
                <w:sz w:val="20"/>
                <w:szCs w:val="20"/>
                <w:color w:val="auto"/>
              </w:rPr>
            </w:pPr>
            <w:r>
              <w:rPr>
                <w:rFonts w:ascii="Arial" w:cs="Arial" w:eastAsia="Arial" w:hAnsi="Arial"/>
                <w:sz w:val="13"/>
                <w:szCs w:val="13"/>
                <w:b w:val="1"/>
                <w:bCs w:val="1"/>
                <w:color w:val="auto"/>
                <w:w w:val="96"/>
              </w:rPr>
              <w:t>per share data)</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w w:val="85"/>
              </w:rPr>
              <w:t>(in thousands,</w:t>
            </w:r>
          </w:p>
        </w:tc>
        <w:tc>
          <w:tcPr>
            <w:tcW w:w="440" w:type="dxa"/>
            <w:vAlign w:val="bottom"/>
            <w:gridSpan w:val="2"/>
            <w:vMerge w:val="continue"/>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w w:val="94"/>
              </w:rPr>
              <w:t>per share data)</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200" w:type="dxa"/>
            <w:vAlign w:val="bottom"/>
            <w:gridSpan w:val="4"/>
            <w:shd w:val="clear" w:color="auto" w:fill="CCEEFF"/>
          </w:tcPr>
          <w:p>
            <w:pPr>
              <w:spacing w:after="0" w:line="167" w:lineRule="exact"/>
              <w:rPr>
                <w:sz w:val="20"/>
                <w:szCs w:val="20"/>
                <w:color w:val="auto"/>
              </w:rPr>
            </w:pPr>
            <w:r>
              <w:rPr>
                <w:rFonts w:ascii="Arial" w:cs="Arial" w:eastAsia="Arial" w:hAnsi="Arial"/>
                <w:sz w:val="17"/>
                <w:szCs w:val="17"/>
                <w:color w:val="auto"/>
              </w:rPr>
              <w:t>Funds from Operations available for common shareholders (FFO) (1)</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464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Net income</w:t>
            </w:r>
          </w:p>
        </w:tc>
        <w:tc>
          <w:tcPr>
            <w:tcW w:w="15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24,441</w:t>
            </w:r>
          </w:p>
        </w:tc>
        <w:tc>
          <w:tcPr>
            <w:tcW w:w="2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gridSpan w:val="2"/>
          </w:tcPr>
          <w:p>
            <w:pPr>
              <w:ind w:left="200"/>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35,128</w:t>
            </w: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CCEEFF"/>
            </w:tcBorders>
            <w:gridSpan w:val="2"/>
          </w:tcPr>
          <w:p>
            <w:pPr>
              <w:jc w:val="right"/>
              <w:ind w:right="176"/>
              <w:spacing w:after="0"/>
              <w:rPr>
                <w:sz w:val="20"/>
                <w:szCs w:val="20"/>
                <w:color w:val="auto"/>
              </w:rPr>
            </w:pPr>
            <w:r>
              <w:rPr>
                <w:rFonts w:ascii="Arial" w:cs="Arial" w:eastAsia="Arial" w:hAnsi="Arial"/>
                <w:sz w:val="17"/>
                <w:szCs w:val="17"/>
                <w:color w:val="auto"/>
              </w:rPr>
              <w:t>118,712</w:t>
            </w:r>
          </w:p>
        </w:tc>
        <w:tc>
          <w:tcPr>
            <w:tcW w:w="440" w:type="dxa"/>
            <w:vAlign w:val="bottom"/>
            <w:tcBorders>
              <w:top w:val="single" w:sz="8" w:color="CCEEFF"/>
            </w:tcBorders>
            <w:gridSpan w:val="2"/>
          </w:tcPr>
          <w:p>
            <w:pPr>
              <w:ind w:left="200"/>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114,612</w:t>
            </w:r>
          </w:p>
        </w:tc>
        <w:tc>
          <w:tcPr>
            <w:tcW w:w="4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2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36"/>
              <w:spacing w:after="0"/>
              <w:rPr>
                <w:sz w:val="20"/>
                <w:szCs w:val="20"/>
                <w:color w:val="auto"/>
              </w:rPr>
            </w:pPr>
            <w:r>
              <w:rPr>
                <w:rFonts w:ascii="Arial" w:cs="Arial" w:eastAsia="Arial" w:hAnsi="Arial"/>
                <w:sz w:val="17"/>
                <w:szCs w:val="17"/>
                <w:color w:val="auto"/>
              </w:rPr>
              <w:t>(90)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(13,402)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(23,956)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(30,748)</w:t>
            </w:r>
          </w:p>
        </w:tc>
        <w:tc>
          <w:tcPr>
            <w:tcW w:w="0" w:type="dxa"/>
            <w:vAlign w:val="bottom"/>
          </w:tcPr>
          <w:p>
            <w:pPr>
              <w:spacing w:after="0"/>
              <w:rPr>
                <w:sz w:val="1"/>
                <w:szCs w:val="1"/>
                <w:color w:val="auto"/>
              </w:rPr>
            </w:pPr>
          </w:p>
        </w:tc>
      </w:tr>
      <w:tr>
        <w:trPr>
          <w:trHeight w:val="206"/>
        </w:trPr>
        <w:tc>
          <w:tcPr>
            <w:tcW w:w="6200" w:type="dxa"/>
            <w:vAlign w:val="bottom"/>
            <w:gridSpan w:val="4"/>
          </w:tcPr>
          <w:p>
            <w:pPr>
              <w:spacing w:after="0"/>
              <w:rPr>
                <w:sz w:val="20"/>
                <w:szCs w:val="20"/>
                <w:color w:val="auto"/>
              </w:rPr>
            </w:pPr>
            <w:r>
              <w:rPr>
                <w:rFonts w:ascii="Arial" w:cs="Arial" w:eastAsia="Arial" w:hAnsi="Arial"/>
                <w:sz w:val="17"/>
                <w:szCs w:val="17"/>
                <w:color w:val="auto"/>
              </w:rPr>
              <w:t>Depreciation and amortization of real estate assets</w:t>
            </w: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23,196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20,992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76"/>
              <w:spacing w:after="0"/>
              <w:rPr>
                <w:sz w:val="20"/>
                <w:szCs w:val="20"/>
                <w:color w:val="auto"/>
              </w:rPr>
            </w:pPr>
            <w:r>
              <w:rPr>
                <w:rFonts w:ascii="Arial" w:cs="Arial" w:eastAsia="Arial" w:hAnsi="Arial"/>
                <w:sz w:val="17"/>
                <w:szCs w:val="17"/>
                <w:color w:val="auto"/>
              </w:rPr>
              <w:t>88,649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82,752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Amortization of initial direct costs of leases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2,013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7,390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6,972</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200" w:type="dxa"/>
            <w:vAlign w:val="bottom"/>
            <w:gridSpan w:val="4"/>
          </w:tcPr>
          <w:p>
            <w:pPr>
              <w:spacing w:after="0"/>
              <w:rPr>
                <w:sz w:val="20"/>
                <w:szCs w:val="20"/>
                <w:color w:val="auto"/>
              </w:rPr>
            </w:pPr>
            <w:r>
              <w:rPr>
                <w:rFonts w:ascii="Arial" w:cs="Arial" w:eastAsia="Arial" w:hAnsi="Arial"/>
                <w:sz w:val="17"/>
                <w:szCs w:val="17"/>
                <w:color w:val="auto"/>
              </w:rPr>
              <w:t>Depreciation of real estate partnership assets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2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49,774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44,653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191,563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174,218</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0" w:type="dxa"/>
            <w:vAlign w:val="bottom"/>
            <w:gridSpan w:val="4"/>
          </w:tcPr>
          <w:p>
            <w:pPr>
              <w:spacing w:after="0"/>
              <w:rPr>
                <w:sz w:val="20"/>
                <w:szCs w:val="20"/>
                <w:color w:val="auto"/>
              </w:rPr>
            </w:pPr>
            <w:r>
              <w:rPr>
                <w:rFonts w:ascii="Arial" w:cs="Arial" w:eastAsia="Arial" w:hAnsi="Arial"/>
                <w:sz w:val="17"/>
                <w:szCs w:val="17"/>
                <w:color w:val="auto"/>
              </w:rPr>
              <w:t>Dividends on preferred stock</w:t>
            </w:r>
          </w:p>
        </w:tc>
        <w:tc>
          <w:tcPr>
            <w:tcW w:w="100" w:type="dxa"/>
            <w:vAlign w:val="bottom"/>
          </w:tcPr>
          <w:p>
            <w:pPr>
              <w:spacing w:after="0"/>
              <w:rPr>
                <w:sz w:val="17"/>
                <w:szCs w:val="17"/>
                <w:color w:val="auto"/>
              </w:rPr>
            </w:pPr>
          </w:p>
        </w:tc>
        <w:tc>
          <w:tcPr>
            <w:tcW w:w="980" w:type="dxa"/>
            <w:vAlign w:val="bottom"/>
            <w:gridSpan w:val="3"/>
          </w:tcPr>
          <w:p>
            <w:pPr>
              <w:jc w:val="right"/>
              <w:ind w:right="136"/>
              <w:spacing w:after="0"/>
              <w:rPr>
                <w:sz w:val="20"/>
                <w:szCs w:val="20"/>
                <w:color w:val="auto"/>
              </w:rPr>
            </w:pPr>
            <w:r>
              <w:rPr>
                <w:rFonts w:ascii="Arial" w:cs="Arial" w:eastAsia="Arial" w:hAnsi="Arial"/>
                <w:sz w:val="17"/>
                <w:szCs w:val="17"/>
                <w:color w:val="auto"/>
              </w:rPr>
              <w:t>(1,817)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(2,869)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16"/>
              <w:spacing w:after="0"/>
              <w:rPr>
                <w:sz w:val="20"/>
                <w:szCs w:val="20"/>
                <w:color w:val="auto"/>
              </w:rPr>
            </w:pPr>
            <w:r>
              <w:rPr>
                <w:rFonts w:ascii="Arial" w:cs="Arial" w:eastAsia="Arial" w:hAnsi="Arial"/>
                <w:sz w:val="17"/>
                <w:szCs w:val="17"/>
                <w:color w:val="auto"/>
              </w:rPr>
              <w:t>(10,423)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7"/>
                <w:szCs w:val="17"/>
                <w:color w:val="auto"/>
              </w:rPr>
              <w:t>(11,475)</w:t>
            </w:r>
          </w:p>
        </w:tc>
        <w:tc>
          <w:tcPr>
            <w:tcW w:w="0" w:type="dxa"/>
            <w:vAlign w:val="bottom"/>
          </w:tcPr>
          <w:p>
            <w:pPr>
              <w:spacing w:after="0"/>
              <w:rPr>
                <w:sz w:val="1"/>
                <w:szCs w:val="1"/>
                <w:color w:val="auto"/>
              </w:rPr>
            </w:pPr>
          </w:p>
        </w:tc>
      </w:tr>
      <w:tr>
        <w:trPr>
          <w:trHeight w:val="206"/>
        </w:trPr>
        <w:tc>
          <w:tcPr>
            <w:tcW w:w="62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Income attributable to operating partnership units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748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0" w:type="dxa"/>
            <w:vAlign w:val="bottom"/>
            <w:gridSpan w:val="4"/>
          </w:tcPr>
          <w:p>
            <w:pPr>
              <w:spacing w:after="0"/>
              <w:rPr>
                <w:sz w:val="20"/>
                <w:szCs w:val="20"/>
                <w:color w:val="auto"/>
              </w:rPr>
            </w:pPr>
            <w:r>
              <w:rPr>
                <w:rFonts w:ascii="Arial" w:cs="Arial" w:eastAsia="Arial" w:hAnsi="Arial"/>
                <w:sz w:val="17"/>
                <w:szCs w:val="17"/>
                <w:color w:val="auto"/>
              </w:rPr>
              <w:t>Preferred stock redemption costs</w:t>
            </w:r>
          </w:p>
        </w:tc>
        <w:tc>
          <w:tcPr>
            <w:tcW w:w="100" w:type="dxa"/>
            <w:vAlign w:val="bottom"/>
          </w:tcPr>
          <w:p>
            <w:pPr>
              <w:spacing w:after="0"/>
              <w:rPr>
                <w:sz w:val="17"/>
                <w:szCs w:val="17"/>
                <w:color w:val="auto"/>
              </w:rPr>
            </w:pPr>
          </w:p>
        </w:tc>
        <w:tc>
          <w:tcPr>
            <w:tcW w:w="980" w:type="dxa"/>
            <w:vAlign w:val="bottom"/>
            <w:gridSpan w:val="3"/>
          </w:tcPr>
          <w:p>
            <w:pPr>
              <w:jc w:val="right"/>
              <w:ind w:right="136"/>
              <w:spacing w:after="0"/>
              <w:rPr>
                <w:sz w:val="20"/>
                <w:szCs w:val="20"/>
                <w:color w:val="auto"/>
              </w:rPr>
            </w:pPr>
            <w:r>
              <w:rPr>
                <w:rFonts w:ascii="Arial" w:cs="Arial" w:eastAsia="Arial" w:hAnsi="Arial"/>
                <w:sz w:val="17"/>
                <w:szCs w:val="17"/>
                <w:color w:val="auto"/>
              </w:rPr>
              <w:t>(4,775)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16"/>
              <w:spacing w:after="0"/>
              <w:rPr>
                <w:sz w:val="20"/>
                <w:szCs w:val="20"/>
                <w:color w:val="auto"/>
              </w:rPr>
            </w:pPr>
            <w:r>
              <w:rPr>
                <w:rFonts w:ascii="Arial" w:cs="Arial" w:eastAsia="Arial" w:hAnsi="Arial"/>
                <w:sz w:val="17"/>
                <w:szCs w:val="17"/>
                <w:color w:val="auto"/>
              </w:rPr>
              <w:t>(4,775)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2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FFO</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43,270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177,113</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163,544</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6200" w:type="dxa"/>
            <w:vAlign w:val="bottom"/>
            <w:gridSpan w:val="4"/>
          </w:tcPr>
          <w:p>
            <w:pPr>
              <w:spacing w:after="0"/>
              <w:rPr>
                <w:sz w:val="20"/>
                <w:szCs w:val="20"/>
                <w:color w:val="auto"/>
              </w:rPr>
            </w:pPr>
            <w:r>
              <w:rPr>
                <w:rFonts w:ascii="Arial" w:cs="Arial" w:eastAsia="Arial" w:hAnsi="Arial"/>
                <w:sz w:val="17"/>
                <w:szCs w:val="17"/>
                <w:color w:val="auto"/>
              </w:rPr>
              <w:t>FFO per diluted share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0.77</w:t>
            </w:r>
          </w:p>
        </w:tc>
        <w:tc>
          <w:tcPr>
            <w:tcW w:w="220" w:type="dxa"/>
            <w:vAlign w:val="bottom"/>
          </w:tcPr>
          <w:p>
            <w:pPr>
              <w:spacing w:after="0"/>
              <w:rPr>
                <w:sz w:val="24"/>
                <w:szCs w:val="24"/>
                <w:color w:val="auto"/>
              </w:rPr>
            </w:pP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0.78</w:t>
            </w:r>
          </w:p>
        </w:tc>
        <w:tc>
          <w:tcPr>
            <w:tcW w:w="2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76"/>
              <w:spacing w:after="0"/>
              <w:rPr>
                <w:sz w:val="20"/>
                <w:szCs w:val="20"/>
                <w:color w:val="auto"/>
              </w:rPr>
            </w:pPr>
            <w:r>
              <w:rPr>
                <w:rFonts w:ascii="Arial" w:cs="Arial" w:eastAsia="Arial" w:hAnsi="Arial"/>
                <w:sz w:val="17"/>
                <w:szCs w:val="17"/>
                <w:color w:val="auto"/>
              </w:rPr>
              <w:t>3.26</w:t>
            </w:r>
          </w:p>
        </w:tc>
        <w:tc>
          <w:tcPr>
            <w:tcW w:w="4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3.06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2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Preferred stock redemption costs per diluted share</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200" w:type="dxa"/>
            <w:vAlign w:val="bottom"/>
            <w:gridSpan w:val="4"/>
          </w:tcPr>
          <w:p>
            <w:pPr>
              <w:spacing w:after="0"/>
              <w:rPr>
                <w:sz w:val="20"/>
                <w:szCs w:val="20"/>
                <w:color w:val="auto"/>
              </w:rPr>
            </w:pPr>
            <w:r>
              <w:rPr>
                <w:rFonts w:ascii="Arial" w:cs="Arial" w:eastAsia="Arial" w:hAnsi="Arial"/>
                <w:sz w:val="17"/>
                <w:szCs w:val="17"/>
                <w:b w:val="1"/>
                <w:bCs w:val="1"/>
                <w:color w:val="auto"/>
              </w:rPr>
              <w:t>FFO per diluted share before preferred stock redemption costs</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0.86</w:t>
            </w:r>
          </w:p>
        </w:tc>
        <w:tc>
          <w:tcPr>
            <w:tcW w:w="220" w:type="dxa"/>
            <w:vAlign w:val="bottom"/>
          </w:tcPr>
          <w:p>
            <w:pPr>
              <w:spacing w:after="0"/>
              <w:rPr>
                <w:sz w:val="18"/>
                <w:szCs w:val="18"/>
                <w:color w:val="auto"/>
              </w:rPr>
            </w:pPr>
          </w:p>
        </w:tc>
        <w:tc>
          <w:tcPr>
            <w:tcW w:w="480" w:type="dxa"/>
            <w:vAlign w:val="bottom"/>
            <w:gridSpan w:val="2"/>
          </w:tcPr>
          <w:p>
            <w:pPr>
              <w:ind w:left="200"/>
              <w:spacing w:after="0"/>
              <w:rPr>
                <w:sz w:val="20"/>
                <w:szCs w:val="20"/>
                <w:color w:val="auto"/>
              </w:rPr>
            </w:pPr>
            <w:r>
              <w:rPr>
                <w:rFonts w:ascii="Arial" w:cs="Arial" w:eastAsia="Arial" w:hAnsi="Arial"/>
                <w:sz w:val="17"/>
                <w:szCs w:val="17"/>
                <w:b w:val="1"/>
                <w:bCs w:val="1"/>
                <w:color w:val="auto"/>
              </w:rPr>
              <w:t>$</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0.78</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tcPr>
          <w:p>
            <w:pPr>
              <w:jc w:val="right"/>
              <w:ind w:right="176"/>
              <w:spacing w:after="0"/>
              <w:rPr>
                <w:sz w:val="20"/>
                <w:szCs w:val="20"/>
                <w:color w:val="auto"/>
              </w:rPr>
            </w:pPr>
            <w:r>
              <w:rPr>
                <w:rFonts w:ascii="Arial" w:cs="Arial" w:eastAsia="Arial" w:hAnsi="Arial"/>
                <w:sz w:val="17"/>
                <w:szCs w:val="17"/>
                <w:b w:val="1"/>
                <w:bCs w:val="1"/>
                <w:color w:val="auto"/>
              </w:rPr>
              <w:t>3.35</w:t>
            </w:r>
          </w:p>
        </w:tc>
        <w:tc>
          <w:tcPr>
            <w:tcW w:w="440" w:type="dxa"/>
            <w:vAlign w:val="bottom"/>
            <w:gridSpan w:val="2"/>
          </w:tcPr>
          <w:p>
            <w:pPr>
              <w:ind w:left="200"/>
              <w:spacing w:after="0"/>
              <w:rPr>
                <w:sz w:val="20"/>
                <w:szCs w:val="20"/>
                <w:color w:val="auto"/>
              </w:rPr>
            </w:pPr>
            <w:r>
              <w:rPr>
                <w:rFonts w:ascii="Arial" w:cs="Arial" w:eastAsia="Arial" w:hAnsi="Arial"/>
                <w:sz w:val="17"/>
                <w:szCs w:val="17"/>
                <w:b w:val="1"/>
                <w:bCs w:val="1"/>
                <w:color w:val="auto"/>
              </w:rPr>
              <w:t>$</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3.06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20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Weighted average number of common shares, diluted</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55,941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53,597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54,351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53,469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gridSpan w:val="4"/>
            <w:vMerge w:val="restart"/>
          </w:tcPr>
          <w:p>
            <w:pPr>
              <w:spacing w:after="0"/>
              <w:rPr>
                <w:sz w:val="20"/>
                <w:szCs w:val="20"/>
                <w:color w:val="auto"/>
              </w:rPr>
            </w:pPr>
            <w:r>
              <w:rPr>
                <w:rFonts w:ascii="Arial" w:cs="Arial" w:eastAsia="Arial" w:hAnsi="Arial"/>
                <w:sz w:val="17"/>
                <w:szCs w:val="17"/>
                <w:color w:val="auto"/>
              </w:rPr>
              <w:t>Summary of Capital Expenditures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200" w:type="dxa"/>
            <w:vAlign w:val="bottom"/>
            <w:gridSpan w:val="4"/>
            <w:vMerge w:val="continue"/>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9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62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Non-maintenance capital expenditures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0" w:type="dxa"/>
            <w:vAlign w:val="bottom"/>
            <w:gridSpan w:val="4"/>
          </w:tcPr>
          <w:p>
            <w:pPr>
              <w:ind w:left="420"/>
              <w:spacing w:after="0"/>
              <w:rPr>
                <w:sz w:val="20"/>
                <w:szCs w:val="20"/>
                <w:color w:val="auto"/>
              </w:rPr>
            </w:pPr>
            <w:r>
              <w:rPr>
                <w:rFonts w:ascii="Arial" w:cs="Arial" w:eastAsia="Arial" w:hAnsi="Arial"/>
                <w:sz w:val="17"/>
                <w:szCs w:val="17"/>
                <w:color w:val="auto"/>
              </w:rPr>
              <w:t>Development, redevelopment and expansions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35,746</w:t>
            </w:r>
          </w:p>
        </w:tc>
        <w:tc>
          <w:tcPr>
            <w:tcW w:w="220" w:type="dxa"/>
            <w:vAlign w:val="bottom"/>
          </w:tcPr>
          <w:p>
            <w:pPr>
              <w:spacing w:after="0"/>
              <w:rPr>
                <w:sz w:val="17"/>
                <w:szCs w:val="17"/>
                <w:color w:val="auto"/>
              </w:rPr>
            </w:pP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45,054</w:t>
            </w:r>
          </w:p>
        </w:tc>
        <w:tc>
          <w:tcPr>
            <w:tcW w:w="2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76"/>
              <w:spacing w:after="0"/>
              <w:rPr>
                <w:sz w:val="20"/>
                <w:szCs w:val="20"/>
                <w:color w:val="auto"/>
              </w:rPr>
            </w:pPr>
            <w:r>
              <w:rPr>
                <w:rFonts w:ascii="Arial" w:cs="Arial" w:eastAsia="Arial" w:hAnsi="Arial"/>
                <w:sz w:val="17"/>
                <w:szCs w:val="17"/>
                <w:color w:val="auto"/>
              </w:rPr>
              <w:t>96,773</w:t>
            </w:r>
          </w:p>
        </w:tc>
        <w:tc>
          <w:tcPr>
            <w:tcW w:w="4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140,440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Tenant improvements and incentives</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3,447</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15,784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17,512</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200" w:type="dxa"/>
            <w:vAlign w:val="bottom"/>
            <w:gridSpan w:val="4"/>
          </w:tcPr>
          <w:p>
            <w:pPr>
              <w:spacing w:after="0"/>
              <w:rPr>
                <w:sz w:val="20"/>
                <w:szCs w:val="20"/>
                <w:color w:val="auto"/>
              </w:rPr>
            </w:pPr>
            <w:r>
              <w:rPr>
                <w:rFonts w:ascii="Arial" w:cs="Arial" w:eastAsia="Arial" w:hAnsi="Arial"/>
                <w:sz w:val="17"/>
                <w:szCs w:val="17"/>
                <w:color w:val="auto"/>
              </w:rPr>
              <w:t>Total non-maintenance capital expenditures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39,193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51,201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76"/>
              <w:spacing w:after="0"/>
              <w:rPr>
                <w:sz w:val="20"/>
                <w:szCs w:val="20"/>
                <w:color w:val="auto"/>
              </w:rPr>
            </w:pPr>
            <w:r>
              <w:rPr>
                <w:rFonts w:ascii="Arial" w:cs="Arial" w:eastAsia="Arial" w:hAnsi="Arial"/>
                <w:sz w:val="17"/>
                <w:szCs w:val="17"/>
                <w:color w:val="auto"/>
              </w:rPr>
              <w:t>112,557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157,952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2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Maintenance capital expenditures</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8,603</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200" w:type="dxa"/>
            <w:vAlign w:val="bottom"/>
            <w:gridSpan w:val="4"/>
          </w:tcPr>
          <w:p>
            <w:pPr>
              <w:spacing w:after="0"/>
              <w:rPr>
                <w:sz w:val="20"/>
                <w:szCs w:val="20"/>
                <w:color w:val="auto"/>
              </w:rPr>
            </w:pPr>
            <w:r>
              <w:rPr>
                <w:rFonts w:ascii="Arial" w:cs="Arial" w:eastAsia="Arial" w:hAnsi="Arial"/>
                <w:sz w:val="17"/>
                <w:szCs w:val="17"/>
                <w:color w:val="auto"/>
              </w:rPr>
              <w:t>Total capital expenditures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42,928</w:t>
            </w:r>
          </w:p>
        </w:tc>
        <w:tc>
          <w:tcPr>
            <w:tcW w:w="220" w:type="dxa"/>
            <w:vAlign w:val="bottom"/>
          </w:tcPr>
          <w:p>
            <w:pPr>
              <w:spacing w:after="0"/>
              <w:rPr>
                <w:sz w:val="18"/>
                <w:szCs w:val="18"/>
                <w:color w:val="auto"/>
              </w:rPr>
            </w:pP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55,969</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76"/>
              <w:spacing w:after="0"/>
              <w:rPr>
                <w:sz w:val="20"/>
                <w:szCs w:val="20"/>
                <w:color w:val="auto"/>
              </w:rPr>
            </w:pPr>
            <w:r>
              <w:rPr>
                <w:rFonts w:ascii="Arial" w:cs="Arial" w:eastAsia="Arial" w:hAnsi="Arial"/>
                <w:sz w:val="17"/>
                <w:szCs w:val="17"/>
                <w:color w:val="auto"/>
              </w:rPr>
              <w:t>119,876</w:t>
            </w:r>
          </w:p>
        </w:tc>
        <w:tc>
          <w:tcPr>
            <w:tcW w:w="4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166,555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6200" w:type="dxa"/>
            <w:vAlign w:val="bottom"/>
            <w:gridSpan w:val="4"/>
            <w:shd w:val="clear" w:color="auto" w:fill="CCEEFF"/>
          </w:tcPr>
          <w:p>
            <w:pPr>
              <w:spacing w:after="0" w:line="167" w:lineRule="exact"/>
              <w:rPr>
                <w:sz w:val="20"/>
                <w:szCs w:val="20"/>
                <w:color w:val="auto"/>
              </w:rPr>
            </w:pPr>
            <w:r>
              <w:rPr>
                <w:rFonts w:ascii="Arial" w:cs="Arial" w:eastAsia="Arial" w:hAnsi="Arial"/>
                <w:sz w:val="17"/>
                <w:szCs w:val="17"/>
                <w:color w:val="auto"/>
              </w:rPr>
              <w:t>Dividends and Payout Ratios</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940" w:type="dxa"/>
            <w:vAlign w:val="bottom"/>
            <w:shd w:val="clear" w:color="auto" w:fill="000000"/>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200" w:type="dxa"/>
            <w:vAlign w:val="bottom"/>
            <w:gridSpan w:val="4"/>
          </w:tcPr>
          <w:p>
            <w:pPr>
              <w:spacing w:after="0"/>
              <w:rPr>
                <w:sz w:val="20"/>
                <w:szCs w:val="20"/>
                <w:color w:val="auto"/>
              </w:rPr>
            </w:pPr>
            <w:r>
              <w:rPr>
                <w:rFonts w:ascii="Arial" w:cs="Arial" w:eastAsia="Arial" w:hAnsi="Arial"/>
                <w:sz w:val="17"/>
                <w:szCs w:val="17"/>
                <w:color w:val="auto"/>
              </w:rPr>
              <w:t>Regular common dividends declared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31,809</w:t>
            </w:r>
          </w:p>
        </w:tc>
        <w:tc>
          <w:tcPr>
            <w:tcW w:w="220" w:type="dxa"/>
            <w:vAlign w:val="bottom"/>
          </w:tcPr>
          <w:p>
            <w:pPr>
              <w:spacing w:after="0"/>
              <w:rPr>
                <w:sz w:val="17"/>
                <w:szCs w:val="17"/>
                <w:color w:val="auto"/>
              </w:rPr>
            </w:pP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29,354</w:t>
            </w:r>
          </w:p>
        </w:tc>
        <w:tc>
          <w:tcPr>
            <w:tcW w:w="2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76"/>
              <w:spacing w:after="0"/>
              <w:rPr>
                <w:sz w:val="20"/>
                <w:szCs w:val="20"/>
                <w:color w:val="auto"/>
              </w:rPr>
            </w:pPr>
            <w:r>
              <w:rPr>
                <w:rFonts w:ascii="Arial" w:cs="Arial" w:eastAsia="Arial" w:hAnsi="Arial"/>
                <w:sz w:val="17"/>
                <w:szCs w:val="17"/>
                <w:color w:val="auto"/>
              </w:rPr>
              <w:t>122,459</w:t>
            </w:r>
          </w:p>
        </w:tc>
        <w:tc>
          <w:tcPr>
            <w:tcW w:w="4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114,355</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Special common dividends declared</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10,573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10,606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10,573</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200" w:type="dxa"/>
            <w:vAlign w:val="bottom"/>
            <w:gridSpan w:val="4"/>
          </w:tcPr>
          <w:p>
            <w:pPr>
              <w:spacing w:after="0"/>
              <w:rPr>
                <w:sz w:val="20"/>
                <w:szCs w:val="20"/>
                <w:color w:val="auto"/>
              </w:rPr>
            </w:pPr>
            <w:r>
              <w:rPr>
                <w:rFonts w:ascii="Arial" w:cs="Arial" w:eastAsia="Arial" w:hAnsi="Arial"/>
                <w:sz w:val="17"/>
                <w:szCs w:val="17"/>
                <w:color w:val="auto"/>
              </w:rPr>
              <w:t>Common dividends declared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31,809</w:t>
            </w:r>
          </w:p>
        </w:tc>
        <w:tc>
          <w:tcPr>
            <w:tcW w:w="220" w:type="dxa"/>
            <w:vAlign w:val="bottom"/>
          </w:tcPr>
          <w:p>
            <w:pPr>
              <w:spacing w:after="0"/>
              <w:rPr>
                <w:sz w:val="18"/>
                <w:szCs w:val="18"/>
                <w:color w:val="auto"/>
              </w:rPr>
            </w:pP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39,927</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76"/>
              <w:spacing w:after="0"/>
              <w:rPr>
                <w:sz w:val="20"/>
                <w:szCs w:val="20"/>
                <w:color w:val="auto"/>
              </w:rPr>
            </w:pPr>
            <w:r>
              <w:rPr>
                <w:rFonts w:ascii="Arial" w:cs="Arial" w:eastAsia="Arial" w:hAnsi="Arial"/>
                <w:sz w:val="17"/>
                <w:szCs w:val="17"/>
                <w:color w:val="auto"/>
              </w:rPr>
              <w:t>133,065</w:t>
            </w:r>
          </w:p>
        </w:tc>
        <w:tc>
          <w:tcPr>
            <w:tcW w:w="4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124,928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Dividend payout ratio as a percentage of FFO (excluding special dividends) (2)</w:t>
            </w:r>
          </w:p>
        </w:tc>
        <w:tc>
          <w:tcPr>
            <w:tcW w:w="132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rPr>
              <w:t>74%</w:t>
            </w:r>
          </w:p>
        </w:tc>
        <w:tc>
          <w:tcPr>
            <w:tcW w:w="132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rPr>
              <w:t>70%</w:t>
            </w:r>
          </w:p>
        </w:tc>
        <w:tc>
          <w:tcPr>
            <w:tcW w:w="1300" w:type="dxa"/>
            <w:vAlign w:val="bottom"/>
            <w:shd w:val="clear" w:color="auto" w:fill="CCEEFF"/>
          </w:tcPr>
          <w:p>
            <w:pPr>
              <w:jc w:val="right"/>
              <w:ind w:right="436"/>
              <w:spacing w:after="0"/>
              <w:rPr>
                <w:sz w:val="20"/>
                <w:szCs w:val="20"/>
                <w:color w:val="auto"/>
              </w:rPr>
            </w:pPr>
            <w:r>
              <w:rPr>
                <w:rFonts w:ascii="Arial" w:cs="Arial" w:eastAsia="Arial" w:hAnsi="Arial"/>
                <w:sz w:val="17"/>
                <w:szCs w:val="17"/>
                <w:color w:val="auto"/>
              </w:rPr>
              <w:t>69%</w:t>
            </w:r>
          </w:p>
        </w:tc>
        <w:tc>
          <w:tcPr>
            <w:tcW w:w="10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70%</w:t>
            </w:r>
          </w:p>
        </w:tc>
      </w:tr>
      <w:tr>
        <w:trPr>
          <w:trHeight w:val="197"/>
        </w:trPr>
        <w:tc>
          <w:tcPr>
            <w:tcW w:w="6400" w:type="dxa"/>
            <w:vAlign w:val="bottom"/>
          </w:tcPr>
          <w:p>
            <w:pPr>
              <w:spacing w:after="0"/>
              <w:rPr>
                <w:sz w:val="20"/>
                <w:szCs w:val="20"/>
                <w:color w:val="auto"/>
              </w:rPr>
            </w:pPr>
            <w:r>
              <w:rPr>
                <w:rFonts w:ascii="Arial" w:cs="Arial" w:eastAsia="Arial" w:hAnsi="Arial"/>
                <w:sz w:val="17"/>
                <w:szCs w:val="17"/>
                <w:color w:val="auto"/>
                <w:w w:val="95"/>
              </w:rPr>
              <w:t>Dividend payout ratio as a percentage of FFO (excluding special dividends and preferred</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3"/>
        </w:trPr>
        <w:tc>
          <w:tcPr>
            <w:tcW w:w="6400" w:type="dxa"/>
            <w:vAlign w:val="bottom"/>
          </w:tcPr>
          <w:p>
            <w:pPr>
              <w:ind w:left="200"/>
              <w:spacing w:after="0"/>
              <w:rPr>
                <w:sz w:val="20"/>
                <w:szCs w:val="20"/>
                <w:color w:val="auto"/>
              </w:rPr>
            </w:pPr>
            <w:r>
              <w:rPr>
                <w:rFonts w:ascii="Arial" w:cs="Arial" w:eastAsia="Arial" w:hAnsi="Arial"/>
                <w:sz w:val="17"/>
                <w:szCs w:val="17"/>
                <w:color w:val="auto"/>
              </w:rPr>
              <w:t>redemption costs) (2) (3)</w:t>
            </w:r>
          </w:p>
        </w:tc>
        <w:tc>
          <w:tcPr>
            <w:tcW w:w="1320" w:type="dxa"/>
            <w:vAlign w:val="bottom"/>
          </w:tcPr>
          <w:p>
            <w:pPr>
              <w:jc w:val="right"/>
              <w:ind w:right="456"/>
              <w:spacing w:after="0"/>
              <w:rPr>
                <w:sz w:val="20"/>
                <w:szCs w:val="20"/>
                <w:color w:val="auto"/>
              </w:rPr>
            </w:pPr>
            <w:r>
              <w:rPr>
                <w:rFonts w:ascii="Arial" w:cs="Arial" w:eastAsia="Arial" w:hAnsi="Arial"/>
                <w:sz w:val="17"/>
                <w:szCs w:val="17"/>
                <w:color w:val="auto"/>
              </w:rPr>
              <w:t>66%</w:t>
            </w:r>
          </w:p>
        </w:tc>
        <w:tc>
          <w:tcPr>
            <w:tcW w:w="1320" w:type="dxa"/>
            <w:vAlign w:val="bottom"/>
          </w:tcPr>
          <w:p>
            <w:pPr>
              <w:jc w:val="right"/>
              <w:ind w:right="396"/>
              <w:spacing w:after="0"/>
              <w:rPr>
                <w:sz w:val="20"/>
                <w:szCs w:val="20"/>
                <w:color w:val="auto"/>
              </w:rPr>
            </w:pPr>
            <w:r>
              <w:rPr>
                <w:rFonts w:ascii="Arial" w:cs="Arial" w:eastAsia="Arial" w:hAnsi="Arial"/>
                <w:sz w:val="17"/>
                <w:szCs w:val="17"/>
                <w:color w:val="auto"/>
              </w:rPr>
              <w:t>70%</w:t>
            </w:r>
          </w:p>
        </w:tc>
        <w:tc>
          <w:tcPr>
            <w:tcW w:w="1300" w:type="dxa"/>
            <w:vAlign w:val="bottom"/>
          </w:tcPr>
          <w:p>
            <w:pPr>
              <w:jc w:val="right"/>
              <w:ind w:right="436"/>
              <w:spacing w:after="0"/>
              <w:rPr>
                <w:sz w:val="20"/>
                <w:szCs w:val="20"/>
                <w:color w:val="auto"/>
              </w:rPr>
            </w:pPr>
            <w:r>
              <w:rPr>
                <w:rFonts w:ascii="Arial" w:cs="Arial" w:eastAsia="Arial" w:hAnsi="Arial"/>
                <w:sz w:val="17"/>
                <w:szCs w:val="17"/>
                <w:color w:val="auto"/>
              </w:rPr>
              <w:t>67%</w:t>
            </w:r>
          </w:p>
        </w:tc>
        <w:tc>
          <w:tcPr>
            <w:tcW w:w="1080" w:type="dxa"/>
            <w:vAlign w:val="bottom"/>
          </w:tcPr>
          <w:p>
            <w:pPr>
              <w:jc w:val="right"/>
              <w:ind w:right="176"/>
              <w:spacing w:after="0"/>
              <w:rPr>
                <w:sz w:val="20"/>
                <w:szCs w:val="20"/>
                <w:color w:val="auto"/>
              </w:rPr>
            </w:pPr>
            <w:r>
              <w:rPr>
                <w:rFonts w:ascii="Arial" w:cs="Arial" w:eastAsia="Arial" w:hAnsi="Arial"/>
                <w:sz w:val="17"/>
                <w:szCs w:val="17"/>
                <w:color w:val="auto"/>
              </w:rPr>
              <w:t>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060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3" w:lineRule="exact"/>
        <w:rPr>
          <w:sz w:val="20"/>
          <w:szCs w:val="20"/>
          <w:color w:val="auto"/>
        </w:rPr>
      </w:pPr>
    </w:p>
    <w:p>
      <w:pPr>
        <w:ind w:left="360" w:hanging="357"/>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See Glossary of Terms. FFO available for common shareholders excludes the gain on sale of condominiums at Santana Row.</w:t>
      </w:r>
    </w:p>
    <w:p>
      <w:pPr>
        <w:spacing w:after="0" w:line="17" w:lineRule="exact"/>
        <w:rPr>
          <w:rFonts w:ascii="Arial" w:cs="Arial" w:eastAsia="Arial" w:hAnsi="Arial"/>
          <w:sz w:val="17"/>
          <w:szCs w:val="17"/>
          <w:color w:val="auto"/>
        </w:rPr>
      </w:pPr>
    </w:p>
    <w:p>
      <w:pPr>
        <w:ind w:left="360" w:hanging="357"/>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sale of condominiums at Santana Row resulted in special dividends in the fourth quarter of 2005 and the first quarter of 2006.</w:t>
      </w:r>
    </w:p>
    <w:p>
      <w:pPr>
        <w:spacing w:after="0" w:line="10" w:lineRule="exact"/>
        <w:rPr>
          <w:rFonts w:ascii="Arial" w:cs="Arial" w:eastAsia="Arial" w:hAnsi="Arial"/>
          <w:sz w:val="17"/>
          <w:szCs w:val="17"/>
          <w:color w:val="auto"/>
        </w:rPr>
      </w:pPr>
    </w:p>
    <w:p>
      <w:pPr>
        <w:ind w:left="360" w:hanging="357"/>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fourth quarter of 2006, the Trust redeemed its Series B Preferred Shares and incurred a charge of $4.8 million in preferred stock redemption costs.</w:t>
      </w:r>
    </w:p>
    <w:p>
      <w:pPr>
        <w:sectPr>
          <w:pgSz w:w="11900" w:h="16838" w:orient="portrait"/>
          <w:cols w:equalWidth="0" w:num="1">
            <w:col w:w="11420"/>
          </w:cols>
          <w:pgMar w:left="240" w:top="268"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Data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36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3"/>
                <w:szCs w:val="13"/>
                <w:b w:val="1"/>
                <w:bCs w:val="1"/>
                <w:color w:val="auto"/>
                <w:w w:val="87"/>
              </w:rPr>
              <w:t>December 31, 2006</w:t>
            </w:r>
          </w:p>
        </w:tc>
        <w:tc>
          <w:tcPr>
            <w:tcW w:w="84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w w:val="99"/>
              </w:rPr>
              <w:t>December 31, 2005</w:t>
            </w:r>
          </w:p>
        </w:tc>
      </w:tr>
      <w:tr>
        <w:trPr>
          <w:trHeight w:val="20"/>
        </w:trPr>
        <w:tc>
          <w:tcPr>
            <w:tcW w:w="8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4"/>
        </w:trPr>
        <w:tc>
          <w:tcPr>
            <w:tcW w:w="8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40" w:type="dxa"/>
            <w:vAlign w:val="bottom"/>
            <w:gridSpan w:val="5"/>
          </w:tcPr>
          <w:p>
            <w:pPr>
              <w:ind w:left="240"/>
              <w:spacing w:after="0" w:line="134" w:lineRule="exact"/>
              <w:rPr>
                <w:sz w:val="20"/>
                <w:szCs w:val="20"/>
                <w:color w:val="auto"/>
              </w:rPr>
            </w:pPr>
            <w:r>
              <w:rPr>
                <w:rFonts w:ascii="Arial" w:cs="Arial" w:eastAsia="Arial" w:hAnsi="Arial"/>
                <w:sz w:val="13"/>
                <w:szCs w:val="13"/>
                <w:b w:val="1"/>
                <w:bCs w:val="1"/>
                <w:color w:val="auto"/>
              </w:rPr>
              <w:t>(in thousands, except per share data)</w:t>
            </w:r>
          </w:p>
        </w:tc>
      </w:tr>
      <w:tr>
        <w:trPr>
          <w:trHeight w:val="206"/>
        </w:trPr>
        <w:tc>
          <w:tcPr>
            <w:tcW w:w="8360" w:type="dxa"/>
            <w:vAlign w:val="bottom"/>
            <w:shd w:val="clear" w:color="auto" w:fill="CCEEFF"/>
          </w:tcPr>
          <w:p>
            <w:pPr>
              <w:spacing w:after="0"/>
              <w:rPr>
                <w:sz w:val="20"/>
                <w:szCs w:val="20"/>
                <w:color w:val="auto"/>
              </w:rPr>
            </w:pPr>
            <w:r>
              <w:rPr>
                <w:rFonts w:ascii="Arial" w:cs="Arial" w:eastAsia="Arial" w:hAnsi="Arial"/>
                <w:sz w:val="17"/>
                <w:szCs w:val="17"/>
                <w:color w:val="auto"/>
              </w:rPr>
              <w:t>Market data</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8360" w:type="dxa"/>
            <w:vAlign w:val="bottom"/>
          </w:tcPr>
          <w:p>
            <w:pPr>
              <w:ind w:left="420"/>
              <w:spacing w:after="0"/>
              <w:rPr>
                <w:sz w:val="20"/>
                <w:szCs w:val="20"/>
                <w:color w:val="auto"/>
              </w:rPr>
            </w:pPr>
            <w:r>
              <w:rPr>
                <w:rFonts w:ascii="Arial" w:cs="Arial" w:eastAsia="Arial" w:hAnsi="Arial"/>
                <w:sz w:val="17"/>
                <w:szCs w:val="17"/>
                <w:color w:val="auto"/>
              </w:rPr>
              <w:t>Common shares outstanding (1)</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55,321</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52,891</w:t>
            </w:r>
          </w:p>
        </w:tc>
        <w:tc>
          <w:tcPr>
            <w:tcW w:w="140" w:type="dxa"/>
            <w:vAlign w:val="bottom"/>
          </w:tcPr>
          <w:p>
            <w:pPr>
              <w:spacing w:after="0"/>
              <w:rPr>
                <w:sz w:val="17"/>
                <w:szCs w:val="17"/>
                <w:color w:val="auto"/>
              </w:rPr>
            </w:pPr>
          </w:p>
        </w:tc>
      </w:tr>
      <w:tr>
        <w:trPr>
          <w:trHeight w:val="206"/>
        </w:trPr>
        <w:tc>
          <w:tcPr>
            <w:tcW w:w="8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Market price per common share</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85.00</w:t>
            </w:r>
          </w:p>
        </w:tc>
        <w:tc>
          <w:tcPr>
            <w:tcW w:w="8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60.65</w:t>
            </w:r>
          </w:p>
        </w:tc>
        <w:tc>
          <w:tcPr>
            <w:tcW w:w="140" w:type="dxa"/>
            <w:vAlign w:val="bottom"/>
            <w:shd w:val="clear" w:color="auto" w:fill="CCEEFF"/>
          </w:tcPr>
          <w:p>
            <w:pPr>
              <w:spacing w:after="0"/>
              <w:rPr>
                <w:sz w:val="17"/>
                <w:szCs w:val="17"/>
                <w:color w:val="auto"/>
              </w:rPr>
            </w:pPr>
          </w:p>
        </w:tc>
      </w:tr>
      <w:tr>
        <w:trPr>
          <w:trHeight w:val="210"/>
        </w:trPr>
        <w:tc>
          <w:tcPr>
            <w:tcW w:w="8360" w:type="dxa"/>
            <w:vAlign w:val="bottom"/>
          </w:tcPr>
          <w:p>
            <w:pPr>
              <w:ind w:left="820"/>
              <w:spacing w:after="0"/>
              <w:rPr>
                <w:sz w:val="20"/>
                <w:szCs w:val="20"/>
                <w:color w:val="auto"/>
              </w:rPr>
            </w:pPr>
            <w:r>
              <w:rPr>
                <w:rFonts w:ascii="Arial" w:cs="Arial" w:eastAsia="Arial" w:hAnsi="Arial"/>
                <w:sz w:val="17"/>
                <w:szCs w:val="17"/>
                <w:color w:val="auto"/>
              </w:rPr>
              <w:t>Common equity market capitalization</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4,702,285</w:t>
            </w:r>
          </w:p>
        </w:tc>
        <w:tc>
          <w:tcPr>
            <w:tcW w:w="8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3,207,839</w:t>
            </w:r>
          </w:p>
        </w:tc>
        <w:tc>
          <w:tcPr>
            <w:tcW w:w="140" w:type="dxa"/>
            <w:vAlign w:val="bottom"/>
          </w:tcPr>
          <w:p>
            <w:pPr>
              <w:spacing w:after="0"/>
              <w:rPr>
                <w:sz w:val="18"/>
                <w:szCs w:val="18"/>
                <w:color w:val="auto"/>
              </w:rPr>
            </w:pPr>
          </w:p>
        </w:tc>
      </w:tr>
      <w:tr>
        <w:trPr>
          <w:trHeight w:val="104"/>
        </w:trPr>
        <w:tc>
          <w:tcPr>
            <w:tcW w:w="8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06"/>
        </w:trPr>
        <w:tc>
          <w:tcPr>
            <w:tcW w:w="8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Series B preferred shares outstanding (2)</w:t>
            </w:r>
          </w:p>
        </w:tc>
        <w:tc>
          <w:tcPr>
            <w:tcW w:w="2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w:t>
            </w:r>
          </w:p>
        </w:tc>
        <w:tc>
          <w:tcPr>
            <w:tcW w:w="140" w:type="dxa"/>
            <w:vAlign w:val="bottom"/>
            <w:shd w:val="clear" w:color="auto" w:fill="CCEEFF"/>
          </w:tcPr>
          <w:p>
            <w:pPr>
              <w:spacing w:after="0"/>
              <w:rPr>
                <w:sz w:val="17"/>
                <w:szCs w:val="17"/>
                <w:color w:val="auto"/>
              </w:rPr>
            </w:pPr>
          </w:p>
        </w:tc>
      </w:tr>
      <w:tr>
        <w:trPr>
          <w:trHeight w:val="211"/>
        </w:trPr>
        <w:tc>
          <w:tcPr>
            <w:tcW w:w="8360" w:type="dxa"/>
            <w:vAlign w:val="bottom"/>
          </w:tcPr>
          <w:p>
            <w:pPr>
              <w:ind w:left="420"/>
              <w:spacing w:after="0"/>
              <w:rPr>
                <w:sz w:val="20"/>
                <w:szCs w:val="20"/>
                <w:color w:val="auto"/>
              </w:rPr>
            </w:pPr>
            <w:r>
              <w:rPr>
                <w:rFonts w:ascii="Arial" w:cs="Arial" w:eastAsia="Arial" w:hAnsi="Arial"/>
                <w:sz w:val="17"/>
                <w:szCs w:val="17"/>
                <w:color w:val="auto"/>
              </w:rPr>
              <w:t>Market price per Series B preferred share</w:t>
            </w:r>
          </w:p>
        </w:tc>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25.77</w:t>
            </w:r>
          </w:p>
        </w:tc>
        <w:tc>
          <w:tcPr>
            <w:tcW w:w="140" w:type="dxa"/>
            <w:vAlign w:val="bottom"/>
          </w:tcPr>
          <w:p>
            <w:pPr>
              <w:spacing w:after="0"/>
              <w:rPr>
                <w:sz w:val="18"/>
                <w:szCs w:val="18"/>
                <w:color w:val="auto"/>
              </w:rPr>
            </w:pPr>
          </w:p>
        </w:tc>
      </w:tr>
      <w:tr>
        <w:trPr>
          <w:trHeight w:val="206"/>
        </w:trPr>
        <w:tc>
          <w:tcPr>
            <w:tcW w:w="83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Preferred equity market capitalization</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139,158</w:t>
            </w:r>
          </w:p>
        </w:tc>
        <w:tc>
          <w:tcPr>
            <w:tcW w:w="140" w:type="dxa"/>
            <w:vAlign w:val="bottom"/>
            <w:shd w:val="clear" w:color="auto" w:fill="CCEEFF"/>
          </w:tcPr>
          <w:p>
            <w:pPr>
              <w:spacing w:after="0"/>
              <w:rPr>
                <w:sz w:val="17"/>
                <w:szCs w:val="17"/>
                <w:color w:val="auto"/>
              </w:rPr>
            </w:pPr>
          </w:p>
        </w:tc>
      </w:tr>
      <w:tr>
        <w:trPr>
          <w:trHeight w:val="210"/>
        </w:trPr>
        <w:tc>
          <w:tcPr>
            <w:tcW w:w="8360" w:type="dxa"/>
            <w:vAlign w:val="bottom"/>
          </w:tcPr>
          <w:p>
            <w:pPr>
              <w:ind w:left="420"/>
              <w:spacing w:after="0"/>
              <w:rPr>
                <w:sz w:val="20"/>
                <w:szCs w:val="20"/>
                <w:color w:val="auto"/>
              </w:rPr>
            </w:pPr>
            <w:r>
              <w:rPr>
                <w:rFonts w:ascii="Arial" w:cs="Arial" w:eastAsia="Arial" w:hAnsi="Arial"/>
                <w:sz w:val="17"/>
                <w:szCs w:val="17"/>
                <w:color w:val="auto"/>
              </w:rPr>
              <w:t>Equity market capitalization</w:t>
            </w:r>
          </w:p>
        </w:tc>
        <w:tc>
          <w:tcPr>
            <w:tcW w:w="2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4,702,285</w:t>
            </w:r>
          </w:p>
        </w:tc>
        <w:tc>
          <w:tcPr>
            <w:tcW w:w="84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3,346,997</w:t>
            </w:r>
          </w:p>
        </w:tc>
        <w:tc>
          <w:tcPr>
            <w:tcW w:w="140" w:type="dxa"/>
            <w:vAlign w:val="bottom"/>
          </w:tcPr>
          <w:p>
            <w:pPr>
              <w:spacing w:after="0"/>
              <w:rPr>
                <w:sz w:val="18"/>
                <w:szCs w:val="18"/>
                <w:color w:val="auto"/>
              </w:rPr>
            </w:pPr>
          </w:p>
        </w:tc>
      </w:tr>
      <w:tr>
        <w:trPr>
          <w:trHeight w:val="104"/>
        </w:trPr>
        <w:tc>
          <w:tcPr>
            <w:tcW w:w="8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06"/>
        </w:trPr>
        <w:tc>
          <w:tcPr>
            <w:tcW w:w="8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debt (3)</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1,696,930</w:t>
            </w:r>
          </w:p>
        </w:tc>
        <w:tc>
          <w:tcPr>
            <w:tcW w:w="8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1,390,143</w:t>
            </w:r>
          </w:p>
        </w:tc>
        <w:tc>
          <w:tcPr>
            <w:tcW w:w="140" w:type="dxa"/>
            <w:vAlign w:val="bottom"/>
            <w:shd w:val="clear" w:color="auto" w:fill="CCEEFF"/>
          </w:tcPr>
          <w:p>
            <w:pPr>
              <w:spacing w:after="0"/>
              <w:rPr>
                <w:sz w:val="17"/>
                <w:szCs w:val="17"/>
                <w:color w:val="auto"/>
              </w:rPr>
            </w:pPr>
          </w:p>
        </w:tc>
      </w:tr>
      <w:tr>
        <w:trPr>
          <w:trHeight w:val="211"/>
        </w:trPr>
        <w:tc>
          <w:tcPr>
            <w:tcW w:w="8360" w:type="dxa"/>
            <w:vAlign w:val="bottom"/>
          </w:tcPr>
          <w:p>
            <w:pPr>
              <w:ind w:left="420"/>
              <w:spacing w:after="0"/>
              <w:rPr>
                <w:sz w:val="20"/>
                <w:szCs w:val="20"/>
                <w:color w:val="auto"/>
              </w:rPr>
            </w:pPr>
            <w:r>
              <w:rPr>
                <w:rFonts w:ascii="Arial" w:cs="Arial" w:eastAsia="Arial" w:hAnsi="Arial"/>
                <w:sz w:val="17"/>
                <w:szCs w:val="17"/>
                <w:color w:val="auto"/>
              </w:rPr>
              <w:t>Total market capitalization</w:t>
            </w:r>
          </w:p>
        </w:tc>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6,399,215</w:t>
            </w:r>
          </w:p>
        </w:tc>
        <w:tc>
          <w:tcPr>
            <w:tcW w:w="8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4,737,140</w:t>
            </w:r>
          </w:p>
        </w:tc>
        <w:tc>
          <w:tcPr>
            <w:tcW w:w="14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3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debt to market capitalization at then current market price</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27%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307"/>
        </w:trPr>
        <w:tc>
          <w:tcPr>
            <w:tcW w:w="8360" w:type="dxa"/>
            <w:vAlign w:val="bottom"/>
            <w:gridSpan w:val="2"/>
          </w:tcPr>
          <w:p>
            <w:pPr>
              <w:ind w:left="420"/>
              <w:spacing w:after="0"/>
              <w:rPr>
                <w:sz w:val="20"/>
                <w:szCs w:val="20"/>
                <w:color w:val="auto"/>
              </w:rPr>
            </w:pPr>
            <w:r>
              <w:rPr>
                <w:rFonts w:ascii="Arial" w:cs="Arial" w:eastAsia="Arial" w:hAnsi="Arial"/>
                <w:sz w:val="17"/>
                <w:szCs w:val="17"/>
                <w:color w:val="auto"/>
              </w:rPr>
              <w:t>Total debt to market capitalization at constant common share price of $60.65</w:t>
            </w:r>
          </w:p>
        </w:tc>
        <w:tc>
          <w:tcPr>
            <w:tcW w:w="1880" w:type="dxa"/>
            <w:vAlign w:val="bottom"/>
            <w:gridSpan w:val="2"/>
          </w:tcPr>
          <w:p>
            <w:pPr>
              <w:jc w:val="right"/>
              <w:ind w:right="700"/>
              <w:spacing w:after="0"/>
              <w:rPr>
                <w:sz w:val="20"/>
                <w:szCs w:val="20"/>
                <w:color w:val="auto"/>
              </w:rPr>
            </w:pPr>
            <w:r>
              <w:rPr>
                <w:rFonts w:ascii="Arial" w:cs="Arial" w:eastAsia="Arial" w:hAnsi="Arial"/>
                <w:sz w:val="17"/>
                <w:szCs w:val="17"/>
                <w:color w:val="auto"/>
              </w:rPr>
              <w:t>34%</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29%</w:t>
            </w:r>
          </w:p>
        </w:tc>
      </w:tr>
      <w:tr>
        <w:trPr>
          <w:trHeight w:val="207"/>
        </w:trPr>
        <w:tc>
          <w:tcPr>
            <w:tcW w:w="94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83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Fixed rate debt ratio:</w:t>
            </w: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8360" w:type="dxa"/>
            <w:vAlign w:val="bottom"/>
            <w:gridSpan w:val="2"/>
          </w:tcPr>
          <w:p>
            <w:pPr>
              <w:ind w:left="820"/>
              <w:spacing w:after="0"/>
              <w:rPr>
                <w:sz w:val="20"/>
                <w:szCs w:val="20"/>
                <w:color w:val="auto"/>
              </w:rPr>
            </w:pPr>
            <w:r>
              <w:rPr>
                <w:rFonts w:ascii="Arial" w:cs="Arial" w:eastAsia="Arial" w:hAnsi="Arial"/>
                <w:sz w:val="17"/>
                <w:szCs w:val="17"/>
                <w:color w:val="auto"/>
              </w:rPr>
              <w:t>Fixed rate debt and capital lease obligations</w:t>
            </w:r>
          </w:p>
        </w:tc>
        <w:tc>
          <w:tcPr>
            <w:tcW w:w="1880" w:type="dxa"/>
            <w:vAlign w:val="bottom"/>
            <w:gridSpan w:val="2"/>
          </w:tcPr>
          <w:p>
            <w:pPr>
              <w:jc w:val="right"/>
              <w:ind w:right="700"/>
              <w:spacing w:after="0"/>
              <w:rPr>
                <w:sz w:val="20"/>
                <w:szCs w:val="20"/>
                <w:color w:val="auto"/>
              </w:rPr>
            </w:pPr>
            <w:r>
              <w:rPr>
                <w:rFonts w:ascii="Arial" w:cs="Arial" w:eastAsia="Arial" w:hAnsi="Arial"/>
                <w:sz w:val="17"/>
                <w:szCs w:val="17"/>
                <w:color w:val="auto"/>
              </w:rPr>
              <w:t>94%</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88%</w:t>
            </w:r>
          </w:p>
        </w:tc>
      </w:tr>
      <w:tr>
        <w:trPr>
          <w:trHeight w:val="206"/>
        </w:trPr>
        <w:tc>
          <w:tcPr>
            <w:tcW w:w="83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Variable rate debt</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0"/>
        </w:trPr>
        <w:tc>
          <w:tcPr>
            <w:tcW w:w="9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9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80" w:type="dxa"/>
            <w:vAlign w:val="bottom"/>
            <w:gridSpan w:val="2"/>
          </w:tcPr>
          <w:p>
            <w:pPr>
              <w:jc w:val="right"/>
              <w:ind w:right="700"/>
              <w:spacing w:after="0"/>
              <w:rPr>
                <w:sz w:val="20"/>
                <w:szCs w:val="20"/>
                <w:color w:val="auto"/>
              </w:rPr>
            </w:pPr>
            <w:r>
              <w:rPr>
                <w:rFonts w:ascii="Arial" w:cs="Arial" w:eastAsia="Arial" w:hAnsi="Arial"/>
                <w:sz w:val="17"/>
                <w:szCs w:val="17"/>
                <w:color w:val="auto"/>
              </w:rPr>
              <w:t>100%</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9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95"/>
        </w:trPr>
        <w:tc>
          <w:tcPr>
            <w:tcW w:w="940" w:type="dxa"/>
            <w:vAlign w:val="bottom"/>
            <w:tcBorders>
              <w:bottom w:val="single" w:sz="8" w:color="auto"/>
            </w:tcBorders>
          </w:tcPr>
          <w:p>
            <w:pPr>
              <w:spacing w:after="0"/>
              <w:rPr>
                <w:sz w:val="8"/>
                <w:szCs w:val="8"/>
                <w:color w:val="auto"/>
              </w:rPr>
            </w:pPr>
          </w:p>
        </w:tc>
        <w:tc>
          <w:tcPr>
            <w:tcW w:w="7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7" w:lineRule="exact"/>
        <w:rPr>
          <w:sz w:val="20"/>
          <w:szCs w:val="20"/>
          <w:color w:val="auto"/>
        </w:rPr>
      </w:pPr>
    </w:p>
    <w:p>
      <w:pPr>
        <w:ind w:left="460" w:right="160" w:hanging="457"/>
        <w:spacing w:after="0" w:line="252"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Consists of 56,805,816 shares issued net of 1,485,279 shares held in Treasury as of December 31, 2006. As of December 31, 2005, consists of 54,371,057 shares issued net of 1,480,360 shares held in Treasury. Amounts do not include 377,210 and 420,426 Operating Partnership Units outstanding at December 31, 2006 and December 31, 2005, respectively.</w:t>
      </w:r>
    </w:p>
    <w:p>
      <w:pPr>
        <w:ind w:left="460" w:hanging="457"/>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November 27, 2006, the Trust redeemed the Series B preferred shares.</w:t>
      </w:r>
    </w:p>
    <w:p>
      <w:pPr>
        <w:spacing w:after="0" w:line="10" w:lineRule="exact"/>
        <w:rPr>
          <w:rFonts w:ascii="Arial" w:cs="Arial" w:eastAsia="Arial" w:hAnsi="Arial"/>
          <w:sz w:val="17"/>
          <w:szCs w:val="17"/>
          <w:color w:val="auto"/>
        </w:rPr>
      </w:pPr>
    </w:p>
    <w:p>
      <w:pPr>
        <w:ind w:left="460" w:right="300" w:hanging="457"/>
        <w:spacing w:after="0" w:line="372"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Total debt includes capital leases, mortgages payable, notes payable, senior notes and debentures, net of premiums and discounts from our consolidated balance sheet. It does not include the $23.2 million which is the Trust’s 30% share of the total $77.4 million debt of the partnership with Clarion Lion Properties Fund.</w:t>
      </w:r>
    </w:p>
    <w:p>
      <w:pPr>
        <w:sectPr>
          <w:pgSz w:w="11900" w:h="16838" w:orient="portrait"/>
          <w:cols w:equalWidth="0" w:num="1">
            <w:col w:w="11420"/>
          </w:cols>
          <w:pgMar w:left="240" w:top="268"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Rental Income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jc w:val="right"/>
              <w:ind w:right="440"/>
              <w:spacing w:after="0"/>
              <w:rPr>
                <w:sz w:val="20"/>
                <w:szCs w:val="20"/>
                <w:color w:val="auto"/>
              </w:rPr>
            </w:pPr>
            <w:r>
              <w:rPr>
                <w:rFonts w:ascii="Arial" w:cs="Arial" w:eastAsia="Arial" w:hAnsi="Arial"/>
                <w:sz w:val="13"/>
                <w:szCs w:val="13"/>
                <w:b w:val="1"/>
                <w:bCs w:val="1"/>
                <w:color w:val="auto"/>
                <w:w w:val="96"/>
              </w:rPr>
              <w:t>Three months ended</w:t>
            </w:r>
          </w:p>
        </w:tc>
        <w:tc>
          <w:tcPr>
            <w:tcW w:w="120" w:type="dxa"/>
            <w:vAlign w:val="bottom"/>
          </w:tcPr>
          <w:p>
            <w:pPr>
              <w:spacing w:after="0"/>
              <w:rPr>
                <w:sz w:val="13"/>
                <w:szCs w:val="13"/>
                <w:color w:val="auto"/>
              </w:rPr>
            </w:pPr>
          </w:p>
        </w:tc>
        <w:tc>
          <w:tcPr>
            <w:tcW w:w="1520" w:type="dxa"/>
            <w:vAlign w:val="bottom"/>
            <w:gridSpan w:val="4"/>
          </w:tcPr>
          <w:p>
            <w:pPr>
              <w:jc w:val="right"/>
              <w:ind w:right="139"/>
              <w:spacing w:after="0"/>
              <w:rPr>
                <w:sz w:val="20"/>
                <w:szCs w:val="20"/>
                <w:color w:val="auto"/>
              </w:rPr>
            </w:pPr>
            <w:r>
              <w:rPr>
                <w:rFonts w:ascii="Arial" w:cs="Arial" w:eastAsia="Arial" w:hAnsi="Arial"/>
                <w:sz w:val="13"/>
                <w:szCs w:val="13"/>
                <w:b w:val="1"/>
                <w:bCs w:val="1"/>
                <w:color w:val="auto"/>
                <w:w w:val="94"/>
              </w:rPr>
              <w:t>Twelve months ended</w:t>
            </w: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ind w:left="32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1520" w:type="dxa"/>
            <w:vAlign w:val="bottom"/>
            <w:gridSpan w:val="4"/>
          </w:tcPr>
          <w:p>
            <w:pPr>
              <w:jc w:val="right"/>
              <w:ind w:right="359"/>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4"/>
              <w:spacing w:after="0" w:line="134" w:lineRule="exact"/>
              <w:rPr>
                <w:sz w:val="20"/>
                <w:szCs w:val="20"/>
                <w:color w:val="auto"/>
              </w:rPr>
            </w:pPr>
            <w:r>
              <w:rPr>
                <w:rFonts w:ascii="Arial" w:cs="Arial" w:eastAsia="Arial" w:hAnsi="Arial"/>
                <w:sz w:val="13"/>
                <w:szCs w:val="13"/>
                <w:b w:val="1"/>
                <w:bCs w:val="1"/>
                <w:color w:val="auto"/>
              </w:rPr>
              <w:t>2006</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9"/>
              <w:spacing w:after="0" w:line="134" w:lineRule="exact"/>
              <w:rPr>
                <w:sz w:val="20"/>
                <w:szCs w:val="20"/>
                <w:color w:val="auto"/>
              </w:rPr>
            </w:pPr>
            <w:r>
              <w:rPr>
                <w:rFonts w:ascii="Arial" w:cs="Arial" w:eastAsia="Arial" w:hAnsi="Arial"/>
                <w:sz w:val="13"/>
                <w:szCs w:val="13"/>
                <w:b w:val="1"/>
                <w:bCs w:val="1"/>
                <w:color w:val="auto"/>
              </w:rPr>
              <w:t>2005</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44"/>
              <w:spacing w:after="0" w:line="134" w:lineRule="exact"/>
              <w:rPr>
                <w:sz w:val="20"/>
                <w:szCs w:val="20"/>
                <w:color w:val="auto"/>
              </w:rPr>
            </w:pPr>
            <w:r>
              <w:rPr>
                <w:rFonts w:ascii="Arial" w:cs="Arial" w:eastAsia="Arial" w:hAnsi="Arial"/>
                <w:sz w:val="13"/>
                <w:szCs w:val="13"/>
                <w:b w:val="1"/>
                <w:bCs w:val="1"/>
                <w:color w:val="auto"/>
              </w:rPr>
              <w:t>2006</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9"/>
              <w:spacing w:after="0" w:line="134" w:lineRule="exact"/>
              <w:rPr>
                <w:sz w:val="20"/>
                <w:szCs w:val="20"/>
                <w:color w:val="auto"/>
              </w:rPr>
            </w:pPr>
            <w:r>
              <w:rPr>
                <w:rFonts w:ascii="Arial" w:cs="Arial" w:eastAsia="Arial" w:hAnsi="Arial"/>
                <w:sz w:val="13"/>
                <w:szCs w:val="13"/>
                <w:b w:val="1"/>
                <w:bCs w:val="1"/>
                <w:color w:val="auto"/>
              </w:rPr>
              <w:t>2005</w:t>
            </w: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ind w:left="300"/>
              <w:spacing w:after="0" w:line="134"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4"/>
          </w:tcPr>
          <w:p>
            <w:pPr>
              <w:jc w:val="center"/>
              <w:ind w:right="319"/>
              <w:spacing w:after="0" w:line="134" w:lineRule="exact"/>
              <w:rPr>
                <w:sz w:val="20"/>
                <w:szCs w:val="20"/>
                <w:color w:val="auto"/>
              </w:rPr>
            </w:pPr>
            <w:r>
              <w:rPr>
                <w:rFonts w:ascii="Arial" w:cs="Arial" w:eastAsia="Arial" w:hAnsi="Arial"/>
                <w:sz w:val="13"/>
                <w:szCs w:val="13"/>
                <w:b w:val="1"/>
                <w:bCs w:val="1"/>
                <w:color w:val="auto"/>
                <w:w w:val="74"/>
              </w:rPr>
              <w:t>thousands)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44"/>
              <w:spacing w:after="0" w:line="134"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3"/>
          </w:tcPr>
          <w:p>
            <w:pPr>
              <w:jc w:val="center"/>
              <w:ind w:right="339"/>
              <w:spacing w:after="0" w:line="134" w:lineRule="exact"/>
              <w:rPr>
                <w:sz w:val="20"/>
                <w:szCs w:val="20"/>
                <w:color w:val="auto"/>
              </w:rPr>
            </w:pPr>
            <w:r>
              <w:rPr>
                <w:rFonts w:ascii="Arial" w:cs="Arial" w:eastAsia="Arial" w:hAnsi="Arial"/>
                <w:sz w:val="13"/>
                <w:szCs w:val="13"/>
                <w:b w:val="1"/>
                <w:bCs w:val="1"/>
                <w:color w:val="auto"/>
                <w:w w:val="74"/>
              </w:rPr>
              <w:t>thousands)</w:t>
            </w:r>
          </w:p>
        </w:tc>
        <w:tc>
          <w:tcPr>
            <w:tcW w:w="0" w:type="dxa"/>
            <w:vAlign w:val="bottom"/>
          </w:tcPr>
          <w:p>
            <w:pPr>
              <w:spacing w:after="0"/>
              <w:rPr>
                <w:sz w:val="1"/>
                <w:szCs w:val="1"/>
                <w:color w:val="auto"/>
              </w:rPr>
            </w:pPr>
          </w:p>
        </w:tc>
      </w:tr>
      <w:tr>
        <w:trPr>
          <w:trHeight w:val="206"/>
        </w:trPr>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Components of rental income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80" w:type="dxa"/>
            <w:vAlign w:val="bottom"/>
            <w:gridSpan w:val="2"/>
          </w:tcPr>
          <w:p>
            <w:pPr>
              <w:ind w:left="420"/>
              <w:spacing w:after="0"/>
              <w:rPr>
                <w:sz w:val="20"/>
                <w:szCs w:val="20"/>
                <w:color w:val="auto"/>
              </w:rPr>
            </w:pPr>
            <w:r>
              <w:rPr>
                <w:rFonts w:ascii="Arial" w:cs="Arial" w:eastAsia="Arial" w:hAnsi="Arial"/>
                <w:sz w:val="17"/>
                <w:szCs w:val="17"/>
                <w:color w:val="auto"/>
              </w:rPr>
              <w:t>Minimum rents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8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Retail and commercial properties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86,708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77,903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328,652</w:t>
            </w:r>
          </w:p>
        </w:tc>
        <w:tc>
          <w:tcPr>
            <w:tcW w:w="360" w:type="dxa"/>
            <w:vAlign w:val="bottom"/>
            <w:gridSpan w:val="2"/>
            <w:shd w:val="clear" w:color="auto" w:fill="CCEEFF"/>
          </w:tcPr>
          <w:p>
            <w:pPr>
              <w:jc w:val="center"/>
              <w:ind w:left="8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298,880</w:t>
            </w:r>
          </w:p>
        </w:tc>
        <w:tc>
          <w:tcPr>
            <w:tcW w:w="0" w:type="dxa"/>
            <w:vAlign w:val="bottom"/>
          </w:tcPr>
          <w:p>
            <w:pPr>
              <w:spacing w:after="0"/>
              <w:rPr>
                <w:sz w:val="1"/>
                <w:szCs w:val="1"/>
                <w:color w:val="auto"/>
              </w:rPr>
            </w:pPr>
          </w:p>
        </w:tc>
      </w:tr>
      <w:tr>
        <w:trPr>
          <w:trHeight w:val="206"/>
        </w:trPr>
        <w:tc>
          <w:tcPr>
            <w:tcW w:w="7980" w:type="dxa"/>
            <w:vAlign w:val="bottom"/>
            <w:gridSpan w:val="2"/>
          </w:tcPr>
          <w:p>
            <w:pPr>
              <w:ind w:left="820"/>
              <w:spacing w:after="0"/>
              <w:rPr>
                <w:sz w:val="20"/>
                <w:szCs w:val="20"/>
                <w:color w:val="auto"/>
              </w:rPr>
            </w:pPr>
            <w:r>
              <w:rPr>
                <w:rFonts w:ascii="Arial" w:cs="Arial" w:eastAsia="Arial" w:hAnsi="Arial"/>
                <w:sz w:val="17"/>
                <w:szCs w:val="17"/>
                <w:color w:val="auto"/>
              </w:rPr>
              <w:t>Residential (2)</w:t>
            </w:r>
          </w:p>
        </w:tc>
        <w:tc>
          <w:tcPr>
            <w:tcW w:w="1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3,633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2,131</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12,805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7,407</w:t>
            </w:r>
          </w:p>
        </w:tc>
        <w:tc>
          <w:tcPr>
            <w:tcW w:w="0" w:type="dxa"/>
            <w:vAlign w:val="bottom"/>
          </w:tcPr>
          <w:p>
            <w:pPr>
              <w:spacing w:after="0"/>
              <w:rPr>
                <w:sz w:val="1"/>
                <w:szCs w:val="1"/>
                <w:color w:val="auto"/>
              </w:rPr>
            </w:pPr>
          </w:p>
        </w:tc>
      </w:tr>
      <w:tr>
        <w:trPr>
          <w:trHeight w:val="206"/>
        </w:trPr>
        <w:tc>
          <w:tcPr>
            <w:tcW w:w="79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Cost reimbursements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22,461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19,836</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83,387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75,649</w:t>
            </w:r>
          </w:p>
        </w:tc>
        <w:tc>
          <w:tcPr>
            <w:tcW w:w="0" w:type="dxa"/>
            <w:vAlign w:val="bottom"/>
          </w:tcPr>
          <w:p>
            <w:pPr>
              <w:spacing w:after="0"/>
              <w:rPr>
                <w:sz w:val="1"/>
                <w:szCs w:val="1"/>
                <w:color w:val="auto"/>
              </w:rPr>
            </w:pPr>
          </w:p>
        </w:tc>
      </w:tr>
      <w:tr>
        <w:trPr>
          <w:trHeight w:val="206"/>
        </w:trPr>
        <w:tc>
          <w:tcPr>
            <w:tcW w:w="7980" w:type="dxa"/>
            <w:vAlign w:val="bottom"/>
            <w:gridSpan w:val="2"/>
          </w:tcPr>
          <w:p>
            <w:pPr>
              <w:ind w:left="420"/>
              <w:spacing w:after="0"/>
              <w:rPr>
                <w:sz w:val="20"/>
                <w:szCs w:val="20"/>
                <w:color w:val="auto"/>
              </w:rPr>
            </w:pPr>
            <w:r>
              <w:rPr>
                <w:rFonts w:ascii="Arial" w:cs="Arial" w:eastAsia="Arial" w:hAnsi="Arial"/>
                <w:sz w:val="17"/>
                <w:szCs w:val="17"/>
                <w:color w:val="auto"/>
              </w:rPr>
              <w:t>Percentage rents</w:t>
            </w:r>
          </w:p>
        </w:tc>
        <w:tc>
          <w:tcPr>
            <w:tcW w:w="1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2,486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1,980</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7,142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6,211</w:t>
            </w:r>
          </w:p>
        </w:tc>
        <w:tc>
          <w:tcPr>
            <w:tcW w:w="0" w:type="dxa"/>
            <w:vAlign w:val="bottom"/>
          </w:tcPr>
          <w:p>
            <w:pPr>
              <w:spacing w:after="0"/>
              <w:rPr>
                <w:sz w:val="1"/>
                <w:szCs w:val="1"/>
                <w:color w:val="auto"/>
              </w:rPr>
            </w:pPr>
          </w:p>
        </w:tc>
      </w:tr>
      <w:tr>
        <w:trPr>
          <w:trHeight w:val="206"/>
        </w:trPr>
        <w:tc>
          <w:tcPr>
            <w:tcW w:w="79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Other rental income</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1,904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1,381</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5,401</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ind w:left="420"/>
              <w:spacing w:after="0"/>
              <w:rPr>
                <w:sz w:val="20"/>
                <w:szCs w:val="20"/>
                <w:color w:val="auto"/>
              </w:rPr>
            </w:pPr>
            <w:r>
              <w:rPr>
                <w:rFonts w:ascii="Arial" w:cs="Arial" w:eastAsia="Arial" w:hAnsi="Arial"/>
                <w:sz w:val="17"/>
                <w:szCs w:val="17"/>
                <w:color w:val="auto"/>
              </w:rPr>
              <w:t>Total rental income</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w w:val="91"/>
              </w:rPr>
              <w:t>117,192</w:t>
            </w:r>
          </w:p>
        </w:tc>
        <w:tc>
          <w:tcPr>
            <w:tcW w:w="20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103,231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438,201</w:t>
            </w:r>
          </w:p>
        </w:tc>
        <w:tc>
          <w:tcPr>
            <w:tcW w:w="360" w:type="dxa"/>
            <w:vAlign w:val="bottom"/>
            <w:gridSpan w:val="2"/>
          </w:tcPr>
          <w:p>
            <w:pPr>
              <w:jc w:val="center"/>
              <w:ind w:left="8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393,548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940" w:type="dxa"/>
            <w:vAlign w:val="bottom"/>
            <w:tcBorders>
              <w:bottom w:val="single" w:sz="8" w:color="auto"/>
            </w:tcBorders>
          </w:tcPr>
          <w:p>
            <w:pPr>
              <w:spacing w:after="0"/>
              <w:rPr>
                <w:sz w:val="8"/>
                <w:szCs w:val="8"/>
                <w:color w:val="auto"/>
              </w:rPr>
            </w:pPr>
          </w:p>
        </w:tc>
        <w:tc>
          <w:tcPr>
            <w:tcW w:w="7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7" w:lineRule="exact"/>
        <w:rPr>
          <w:sz w:val="20"/>
          <w:szCs w:val="20"/>
          <w:color w:val="auto"/>
        </w:rPr>
      </w:pPr>
    </w:p>
    <w:p>
      <w:pPr>
        <w:ind w:left="460" w:right="20" w:hanging="457"/>
        <w:spacing w:after="0" w:line="268"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$5.7 and $7.6 million for the twelve months ended December 31, 2006 and 2005, respectively, and $1.0 million and $3.3 million for the three months ended December 31, 2006 and 2005, respectively, to recognize minimum rents on a straight line basis as required by GAAP. Minimum rents include $2.5 million and $1.6 million for the twelve months ended December 31, 2006 and 2005, respectively, and $0.9 million and $0.4 million for the three months ended December 31, 2006 and 2005, to recognize income from the amortization of in-place leases in accordance with SFAS 141.</w:t>
      </w:r>
    </w:p>
    <w:p>
      <w:pPr>
        <w:ind w:left="460" w:right="160" w:hanging="457"/>
        <w:spacing w:after="0" w:line="25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Residential minimum rents consist of the entire rental amounts at Rollingwood Apartments, the Crest at Congressional Apartments and the residential units at Santana Row excluding those units sold as condominiums which are included in discontinued operations. The Trust has 259 newly constructed residential units at Santana Row which commenced occupancy in April 2005 and stabilized in mid-2006.</w:t>
      </w:r>
    </w:p>
    <w:p>
      <w:pPr>
        <w:sectPr>
          <w:pgSz w:w="11900" w:h="16838" w:orient="portrait"/>
          <w:cols w:equalWidth="0" w:num="1">
            <w:col w:w="11420"/>
          </w:cols>
          <w:pgMar w:left="240" w:top="268"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Capital Lease Obligations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0"/>
              </w:rPr>
              <w:t>Interest rate as of</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Balance as of</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0" w:type="dxa"/>
            <w:vAlign w:val="bottom"/>
            <w:gridSpan w:val="4"/>
          </w:tcPr>
          <w:p>
            <w:pPr>
              <w:spacing w:after="0"/>
              <w:rPr>
                <w:sz w:val="20"/>
                <w:szCs w:val="20"/>
                <w:color w:val="auto"/>
              </w:rPr>
            </w:pPr>
            <w:r>
              <w:rPr>
                <w:rFonts w:ascii="Arial" w:cs="Arial" w:eastAsia="Arial" w:hAnsi="Arial"/>
                <w:sz w:val="13"/>
                <w:szCs w:val="13"/>
                <w:b w:val="1"/>
                <w:bCs w:val="1"/>
                <w:color w:val="auto"/>
                <w:w w:val="98"/>
              </w:rPr>
              <w:t>Maturity date December 31, 2006</w:t>
            </w:r>
          </w:p>
        </w:tc>
        <w:tc>
          <w:tcPr>
            <w:tcW w:w="26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w w:val="95"/>
              </w:rPr>
              <w:t>December 31, 2006</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7"/>
              <w:spacing w:after="0" w:line="134" w:lineRule="exact"/>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280" w:type="dxa"/>
            <w:vAlign w:val="bottom"/>
            <w:tcBorders>
              <w:bottom w:val="single" w:sz="8" w:color="auto"/>
            </w:tcBorders>
            <w:gridSpan w:val="2"/>
            <w:shd w:val="clear" w:color="auto" w:fill="CCEEFF"/>
          </w:tcPr>
          <w:p>
            <w:pPr>
              <w:spacing w:after="0" w:line="167" w:lineRule="exact"/>
              <w:rPr>
                <w:sz w:val="20"/>
                <w:szCs w:val="20"/>
                <w:color w:val="auto"/>
              </w:rPr>
            </w:pPr>
            <w:r>
              <w:rPr>
                <w:rFonts w:ascii="Arial" w:cs="Arial" w:eastAsia="Arial" w:hAnsi="Arial"/>
                <w:sz w:val="17"/>
                <w:szCs w:val="17"/>
                <w:color w:val="auto"/>
                <w:w w:val="88"/>
              </w:rPr>
              <w:t>Mortgage loans (a)</w:t>
            </w:r>
          </w:p>
        </w:tc>
        <w:tc>
          <w:tcPr>
            <w:tcW w:w="2060" w:type="dxa"/>
            <w:vAlign w:val="bottom"/>
            <w:tcBorders>
              <w:bottom w:val="single" w:sz="8" w:color="CCEEFF"/>
            </w:tcBorders>
            <w:gridSpan w:val="3"/>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40" w:type="dxa"/>
            <w:vAlign w:val="bottom"/>
            <w:gridSpan w:val="5"/>
          </w:tcPr>
          <w:p>
            <w:pPr>
              <w:ind w:left="420"/>
              <w:spacing w:after="0"/>
              <w:rPr>
                <w:sz w:val="20"/>
                <w:szCs w:val="20"/>
                <w:color w:val="auto"/>
              </w:rPr>
            </w:pPr>
            <w:r>
              <w:rPr>
                <w:rFonts w:ascii="Arial" w:cs="Arial" w:eastAsia="Arial" w:hAnsi="Arial"/>
                <w:sz w:val="17"/>
                <w:szCs w:val="17"/>
                <w:i w:val="1"/>
                <w:iCs w:val="1"/>
                <w:color w:val="auto"/>
              </w:rPr>
              <w:t>Secured fixed rate</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Leesburg Plaza</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3"/>
              </w:rPr>
              <w:t>10/01/08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6.510%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9,760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tcPr>
          <w:p>
            <w:pPr>
              <w:ind w:left="420"/>
              <w:spacing w:after="0"/>
              <w:rPr>
                <w:sz w:val="20"/>
                <w:szCs w:val="20"/>
                <w:color w:val="auto"/>
              </w:rPr>
            </w:pPr>
            <w:r>
              <w:rPr>
                <w:rFonts w:ascii="Arial" w:cs="Arial" w:eastAsia="Arial" w:hAnsi="Arial"/>
                <w:sz w:val="17"/>
                <w:szCs w:val="17"/>
                <w:color w:val="auto"/>
              </w:rPr>
              <w:t>164 E Houston Street</w:t>
            </w:r>
          </w:p>
        </w:tc>
        <w:tc>
          <w:tcPr>
            <w:tcW w:w="800" w:type="dxa"/>
            <w:vAlign w:val="bottom"/>
            <w:gridSpan w:val="2"/>
          </w:tcPr>
          <w:p>
            <w:pPr>
              <w:ind w:left="160"/>
              <w:spacing w:after="0"/>
              <w:rPr>
                <w:sz w:val="20"/>
                <w:szCs w:val="20"/>
                <w:color w:val="auto"/>
              </w:rPr>
            </w:pPr>
            <w:r>
              <w:rPr>
                <w:rFonts w:ascii="Arial" w:cs="Arial" w:eastAsia="Arial" w:hAnsi="Arial"/>
                <w:sz w:val="17"/>
                <w:szCs w:val="17"/>
                <w:color w:val="auto"/>
                <w:w w:val="93"/>
              </w:rPr>
              <w:t>10/06/08</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7.500%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98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Mercer Mall</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3"/>
              </w:rPr>
              <w:t>04/01/09</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8.375%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4,512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tcPr>
          <w:p>
            <w:pPr>
              <w:ind w:left="420"/>
              <w:spacing w:after="0"/>
              <w:rPr>
                <w:sz w:val="20"/>
                <w:szCs w:val="20"/>
                <w:color w:val="auto"/>
              </w:rPr>
            </w:pPr>
            <w:r>
              <w:rPr>
                <w:rFonts w:ascii="Arial" w:cs="Arial" w:eastAsia="Arial" w:hAnsi="Arial"/>
                <w:sz w:val="17"/>
                <w:szCs w:val="17"/>
                <w:color w:val="auto"/>
              </w:rPr>
              <w:t>Federal Plaza</w:t>
            </w:r>
          </w:p>
        </w:tc>
        <w:tc>
          <w:tcPr>
            <w:tcW w:w="800" w:type="dxa"/>
            <w:vAlign w:val="bottom"/>
            <w:gridSpan w:val="2"/>
          </w:tcPr>
          <w:p>
            <w:pPr>
              <w:ind w:left="180"/>
              <w:spacing w:after="0"/>
              <w:rPr>
                <w:sz w:val="20"/>
                <w:szCs w:val="20"/>
                <w:color w:val="auto"/>
              </w:rPr>
            </w:pPr>
            <w:r>
              <w:rPr>
                <w:rFonts w:ascii="Arial" w:cs="Arial" w:eastAsia="Arial" w:hAnsi="Arial"/>
                <w:sz w:val="17"/>
                <w:szCs w:val="17"/>
                <w:color w:val="auto"/>
                <w:w w:val="90"/>
              </w:rPr>
              <w:t>06/01/11</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6.750%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34,192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Tysons Station</w:t>
            </w: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0"/>
              </w:rPr>
              <w:t>09/01/11</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7.400%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6,366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tcPr>
          <w:p>
            <w:pPr>
              <w:ind w:left="420"/>
              <w:spacing w:after="0"/>
              <w:rPr>
                <w:sz w:val="20"/>
                <w:szCs w:val="20"/>
                <w:color w:val="auto"/>
              </w:rPr>
            </w:pPr>
            <w:r>
              <w:rPr>
                <w:rFonts w:ascii="Arial" w:cs="Arial" w:eastAsia="Arial" w:hAnsi="Arial"/>
                <w:sz w:val="17"/>
                <w:szCs w:val="17"/>
                <w:color w:val="auto"/>
              </w:rPr>
              <w:t>Crow Canyon</w:t>
            </w:r>
          </w:p>
        </w:tc>
        <w:tc>
          <w:tcPr>
            <w:tcW w:w="800" w:type="dxa"/>
            <w:vAlign w:val="bottom"/>
            <w:gridSpan w:val="2"/>
          </w:tcPr>
          <w:p>
            <w:pPr>
              <w:ind w:left="180"/>
              <w:spacing w:after="0"/>
              <w:rPr>
                <w:sz w:val="20"/>
                <w:szCs w:val="20"/>
                <w:color w:val="auto"/>
              </w:rPr>
            </w:pPr>
            <w:r>
              <w:rPr>
                <w:rFonts w:ascii="Arial" w:cs="Arial" w:eastAsia="Arial" w:hAnsi="Arial"/>
                <w:sz w:val="17"/>
                <w:szCs w:val="17"/>
                <w:color w:val="auto"/>
                <w:w w:val="90"/>
              </w:rPr>
              <w:t>08/11/13</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5.400%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21,945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Melville Mall</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3"/>
              </w:rPr>
              <w:t>09/01/14</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5.250%</w:t>
            </w:r>
          </w:p>
        </w:tc>
        <w:tc>
          <w:tcPr>
            <w:tcW w:w="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25,702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tcPr>
          <w:p>
            <w:pPr>
              <w:ind w:left="420"/>
              <w:spacing w:after="0"/>
              <w:rPr>
                <w:sz w:val="20"/>
                <w:szCs w:val="20"/>
                <w:color w:val="auto"/>
              </w:rPr>
            </w:pPr>
            <w:r>
              <w:rPr>
                <w:rFonts w:ascii="Arial" w:cs="Arial" w:eastAsia="Arial" w:hAnsi="Arial"/>
                <w:sz w:val="17"/>
                <w:szCs w:val="17"/>
                <w:color w:val="auto"/>
              </w:rPr>
              <w:t>Barracks Road</w:t>
            </w:r>
          </w:p>
        </w:tc>
        <w:tc>
          <w:tcPr>
            <w:tcW w:w="800" w:type="dxa"/>
            <w:vAlign w:val="bottom"/>
            <w:gridSpan w:val="2"/>
          </w:tcPr>
          <w:p>
            <w:pPr>
              <w:ind w:left="180"/>
              <w:spacing w:after="0"/>
              <w:rPr>
                <w:sz w:val="20"/>
                <w:szCs w:val="20"/>
                <w:color w:val="auto"/>
              </w:rPr>
            </w:pPr>
            <w:r>
              <w:rPr>
                <w:rFonts w:ascii="Arial" w:cs="Arial" w:eastAsia="Arial" w:hAnsi="Arial"/>
                <w:sz w:val="17"/>
                <w:szCs w:val="17"/>
                <w:color w:val="auto"/>
                <w:w w:val="90"/>
              </w:rPr>
              <w:t>11/01/15</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7.950%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42,614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Hauppauge</w:t>
            </w: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0"/>
              </w:rPr>
              <w:t>11/01/15</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7.950%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16,065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tcPr>
          <w:p>
            <w:pPr>
              <w:ind w:left="420"/>
              <w:spacing w:after="0"/>
              <w:rPr>
                <w:sz w:val="20"/>
                <w:szCs w:val="20"/>
                <w:color w:val="auto"/>
              </w:rPr>
            </w:pPr>
            <w:r>
              <w:rPr>
                <w:rFonts w:ascii="Arial" w:cs="Arial" w:eastAsia="Arial" w:hAnsi="Arial"/>
                <w:sz w:val="17"/>
                <w:szCs w:val="17"/>
                <w:color w:val="auto"/>
              </w:rPr>
              <w:t>Lawrence Park</w:t>
            </w:r>
          </w:p>
        </w:tc>
        <w:tc>
          <w:tcPr>
            <w:tcW w:w="800" w:type="dxa"/>
            <w:vAlign w:val="bottom"/>
            <w:gridSpan w:val="2"/>
          </w:tcPr>
          <w:p>
            <w:pPr>
              <w:ind w:left="180"/>
              <w:spacing w:after="0"/>
              <w:rPr>
                <w:sz w:val="20"/>
                <w:szCs w:val="20"/>
                <w:color w:val="auto"/>
              </w:rPr>
            </w:pPr>
            <w:r>
              <w:rPr>
                <w:rFonts w:ascii="Arial" w:cs="Arial" w:eastAsia="Arial" w:hAnsi="Arial"/>
                <w:sz w:val="17"/>
                <w:szCs w:val="17"/>
                <w:color w:val="auto"/>
                <w:w w:val="90"/>
              </w:rPr>
              <w:t>11/01/15</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7.950%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30,205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Wildwood</w:t>
            </w: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0"/>
              </w:rPr>
              <w:t>11/01/15</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7.950%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26,550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tcPr>
          <w:p>
            <w:pPr>
              <w:ind w:left="420"/>
              <w:spacing w:after="0"/>
              <w:rPr>
                <w:sz w:val="20"/>
                <w:szCs w:val="20"/>
                <w:color w:val="auto"/>
              </w:rPr>
            </w:pPr>
            <w:r>
              <w:rPr>
                <w:rFonts w:ascii="Arial" w:cs="Arial" w:eastAsia="Arial" w:hAnsi="Arial"/>
                <w:sz w:val="17"/>
                <w:szCs w:val="17"/>
                <w:color w:val="auto"/>
              </w:rPr>
              <w:t>Wynnewood</w:t>
            </w:r>
          </w:p>
        </w:tc>
        <w:tc>
          <w:tcPr>
            <w:tcW w:w="800" w:type="dxa"/>
            <w:vAlign w:val="bottom"/>
            <w:gridSpan w:val="2"/>
          </w:tcPr>
          <w:p>
            <w:pPr>
              <w:ind w:left="180"/>
              <w:spacing w:after="0"/>
              <w:rPr>
                <w:sz w:val="20"/>
                <w:szCs w:val="20"/>
                <w:color w:val="auto"/>
              </w:rPr>
            </w:pPr>
            <w:r>
              <w:rPr>
                <w:rFonts w:ascii="Arial" w:cs="Arial" w:eastAsia="Arial" w:hAnsi="Arial"/>
                <w:sz w:val="17"/>
                <w:szCs w:val="17"/>
                <w:color w:val="auto"/>
                <w:w w:val="90"/>
              </w:rPr>
              <w:t>11/01/15</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7.950%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30,782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Brick Plaza</w:t>
            </w: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0"/>
              </w:rPr>
              <w:t>11/01/15</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7.415%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31,631</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tcPr>
          <w:p>
            <w:pPr>
              <w:ind w:left="420"/>
              <w:spacing w:after="0"/>
              <w:rPr>
                <w:sz w:val="20"/>
                <w:szCs w:val="20"/>
                <w:color w:val="auto"/>
              </w:rPr>
            </w:pPr>
            <w:r>
              <w:rPr>
                <w:rFonts w:ascii="Arial" w:cs="Arial" w:eastAsia="Arial" w:hAnsi="Arial"/>
                <w:sz w:val="17"/>
                <w:szCs w:val="17"/>
                <w:color w:val="auto"/>
              </w:rPr>
              <w:t>Mount Vernon</w:t>
            </w:r>
          </w:p>
        </w:tc>
        <w:tc>
          <w:tcPr>
            <w:tcW w:w="800" w:type="dxa"/>
            <w:vAlign w:val="bottom"/>
            <w:gridSpan w:val="2"/>
          </w:tcPr>
          <w:p>
            <w:pPr>
              <w:ind w:left="160"/>
              <w:spacing w:after="0"/>
              <w:rPr>
                <w:sz w:val="20"/>
                <w:szCs w:val="20"/>
                <w:color w:val="auto"/>
              </w:rPr>
            </w:pPr>
            <w:r>
              <w:rPr>
                <w:rFonts w:ascii="Arial" w:cs="Arial" w:eastAsia="Arial" w:hAnsi="Arial"/>
                <w:sz w:val="17"/>
                <w:szCs w:val="17"/>
                <w:color w:val="auto"/>
                <w:w w:val="93"/>
              </w:rPr>
              <w:t>04/15/28</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5.660%</w:t>
            </w:r>
          </w:p>
        </w:tc>
        <w:tc>
          <w:tcPr>
            <w:tcW w:w="260" w:type="dxa"/>
            <w:vAlign w:val="bottom"/>
          </w:tcPr>
          <w:p>
            <w:pPr>
              <w:ind w:left="20"/>
              <w:spacing w:after="0"/>
              <w:rPr>
                <w:sz w:val="20"/>
                <w:szCs w:val="20"/>
                <w:color w:val="auto"/>
              </w:rPr>
            </w:pPr>
            <w:r>
              <w:rPr>
                <w:rFonts w:ascii="Arial" w:cs="Arial" w:eastAsia="Arial" w:hAnsi="Arial"/>
                <w:sz w:val="17"/>
                <w:szCs w:val="17"/>
                <w:color w:val="auto"/>
              </w:rPr>
              <w:t>(c)</w:t>
            </w: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12,268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Bath</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3"/>
              </w:rPr>
              <w:t>07/01/28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7.130%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9,999</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tcPr>
          <w:p>
            <w:pPr>
              <w:ind w:left="420"/>
              <w:spacing w:after="0"/>
              <w:rPr>
                <w:sz w:val="20"/>
                <w:szCs w:val="20"/>
                <w:color w:val="auto"/>
              </w:rPr>
            </w:pPr>
            <w:r>
              <w:rPr>
                <w:rFonts w:ascii="Arial" w:cs="Arial" w:eastAsia="Arial" w:hAnsi="Arial"/>
                <w:sz w:val="17"/>
                <w:szCs w:val="17"/>
                <w:color w:val="auto"/>
              </w:rPr>
              <w:t>Chelsea</w:t>
            </w:r>
          </w:p>
        </w:tc>
        <w:tc>
          <w:tcPr>
            <w:tcW w:w="800" w:type="dxa"/>
            <w:vAlign w:val="bottom"/>
            <w:gridSpan w:val="2"/>
          </w:tcPr>
          <w:p>
            <w:pPr>
              <w:ind w:left="160"/>
              <w:spacing w:after="0"/>
              <w:rPr>
                <w:sz w:val="20"/>
                <w:szCs w:val="20"/>
                <w:color w:val="auto"/>
              </w:rPr>
            </w:pPr>
            <w:r>
              <w:rPr>
                <w:rFonts w:ascii="Arial" w:cs="Arial" w:eastAsia="Arial" w:hAnsi="Arial"/>
                <w:sz w:val="17"/>
                <w:szCs w:val="17"/>
                <w:color w:val="auto"/>
                <w:w w:val="93"/>
              </w:rPr>
              <w:t>01/15/31</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5.360%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8,384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340" w:type="dxa"/>
            <w:vAlign w:val="bottom"/>
            <w:gridSpan w:val="5"/>
            <w:shd w:val="clear" w:color="auto" w:fill="CCEEFF"/>
          </w:tcPr>
          <w:p>
            <w:pPr>
              <w:ind w:left="820"/>
              <w:spacing w:after="0"/>
              <w:rPr>
                <w:sz w:val="20"/>
                <w:szCs w:val="20"/>
                <w:color w:val="auto"/>
              </w:rPr>
            </w:pPr>
            <w:r>
              <w:rPr>
                <w:rFonts w:ascii="Arial" w:cs="Arial" w:eastAsia="Arial" w:hAnsi="Arial"/>
                <w:sz w:val="17"/>
                <w:szCs w:val="17"/>
                <w:color w:val="auto"/>
              </w:rPr>
              <w:t>Subtotal</w:t>
            </w: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311,073</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tcPr>
          <w:p>
            <w:pPr>
              <w:ind w:left="420"/>
              <w:spacing w:after="0"/>
              <w:rPr>
                <w:sz w:val="20"/>
                <w:szCs w:val="20"/>
                <w:color w:val="auto"/>
              </w:rPr>
            </w:pPr>
            <w:r>
              <w:rPr>
                <w:rFonts w:ascii="Arial" w:cs="Arial" w:eastAsia="Arial" w:hAnsi="Arial"/>
                <w:sz w:val="17"/>
                <w:szCs w:val="17"/>
                <w:color w:val="auto"/>
              </w:rPr>
              <w:t>Net unamortized discount</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340" w:type="dxa"/>
            <w:vAlign w:val="bottom"/>
            <w:gridSpan w:val="5"/>
            <w:shd w:val="clear" w:color="auto" w:fill="CCEEFF"/>
          </w:tcPr>
          <w:p>
            <w:pPr>
              <w:ind w:left="820"/>
              <w:spacing w:after="0"/>
              <w:rPr>
                <w:sz w:val="20"/>
                <w:szCs w:val="20"/>
                <w:color w:val="auto"/>
              </w:rPr>
            </w:pPr>
            <w:r>
              <w:rPr>
                <w:rFonts w:ascii="Arial" w:cs="Arial" w:eastAsia="Arial" w:hAnsi="Arial"/>
                <w:sz w:val="17"/>
                <w:szCs w:val="17"/>
                <w:color w:val="auto"/>
              </w:rPr>
              <w:t>Total mortgage loans</w:t>
            </w: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311,037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60" w:type="dxa"/>
            <w:vAlign w:val="bottom"/>
            <w:tcBorders>
              <w:bottom w:val="single" w:sz="8" w:color="auto"/>
            </w:tcBorders>
          </w:tcPr>
          <w:p>
            <w:pPr>
              <w:spacing w:after="0" w:line="173" w:lineRule="exact"/>
              <w:rPr>
                <w:sz w:val="20"/>
                <w:szCs w:val="20"/>
                <w:color w:val="auto"/>
              </w:rPr>
            </w:pPr>
            <w:r>
              <w:rPr>
                <w:rFonts w:ascii="Arial" w:cs="Arial" w:eastAsia="Arial" w:hAnsi="Arial"/>
                <w:sz w:val="17"/>
                <w:szCs w:val="17"/>
                <w:color w:val="auto"/>
                <w:w w:val="86"/>
              </w:rPr>
              <w:t>Notes payable</w:t>
            </w:r>
          </w:p>
        </w:tc>
        <w:tc>
          <w:tcPr>
            <w:tcW w:w="238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340" w:type="dxa"/>
            <w:vAlign w:val="bottom"/>
            <w:gridSpan w:val="5"/>
            <w:shd w:val="clear" w:color="auto" w:fill="CCEEFF"/>
          </w:tcPr>
          <w:p>
            <w:pPr>
              <w:ind w:left="420"/>
              <w:spacing w:after="0"/>
              <w:rPr>
                <w:sz w:val="20"/>
                <w:szCs w:val="20"/>
                <w:color w:val="auto"/>
              </w:rPr>
            </w:pPr>
            <w:r>
              <w:rPr>
                <w:rFonts w:ascii="Arial" w:cs="Arial" w:eastAsia="Arial" w:hAnsi="Arial"/>
                <w:sz w:val="17"/>
                <w:szCs w:val="17"/>
                <w:i w:val="1"/>
                <w:iCs w:val="1"/>
                <w:color w:val="auto"/>
              </w:rPr>
              <w:t>Unsecured fixed rate</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40" w:type="dxa"/>
            <w:vAlign w:val="bottom"/>
            <w:gridSpan w:val="5"/>
          </w:tcPr>
          <w:p>
            <w:pPr>
              <w:ind w:left="420"/>
              <w:spacing w:after="0"/>
              <w:rPr>
                <w:sz w:val="20"/>
                <w:szCs w:val="20"/>
                <w:color w:val="auto"/>
              </w:rPr>
            </w:pPr>
            <w:r>
              <w:rPr>
                <w:rFonts w:ascii="Arial" w:cs="Arial" w:eastAsia="Arial" w:hAnsi="Arial"/>
                <w:sz w:val="17"/>
                <w:szCs w:val="17"/>
                <w:color w:val="auto"/>
              </w:rPr>
              <w:t>Perring Plaza renovation</w:t>
            </w:r>
          </w:p>
        </w:tc>
        <w:tc>
          <w:tcPr>
            <w:tcW w:w="800" w:type="dxa"/>
            <w:vAlign w:val="bottom"/>
            <w:gridSpan w:val="2"/>
          </w:tcPr>
          <w:p>
            <w:pPr>
              <w:ind w:left="160"/>
              <w:spacing w:after="0"/>
              <w:rPr>
                <w:sz w:val="20"/>
                <w:szCs w:val="20"/>
                <w:color w:val="auto"/>
              </w:rPr>
            </w:pPr>
            <w:r>
              <w:rPr>
                <w:rFonts w:ascii="Arial" w:cs="Arial" w:eastAsia="Arial" w:hAnsi="Arial"/>
                <w:sz w:val="17"/>
                <w:szCs w:val="17"/>
                <w:color w:val="auto"/>
                <w:w w:val="93"/>
              </w:rPr>
              <w:t>01/31/13</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10.000%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1,624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shd w:val="clear" w:color="auto" w:fill="CCEEFF"/>
          </w:tcPr>
          <w:p>
            <w:pPr>
              <w:ind w:left="420"/>
              <w:spacing w:after="0"/>
              <w:rPr>
                <w:sz w:val="20"/>
                <w:szCs w:val="20"/>
                <w:color w:val="auto"/>
              </w:rPr>
            </w:pPr>
            <w:r>
              <w:rPr>
                <w:rFonts w:ascii="Arial" w:cs="Arial" w:eastAsia="Arial" w:hAnsi="Arial"/>
                <w:sz w:val="17"/>
                <w:szCs w:val="17"/>
                <w:i w:val="1"/>
                <w:iCs w:val="1"/>
                <w:color w:val="auto"/>
              </w:rPr>
              <w:t>Unsecured variable rate</w:t>
            </w: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tcPr>
          <w:p>
            <w:pPr>
              <w:ind w:left="420"/>
              <w:spacing w:after="0"/>
              <w:rPr>
                <w:sz w:val="20"/>
                <w:szCs w:val="20"/>
                <w:color w:val="auto"/>
              </w:rPr>
            </w:pPr>
            <w:r>
              <w:rPr>
                <w:rFonts w:ascii="Arial" w:cs="Arial" w:eastAsia="Arial" w:hAnsi="Arial"/>
                <w:sz w:val="17"/>
                <w:szCs w:val="17"/>
                <w:color w:val="auto"/>
              </w:rPr>
              <w:t>Revolving credit facility</w:t>
            </w:r>
          </w:p>
        </w:tc>
        <w:tc>
          <w:tcPr>
            <w:tcW w:w="2000" w:type="dxa"/>
            <w:vAlign w:val="bottom"/>
            <w:gridSpan w:val="4"/>
          </w:tcPr>
          <w:p>
            <w:pPr>
              <w:ind w:left="160"/>
              <w:spacing w:after="0"/>
              <w:rPr>
                <w:sz w:val="20"/>
                <w:szCs w:val="20"/>
                <w:color w:val="auto"/>
              </w:rPr>
            </w:pPr>
            <w:r>
              <w:rPr>
                <w:rFonts w:ascii="Arial" w:cs="Arial" w:eastAsia="Arial" w:hAnsi="Arial"/>
                <w:sz w:val="17"/>
                <w:szCs w:val="17"/>
                <w:color w:val="auto"/>
                <w:w w:val="93"/>
              </w:rPr>
              <w:t>07/27/10  LIBOR + .425%</w:t>
            </w:r>
          </w:p>
        </w:tc>
        <w:tc>
          <w:tcPr>
            <w:tcW w:w="260" w:type="dxa"/>
            <w:vAlign w:val="bottom"/>
          </w:tcPr>
          <w:p>
            <w:pPr>
              <w:ind w:left="20"/>
              <w:spacing w:after="0"/>
              <w:rPr>
                <w:sz w:val="20"/>
                <w:szCs w:val="20"/>
                <w:color w:val="auto"/>
              </w:rPr>
            </w:pPr>
            <w:r>
              <w:rPr>
                <w:rFonts w:ascii="Arial" w:cs="Arial" w:eastAsia="Arial" w:hAnsi="Arial"/>
                <w:sz w:val="17"/>
                <w:szCs w:val="17"/>
                <w:color w:val="auto"/>
              </w:rPr>
              <w:t>(d)</w:t>
            </w: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98,000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Escondido (municipal bonds)</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3"/>
              </w:rPr>
              <w:t>10/01/16</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3.536%</w:t>
            </w:r>
          </w:p>
        </w:tc>
        <w:tc>
          <w:tcPr>
            <w:tcW w:w="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9,400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gridSpan w:val="5"/>
            <w:vMerge w:val="restart"/>
          </w:tcPr>
          <w:p>
            <w:pPr>
              <w:ind w:left="820"/>
              <w:spacing w:after="0"/>
              <w:rPr>
                <w:sz w:val="20"/>
                <w:szCs w:val="20"/>
                <w:color w:val="auto"/>
              </w:rPr>
            </w:pPr>
            <w:r>
              <w:rPr>
                <w:rFonts w:ascii="Arial" w:cs="Arial" w:eastAsia="Arial" w:hAnsi="Arial"/>
                <w:sz w:val="17"/>
                <w:szCs w:val="17"/>
                <w:color w:val="auto"/>
              </w:rPr>
              <w:t>Total notes payable</w:t>
            </w: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gridSpan w:val="5"/>
            <w:vMerge w:val="continue"/>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109,024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120" w:type="dxa"/>
            <w:vAlign w:val="bottom"/>
            <w:tcBorders>
              <w:bottom w:val="single" w:sz="8" w:color="auto"/>
            </w:tcBorders>
            <w:gridSpan w:val="4"/>
            <w:shd w:val="clear" w:color="auto" w:fill="CCEEFF"/>
          </w:tcPr>
          <w:p>
            <w:pPr>
              <w:spacing w:after="0" w:line="167" w:lineRule="exact"/>
              <w:rPr>
                <w:sz w:val="20"/>
                <w:szCs w:val="20"/>
                <w:color w:val="auto"/>
              </w:rPr>
            </w:pPr>
            <w:r>
              <w:rPr>
                <w:rFonts w:ascii="Arial" w:cs="Arial" w:eastAsia="Arial" w:hAnsi="Arial"/>
                <w:sz w:val="17"/>
                <w:szCs w:val="17"/>
                <w:color w:val="auto"/>
                <w:w w:val="86"/>
              </w:rPr>
              <w:t>Senior notes and debentures (k)</w:t>
            </w:r>
          </w:p>
        </w:tc>
        <w:tc>
          <w:tcPr>
            <w:tcW w:w="1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40" w:type="dxa"/>
            <w:vAlign w:val="bottom"/>
            <w:gridSpan w:val="5"/>
          </w:tcPr>
          <w:p>
            <w:pPr>
              <w:ind w:left="420"/>
              <w:spacing w:after="0"/>
              <w:rPr>
                <w:sz w:val="20"/>
                <w:szCs w:val="20"/>
                <w:color w:val="auto"/>
              </w:rPr>
            </w:pPr>
            <w:r>
              <w:rPr>
                <w:rFonts w:ascii="Arial" w:cs="Arial" w:eastAsia="Arial" w:hAnsi="Arial"/>
                <w:sz w:val="17"/>
                <w:szCs w:val="17"/>
                <w:i w:val="1"/>
                <w:iCs w:val="1"/>
                <w:color w:val="auto"/>
              </w:rPr>
              <w:t>Unsecured fixed rate</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6.125% notes</w:t>
            </w: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0"/>
              </w:rPr>
              <w:t>11/15/07</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6.325%</w:t>
            </w:r>
          </w:p>
        </w:tc>
        <w:tc>
          <w:tcPr>
            <w:tcW w:w="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150,000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tcPr>
          <w:p>
            <w:pPr>
              <w:ind w:left="420"/>
              <w:spacing w:after="0"/>
              <w:rPr>
                <w:sz w:val="20"/>
                <w:szCs w:val="20"/>
                <w:color w:val="auto"/>
              </w:rPr>
            </w:pPr>
            <w:r>
              <w:rPr>
                <w:rFonts w:ascii="Arial" w:cs="Arial" w:eastAsia="Arial" w:hAnsi="Arial"/>
                <w:sz w:val="17"/>
                <w:szCs w:val="17"/>
                <w:color w:val="auto"/>
              </w:rPr>
              <w:t>8.75% notes</w:t>
            </w:r>
          </w:p>
        </w:tc>
        <w:tc>
          <w:tcPr>
            <w:tcW w:w="800" w:type="dxa"/>
            <w:vAlign w:val="bottom"/>
            <w:gridSpan w:val="2"/>
          </w:tcPr>
          <w:p>
            <w:pPr>
              <w:ind w:left="160"/>
              <w:spacing w:after="0"/>
              <w:rPr>
                <w:sz w:val="20"/>
                <w:szCs w:val="20"/>
                <w:color w:val="auto"/>
              </w:rPr>
            </w:pPr>
            <w:r>
              <w:rPr>
                <w:rFonts w:ascii="Arial" w:cs="Arial" w:eastAsia="Arial" w:hAnsi="Arial"/>
                <w:sz w:val="17"/>
                <w:szCs w:val="17"/>
                <w:color w:val="auto"/>
                <w:w w:val="93"/>
              </w:rPr>
              <w:t>12/01/09</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8.750%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175,000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4.50% notes</w:t>
            </w: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0"/>
              </w:rPr>
              <w:t>02/15/11</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4.500%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75,000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tcPr>
          <w:p>
            <w:pPr>
              <w:ind w:left="420"/>
              <w:spacing w:after="0"/>
              <w:rPr>
                <w:sz w:val="20"/>
                <w:szCs w:val="20"/>
                <w:color w:val="auto"/>
              </w:rPr>
            </w:pPr>
            <w:r>
              <w:rPr>
                <w:rFonts w:ascii="Arial" w:cs="Arial" w:eastAsia="Arial" w:hAnsi="Arial"/>
                <w:sz w:val="17"/>
                <w:szCs w:val="17"/>
                <w:color w:val="auto"/>
              </w:rPr>
              <w:t>6.00% notes</w:t>
            </w:r>
          </w:p>
        </w:tc>
        <w:tc>
          <w:tcPr>
            <w:tcW w:w="800" w:type="dxa"/>
            <w:vAlign w:val="bottom"/>
            <w:gridSpan w:val="2"/>
          </w:tcPr>
          <w:p>
            <w:pPr>
              <w:ind w:left="160"/>
              <w:spacing w:after="0"/>
              <w:rPr>
                <w:sz w:val="20"/>
                <w:szCs w:val="20"/>
                <w:color w:val="auto"/>
              </w:rPr>
            </w:pPr>
            <w:r>
              <w:rPr>
                <w:rFonts w:ascii="Arial" w:cs="Arial" w:eastAsia="Arial" w:hAnsi="Arial"/>
                <w:sz w:val="17"/>
                <w:szCs w:val="17"/>
                <w:color w:val="auto"/>
                <w:w w:val="93"/>
              </w:rPr>
              <w:t>07/15/12</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6.000%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175,000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5.40% notes</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3"/>
              </w:rPr>
              <w:t>12/31/13</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5.400%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135,000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tcPr>
          <w:p>
            <w:pPr>
              <w:ind w:left="420"/>
              <w:spacing w:after="0"/>
              <w:rPr>
                <w:sz w:val="20"/>
                <w:szCs w:val="20"/>
                <w:color w:val="auto"/>
              </w:rPr>
            </w:pPr>
            <w:r>
              <w:rPr>
                <w:rFonts w:ascii="Arial" w:cs="Arial" w:eastAsia="Arial" w:hAnsi="Arial"/>
                <w:sz w:val="17"/>
                <w:szCs w:val="17"/>
                <w:color w:val="auto"/>
              </w:rPr>
              <w:t>5.65% notes</w:t>
            </w:r>
          </w:p>
        </w:tc>
        <w:tc>
          <w:tcPr>
            <w:tcW w:w="800" w:type="dxa"/>
            <w:vAlign w:val="bottom"/>
            <w:gridSpan w:val="2"/>
          </w:tcPr>
          <w:p>
            <w:pPr>
              <w:ind w:left="160"/>
              <w:spacing w:after="0"/>
              <w:rPr>
                <w:sz w:val="20"/>
                <w:szCs w:val="20"/>
                <w:color w:val="auto"/>
              </w:rPr>
            </w:pPr>
            <w:r>
              <w:rPr>
                <w:rFonts w:ascii="Arial" w:cs="Arial" w:eastAsia="Arial" w:hAnsi="Arial"/>
                <w:sz w:val="17"/>
                <w:szCs w:val="17"/>
                <w:color w:val="auto"/>
                <w:w w:val="93"/>
              </w:rPr>
              <w:t>06/01/16</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5.650%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125,000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6.20% notes</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3"/>
              </w:rPr>
              <w:t>01/15/17</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6.200%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200,000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tcPr>
          <w:p>
            <w:pPr>
              <w:ind w:left="420"/>
              <w:spacing w:after="0"/>
              <w:rPr>
                <w:sz w:val="20"/>
                <w:szCs w:val="20"/>
                <w:color w:val="auto"/>
              </w:rPr>
            </w:pPr>
            <w:r>
              <w:rPr>
                <w:rFonts w:ascii="Arial" w:cs="Arial" w:eastAsia="Arial" w:hAnsi="Arial"/>
                <w:sz w:val="17"/>
                <w:szCs w:val="17"/>
                <w:color w:val="auto"/>
              </w:rPr>
              <w:t>7.48% debentures</w:t>
            </w:r>
          </w:p>
        </w:tc>
        <w:tc>
          <w:tcPr>
            <w:tcW w:w="800" w:type="dxa"/>
            <w:vAlign w:val="bottom"/>
            <w:gridSpan w:val="2"/>
          </w:tcPr>
          <w:p>
            <w:pPr>
              <w:ind w:left="160"/>
              <w:spacing w:after="0"/>
              <w:rPr>
                <w:sz w:val="20"/>
                <w:szCs w:val="20"/>
                <w:color w:val="auto"/>
              </w:rPr>
            </w:pPr>
            <w:r>
              <w:rPr>
                <w:rFonts w:ascii="Arial" w:cs="Arial" w:eastAsia="Arial" w:hAnsi="Arial"/>
                <w:sz w:val="17"/>
                <w:szCs w:val="17"/>
                <w:color w:val="auto"/>
                <w:w w:val="93"/>
              </w:rPr>
              <w:t>08/15/26</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7.480%</w:t>
            </w:r>
          </w:p>
        </w:tc>
        <w:tc>
          <w:tcPr>
            <w:tcW w:w="260" w:type="dxa"/>
            <w:vAlign w:val="bottom"/>
          </w:tcPr>
          <w:p>
            <w:pPr>
              <w:ind w:left="20"/>
              <w:spacing w:after="0"/>
              <w:rPr>
                <w:sz w:val="20"/>
                <w:szCs w:val="20"/>
                <w:color w:val="auto"/>
              </w:rPr>
            </w:pPr>
            <w:r>
              <w:rPr>
                <w:rFonts w:ascii="Arial" w:cs="Arial" w:eastAsia="Arial" w:hAnsi="Arial"/>
                <w:sz w:val="17"/>
                <w:szCs w:val="17"/>
                <w:color w:val="auto"/>
              </w:rPr>
              <w:t>(g)</w:t>
            </w: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50,000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6.82% medium term notes</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3"/>
              </w:rPr>
              <w:t>08/01/27</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6.820%</w:t>
            </w:r>
          </w:p>
        </w:tc>
        <w:tc>
          <w:tcPr>
            <w:tcW w:w="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(h)</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40,000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gridSpan w:val="5"/>
            <w:vMerge w:val="restart"/>
          </w:tcPr>
          <w:p>
            <w:pPr>
              <w:ind w:left="420"/>
              <w:spacing w:after="0"/>
              <w:rPr>
                <w:sz w:val="20"/>
                <w:szCs w:val="20"/>
                <w:color w:val="auto"/>
              </w:rPr>
            </w:pPr>
            <w:r>
              <w:rPr>
                <w:rFonts w:ascii="Arial" w:cs="Arial" w:eastAsia="Arial" w:hAnsi="Arial"/>
                <w:sz w:val="17"/>
                <w:szCs w:val="17"/>
                <w:color w:val="auto"/>
              </w:rPr>
              <w:t>Subtotal</w:t>
            </w: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40" w:type="dxa"/>
            <w:vAlign w:val="bottom"/>
            <w:gridSpan w:val="5"/>
            <w:vMerge w:val="continue"/>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1,125,000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Net unamortized premium</w:t>
            </w: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2,508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gridSpan w:val="5"/>
            <w:vMerge w:val="restart"/>
          </w:tcPr>
          <w:p>
            <w:pPr>
              <w:ind w:left="820"/>
              <w:spacing w:after="0"/>
              <w:rPr>
                <w:sz w:val="20"/>
                <w:szCs w:val="20"/>
                <w:color w:val="auto"/>
              </w:rPr>
            </w:pPr>
            <w:r>
              <w:rPr>
                <w:rFonts w:ascii="Arial" w:cs="Arial" w:eastAsia="Arial" w:hAnsi="Arial"/>
                <w:sz w:val="17"/>
                <w:szCs w:val="17"/>
                <w:color w:val="auto"/>
                <w:w w:val="96"/>
              </w:rPr>
              <w:t>Total senior notes and debentures</w:t>
            </w: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gridSpan w:val="5"/>
            <w:vMerge w:val="continue"/>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1,127,508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340" w:type="dxa"/>
            <w:vAlign w:val="bottom"/>
            <w:gridSpan w:val="5"/>
            <w:shd w:val="clear" w:color="auto" w:fill="CCEEFF"/>
          </w:tcPr>
          <w:p>
            <w:pPr>
              <w:spacing w:after="0" w:line="167" w:lineRule="exact"/>
              <w:rPr>
                <w:sz w:val="20"/>
                <w:szCs w:val="20"/>
                <w:color w:val="auto"/>
              </w:rPr>
            </w:pPr>
            <w:r>
              <w:rPr>
                <w:rFonts w:ascii="Arial" w:cs="Arial" w:eastAsia="Arial" w:hAnsi="Arial"/>
                <w:sz w:val="17"/>
                <w:szCs w:val="17"/>
                <w:color w:val="auto"/>
              </w:rPr>
              <w:t>Capital lease obligations</w:t>
            </w: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96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3340" w:type="dxa"/>
            <w:vAlign w:val="bottom"/>
            <w:gridSpan w:val="5"/>
          </w:tcPr>
          <w:p>
            <w:pPr>
              <w:spacing w:after="0"/>
              <w:rPr>
                <w:sz w:val="20"/>
                <w:szCs w:val="20"/>
                <w:color w:val="auto"/>
              </w:rPr>
            </w:pPr>
            <w:r>
              <w:rPr>
                <w:rFonts w:ascii="Arial" w:cs="Arial" w:eastAsia="Arial" w:hAnsi="Arial"/>
                <w:sz w:val="17"/>
                <w:szCs w:val="17"/>
                <w:color w:val="auto"/>
              </w:rPr>
              <w:t>Various through 2077 (i)</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149,361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34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Total debt and capital lease obligations</w:t>
            </w: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1,696,930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8"/>
              </w:rPr>
              <w:t>Weighted average</w:t>
            </w:r>
          </w:p>
        </w:tc>
        <w:tc>
          <w:tcPr>
            <w:tcW w:w="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140"/>
              <w:spacing w:after="0" w:line="141" w:lineRule="exact"/>
              <w:rPr>
                <w:sz w:val="20"/>
                <w:szCs w:val="20"/>
                <w:color w:val="auto"/>
              </w:rPr>
            </w:pPr>
            <w:r>
              <w:rPr>
                <w:rFonts w:ascii="Arial" w:cs="Arial" w:eastAsia="Arial" w:hAnsi="Arial"/>
                <w:sz w:val="13"/>
                <w:szCs w:val="13"/>
                <w:b w:val="1"/>
                <w:bCs w:val="1"/>
                <w:color w:val="auto"/>
                <w:w w:val="88"/>
              </w:rPr>
              <w:t>effective rate at</w:t>
            </w:r>
          </w:p>
        </w:tc>
        <w:tc>
          <w:tcPr>
            <w:tcW w:w="0" w:type="dxa"/>
            <w:vAlign w:val="bottom"/>
          </w:tcPr>
          <w:p>
            <w:pPr>
              <w:spacing w:after="0"/>
              <w:rPr>
                <w:sz w:val="1"/>
                <w:szCs w:val="1"/>
                <w:color w:val="auto"/>
              </w:rPr>
            </w:pPr>
          </w:p>
        </w:tc>
      </w:tr>
      <w:tr>
        <w:trPr>
          <w:trHeight w:val="167"/>
        </w:trPr>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December 31, 2006 (j)</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340" w:type="dxa"/>
            <w:vAlign w:val="bottom"/>
            <w:gridSpan w:val="5"/>
            <w:shd w:val="clear" w:color="auto" w:fill="CCEEFF"/>
          </w:tcPr>
          <w:p>
            <w:pPr>
              <w:spacing w:after="0"/>
              <w:rPr>
                <w:sz w:val="20"/>
                <w:szCs w:val="20"/>
                <w:color w:val="auto"/>
              </w:rPr>
            </w:pPr>
            <w:r>
              <w:rPr>
                <w:rFonts w:ascii="Arial" w:cs="Arial" w:eastAsia="Arial" w:hAnsi="Arial"/>
                <w:sz w:val="17"/>
                <w:szCs w:val="17"/>
                <w:color w:val="auto"/>
                <w:w w:val="90"/>
              </w:rPr>
              <w:t>Total fixed rate debt and capital lease obligations</w:t>
            </w: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1,589,530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94 %</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6.85%</w:t>
            </w:r>
          </w:p>
        </w:tc>
        <w:tc>
          <w:tcPr>
            <w:tcW w:w="0" w:type="dxa"/>
            <w:vAlign w:val="bottom"/>
          </w:tcPr>
          <w:p>
            <w:pPr>
              <w:spacing w:after="0"/>
              <w:rPr>
                <w:sz w:val="1"/>
                <w:szCs w:val="1"/>
                <w:color w:val="auto"/>
              </w:rPr>
            </w:pPr>
          </w:p>
        </w:tc>
      </w:tr>
      <w:tr>
        <w:trPr>
          <w:trHeight w:val="206"/>
        </w:trPr>
        <w:tc>
          <w:tcPr>
            <w:tcW w:w="3340" w:type="dxa"/>
            <w:vAlign w:val="bottom"/>
            <w:gridSpan w:val="5"/>
          </w:tcPr>
          <w:p>
            <w:pPr>
              <w:spacing w:after="0"/>
              <w:rPr>
                <w:sz w:val="20"/>
                <w:szCs w:val="20"/>
                <w:color w:val="auto"/>
              </w:rPr>
            </w:pPr>
            <w:r>
              <w:rPr>
                <w:rFonts w:ascii="Arial" w:cs="Arial" w:eastAsia="Arial" w:hAnsi="Arial"/>
                <w:sz w:val="17"/>
                <w:szCs w:val="17"/>
                <w:color w:val="auto"/>
              </w:rPr>
              <w:t>Total variable rate debt</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107,400</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5.80%</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1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TOTAL DEBT AND CAPITAL LEASES OBLIGATIONS</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1,696,930</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100 %</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160" w:type="dxa"/>
            <w:vAlign w:val="bottom"/>
            <w:gridSpan w:val="3"/>
          </w:tcPr>
          <w:p>
            <w:pPr>
              <w:ind w:left="20"/>
              <w:spacing w:after="0"/>
              <w:rPr>
                <w:sz w:val="20"/>
                <w:szCs w:val="20"/>
                <w:color w:val="auto"/>
              </w:rPr>
            </w:pPr>
            <w:r>
              <w:rPr>
                <w:rFonts w:ascii="Arial" w:cs="Arial" w:eastAsia="Arial" w:hAnsi="Arial"/>
                <w:sz w:val="13"/>
                <w:szCs w:val="13"/>
                <w:b w:val="1"/>
                <w:bCs w:val="1"/>
                <w:color w:val="auto"/>
                <w:w w:val="87"/>
              </w:rPr>
              <w:t>Three months ended</w:t>
            </w:r>
          </w:p>
        </w:tc>
        <w:tc>
          <w:tcPr>
            <w:tcW w:w="100" w:type="dxa"/>
            <w:vAlign w:val="bottom"/>
          </w:tcPr>
          <w:p>
            <w:pPr>
              <w:spacing w:after="0"/>
              <w:rPr>
                <w:sz w:val="12"/>
                <w:szCs w:val="12"/>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b w:val="1"/>
                <w:bCs w:val="1"/>
                <w:color w:val="auto"/>
                <w:w w:val="86"/>
              </w:rPr>
              <w:t>Twelve months ended</w:t>
            </w:r>
          </w:p>
        </w:tc>
      </w:tr>
      <w:tr>
        <w:trPr>
          <w:trHeight w:val="154"/>
        </w:trPr>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116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122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rPr>
              <w:t>December 31,</w:t>
            </w:r>
          </w:p>
        </w:tc>
      </w:tr>
      <w:tr>
        <w:trPr>
          <w:trHeight w:val="134"/>
        </w:trPr>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520" w:type="dxa"/>
            <w:vAlign w:val="bottom"/>
          </w:tcPr>
          <w:p>
            <w:pPr>
              <w:ind w:left="140"/>
              <w:spacing w:after="0" w:line="134" w:lineRule="exact"/>
              <w:rPr>
                <w:sz w:val="20"/>
                <w:szCs w:val="20"/>
                <w:color w:val="auto"/>
              </w:rPr>
            </w:pPr>
            <w:r>
              <w:rPr>
                <w:rFonts w:ascii="Arial" w:cs="Arial" w:eastAsia="Arial" w:hAnsi="Arial"/>
                <w:sz w:val="13"/>
                <w:szCs w:val="13"/>
                <w:b w:val="1"/>
                <w:bCs w:val="1"/>
                <w:color w:val="auto"/>
              </w:rPr>
              <w:t>2006</w:t>
            </w:r>
          </w:p>
        </w:tc>
        <w:tc>
          <w:tcPr>
            <w:tcW w:w="100" w:type="dxa"/>
            <w:vAlign w:val="bottom"/>
          </w:tcPr>
          <w:p>
            <w:pPr>
              <w:spacing w:after="0"/>
              <w:rPr>
                <w:sz w:val="11"/>
                <w:szCs w:val="11"/>
                <w:color w:val="auto"/>
              </w:rPr>
            </w:pPr>
          </w:p>
        </w:tc>
        <w:tc>
          <w:tcPr>
            <w:tcW w:w="540" w:type="dxa"/>
            <w:vAlign w:val="bottom"/>
          </w:tcPr>
          <w:p>
            <w:pPr>
              <w:ind w:left="140"/>
              <w:spacing w:after="0" w:line="134" w:lineRule="exact"/>
              <w:rPr>
                <w:sz w:val="20"/>
                <w:szCs w:val="20"/>
                <w:color w:val="auto"/>
              </w:rPr>
            </w:pPr>
            <w:r>
              <w:rPr>
                <w:rFonts w:ascii="Arial" w:cs="Arial" w:eastAsia="Arial" w:hAnsi="Arial"/>
                <w:sz w:val="13"/>
                <w:szCs w:val="13"/>
                <w:b w:val="1"/>
                <w:bCs w:val="1"/>
                <w:color w:val="auto"/>
              </w:rPr>
              <w:t>2005</w:t>
            </w:r>
          </w:p>
        </w:tc>
        <w:tc>
          <w:tcPr>
            <w:tcW w:w="10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3"/>
                <w:szCs w:val="13"/>
                <w:b w:val="1"/>
                <w:bCs w:val="1"/>
                <w:color w:val="auto"/>
              </w:rPr>
              <w:t>2006</w:t>
            </w:r>
          </w:p>
        </w:tc>
        <w:tc>
          <w:tcPr>
            <w:tcW w:w="660" w:type="dxa"/>
            <w:vAlign w:val="bottom"/>
            <w:gridSpan w:val="2"/>
          </w:tcPr>
          <w:p>
            <w:pPr>
              <w:ind w:left="260"/>
              <w:spacing w:after="0" w:line="134" w:lineRule="exact"/>
              <w:rPr>
                <w:sz w:val="20"/>
                <w:szCs w:val="20"/>
                <w:color w:val="auto"/>
              </w:rPr>
            </w:pPr>
            <w:r>
              <w:rPr>
                <w:rFonts w:ascii="Arial" w:cs="Arial" w:eastAsia="Arial" w:hAnsi="Arial"/>
                <w:sz w:val="13"/>
                <w:szCs w:val="13"/>
                <w:b w:val="1"/>
                <w:bCs w:val="1"/>
                <w:color w:val="auto"/>
              </w:rPr>
              <w:t>2005</w:t>
            </w:r>
          </w:p>
        </w:tc>
      </w:tr>
      <w:tr>
        <w:trPr>
          <w:trHeight w:val="178"/>
        </w:trPr>
        <w:tc>
          <w:tcPr>
            <w:tcW w:w="1440" w:type="dxa"/>
            <w:vAlign w:val="bottom"/>
            <w:tcBorders>
              <w:bottom w:val="single" w:sz="8" w:color="auto"/>
            </w:tcBorders>
            <w:gridSpan w:val="2"/>
            <w:shd w:val="clear" w:color="auto" w:fill="CCEEFF"/>
          </w:tcPr>
          <w:p>
            <w:pPr>
              <w:spacing w:after="0" w:line="160" w:lineRule="exact"/>
              <w:rPr>
                <w:sz w:val="20"/>
                <w:szCs w:val="20"/>
                <w:color w:val="auto"/>
              </w:rPr>
            </w:pPr>
            <w:r>
              <w:rPr>
                <w:rFonts w:ascii="Arial" w:cs="Arial" w:eastAsia="Arial" w:hAnsi="Arial"/>
                <w:sz w:val="17"/>
                <w:szCs w:val="17"/>
                <w:color w:val="auto"/>
                <w:w w:val="88"/>
              </w:rPr>
              <w:t>Operational Statistics</w:t>
            </w:r>
          </w:p>
        </w:tc>
        <w:tc>
          <w:tcPr>
            <w:tcW w:w="75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06"/>
        </w:trPr>
        <w:tc>
          <w:tcPr>
            <w:tcW w:w="8940" w:type="dxa"/>
            <w:vAlign w:val="bottom"/>
            <w:gridSpan w:val="3"/>
          </w:tcPr>
          <w:p>
            <w:pPr>
              <w:ind w:left="420"/>
              <w:spacing w:after="0"/>
              <w:rPr>
                <w:sz w:val="20"/>
                <w:szCs w:val="20"/>
                <w:color w:val="auto"/>
              </w:rPr>
            </w:pPr>
            <w:r>
              <w:rPr>
                <w:rFonts w:ascii="Arial" w:cs="Arial" w:eastAsia="Arial" w:hAnsi="Arial"/>
                <w:sz w:val="17"/>
                <w:szCs w:val="17"/>
                <w:color w:val="auto"/>
              </w:rPr>
              <w:t>Ratio of EBITDA to combined fixed charges and preferred share dividends (k)</w:t>
            </w:r>
          </w:p>
        </w:tc>
        <w:tc>
          <w:tcPr>
            <w:tcW w:w="620" w:type="dxa"/>
            <w:vAlign w:val="bottom"/>
            <w:gridSpan w:val="2"/>
          </w:tcPr>
          <w:p>
            <w:pPr>
              <w:ind w:left="100"/>
              <w:spacing w:after="0"/>
              <w:rPr>
                <w:sz w:val="20"/>
                <w:szCs w:val="20"/>
                <w:color w:val="auto"/>
              </w:rPr>
            </w:pPr>
            <w:r>
              <w:rPr>
                <w:rFonts w:ascii="Arial" w:cs="Arial" w:eastAsia="Arial" w:hAnsi="Arial"/>
                <w:sz w:val="17"/>
                <w:szCs w:val="17"/>
                <w:color w:val="auto"/>
              </w:rPr>
              <w:t>2.11 x</w:t>
            </w:r>
          </w:p>
        </w:tc>
        <w:tc>
          <w:tcPr>
            <w:tcW w:w="540" w:type="dxa"/>
            <w:vAlign w:val="bottom"/>
          </w:tcPr>
          <w:p>
            <w:pPr>
              <w:ind w:left="120"/>
              <w:spacing w:after="0"/>
              <w:rPr>
                <w:sz w:val="20"/>
                <w:szCs w:val="20"/>
                <w:color w:val="auto"/>
              </w:rPr>
            </w:pPr>
            <w:r>
              <w:rPr>
                <w:rFonts w:ascii="Arial" w:cs="Arial" w:eastAsia="Arial" w:hAnsi="Arial"/>
                <w:sz w:val="17"/>
                <w:szCs w:val="17"/>
                <w:color w:val="auto"/>
                <w:w w:val="86"/>
              </w:rPr>
              <w:t>2.90 x</w:t>
            </w:r>
          </w:p>
        </w:tc>
        <w:tc>
          <w:tcPr>
            <w:tcW w:w="100" w:type="dxa"/>
            <w:vAlign w:val="bottom"/>
          </w:tcPr>
          <w:p>
            <w:pPr>
              <w:spacing w:after="0"/>
              <w:rPr>
                <w:sz w:val="17"/>
                <w:szCs w:val="17"/>
                <w:color w:val="auto"/>
              </w:rPr>
            </w:pPr>
          </w:p>
        </w:tc>
        <w:tc>
          <w:tcPr>
            <w:tcW w:w="560" w:type="dxa"/>
            <w:vAlign w:val="bottom"/>
          </w:tcPr>
          <w:p>
            <w:pPr>
              <w:ind w:left="140"/>
              <w:spacing w:after="0"/>
              <w:rPr>
                <w:sz w:val="20"/>
                <w:szCs w:val="20"/>
                <w:color w:val="auto"/>
              </w:rPr>
            </w:pPr>
            <w:r>
              <w:rPr>
                <w:rFonts w:ascii="Arial" w:cs="Arial" w:eastAsia="Arial" w:hAnsi="Arial"/>
                <w:sz w:val="17"/>
                <w:szCs w:val="17"/>
                <w:color w:val="auto"/>
                <w:w w:val="86"/>
              </w:rPr>
              <w:t>2.55 x</w:t>
            </w:r>
          </w:p>
        </w:tc>
        <w:tc>
          <w:tcPr>
            <w:tcW w:w="100" w:type="dxa"/>
            <w:vAlign w:val="bottom"/>
          </w:tcPr>
          <w:p>
            <w:pPr>
              <w:spacing w:after="0"/>
              <w:rPr>
                <w:sz w:val="17"/>
                <w:szCs w:val="17"/>
                <w:color w:val="auto"/>
              </w:rPr>
            </w:pPr>
          </w:p>
        </w:tc>
        <w:tc>
          <w:tcPr>
            <w:tcW w:w="560" w:type="dxa"/>
            <w:vAlign w:val="bottom"/>
          </w:tcPr>
          <w:p>
            <w:pPr>
              <w:ind w:left="140"/>
              <w:spacing w:after="0"/>
              <w:rPr>
                <w:sz w:val="20"/>
                <w:szCs w:val="20"/>
                <w:color w:val="auto"/>
              </w:rPr>
            </w:pPr>
            <w:r>
              <w:rPr>
                <w:rFonts w:ascii="Arial" w:cs="Arial" w:eastAsia="Arial" w:hAnsi="Arial"/>
                <w:sz w:val="17"/>
                <w:szCs w:val="17"/>
                <w:color w:val="auto"/>
                <w:w w:val="86"/>
              </w:rPr>
              <w:t>2.72 x</w:t>
            </w:r>
          </w:p>
        </w:tc>
      </w:tr>
      <w:tr>
        <w:trPr>
          <w:trHeight w:val="206"/>
        </w:trPr>
        <w:tc>
          <w:tcPr>
            <w:tcW w:w="89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Ratio of adjusted EBITDA to combined fixed charges and preferred share dividends (k)</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2.11 x</w:t>
            </w:r>
          </w:p>
        </w:tc>
        <w:tc>
          <w:tcPr>
            <w:tcW w:w="54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6"/>
              </w:rPr>
              <w:t>2.42 x</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6"/>
              </w:rPr>
              <w:t>2.36 x</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6"/>
              </w:rPr>
              <w:t>2.43 x</w:t>
            </w:r>
          </w:p>
        </w:tc>
      </w:tr>
      <w:tr>
        <w:trPr>
          <w:trHeight w:val="307"/>
        </w:trPr>
        <w:tc>
          <w:tcPr>
            <w:tcW w:w="8940" w:type="dxa"/>
            <w:vAlign w:val="bottom"/>
            <w:gridSpan w:val="3"/>
          </w:tcPr>
          <w:p>
            <w:pPr>
              <w:ind w:left="420"/>
              <w:spacing w:after="0"/>
              <w:rPr>
                <w:sz w:val="20"/>
                <w:szCs w:val="20"/>
                <w:color w:val="auto"/>
              </w:rPr>
            </w:pPr>
            <w:r>
              <w:rPr>
                <w:rFonts w:ascii="Arial" w:cs="Arial" w:eastAsia="Arial" w:hAnsi="Arial"/>
                <w:sz w:val="17"/>
                <w:szCs w:val="17"/>
                <w:color w:val="auto"/>
                <w:w w:val="97"/>
              </w:rPr>
              <w:t>Ratio of EBITDA to combined fixed charges and preferred share dividends (excluding preferred redemption costs) (l)</w:t>
            </w:r>
          </w:p>
        </w:tc>
        <w:tc>
          <w:tcPr>
            <w:tcW w:w="620" w:type="dxa"/>
            <w:vAlign w:val="bottom"/>
            <w:gridSpan w:val="2"/>
          </w:tcPr>
          <w:p>
            <w:pPr>
              <w:ind w:left="100"/>
              <w:spacing w:after="0"/>
              <w:rPr>
                <w:sz w:val="20"/>
                <w:szCs w:val="20"/>
                <w:color w:val="auto"/>
              </w:rPr>
            </w:pPr>
            <w:r>
              <w:rPr>
                <w:rFonts w:ascii="Arial" w:cs="Arial" w:eastAsia="Arial" w:hAnsi="Arial"/>
                <w:sz w:val="17"/>
                <w:szCs w:val="17"/>
                <w:color w:val="auto"/>
              </w:rPr>
              <w:t>2.43 x</w:t>
            </w:r>
          </w:p>
        </w:tc>
        <w:tc>
          <w:tcPr>
            <w:tcW w:w="540" w:type="dxa"/>
            <w:vAlign w:val="bottom"/>
          </w:tcPr>
          <w:p>
            <w:pPr>
              <w:ind w:left="120"/>
              <w:spacing w:after="0"/>
              <w:rPr>
                <w:sz w:val="20"/>
                <w:szCs w:val="20"/>
                <w:color w:val="auto"/>
              </w:rPr>
            </w:pPr>
            <w:r>
              <w:rPr>
                <w:rFonts w:ascii="Arial" w:cs="Arial" w:eastAsia="Arial" w:hAnsi="Arial"/>
                <w:sz w:val="17"/>
                <w:szCs w:val="17"/>
                <w:color w:val="auto"/>
                <w:w w:val="86"/>
              </w:rPr>
              <w:t>2.90 x</w:t>
            </w:r>
          </w:p>
        </w:tc>
        <w:tc>
          <w:tcPr>
            <w:tcW w:w="10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7"/>
                <w:szCs w:val="17"/>
                <w:color w:val="auto"/>
                <w:w w:val="86"/>
              </w:rPr>
              <w:t>2.65 x</w:t>
            </w:r>
          </w:p>
        </w:tc>
        <w:tc>
          <w:tcPr>
            <w:tcW w:w="10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7"/>
                <w:szCs w:val="17"/>
                <w:color w:val="auto"/>
                <w:w w:val="86"/>
              </w:rPr>
              <w:t>2.72 x</w:t>
            </w:r>
          </w:p>
        </w:tc>
      </w:tr>
      <w:tr>
        <w:trPr>
          <w:trHeight w:val="104"/>
        </w:trPr>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97"/>
        </w:trPr>
        <w:tc>
          <w:tcPr>
            <w:tcW w:w="89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w w:val="92"/>
              </w:rPr>
              <w:t>Ratio of adjusted EBITDA to combined fixed charges and preferred share dividends (excluding preferred redemption costs)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4"/>
        </w:trPr>
        <w:tc>
          <w:tcPr>
            <w:tcW w:w="89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(l)</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2.43 x</w:t>
            </w:r>
          </w:p>
        </w:tc>
        <w:tc>
          <w:tcPr>
            <w:tcW w:w="54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6"/>
              </w:rPr>
              <w:t>2.42 x</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6"/>
              </w:rPr>
              <w:t>2.45 x</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6"/>
              </w:rPr>
              <w:t>2.43 x</w:t>
            </w:r>
          </w:p>
        </w:tc>
      </w:tr>
      <w:tr>
        <w:trPr>
          <w:trHeight w:val="103"/>
        </w:trPr>
        <w:tc>
          <w:tcPr>
            <w:tcW w:w="9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87" w:lineRule="exact"/>
        <w:rPr>
          <w:sz w:val="20"/>
          <w:szCs w:val="20"/>
          <w:color w:val="auto"/>
        </w:rPr>
      </w:pPr>
    </w:p>
    <w:p>
      <w:pPr>
        <w:ind w:left="460" w:hanging="457"/>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Mortgage loans do not include the Trust’s 30% share ($23.2 million) of the $77.4 million debt of the partnership with Clarion Lion Properties Fund.</w:t>
      </w:r>
    </w:p>
    <w:p>
      <w:pPr>
        <w:spacing w:after="0" w:line="17" w:lineRule="exact"/>
        <w:rPr>
          <w:rFonts w:ascii="Arial" w:cs="Arial" w:eastAsia="Arial" w:hAnsi="Arial"/>
          <w:sz w:val="17"/>
          <w:szCs w:val="17"/>
          <w:color w:val="auto"/>
        </w:rPr>
      </w:pPr>
    </w:p>
    <w:p>
      <w:pPr>
        <w:ind w:left="460" w:right="80" w:hanging="457"/>
        <w:spacing w:after="0" w:line="252"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Trust acquired control of Melville Mall through a 20 year master lease and secondary financing. Since the Trust controls this property and retains substantially all of the economic benefit and risks associated with it, this property is consolidated and the mortgage loan is reflected on the balance sheet though it is not a legal obligation of the Trust.</w:t>
      </w:r>
    </w:p>
    <w:p>
      <w:pPr>
        <w:ind w:left="460" w:right="140" w:hanging="457"/>
        <w:spacing w:after="0" w:line="252"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interest rate is fixed at 5.66% for the first ten years and then will be reset to a market rate in 2013. The lender has the option to call the loan on April 15, 2013 or anytime thereafter.</w:t>
      </w:r>
    </w:p>
    <w:p>
      <w:pPr>
        <w:ind w:left="460" w:hanging="457"/>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weighted average effective rate, before amortization of debt fees, was 5.74% and 5.55% for the three and twelve months ended December 31, 2006.</w:t>
      </w:r>
    </w:p>
    <w:p>
      <w:pPr>
        <w:spacing w:after="0" w:line="21" w:lineRule="exact"/>
        <w:rPr>
          <w:rFonts w:ascii="Arial" w:cs="Arial" w:eastAsia="Arial" w:hAnsi="Arial"/>
          <w:sz w:val="16"/>
          <w:szCs w:val="16"/>
          <w:color w:val="auto"/>
        </w:rPr>
      </w:pPr>
    </w:p>
    <w:p>
      <w:pPr>
        <w:ind w:left="460" w:hanging="457"/>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bonds bear interest at a variable rate determined weekly which would enable the bonds to be remarketed at 100% of their principal amount.</w:t>
      </w:r>
    </w:p>
    <w:p>
      <w:pPr>
        <w:sectPr>
          <w:pgSz w:w="11900" w:h="16838" w:orient="portrait"/>
          <w:cols w:equalWidth="0" w:num="1">
            <w:col w:w="11420"/>
          </w:cols>
          <w:pgMar w:left="240" w:top="268" w:right="239" w:bottom="0" w:gutter="0" w:footer="0" w:header="0"/>
        </w:sectPr>
      </w:pPr>
    </w:p>
    <w:bookmarkStart w:id="17" w:name="page18"/>
    <w:bookmarkEnd w:id="17"/>
    <w:p>
      <w:pPr>
        <w:ind w:left="457" w:right="360" w:hanging="457"/>
        <w:spacing w:after="0" w:line="256" w:lineRule="auto"/>
        <w:tabs>
          <w:tab w:leader="none" w:pos="45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Trust purchased an interest rate lock to hedge this note offering. A loss of $1.5 million associated with this hedge is being amortized into the note offering thereby increasing the effective interest rate on these notes to 6.325%.</w:t>
      </w:r>
    </w:p>
    <w:p>
      <w:pPr>
        <w:spacing w:after="0" w:line="1" w:lineRule="exact"/>
        <w:rPr>
          <w:rFonts w:ascii="Arial" w:cs="Arial" w:eastAsia="Arial" w:hAnsi="Arial"/>
          <w:sz w:val="17"/>
          <w:szCs w:val="17"/>
          <w:color w:val="auto"/>
        </w:rPr>
      </w:pPr>
    </w:p>
    <w:p>
      <w:pPr>
        <w:ind w:left="457" w:hanging="457"/>
        <w:spacing w:after="0"/>
        <w:tabs>
          <w:tab w:leader="none" w:pos="457" w:val="left"/>
        </w:tabs>
        <w:numPr>
          <w:ilvl w:val="0"/>
          <w:numId w:val="11"/>
        </w:numPr>
        <w:rPr>
          <w:rFonts w:ascii="Arial" w:cs="Arial" w:eastAsia="Arial" w:hAnsi="Arial"/>
          <w:sz w:val="17"/>
          <w:szCs w:val="17"/>
          <w:color w:val="auto"/>
        </w:rPr>
      </w:pPr>
      <w:r>
        <w:rPr>
          <w:rFonts w:ascii="Arial" w:cs="Arial" w:eastAsia="Arial" w:hAnsi="Arial"/>
          <w:sz w:val="17"/>
          <w:szCs w:val="17"/>
          <w:color w:val="auto"/>
        </w:rPr>
        <w:t>Beginning on August 15, 2008, the debentures are redeemable by the holders thereof at the original purchase price of $1,000 per debenture.</w:t>
      </w:r>
    </w:p>
    <w:p>
      <w:pPr>
        <w:spacing w:after="0" w:line="10" w:lineRule="exact"/>
        <w:rPr>
          <w:rFonts w:ascii="Arial" w:cs="Arial" w:eastAsia="Arial" w:hAnsi="Arial"/>
          <w:sz w:val="17"/>
          <w:szCs w:val="17"/>
          <w:color w:val="auto"/>
        </w:rPr>
      </w:pPr>
    </w:p>
    <w:p>
      <w:pPr>
        <w:ind w:left="457" w:hanging="457"/>
        <w:spacing w:after="0"/>
        <w:tabs>
          <w:tab w:leader="none" w:pos="457" w:val="left"/>
        </w:tabs>
        <w:numPr>
          <w:ilvl w:val="0"/>
          <w:numId w:val="11"/>
        </w:numPr>
        <w:rPr>
          <w:rFonts w:ascii="Arial" w:cs="Arial" w:eastAsia="Arial" w:hAnsi="Arial"/>
          <w:sz w:val="17"/>
          <w:szCs w:val="17"/>
          <w:color w:val="auto"/>
        </w:rPr>
      </w:pPr>
      <w:r>
        <w:rPr>
          <w:rFonts w:ascii="Arial" w:cs="Arial" w:eastAsia="Arial" w:hAnsi="Arial"/>
          <w:sz w:val="17"/>
          <w:szCs w:val="17"/>
          <w:color w:val="auto"/>
        </w:rPr>
        <w:t>Beginning on August 1, 2007, the notes are redeemable by the holders thereof at the original purchase price of $1,000 per note.</w:t>
      </w:r>
    </w:p>
    <w:p>
      <w:pPr>
        <w:spacing w:after="0" w:line="10" w:lineRule="exact"/>
        <w:rPr>
          <w:rFonts w:ascii="Arial" w:cs="Arial" w:eastAsia="Arial" w:hAnsi="Arial"/>
          <w:sz w:val="17"/>
          <w:szCs w:val="17"/>
          <w:color w:val="auto"/>
        </w:rPr>
      </w:pPr>
    </w:p>
    <w:p>
      <w:pPr>
        <w:ind w:left="457" w:hanging="457"/>
        <w:spacing w:after="0" w:line="252" w:lineRule="auto"/>
        <w:tabs>
          <w:tab w:leader="none" w:pos="45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average annualized interest rate on capital lease obligations as of December 31, 2006 is 9.07% on a basis of minimum rent and 12.82% including performance-based participation.</w:t>
      </w:r>
    </w:p>
    <w:p>
      <w:pPr>
        <w:ind w:left="457" w:right="680" w:hanging="457"/>
        <w:spacing w:after="0" w:line="252" w:lineRule="auto"/>
        <w:tabs>
          <w:tab w:leader="none" w:pos="45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weighted average effective interest rate includes the amortization of any deferred financing fees, discounts and premiums, if applicable, and excludes performance-based rent on capital lease obligations.</w:t>
      </w:r>
    </w:p>
    <w:p>
      <w:pPr>
        <w:ind w:left="457" w:hanging="457"/>
        <w:spacing w:after="0" w:line="252" w:lineRule="auto"/>
        <w:tabs>
          <w:tab w:leader="none" w:pos="457"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Fixed charges consist of interest on borrowed funds (including capitalized interest), amortization of debt discount or premium and expense and the portion of rent expense representing an interest factor. Preferred share dividends consist of dividends paid on outstanding Series B preferred shares and preferred share redemption costs. Adjusted EBITDA is reconciled to net income in the Glossary of Terms.</w:t>
      </w:r>
    </w:p>
    <w:p>
      <w:pPr>
        <w:ind w:left="457" w:right="140" w:hanging="457"/>
        <w:spacing w:after="0" w:line="258" w:lineRule="auto"/>
        <w:tabs>
          <w:tab w:leader="none" w:pos="457"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Fixed charges consist of interest on borrowed funds (including capitalized interest), amortization of debt discount or premium and expense and the portion of rent expense representing an interest factor. Preferred share dividends consist of dividends paid on outstanding Series B preferred shares excluding preferred share redemption costs. Adjusted EBITDA is reconciled to net income in the Glossary of Terms.</w:t>
      </w:r>
    </w:p>
    <w:p>
      <w:pPr>
        <w:sectPr>
          <w:pgSz w:w="11900" w:h="16838" w:orient="portrait"/>
          <w:cols w:equalWidth="0" w:num="1">
            <w:col w:w="11397"/>
          </w:cols>
          <w:pgMar w:left="243" w:top="131" w:right="25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Debt Maturities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DEBT MATURITIES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Cumulative</w:t>
            </w:r>
          </w:p>
        </w:tc>
        <w:tc>
          <w:tcPr>
            <w:tcW w:w="0" w:type="dxa"/>
            <w:vAlign w:val="bottom"/>
          </w:tcPr>
          <w:p>
            <w:pPr>
              <w:spacing w:after="0"/>
              <w:rPr>
                <w:sz w:val="1"/>
                <w:szCs w:val="1"/>
                <w:color w:val="auto"/>
              </w:rPr>
            </w:pPr>
          </w:p>
        </w:tc>
      </w:tr>
      <w:tr>
        <w:trPr>
          <w:trHeight w:val="141"/>
        </w:trPr>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Scheduled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20" w:type="dxa"/>
            <w:vAlign w:val="bottom"/>
            <w:gridSpan w:val="2"/>
          </w:tcPr>
          <w:p>
            <w:pPr>
              <w:jc w:val="right"/>
              <w:ind w:right="1540"/>
              <w:spacing w:after="0" w:line="141" w:lineRule="exact"/>
              <w:rPr>
                <w:sz w:val="20"/>
                <w:szCs w:val="20"/>
                <w:color w:val="auto"/>
              </w:rPr>
            </w:pPr>
            <w:r>
              <w:rPr>
                <w:rFonts w:ascii="Arial" w:cs="Arial" w:eastAsia="Arial" w:hAnsi="Arial"/>
                <w:sz w:val="13"/>
                <w:szCs w:val="13"/>
                <w:b w:val="1"/>
                <w:bCs w:val="1"/>
                <w:color w:val="auto"/>
              </w:rPr>
              <w:t>Percent of</w:t>
            </w:r>
          </w:p>
        </w:tc>
        <w:tc>
          <w:tcPr>
            <w:tcW w:w="980" w:type="dxa"/>
            <w:vAlign w:val="bottom"/>
            <w:gridSpan w:val="2"/>
          </w:tcPr>
          <w:p>
            <w:pPr>
              <w:jc w:val="center"/>
              <w:ind w:right="140"/>
              <w:spacing w:after="0" w:line="141" w:lineRule="exact"/>
              <w:rPr>
                <w:sz w:val="20"/>
                <w:szCs w:val="20"/>
                <w:color w:val="auto"/>
              </w:rPr>
            </w:pPr>
            <w:r>
              <w:rPr>
                <w:rFonts w:ascii="Arial" w:cs="Arial" w:eastAsia="Arial" w:hAnsi="Arial"/>
                <w:sz w:val="13"/>
                <w:szCs w:val="13"/>
                <w:b w:val="1"/>
                <w:bCs w:val="1"/>
                <w:color w:val="auto"/>
                <w:w w:val="88"/>
              </w:rPr>
              <w:t>Percent of</w:t>
            </w:r>
          </w:p>
        </w:tc>
        <w:tc>
          <w:tcPr>
            <w:tcW w:w="0" w:type="dxa"/>
            <w:vAlign w:val="bottom"/>
          </w:tcPr>
          <w:p>
            <w:pPr>
              <w:spacing w:after="0"/>
              <w:rPr>
                <w:sz w:val="1"/>
                <w:szCs w:val="1"/>
                <w:color w:val="auto"/>
              </w:rPr>
            </w:pPr>
          </w:p>
        </w:tc>
      </w:tr>
      <w:tr>
        <w:trPr>
          <w:trHeight w:val="154"/>
        </w:trPr>
        <w:tc>
          <w:tcPr>
            <w:tcW w:w="700" w:type="dxa"/>
            <w:vAlign w:val="bottom"/>
          </w:tcPr>
          <w:p>
            <w:pPr>
              <w:jc w:val="right"/>
              <w:ind w:right="138"/>
              <w:spacing w:after="0"/>
              <w:rPr>
                <w:sz w:val="20"/>
                <w:szCs w:val="20"/>
                <w:color w:val="auto"/>
              </w:rPr>
            </w:pPr>
            <w:r>
              <w:rPr>
                <w:rFonts w:ascii="Arial" w:cs="Arial" w:eastAsia="Arial" w:hAnsi="Arial"/>
                <w:sz w:val="13"/>
                <w:szCs w:val="13"/>
                <w:b w:val="1"/>
                <w:bCs w:val="1"/>
                <w:color w:val="auto"/>
              </w:rPr>
              <w:t>Year</w:t>
            </w:r>
          </w:p>
        </w:tc>
        <w:tc>
          <w:tcPr>
            <w:tcW w:w="1260" w:type="dxa"/>
            <w:vAlign w:val="bottom"/>
            <w:gridSpan w:val="2"/>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w w:val="90"/>
              </w:rPr>
              <w:t>Amortization</w:t>
            </w:r>
          </w:p>
        </w:tc>
        <w:tc>
          <w:tcPr>
            <w:tcW w:w="126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w w:val="93"/>
              </w:rPr>
              <w:t>Maturities (1)</w:t>
            </w: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b w:val="1"/>
                <w:bCs w:val="1"/>
                <w:color w:val="auto"/>
              </w:rPr>
              <w:t>Total</w:t>
            </w:r>
          </w:p>
        </w:tc>
        <w:tc>
          <w:tcPr>
            <w:tcW w:w="1480" w:type="dxa"/>
            <w:vAlign w:val="bottom"/>
          </w:tcPr>
          <w:p>
            <w:pPr>
              <w:spacing w:after="0"/>
              <w:rPr>
                <w:sz w:val="13"/>
                <w:szCs w:val="13"/>
                <w:color w:val="auto"/>
              </w:rPr>
            </w:pPr>
          </w:p>
        </w:tc>
        <w:tc>
          <w:tcPr>
            <w:tcW w:w="2220" w:type="dxa"/>
            <w:vAlign w:val="bottom"/>
            <w:gridSpan w:val="2"/>
          </w:tcPr>
          <w:p>
            <w:pPr>
              <w:jc w:val="right"/>
              <w:ind w:right="1400"/>
              <w:spacing w:after="0"/>
              <w:rPr>
                <w:sz w:val="20"/>
                <w:szCs w:val="20"/>
                <w:color w:val="auto"/>
              </w:rPr>
            </w:pPr>
            <w:r>
              <w:rPr>
                <w:rFonts w:ascii="Arial" w:cs="Arial" w:eastAsia="Arial" w:hAnsi="Arial"/>
                <w:sz w:val="13"/>
                <w:szCs w:val="13"/>
                <w:b w:val="1"/>
                <w:bCs w:val="1"/>
                <w:color w:val="auto"/>
                <w:w w:val="91"/>
              </w:rPr>
              <w:t>Debt Maturing</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Debt Maturing</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2007</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6,312</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6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40" w:type="dxa"/>
            <w:vAlign w:val="bottom"/>
            <w:gridSpan w:val="2"/>
            <w:shd w:val="clear" w:color="auto" w:fill="CCEEFF"/>
          </w:tcPr>
          <w:p>
            <w:pPr>
              <w:jc w:val="right"/>
              <w:ind w:right="1480"/>
              <w:spacing w:after="0"/>
              <w:rPr>
                <w:sz w:val="20"/>
                <w:szCs w:val="20"/>
                <w:color w:val="auto"/>
              </w:rPr>
            </w:pPr>
            <w:r>
              <w:rPr>
                <w:rFonts w:ascii="Arial" w:cs="Arial" w:eastAsia="Arial" w:hAnsi="Arial"/>
                <w:sz w:val="17"/>
                <w:szCs w:val="17"/>
                <w:color w:val="auto"/>
              </w:rPr>
              <w:t>156,312</w:t>
            </w:r>
          </w:p>
        </w:tc>
        <w:tc>
          <w:tcPr>
            <w:tcW w:w="2220" w:type="dxa"/>
            <w:vAlign w:val="bottom"/>
            <w:gridSpan w:val="2"/>
            <w:shd w:val="clear" w:color="auto" w:fill="CCEEFF"/>
          </w:tcPr>
          <w:p>
            <w:pPr>
              <w:jc w:val="right"/>
              <w:ind w:right="1260"/>
              <w:spacing w:after="0"/>
              <w:rPr>
                <w:sz w:val="20"/>
                <w:szCs w:val="20"/>
                <w:color w:val="auto"/>
              </w:rPr>
            </w:pPr>
            <w:r>
              <w:rPr>
                <w:rFonts w:ascii="Arial" w:cs="Arial" w:eastAsia="Arial" w:hAnsi="Arial"/>
                <w:sz w:val="17"/>
                <w:szCs w:val="17"/>
                <w:color w:val="auto"/>
              </w:rPr>
              <w:t>9.2%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6"/>
        </w:trPr>
        <w:tc>
          <w:tcPr>
            <w:tcW w:w="700" w:type="dxa"/>
            <w:vAlign w:val="bottom"/>
          </w:tcPr>
          <w:p>
            <w:pPr>
              <w:jc w:val="right"/>
              <w:spacing w:after="0"/>
              <w:rPr>
                <w:sz w:val="20"/>
                <w:szCs w:val="20"/>
                <w:color w:val="auto"/>
              </w:rPr>
            </w:pPr>
            <w:r>
              <w:rPr>
                <w:rFonts w:ascii="Arial" w:cs="Arial" w:eastAsia="Arial" w:hAnsi="Arial"/>
                <w:sz w:val="17"/>
                <w:szCs w:val="17"/>
                <w:color w:val="auto"/>
              </w:rPr>
              <w:t>2008</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7,175</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9,542</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gridSpan w:val="2"/>
          </w:tcPr>
          <w:p>
            <w:pPr>
              <w:jc w:val="right"/>
              <w:ind w:right="1480"/>
              <w:spacing w:after="0"/>
              <w:rPr>
                <w:sz w:val="20"/>
                <w:szCs w:val="20"/>
                <w:color w:val="auto"/>
              </w:rPr>
            </w:pPr>
            <w:r>
              <w:rPr>
                <w:rFonts w:ascii="Arial" w:cs="Arial" w:eastAsia="Arial" w:hAnsi="Arial"/>
                <w:sz w:val="17"/>
                <w:szCs w:val="17"/>
                <w:color w:val="auto"/>
              </w:rPr>
              <w:t>16,717</w:t>
            </w:r>
          </w:p>
        </w:tc>
        <w:tc>
          <w:tcPr>
            <w:tcW w:w="2220" w:type="dxa"/>
            <w:vAlign w:val="bottom"/>
            <w:gridSpan w:val="2"/>
          </w:tcPr>
          <w:p>
            <w:pPr>
              <w:jc w:val="right"/>
              <w:ind w:right="1260"/>
              <w:spacing w:after="0"/>
              <w:rPr>
                <w:sz w:val="20"/>
                <w:szCs w:val="20"/>
                <w:color w:val="auto"/>
              </w:rPr>
            </w:pPr>
            <w:r>
              <w:rPr>
                <w:rFonts w:ascii="Arial" w:cs="Arial" w:eastAsia="Arial" w:hAnsi="Arial"/>
                <w:sz w:val="17"/>
                <w:szCs w:val="17"/>
                <w:color w:val="auto"/>
              </w:rPr>
              <w:t>1.0%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6"/>
        </w:trPr>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2009</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7,596</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179,349</w:t>
            </w: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right"/>
              <w:ind w:right="1480"/>
              <w:spacing w:after="0"/>
              <w:rPr>
                <w:sz w:val="20"/>
                <w:szCs w:val="20"/>
                <w:color w:val="auto"/>
              </w:rPr>
            </w:pPr>
            <w:r>
              <w:rPr>
                <w:rFonts w:ascii="Arial" w:cs="Arial" w:eastAsia="Arial" w:hAnsi="Arial"/>
                <w:sz w:val="17"/>
                <w:szCs w:val="17"/>
                <w:color w:val="auto"/>
              </w:rPr>
              <w:t>186,945</w:t>
            </w:r>
          </w:p>
        </w:tc>
        <w:tc>
          <w:tcPr>
            <w:tcW w:w="2220" w:type="dxa"/>
            <w:vAlign w:val="bottom"/>
            <w:gridSpan w:val="2"/>
            <w:shd w:val="clear" w:color="auto" w:fill="CCEEFF"/>
          </w:tcPr>
          <w:p>
            <w:pPr>
              <w:jc w:val="right"/>
              <w:ind w:right="1260"/>
              <w:spacing w:after="0"/>
              <w:rPr>
                <w:sz w:val="20"/>
                <w:szCs w:val="20"/>
                <w:color w:val="auto"/>
              </w:rPr>
            </w:pPr>
            <w:r>
              <w:rPr>
                <w:rFonts w:ascii="Arial" w:cs="Arial" w:eastAsia="Arial" w:hAnsi="Arial"/>
                <w:sz w:val="17"/>
                <w:szCs w:val="17"/>
                <w:color w:val="auto"/>
              </w:rPr>
              <w:t>11.0%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6"/>
        </w:trPr>
        <w:tc>
          <w:tcPr>
            <w:tcW w:w="700" w:type="dxa"/>
            <w:vAlign w:val="bottom"/>
          </w:tcPr>
          <w:p>
            <w:pPr>
              <w:jc w:val="right"/>
              <w:spacing w:after="0"/>
              <w:rPr>
                <w:sz w:val="20"/>
                <w:szCs w:val="20"/>
                <w:color w:val="auto"/>
              </w:rPr>
            </w:pPr>
            <w:r>
              <w:rPr>
                <w:rFonts w:ascii="Arial" w:cs="Arial" w:eastAsia="Arial" w:hAnsi="Arial"/>
                <w:sz w:val="17"/>
                <w:szCs w:val="17"/>
                <w:color w:val="auto"/>
              </w:rPr>
              <w:t>2010</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8,151</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98,000</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gridSpan w:val="2"/>
          </w:tcPr>
          <w:p>
            <w:pPr>
              <w:jc w:val="right"/>
              <w:ind w:right="1280"/>
              <w:spacing w:after="0"/>
              <w:rPr>
                <w:sz w:val="20"/>
                <w:szCs w:val="20"/>
                <w:color w:val="auto"/>
              </w:rPr>
            </w:pPr>
            <w:r>
              <w:rPr>
                <w:rFonts w:ascii="Arial" w:cs="Arial" w:eastAsia="Arial" w:hAnsi="Arial"/>
                <w:sz w:val="17"/>
                <w:szCs w:val="17"/>
                <w:color w:val="auto"/>
              </w:rPr>
              <w:t>106,151(1)</w:t>
            </w:r>
          </w:p>
        </w:tc>
        <w:tc>
          <w:tcPr>
            <w:tcW w:w="2220" w:type="dxa"/>
            <w:vAlign w:val="bottom"/>
            <w:gridSpan w:val="2"/>
          </w:tcPr>
          <w:p>
            <w:pPr>
              <w:jc w:val="right"/>
              <w:ind w:right="1260"/>
              <w:spacing w:after="0"/>
              <w:rPr>
                <w:sz w:val="20"/>
                <w:szCs w:val="20"/>
                <w:color w:val="auto"/>
              </w:rPr>
            </w:pPr>
            <w:r>
              <w:rPr>
                <w:rFonts w:ascii="Arial" w:cs="Arial" w:eastAsia="Arial" w:hAnsi="Arial"/>
                <w:sz w:val="17"/>
                <w:szCs w:val="17"/>
                <w:color w:val="auto"/>
              </w:rPr>
              <w:t>6.3%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06"/>
        </w:trPr>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2011</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8,305</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112,252</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right"/>
              <w:ind w:right="1480"/>
              <w:spacing w:after="0"/>
              <w:rPr>
                <w:sz w:val="20"/>
                <w:szCs w:val="20"/>
                <w:color w:val="auto"/>
              </w:rPr>
            </w:pPr>
            <w:r>
              <w:rPr>
                <w:rFonts w:ascii="Arial" w:cs="Arial" w:eastAsia="Arial" w:hAnsi="Arial"/>
                <w:sz w:val="17"/>
                <w:szCs w:val="17"/>
                <w:color w:val="auto"/>
              </w:rPr>
              <w:t>120,557</w:t>
            </w:r>
          </w:p>
        </w:tc>
        <w:tc>
          <w:tcPr>
            <w:tcW w:w="2220" w:type="dxa"/>
            <w:vAlign w:val="bottom"/>
            <w:gridSpan w:val="2"/>
            <w:shd w:val="clear" w:color="auto" w:fill="CCEEFF"/>
          </w:tcPr>
          <w:p>
            <w:pPr>
              <w:jc w:val="right"/>
              <w:ind w:right="1260"/>
              <w:spacing w:after="0"/>
              <w:rPr>
                <w:sz w:val="20"/>
                <w:szCs w:val="20"/>
                <w:color w:val="auto"/>
              </w:rPr>
            </w:pPr>
            <w:r>
              <w:rPr>
                <w:rFonts w:ascii="Arial" w:cs="Arial" w:eastAsia="Arial" w:hAnsi="Arial"/>
                <w:sz w:val="17"/>
                <w:szCs w:val="17"/>
                <w:color w:val="auto"/>
              </w:rPr>
              <w:t>7.1%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206"/>
        </w:trPr>
        <w:tc>
          <w:tcPr>
            <w:tcW w:w="700" w:type="dxa"/>
            <w:vAlign w:val="bottom"/>
          </w:tcPr>
          <w:p>
            <w:pPr>
              <w:jc w:val="right"/>
              <w:spacing w:after="0"/>
              <w:rPr>
                <w:sz w:val="20"/>
                <w:szCs w:val="20"/>
                <w:color w:val="auto"/>
              </w:rPr>
            </w:pPr>
            <w:r>
              <w:rPr>
                <w:rFonts w:ascii="Arial" w:cs="Arial" w:eastAsia="Arial" w:hAnsi="Arial"/>
                <w:sz w:val="17"/>
                <w:szCs w:val="17"/>
                <w:color w:val="auto"/>
              </w:rPr>
              <w:t>2012</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8,436</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175,000</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gridSpan w:val="2"/>
          </w:tcPr>
          <w:p>
            <w:pPr>
              <w:jc w:val="right"/>
              <w:ind w:right="1480"/>
              <w:spacing w:after="0"/>
              <w:rPr>
                <w:sz w:val="20"/>
                <w:szCs w:val="20"/>
                <w:color w:val="auto"/>
              </w:rPr>
            </w:pPr>
            <w:r>
              <w:rPr>
                <w:rFonts w:ascii="Arial" w:cs="Arial" w:eastAsia="Arial" w:hAnsi="Arial"/>
                <w:sz w:val="17"/>
                <w:szCs w:val="17"/>
                <w:color w:val="auto"/>
              </w:rPr>
              <w:t>183,436</w:t>
            </w:r>
          </w:p>
        </w:tc>
        <w:tc>
          <w:tcPr>
            <w:tcW w:w="2220" w:type="dxa"/>
            <w:vAlign w:val="bottom"/>
            <w:gridSpan w:val="2"/>
          </w:tcPr>
          <w:p>
            <w:pPr>
              <w:jc w:val="right"/>
              <w:ind w:right="1260"/>
              <w:spacing w:after="0"/>
              <w:rPr>
                <w:sz w:val="20"/>
                <w:szCs w:val="20"/>
                <w:color w:val="auto"/>
              </w:rPr>
            </w:pPr>
            <w:r>
              <w:rPr>
                <w:rFonts w:ascii="Arial" w:cs="Arial" w:eastAsia="Arial" w:hAnsi="Arial"/>
                <w:sz w:val="17"/>
                <w:szCs w:val="17"/>
                <w:color w:val="auto"/>
              </w:rPr>
              <w:t>10.8%</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45.4%</w:t>
            </w:r>
          </w:p>
        </w:tc>
        <w:tc>
          <w:tcPr>
            <w:tcW w:w="0" w:type="dxa"/>
            <w:vAlign w:val="bottom"/>
          </w:tcPr>
          <w:p>
            <w:pPr>
              <w:spacing w:after="0"/>
              <w:rPr>
                <w:sz w:val="1"/>
                <w:szCs w:val="1"/>
                <w:color w:val="auto"/>
              </w:rPr>
            </w:pPr>
          </w:p>
        </w:tc>
      </w:tr>
      <w:tr>
        <w:trPr>
          <w:trHeight w:val="206"/>
        </w:trPr>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8,560</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154,156</w:t>
            </w: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right"/>
              <w:ind w:right="1480"/>
              <w:spacing w:after="0"/>
              <w:rPr>
                <w:sz w:val="20"/>
                <w:szCs w:val="20"/>
                <w:color w:val="auto"/>
              </w:rPr>
            </w:pPr>
            <w:r>
              <w:rPr>
                <w:rFonts w:ascii="Arial" w:cs="Arial" w:eastAsia="Arial" w:hAnsi="Arial"/>
                <w:sz w:val="17"/>
                <w:szCs w:val="17"/>
                <w:color w:val="auto"/>
              </w:rPr>
              <w:t>162,716</w:t>
            </w:r>
          </w:p>
        </w:tc>
        <w:tc>
          <w:tcPr>
            <w:tcW w:w="2220" w:type="dxa"/>
            <w:vAlign w:val="bottom"/>
            <w:gridSpan w:val="2"/>
            <w:shd w:val="clear" w:color="auto" w:fill="CCEEFF"/>
          </w:tcPr>
          <w:p>
            <w:pPr>
              <w:jc w:val="right"/>
              <w:ind w:right="1260"/>
              <w:spacing w:after="0"/>
              <w:rPr>
                <w:sz w:val="20"/>
                <w:szCs w:val="20"/>
                <w:color w:val="auto"/>
              </w:rPr>
            </w:pPr>
            <w:r>
              <w:rPr>
                <w:rFonts w:ascii="Arial" w:cs="Arial" w:eastAsia="Arial" w:hAnsi="Arial"/>
                <w:sz w:val="17"/>
                <w:szCs w:val="17"/>
                <w:color w:val="auto"/>
              </w:rPr>
              <w:t>9.6%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06"/>
        </w:trPr>
        <w:tc>
          <w:tcPr>
            <w:tcW w:w="700" w:type="dxa"/>
            <w:vAlign w:val="bottom"/>
          </w:tcPr>
          <w:p>
            <w:pPr>
              <w:jc w:val="right"/>
              <w:spacing w:after="0"/>
              <w:rPr>
                <w:sz w:val="20"/>
                <w:szCs w:val="20"/>
                <w:color w:val="auto"/>
              </w:rPr>
            </w:pPr>
            <w:r>
              <w:rPr>
                <w:rFonts w:ascii="Arial" w:cs="Arial" w:eastAsia="Arial" w:hAnsi="Arial"/>
                <w:sz w:val="17"/>
                <w:szCs w:val="17"/>
                <w:color w:val="auto"/>
              </w:rPr>
              <w:t>2014</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8,612</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20,127</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gridSpan w:val="2"/>
          </w:tcPr>
          <w:p>
            <w:pPr>
              <w:jc w:val="right"/>
              <w:ind w:right="1480"/>
              <w:spacing w:after="0"/>
              <w:rPr>
                <w:sz w:val="20"/>
                <w:szCs w:val="20"/>
                <w:color w:val="auto"/>
              </w:rPr>
            </w:pPr>
            <w:r>
              <w:rPr>
                <w:rFonts w:ascii="Arial" w:cs="Arial" w:eastAsia="Arial" w:hAnsi="Arial"/>
                <w:sz w:val="17"/>
                <w:szCs w:val="17"/>
                <w:color w:val="auto"/>
              </w:rPr>
              <w:t>28,739</w:t>
            </w:r>
          </w:p>
        </w:tc>
        <w:tc>
          <w:tcPr>
            <w:tcW w:w="2220" w:type="dxa"/>
            <w:vAlign w:val="bottom"/>
            <w:gridSpan w:val="2"/>
          </w:tcPr>
          <w:p>
            <w:pPr>
              <w:jc w:val="right"/>
              <w:ind w:right="1260"/>
              <w:spacing w:after="0"/>
              <w:rPr>
                <w:sz w:val="20"/>
                <w:szCs w:val="20"/>
                <w:color w:val="auto"/>
              </w:rPr>
            </w:pPr>
            <w:r>
              <w:rPr>
                <w:rFonts w:ascii="Arial" w:cs="Arial" w:eastAsia="Arial" w:hAnsi="Arial"/>
                <w:sz w:val="17"/>
                <w:szCs w:val="17"/>
                <w:color w:val="auto"/>
              </w:rPr>
              <w:t>1.7%</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56.7%</w:t>
            </w:r>
          </w:p>
        </w:tc>
        <w:tc>
          <w:tcPr>
            <w:tcW w:w="0" w:type="dxa"/>
            <w:vAlign w:val="bottom"/>
          </w:tcPr>
          <w:p>
            <w:pPr>
              <w:spacing w:after="0"/>
              <w:rPr>
                <w:sz w:val="1"/>
                <w:szCs w:val="1"/>
                <w:color w:val="auto"/>
              </w:rPr>
            </w:pPr>
          </w:p>
        </w:tc>
      </w:tr>
      <w:tr>
        <w:trPr>
          <w:trHeight w:val="206"/>
        </w:trPr>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7,744</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145,807</w:t>
            </w: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right"/>
              <w:ind w:right="1480"/>
              <w:spacing w:after="0"/>
              <w:rPr>
                <w:sz w:val="20"/>
                <w:szCs w:val="20"/>
                <w:color w:val="auto"/>
              </w:rPr>
            </w:pPr>
            <w:r>
              <w:rPr>
                <w:rFonts w:ascii="Arial" w:cs="Arial" w:eastAsia="Arial" w:hAnsi="Arial"/>
                <w:sz w:val="17"/>
                <w:szCs w:val="17"/>
                <w:color w:val="auto"/>
              </w:rPr>
              <w:t>153,551</w:t>
            </w:r>
          </w:p>
        </w:tc>
        <w:tc>
          <w:tcPr>
            <w:tcW w:w="2220" w:type="dxa"/>
            <w:vAlign w:val="bottom"/>
            <w:gridSpan w:val="2"/>
            <w:shd w:val="clear" w:color="auto" w:fill="CCEEFF"/>
          </w:tcPr>
          <w:p>
            <w:pPr>
              <w:jc w:val="right"/>
              <w:ind w:right="1260"/>
              <w:spacing w:after="0"/>
              <w:rPr>
                <w:sz w:val="20"/>
                <w:szCs w:val="20"/>
                <w:color w:val="auto"/>
              </w:rPr>
            </w:pPr>
            <w:r>
              <w:rPr>
                <w:rFonts w:ascii="Arial" w:cs="Arial" w:eastAsia="Arial" w:hAnsi="Arial"/>
                <w:sz w:val="17"/>
                <w:szCs w:val="17"/>
                <w:color w:val="auto"/>
              </w:rPr>
              <w:t>9.1%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0" w:type="dxa"/>
            <w:vAlign w:val="bottom"/>
          </w:tcPr>
          <w:p>
            <w:pPr>
              <w:spacing w:after="0"/>
              <w:rPr>
                <w:sz w:val="1"/>
                <w:szCs w:val="1"/>
                <w:color w:val="auto"/>
              </w:rPr>
            </w:pPr>
          </w:p>
        </w:tc>
      </w:tr>
      <w:tr>
        <w:trPr>
          <w:trHeight w:val="206"/>
        </w:trPr>
        <w:tc>
          <w:tcPr>
            <w:tcW w:w="700" w:type="dxa"/>
            <w:vAlign w:val="bottom"/>
          </w:tcPr>
          <w:p>
            <w:pPr>
              <w:jc w:val="right"/>
              <w:spacing w:after="0"/>
              <w:rPr>
                <w:sz w:val="20"/>
                <w:szCs w:val="20"/>
                <w:color w:val="auto"/>
              </w:rPr>
            </w:pPr>
            <w:r>
              <w:rPr>
                <w:rFonts w:ascii="Arial" w:cs="Arial" w:eastAsia="Arial" w:hAnsi="Arial"/>
                <w:sz w:val="17"/>
                <w:szCs w:val="17"/>
                <w:color w:val="auto"/>
              </w:rPr>
              <w:t>2016</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4,010</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134,400</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gridSpan w:val="2"/>
          </w:tcPr>
          <w:p>
            <w:pPr>
              <w:jc w:val="right"/>
              <w:ind w:right="1480"/>
              <w:spacing w:after="0"/>
              <w:rPr>
                <w:sz w:val="20"/>
                <w:szCs w:val="20"/>
                <w:color w:val="auto"/>
              </w:rPr>
            </w:pPr>
            <w:r>
              <w:rPr>
                <w:rFonts w:ascii="Arial" w:cs="Arial" w:eastAsia="Arial" w:hAnsi="Arial"/>
                <w:sz w:val="17"/>
                <w:szCs w:val="17"/>
                <w:color w:val="auto"/>
              </w:rPr>
              <w:t>138,410</w:t>
            </w:r>
          </w:p>
        </w:tc>
        <w:tc>
          <w:tcPr>
            <w:tcW w:w="2220" w:type="dxa"/>
            <w:vAlign w:val="bottom"/>
            <w:gridSpan w:val="2"/>
          </w:tcPr>
          <w:p>
            <w:pPr>
              <w:jc w:val="right"/>
              <w:ind w:right="1260"/>
              <w:spacing w:after="0"/>
              <w:rPr>
                <w:sz w:val="20"/>
                <w:szCs w:val="20"/>
                <w:color w:val="auto"/>
              </w:rPr>
            </w:pPr>
            <w:r>
              <w:rPr>
                <w:rFonts w:ascii="Arial" w:cs="Arial" w:eastAsia="Arial" w:hAnsi="Arial"/>
                <w:sz w:val="17"/>
                <w:szCs w:val="17"/>
                <w:color w:val="auto"/>
              </w:rPr>
              <w:t>8.2%</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74.0%</w:t>
            </w:r>
          </w:p>
        </w:tc>
        <w:tc>
          <w:tcPr>
            <w:tcW w:w="0" w:type="dxa"/>
            <w:vAlign w:val="bottom"/>
          </w:tcPr>
          <w:p>
            <w:pPr>
              <w:spacing w:after="0"/>
              <w:rPr>
                <w:sz w:val="1"/>
                <w:szCs w:val="1"/>
                <w:color w:val="auto"/>
              </w:rPr>
            </w:pPr>
          </w:p>
        </w:tc>
      </w:tr>
      <w:tr>
        <w:trPr>
          <w:trHeight w:val="206"/>
        </w:trPr>
        <w:tc>
          <w:tcPr>
            <w:tcW w:w="1960" w:type="dxa"/>
            <w:vAlign w:val="bottom"/>
            <w:gridSpan w:val="3"/>
            <w:shd w:val="clear" w:color="auto" w:fill="CCEEFF"/>
          </w:tcPr>
          <w:p>
            <w:pPr>
              <w:jc w:val="right"/>
              <w:ind w:right="1260"/>
              <w:spacing w:after="0"/>
              <w:rPr>
                <w:sz w:val="20"/>
                <w:szCs w:val="20"/>
                <w:color w:val="auto"/>
              </w:rPr>
            </w:pPr>
            <w:r>
              <w:rPr>
                <w:rFonts w:ascii="Arial" w:cs="Arial" w:eastAsia="Arial" w:hAnsi="Arial"/>
                <w:sz w:val="17"/>
                <w:szCs w:val="17"/>
                <w:color w:val="auto"/>
                <w:w w:val="86"/>
              </w:rPr>
              <w:t>Thereafter</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150,873</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290,051</w:t>
            </w: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right"/>
              <w:ind w:right="1480"/>
              <w:spacing w:after="0"/>
              <w:rPr>
                <w:sz w:val="20"/>
                <w:szCs w:val="20"/>
                <w:color w:val="auto"/>
              </w:rPr>
            </w:pPr>
            <w:r>
              <w:rPr>
                <w:rFonts w:ascii="Arial" w:cs="Arial" w:eastAsia="Arial" w:hAnsi="Arial"/>
                <w:sz w:val="17"/>
                <w:szCs w:val="17"/>
                <w:color w:val="auto"/>
              </w:rPr>
              <w:t>440,924</w:t>
            </w:r>
          </w:p>
        </w:tc>
        <w:tc>
          <w:tcPr>
            <w:tcW w:w="2220" w:type="dxa"/>
            <w:vAlign w:val="bottom"/>
            <w:gridSpan w:val="2"/>
            <w:shd w:val="clear" w:color="auto" w:fill="CCEEFF"/>
          </w:tcPr>
          <w:p>
            <w:pPr>
              <w:jc w:val="right"/>
              <w:ind w:right="1260"/>
              <w:spacing w:after="0"/>
              <w:rPr>
                <w:sz w:val="20"/>
                <w:szCs w:val="20"/>
                <w:color w:val="auto"/>
              </w:rPr>
            </w:pPr>
            <w:r>
              <w:rPr>
                <w:rFonts w:ascii="Arial" w:cs="Arial" w:eastAsia="Arial" w:hAnsi="Arial"/>
                <w:sz w:val="17"/>
                <w:szCs w:val="17"/>
                <w:color w:val="auto"/>
              </w:rPr>
              <w:t>26.0%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1960" w:type="dxa"/>
            <w:vAlign w:val="bottom"/>
            <w:gridSpan w:val="3"/>
            <w:vMerge w:val="restart"/>
          </w:tcPr>
          <w:p>
            <w:pPr>
              <w:jc w:val="right"/>
              <w:ind w:right="1260"/>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60" w:type="dxa"/>
            <w:vAlign w:val="bottom"/>
            <w:gridSpan w:val="3"/>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225,774</w:t>
            </w:r>
          </w:p>
        </w:tc>
        <w:tc>
          <w:tcPr>
            <w:tcW w:w="1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1,468,684</w:t>
            </w:r>
          </w:p>
        </w:tc>
        <w:tc>
          <w:tcPr>
            <w:tcW w:w="6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2140" w:type="dxa"/>
            <w:vAlign w:val="bottom"/>
            <w:gridSpan w:val="2"/>
          </w:tcPr>
          <w:p>
            <w:pPr>
              <w:jc w:val="right"/>
              <w:ind w:right="1280"/>
              <w:spacing w:after="0"/>
              <w:rPr>
                <w:sz w:val="20"/>
                <w:szCs w:val="20"/>
                <w:color w:val="auto"/>
              </w:rPr>
            </w:pPr>
            <w:r>
              <w:rPr>
                <w:rFonts w:ascii="Arial" w:cs="Arial" w:eastAsia="Arial" w:hAnsi="Arial"/>
                <w:sz w:val="17"/>
                <w:szCs w:val="17"/>
                <w:color w:val="auto"/>
                <w:w w:val="87"/>
              </w:rPr>
              <w:t>1,694,458(2)</w:t>
            </w:r>
          </w:p>
        </w:tc>
        <w:tc>
          <w:tcPr>
            <w:tcW w:w="2220" w:type="dxa"/>
            <w:vAlign w:val="bottom"/>
            <w:gridSpan w:val="2"/>
          </w:tcPr>
          <w:p>
            <w:pPr>
              <w:jc w:val="right"/>
              <w:ind w:right="1260"/>
              <w:spacing w:after="0"/>
              <w:rPr>
                <w:sz w:val="20"/>
                <w:szCs w:val="20"/>
                <w:color w:val="auto"/>
              </w:rPr>
            </w:pPr>
            <w:r>
              <w:rPr>
                <w:rFonts w:ascii="Arial" w:cs="Arial" w:eastAsia="Arial" w:hAnsi="Arial"/>
                <w:sz w:val="17"/>
                <w:szCs w:val="17"/>
                <w:color w:val="auto"/>
              </w:rPr>
              <w:t>100.0%</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7" w:lineRule="exact"/>
        <w:rPr>
          <w:sz w:val="20"/>
          <w:szCs w:val="20"/>
          <w:color w:val="auto"/>
        </w:rPr>
      </w:pPr>
    </w:p>
    <w:p>
      <w:pPr>
        <w:ind w:left="460" w:hanging="457"/>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Maturities in 2010 include $98 million drawn under the Trust’s $300 million four-year revolving credit facility.</w:t>
      </w:r>
    </w:p>
    <w:p>
      <w:pPr>
        <w:spacing w:after="0" w:line="10" w:lineRule="exact"/>
        <w:rPr>
          <w:rFonts w:ascii="Arial" w:cs="Arial" w:eastAsia="Arial" w:hAnsi="Arial"/>
          <w:sz w:val="17"/>
          <w:szCs w:val="17"/>
          <w:color w:val="auto"/>
        </w:rPr>
      </w:pPr>
    </w:p>
    <w:p>
      <w:pPr>
        <w:ind w:left="460" w:right="420" w:hanging="457"/>
        <w:spacing w:after="0" w:line="264"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total debt maturities differs from the total reported on the consolidated balance sheet due to the unamortized discount or premium on certain senior notes, debentures and mortgage payables.</w:t>
      </w:r>
    </w:p>
    <w:p>
      <w:pPr>
        <w:sectPr>
          <w:pgSz w:w="11900" w:h="16838" w:orient="portrait"/>
          <w:cols w:equalWidth="0" w:num="1">
            <w:col w:w="11420"/>
          </w:cols>
          <w:pgMar w:left="240" w:top="268"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Redevelopment Opportunities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Redevelopment Opportunities (1) ($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Property</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Location</w:t>
            </w:r>
          </w:p>
        </w:tc>
        <w:tc>
          <w:tcPr>
            <w:tcW w:w="280" w:type="dxa"/>
            <w:vAlign w:val="bottom"/>
          </w:tcPr>
          <w:p>
            <w:pPr>
              <w:spacing w:after="0"/>
              <w:rPr>
                <w:sz w:val="13"/>
                <w:szCs w:val="13"/>
                <w:color w:val="auto"/>
              </w:rPr>
            </w:pPr>
          </w:p>
        </w:tc>
        <w:tc>
          <w:tcPr>
            <w:tcW w:w="3200" w:type="dxa"/>
            <w:vAlign w:val="bottom"/>
            <w:vMerge w:val="restart"/>
          </w:tcPr>
          <w:p>
            <w:pPr>
              <w:ind w:left="1260"/>
              <w:spacing w:after="0"/>
              <w:rPr>
                <w:sz w:val="20"/>
                <w:szCs w:val="20"/>
                <w:color w:val="auto"/>
              </w:rPr>
            </w:pPr>
            <w:r>
              <w:rPr>
                <w:rFonts w:ascii="Arial" w:cs="Arial" w:eastAsia="Arial" w:hAnsi="Arial"/>
                <w:sz w:val="13"/>
                <w:szCs w:val="13"/>
                <w:b w:val="1"/>
                <w:bCs w:val="1"/>
                <w:color w:val="auto"/>
              </w:rPr>
              <w:t>Opportunity</w:t>
            </w:r>
          </w:p>
        </w:tc>
        <w:tc>
          <w:tcPr>
            <w:tcW w:w="30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84"/>
              </w:rPr>
              <w:t>Projected</w:t>
            </w: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Projected</w:t>
            </w:r>
          </w:p>
        </w:tc>
        <w:tc>
          <w:tcPr>
            <w:tcW w:w="400" w:type="dxa"/>
            <w:vAlign w:val="bottom"/>
            <w:gridSpan w:val="2"/>
          </w:tcPr>
          <w:p>
            <w:pPr>
              <w:ind w:left="20"/>
              <w:spacing w:after="0"/>
              <w:rPr>
                <w:sz w:val="20"/>
                <w:szCs w:val="20"/>
                <w:color w:val="auto"/>
              </w:rPr>
            </w:pPr>
            <w:r>
              <w:rPr>
                <w:rFonts w:ascii="Arial" w:cs="Arial" w:eastAsia="Arial" w:hAnsi="Arial"/>
                <w:sz w:val="13"/>
                <w:szCs w:val="13"/>
                <w:b w:val="1"/>
                <w:bCs w:val="1"/>
                <w:color w:val="auto"/>
                <w:w w:val="80"/>
              </w:rPr>
              <w:t>Cost to</w:t>
            </w:r>
          </w:p>
        </w:tc>
        <w:tc>
          <w:tcPr>
            <w:tcW w:w="0" w:type="dxa"/>
            <w:vAlign w:val="bottom"/>
          </w:tcPr>
          <w:p>
            <w:pPr>
              <w:spacing w:after="0"/>
              <w:rPr>
                <w:sz w:val="1"/>
                <w:szCs w:val="1"/>
                <w:color w:val="auto"/>
              </w:rPr>
            </w:pPr>
          </w:p>
        </w:tc>
      </w:tr>
      <w:tr>
        <w:trPr>
          <w:trHeight w:val="154"/>
        </w:trPr>
        <w:tc>
          <w:tcPr>
            <w:tcW w:w="150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2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ROI (2)</w:t>
            </w: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rPr>
              <w:t>Cost (1)</w:t>
            </w:r>
          </w:p>
        </w:tc>
        <w:tc>
          <w:tcPr>
            <w:tcW w:w="400" w:type="dxa"/>
            <w:vAlign w:val="bottom"/>
            <w:gridSpan w:val="2"/>
          </w:tcPr>
          <w:p>
            <w:pPr>
              <w:ind w:left="80"/>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198"/>
        </w:trPr>
        <w:tc>
          <w:tcPr>
            <w:tcW w:w="32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7"/>
                <w:szCs w:val="17"/>
                <w:b w:val="1"/>
                <w:bCs w:val="1"/>
                <w:i w:val="1"/>
                <w:iCs w:val="1"/>
                <w:color w:val="auto"/>
              </w:rPr>
              <w:t>Projects Stabilized in 2006 (3)</w:t>
            </w: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500" w:type="dxa"/>
            <w:vAlign w:val="bottom"/>
          </w:tcPr>
          <w:p>
            <w:pPr>
              <w:spacing w:after="0"/>
              <w:rPr>
                <w:sz w:val="20"/>
                <w:szCs w:val="20"/>
                <w:color w:val="auto"/>
              </w:rPr>
            </w:pPr>
            <w:r>
              <w:rPr>
                <w:rFonts w:ascii="Arial" w:cs="Arial" w:eastAsia="Arial" w:hAnsi="Arial"/>
                <w:sz w:val="17"/>
                <w:szCs w:val="17"/>
                <w:color w:val="auto"/>
              </w:rPr>
              <w:t>Santana Phase IV</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San Jose, CA</w:t>
            </w:r>
          </w:p>
        </w:tc>
        <w:tc>
          <w:tcPr>
            <w:tcW w:w="28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Building 7 residential re-build</w:t>
            </w:r>
          </w:p>
        </w:tc>
        <w:tc>
          <w:tcPr>
            <w:tcW w:w="1300" w:type="dxa"/>
            <w:vAlign w:val="bottom"/>
            <w:gridSpan w:val="3"/>
          </w:tcPr>
          <w:p>
            <w:pPr>
              <w:jc w:val="right"/>
              <w:ind w:right="340"/>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198"/>
        </w:trPr>
        <w:tc>
          <w:tcPr>
            <w:tcW w:w="3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Mount Vernon / South Valley</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Alexandria, VA</w:t>
            </w:r>
          </w:p>
        </w:tc>
        <w:tc>
          <w:tcPr>
            <w:tcW w:w="28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w w:val="89"/>
              </w:rPr>
              <w:t>Grocer expansion, small shop re-tenanting, site</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improvements, addition of five pad site</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buildings and three anchors</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97"/>
        </w:trPr>
        <w:tc>
          <w:tcPr>
            <w:tcW w:w="1500" w:type="dxa"/>
            <w:vAlign w:val="bottom"/>
          </w:tcPr>
          <w:p>
            <w:pPr>
              <w:spacing w:after="0"/>
              <w:rPr>
                <w:sz w:val="20"/>
                <w:szCs w:val="20"/>
                <w:color w:val="auto"/>
              </w:rPr>
            </w:pPr>
            <w:r>
              <w:rPr>
                <w:rFonts w:ascii="Arial" w:cs="Arial" w:eastAsia="Arial" w:hAnsi="Arial"/>
                <w:sz w:val="17"/>
                <w:szCs w:val="17"/>
                <w:color w:val="auto"/>
              </w:rPr>
              <w:t>Leesburg Plaza</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Leesburg, VA</w:t>
            </w:r>
          </w:p>
        </w:tc>
        <w:tc>
          <w:tcPr>
            <w:tcW w:w="28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7"/>
                <w:szCs w:val="17"/>
                <w:color w:val="auto"/>
                <w:w w:val="92"/>
              </w:rPr>
              <w:t>Demolish, redevelop and re-tenant the former</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Kmart &amp; Peebles</w:t>
            </w:r>
          </w:p>
        </w:tc>
        <w:tc>
          <w:tcPr>
            <w:tcW w:w="1300" w:type="dxa"/>
            <w:vAlign w:val="bottom"/>
            <w:gridSpan w:val="3"/>
          </w:tcPr>
          <w:p>
            <w:pPr>
              <w:jc w:val="right"/>
              <w:ind w:right="340"/>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6"/>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Brick Plaza</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Brick, NJ</w:t>
            </w:r>
          </w:p>
        </w:tc>
        <w:tc>
          <w:tcPr>
            <w:tcW w:w="28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Re-tenanting (electronics)</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6"/>
        </w:trPr>
        <w:tc>
          <w:tcPr>
            <w:tcW w:w="3220" w:type="dxa"/>
            <w:vAlign w:val="bottom"/>
            <w:gridSpan w:val="3"/>
          </w:tcPr>
          <w:p>
            <w:pPr>
              <w:spacing w:after="0"/>
              <w:rPr>
                <w:sz w:val="20"/>
                <w:szCs w:val="20"/>
                <w:color w:val="auto"/>
              </w:rPr>
            </w:pPr>
            <w:r>
              <w:rPr>
                <w:rFonts w:ascii="Arial" w:cs="Arial" w:eastAsia="Arial" w:hAnsi="Arial"/>
                <w:sz w:val="17"/>
                <w:szCs w:val="17"/>
                <w:color w:val="auto"/>
              </w:rPr>
              <w:t>Hauppauge Shopping Center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Hauppauge, NY</w:t>
            </w:r>
          </w:p>
        </w:tc>
        <w:tc>
          <w:tcPr>
            <w:tcW w:w="28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Panera Café pad site</w:t>
            </w:r>
          </w:p>
        </w:tc>
        <w:tc>
          <w:tcPr>
            <w:tcW w:w="1300" w:type="dxa"/>
            <w:vAlign w:val="bottom"/>
            <w:gridSpan w:val="3"/>
          </w:tcPr>
          <w:p>
            <w:pPr>
              <w:jc w:val="right"/>
              <w:ind w:right="340"/>
              <w:spacing w:after="0"/>
              <w:rPr>
                <w:sz w:val="20"/>
                <w:szCs w:val="20"/>
                <w:color w:val="auto"/>
              </w:rPr>
            </w:pPr>
            <w:r>
              <w:rPr>
                <w:rFonts w:ascii="Arial" w:cs="Arial" w:eastAsia="Arial" w:hAnsi="Arial"/>
                <w:sz w:val="17"/>
                <w:szCs w:val="17"/>
                <w:color w:val="auto"/>
              </w:rPr>
              <w:t>11%</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&lt;1</w:t>
            </w:r>
          </w:p>
        </w:tc>
        <w:tc>
          <w:tcPr>
            <w:tcW w:w="0" w:type="dxa"/>
            <w:vAlign w:val="bottom"/>
          </w:tcPr>
          <w:p>
            <w:pPr>
              <w:spacing w:after="0"/>
              <w:rPr>
                <w:sz w:val="1"/>
                <w:szCs w:val="1"/>
                <w:color w:val="auto"/>
              </w:rPr>
            </w:pPr>
          </w:p>
        </w:tc>
      </w:tr>
      <w:tr>
        <w:trPr>
          <w:trHeight w:val="206"/>
        </w:trPr>
        <w:tc>
          <w:tcPr>
            <w:tcW w:w="3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Barracks Road Shopping Center</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Charlottesville, VA</w:t>
            </w:r>
          </w:p>
        </w:tc>
        <w:tc>
          <w:tcPr>
            <w:tcW w:w="28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Chipotle pad site</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18%</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&lt;1</w:t>
            </w:r>
          </w:p>
        </w:tc>
        <w:tc>
          <w:tcPr>
            <w:tcW w:w="0" w:type="dxa"/>
            <w:vAlign w:val="bottom"/>
          </w:tcPr>
          <w:p>
            <w:pPr>
              <w:spacing w:after="0"/>
              <w:rPr>
                <w:sz w:val="1"/>
                <w:szCs w:val="1"/>
                <w:color w:val="auto"/>
              </w:rPr>
            </w:pPr>
          </w:p>
        </w:tc>
      </w:tr>
      <w:tr>
        <w:trPr>
          <w:trHeight w:val="20"/>
        </w:trPr>
        <w:tc>
          <w:tcPr>
            <w:tcW w:w="5420" w:type="dxa"/>
            <w:vAlign w:val="bottom"/>
            <w:gridSpan w:val="7"/>
            <w:vMerge w:val="restart"/>
          </w:tcPr>
          <w:p>
            <w:pPr>
              <w:ind w:left="420"/>
              <w:spacing w:after="0"/>
              <w:rPr>
                <w:sz w:val="20"/>
                <w:szCs w:val="20"/>
                <w:color w:val="auto"/>
              </w:rPr>
            </w:pPr>
            <w:r>
              <w:rPr>
                <w:rFonts w:ascii="Arial" w:cs="Arial" w:eastAsia="Arial" w:hAnsi="Arial"/>
                <w:sz w:val="17"/>
                <w:szCs w:val="17"/>
                <w:b w:val="1"/>
                <w:bCs w:val="1"/>
                <w:i w:val="1"/>
                <w:iCs w:val="1"/>
                <w:color w:val="auto"/>
              </w:rPr>
              <w:t>Subtotal: Projects Stabilized in 2006 (3) (4) (6)</w:t>
            </w:r>
          </w:p>
        </w:tc>
        <w:tc>
          <w:tcPr>
            <w:tcW w:w="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20" w:type="dxa"/>
            <w:vAlign w:val="bottom"/>
            <w:gridSpan w:val="7"/>
            <w:vMerge w:val="continue"/>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11%</w:t>
            </w:r>
          </w:p>
        </w:tc>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124</w:t>
            </w:r>
          </w:p>
        </w:tc>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w w:val="91"/>
              </w:rPr>
              <w:t>119</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2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i w:val="1"/>
                <w:iCs w:val="1"/>
                <w:color w:val="auto"/>
                <w:w w:val="92"/>
              </w:rPr>
              <w:t>Projects Anticipated to Stabilize in 2007 (3)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3220" w:type="dxa"/>
            <w:vAlign w:val="bottom"/>
            <w:gridSpan w:val="3"/>
          </w:tcPr>
          <w:p>
            <w:pPr>
              <w:spacing w:after="0"/>
              <w:rPr>
                <w:sz w:val="20"/>
                <w:szCs w:val="20"/>
                <w:color w:val="auto"/>
              </w:rPr>
            </w:pPr>
            <w:r>
              <w:rPr>
                <w:rFonts w:ascii="Arial" w:cs="Arial" w:eastAsia="Arial" w:hAnsi="Arial"/>
                <w:sz w:val="17"/>
                <w:szCs w:val="17"/>
                <w:color w:val="auto"/>
              </w:rPr>
              <w:t>Rockville Town Square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Rockville, MD</w:t>
            </w:r>
          </w:p>
        </w:tc>
        <w:tc>
          <w:tcPr>
            <w:tcW w:w="28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7"/>
                <w:szCs w:val="17"/>
                <w:color w:val="auto"/>
                <w:w w:val="92"/>
              </w:rPr>
              <w:t>Ground floor retail as part of urban mixed-use</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development (by others)</w:t>
            </w:r>
          </w:p>
        </w:tc>
        <w:tc>
          <w:tcPr>
            <w:tcW w:w="1300" w:type="dxa"/>
            <w:vAlign w:val="bottom"/>
            <w:gridSpan w:val="3"/>
          </w:tcPr>
          <w:p>
            <w:pPr>
              <w:jc w:val="right"/>
              <w:ind w:right="340"/>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Mercer Mall</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Lawrenceville , NJ</w:t>
            </w:r>
          </w:p>
        </w:tc>
        <w:tc>
          <w:tcPr>
            <w:tcW w:w="28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Demolish, redevelop, re-tenanting plus</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w w:val="89"/>
              </w:rPr>
              <w:t>acquisition and redevelopment of adjacent land</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parcel</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97"/>
        </w:trPr>
        <w:tc>
          <w:tcPr>
            <w:tcW w:w="1500" w:type="dxa"/>
            <w:vAlign w:val="bottom"/>
          </w:tcPr>
          <w:p>
            <w:pPr>
              <w:spacing w:after="0"/>
              <w:rPr>
                <w:sz w:val="20"/>
                <w:szCs w:val="20"/>
                <w:color w:val="auto"/>
              </w:rPr>
            </w:pPr>
            <w:r>
              <w:rPr>
                <w:rFonts w:ascii="Arial" w:cs="Arial" w:eastAsia="Arial" w:hAnsi="Arial"/>
                <w:sz w:val="17"/>
                <w:szCs w:val="17"/>
                <w:color w:val="auto"/>
              </w:rPr>
              <w:t>Willow Lawn</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Richmond, VA</w:t>
            </w:r>
          </w:p>
        </w:tc>
        <w:tc>
          <w:tcPr>
            <w:tcW w:w="28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7"/>
                <w:szCs w:val="17"/>
                <w:color w:val="auto"/>
                <w:w w:val="97"/>
              </w:rPr>
              <w:t>Anchor re-tenanting, small shop demolition,</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façade renovation, and site improvements</w:t>
            </w:r>
          </w:p>
        </w:tc>
        <w:tc>
          <w:tcPr>
            <w:tcW w:w="1300" w:type="dxa"/>
            <w:vAlign w:val="bottom"/>
            <w:gridSpan w:val="3"/>
          </w:tcPr>
          <w:p>
            <w:pPr>
              <w:jc w:val="right"/>
              <w:ind w:right="340"/>
              <w:spacing w:after="0"/>
              <w:rPr>
                <w:sz w:val="20"/>
                <w:szCs w:val="20"/>
                <w:color w:val="auto"/>
              </w:rPr>
            </w:pPr>
            <w:r>
              <w:rPr>
                <w:rFonts w:ascii="Arial" w:cs="Arial" w:eastAsia="Arial" w:hAnsi="Arial"/>
                <w:sz w:val="17"/>
                <w:szCs w:val="17"/>
                <w:color w:val="auto"/>
              </w:rPr>
              <w:t>9%</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Loehmann’s Plaza</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Falls Church, VA</w:t>
            </w:r>
          </w:p>
        </w:tc>
        <w:tc>
          <w:tcPr>
            <w:tcW w:w="28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w w:val="95"/>
              </w:rPr>
              <w:t>Grocer expansion, anchor relocation, façade</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renovation and site improvements</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14%</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97"/>
        </w:trPr>
        <w:tc>
          <w:tcPr>
            <w:tcW w:w="3220" w:type="dxa"/>
            <w:vAlign w:val="bottom"/>
            <w:gridSpan w:val="3"/>
          </w:tcPr>
          <w:p>
            <w:pPr>
              <w:spacing w:after="0"/>
              <w:rPr>
                <w:sz w:val="20"/>
                <w:szCs w:val="20"/>
                <w:color w:val="auto"/>
              </w:rPr>
            </w:pPr>
            <w:r>
              <w:rPr>
                <w:rFonts w:ascii="Arial" w:cs="Arial" w:eastAsia="Arial" w:hAnsi="Arial"/>
                <w:sz w:val="17"/>
                <w:szCs w:val="17"/>
                <w:color w:val="auto"/>
              </w:rPr>
              <w:t>Village of Shirlington - Phase II</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Arlington, VA</w:t>
            </w:r>
          </w:p>
        </w:tc>
        <w:tc>
          <w:tcPr>
            <w:tcW w:w="28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7"/>
                <w:szCs w:val="17"/>
                <w:color w:val="auto"/>
                <w:w w:val="92"/>
              </w:rPr>
              <w:t>Ground floor retail and parking garage as part</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w w:val="95"/>
              </w:rPr>
              <w:t>of urban mixed-use development (by others)</w:t>
            </w:r>
          </w:p>
        </w:tc>
        <w:tc>
          <w:tcPr>
            <w:tcW w:w="1300" w:type="dxa"/>
            <w:vAlign w:val="bottom"/>
            <w:gridSpan w:val="3"/>
          </w:tcPr>
          <w:p>
            <w:pPr>
              <w:jc w:val="right"/>
              <w:ind w:right="340"/>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98"/>
        </w:trPr>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w w:val="86"/>
              </w:rPr>
              <w:t>Leesburg Plaza - Pads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Leesburg, VA</w:t>
            </w:r>
          </w:p>
        </w:tc>
        <w:tc>
          <w:tcPr>
            <w:tcW w:w="28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w w:val="95"/>
              </w:rPr>
              <w:t>Two new retail buildings and a bank pad site</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will be added</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&lt;1</w:t>
            </w:r>
          </w:p>
        </w:tc>
        <w:tc>
          <w:tcPr>
            <w:tcW w:w="0" w:type="dxa"/>
            <w:vAlign w:val="bottom"/>
          </w:tcPr>
          <w:p>
            <w:pPr>
              <w:spacing w:after="0"/>
              <w:rPr>
                <w:sz w:val="1"/>
                <w:szCs w:val="1"/>
                <w:color w:val="auto"/>
              </w:rPr>
            </w:pPr>
          </w:p>
        </w:tc>
      </w:tr>
      <w:tr>
        <w:trPr>
          <w:trHeight w:val="20"/>
        </w:trPr>
        <w:tc>
          <w:tcPr>
            <w:tcW w:w="5420" w:type="dxa"/>
            <w:vAlign w:val="bottom"/>
            <w:gridSpan w:val="7"/>
            <w:vMerge w:val="restart"/>
          </w:tcPr>
          <w:p>
            <w:pPr>
              <w:ind w:left="420"/>
              <w:spacing w:after="0"/>
              <w:rPr>
                <w:sz w:val="20"/>
                <w:szCs w:val="20"/>
                <w:color w:val="auto"/>
              </w:rPr>
            </w:pPr>
            <w:r>
              <w:rPr>
                <w:rFonts w:ascii="Arial" w:cs="Arial" w:eastAsia="Arial" w:hAnsi="Arial"/>
                <w:sz w:val="17"/>
                <w:szCs w:val="17"/>
                <w:b w:val="1"/>
                <w:bCs w:val="1"/>
                <w:i w:val="1"/>
                <w:iCs w:val="1"/>
                <w:color w:val="auto"/>
              </w:rPr>
              <w:t>Subtotal: Projects Anticipated to Stabilize in 2007 (3) (4) (6)</w:t>
            </w:r>
          </w:p>
        </w:tc>
        <w:tc>
          <w:tcPr>
            <w:tcW w:w="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20" w:type="dxa"/>
            <w:vAlign w:val="bottom"/>
            <w:gridSpan w:val="7"/>
            <w:vMerge w:val="continue"/>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12%</w:t>
            </w:r>
          </w:p>
        </w:tc>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109</w:t>
            </w:r>
          </w:p>
        </w:tc>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70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2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i w:val="1"/>
                <w:iCs w:val="1"/>
                <w:color w:val="auto"/>
                <w:w w:val="92"/>
              </w:rPr>
              <w:t>Projects Anticipated to Stabilize in 2008 (3)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1500" w:type="dxa"/>
            <w:vAlign w:val="bottom"/>
          </w:tcPr>
          <w:p>
            <w:pPr>
              <w:spacing w:after="0"/>
              <w:rPr>
                <w:sz w:val="20"/>
                <w:szCs w:val="20"/>
                <w:color w:val="auto"/>
              </w:rPr>
            </w:pPr>
            <w:r>
              <w:rPr>
                <w:rFonts w:ascii="Arial" w:cs="Arial" w:eastAsia="Arial" w:hAnsi="Arial"/>
                <w:sz w:val="17"/>
                <w:szCs w:val="17"/>
                <w:color w:val="auto"/>
              </w:rPr>
              <w:t>Arlington East</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Bethesda, MD</w:t>
            </w:r>
          </w:p>
        </w:tc>
        <w:tc>
          <w:tcPr>
            <w:tcW w:w="28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7"/>
                <w:szCs w:val="17"/>
                <w:color w:val="auto"/>
                <w:w w:val="98"/>
              </w:rPr>
              <w:t>Ground floor retail, four levels of residential</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7"/>
                <w:szCs w:val="17"/>
                <w:color w:val="auto"/>
                <w:w w:val="96"/>
              </w:rPr>
              <w:t>units above retail, two levels of below grade</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parking</w:t>
            </w:r>
          </w:p>
        </w:tc>
        <w:tc>
          <w:tcPr>
            <w:tcW w:w="1300" w:type="dxa"/>
            <w:vAlign w:val="bottom"/>
            <w:gridSpan w:val="3"/>
          </w:tcPr>
          <w:p>
            <w:pPr>
              <w:jc w:val="right"/>
              <w:ind w:right="340"/>
              <w:spacing w:after="0"/>
              <w:rPr>
                <w:sz w:val="20"/>
                <w:szCs w:val="20"/>
                <w:color w:val="auto"/>
              </w:rPr>
            </w:pPr>
            <w:r>
              <w:rPr>
                <w:rFonts w:ascii="Arial" w:cs="Arial" w:eastAsia="Arial" w:hAnsi="Arial"/>
                <w:sz w:val="17"/>
                <w:szCs w:val="17"/>
                <w:color w:val="auto"/>
              </w:rPr>
              <w:t>9%</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98"/>
        </w:trPr>
        <w:tc>
          <w:tcPr>
            <w:tcW w:w="3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Hollywood Galaxy Building</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Hollywood, CA</w:t>
            </w:r>
          </w:p>
        </w:tc>
        <w:tc>
          <w:tcPr>
            <w:tcW w:w="28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w w:val="93"/>
              </w:rPr>
              <w:t>Re-tenanting three level entertainment center</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and converting project into urban</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neighborhood community center</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7"/>
        </w:trPr>
        <w:tc>
          <w:tcPr>
            <w:tcW w:w="3220" w:type="dxa"/>
            <w:vAlign w:val="bottom"/>
            <w:gridSpan w:val="3"/>
          </w:tcPr>
          <w:p>
            <w:pPr>
              <w:spacing w:after="0"/>
              <w:rPr>
                <w:sz w:val="20"/>
                <w:szCs w:val="20"/>
                <w:color w:val="auto"/>
              </w:rPr>
            </w:pPr>
            <w:r>
              <w:rPr>
                <w:rFonts w:ascii="Arial" w:cs="Arial" w:eastAsia="Arial" w:hAnsi="Arial"/>
                <w:sz w:val="17"/>
                <w:szCs w:val="17"/>
                <w:color w:val="auto"/>
              </w:rPr>
              <w:t>Village of Shirlington - Phase III &amp; IV</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Arlington, VA</w:t>
            </w:r>
          </w:p>
        </w:tc>
        <w:tc>
          <w:tcPr>
            <w:tcW w:w="28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7"/>
                <w:szCs w:val="17"/>
                <w:color w:val="auto"/>
                <w:w w:val="98"/>
              </w:rPr>
              <w:t>Ground lease to hotel operator and ground</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floor retail as part of office building</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development (by others)</w:t>
            </w:r>
          </w:p>
        </w:tc>
        <w:tc>
          <w:tcPr>
            <w:tcW w:w="3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&lt;1</w:t>
            </w: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420" w:type="dxa"/>
            <w:vAlign w:val="bottom"/>
            <w:gridSpan w:val="7"/>
            <w:shd w:val="clear" w:color="auto" w:fill="CCEEFF"/>
          </w:tcPr>
          <w:p>
            <w:pPr>
              <w:ind w:left="420"/>
              <w:spacing w:after="0"/>
              <w:rPr>
                <w:sz w:val="20"/>
                <w:szCs w:val="20"/>
                <w:color w:val="auto"/>
              </w:rPr>
            </w:pPr>
            <w:r>
              <w:rPr>
                <w:rFonts w:ascii="Arial" w:cs="Arial" w:eastAsia="Arial" w:hAnsi="Arial"/>
                <w:sz w:val="17"/>
                <w:szCs w:val="17"/>
                <w:b w:val="1"/>
                <w:bCs w:val="1"/>
                <w:i w:val="1"/>
                <w:iCs w:val="1"/>
                <w:color w:val="auto"/>
              </w:rPr>
              <w:t>Subtotal: Projects Anticipated to Stabilize in 2008 (3) (4) (6)</w:t>
            </w:r>
          </w:p>
        </w:tc>
        <w:tc>
          <w:tcPr>
            <w:tcW w:w="28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10%</w:t>
            </w:r>
          </w:p>
        </w:tc>
        <w:tc>
          <w:tcPr>
            <w:tcW w:w="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97</w:t>
            </w:r>
          </w:p>
        </w:tc>
        <w:tc>
          <w:tcPr>
            <w:tcW w:w="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w:t>
            </w:r>
          </w:p>
        </w:tc>
        <w:tc>
          <w:tcPr>
            <w:tcW w:w="0" w:type="dxa"/>
            <w:vAlign w:val="bottom"/>
          </w:tcPr>
          <w:p>
            <w:pPr>
              <w:spacing w:after="0"/>
              <w:rPr>
                <w:sz w:val="1"/>
                <w:szCs w:val="1"/>
                <w:color w:val="auto"/>
              </w:rPr>
            </w:pPr>
          </w:p>
        </w:tc>
      </w:tr>
      <w:tr>
        <w:trPr>
          <w:trHeight w:val="20"/>
        </w:trPr>
        <w:tc>
          <w:tcPr>
            <w:tcW w:w="5420" w:type="dxa"/>
            <w:vAlign w:val="bottom"/>
            <w:gridSpan w:val="7"/>
            <w:vMerge w:val="restart"/>
          </w:tcPr>
          <w:p>
            <w:pPr>
              <w:spacing w:after="0"/>
              <w:rPr>
                <w:sz w:val="20"/>
                <w:szCs w:val="20"/>
                <w:color w:val="auto"/>
              </w:rPr>
            </w:pPr>
            <w:r>
              <w:rPr>
                <w:rFonts w:ascii="Arial" w:cs="Arial" w:eastAsia="Arial" w:hAnsi="Arial"/>
                <w:sz w:val="17"/>
                <w:szCs w:val="17"/>
                <w:b w:val="1"/>
                <w:bCs w:val="1"/>
                <w:i w:val="1"/>
                <w:iCs w:val="1"/>
                <w:color w:val="auto"/>
                <w:w w:val="94"/>
              </w:rPr>
              <w:t>Total: Projects Anticipated to Stabilize in 2006, 2007 and 2008 (3) (4) (6)</w:t>
            </w:r>
          </w:p>
        </w:tc>
        <w:tc>
          <w:tcPr>
            <w:tcW w:w="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gridSpan w:val="7"/>
            <w:vMerge w:val="continue"/>
          </w:tcPr>
          <w:p>
            <w:pPr>
              <w:spacing w:after="0"/>
              <w:rPr>
                <w:sz w:val="17"/>
                <w:szCs w:val="17"/>
                <w:color w:val="auto"/>
              </w:rPr>
            </w:pPr>
          </w:p>
        </w:tc>
        <w:tc>
          <w:tcPr>
            <w:tcW w:w="2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rPr>
              <w:t>11%</w:t>
            </w:r>
          </w:p>
        </w:tc>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330</w:t>
            </w:r>
          </w:p>
        </w:tc>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w w:val="91"/>
              </w:rPr>
              <w:t>222</w:t>
            </w:r>
          </w:p>
        </w:tc>
        <w:tc>
          <w:tcPr>
            <w:tcW w:w="0" w:type="dxa"/>
            <w:vAlign w:val="bottom"/>
          </w:tcPr>
          <w:p>
            <w:pPr>
              <w:spacing w:after="0"/>
              <w:rPr>
                <w:sz w:val="1"/>
                <w:szCs w:val="1"/>
                <w:color w:val="auto"/>
              </w:rPr>
            </w:pPr>
          </w:p>
        </w:tc>
      </w:tr>
      <w:tr>
        <w:trPr>
          <w:trHeight w:val="20"/>
        </w:trPr>
        <w:tc>
          <w:tcPr>
            <w:tcW w:w="5420" w:type="dxa"/>
            <w:vAlign w:val="bottom"/>
            <w:gridSpan w:val="7"/>
            <w:vMerge w:val="restart"/>
          </w:tcPr>
          <w:p>
            <w:pPr>
              <w:spacing w:after="0"/>
              <w:rPr>
                <w:sz w:val="20"/>
                <w:szCs w:val="20"/>
                <w:color w:val="auto"/>
              </w:rPr>
            </w:pPr>
            <w:r>
              <w:rPr>
                <w:rFonts w:ascii="Arial" w:cs="Arial" w:eastAsia="Arial" w:hAnsi="Arial"/>
                <w:sz w:val="17"/>
                <w:szCs w:val="17"/>
                <w:b w:val="1"/>
                <w:bCs w:val="1"/>
                <w:color w:val="auto"/>
              </w:rPr>
              <w:t>Potential future redevelopment pipeline includes (5):</w:t>
            </w:r>
          </w:p>
        </w:tc>
        <w:tc>
          <w:tcPr>
            <w:tcW w:w="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420" w:type="dxa"/>
            <w:vAlign w:val="bottom"/>
            <w:gridSpan w:val="7"/>
            <w:vMerge w:val="continue"/>
          </w:tcPr>
          <w:p>
            <w:pPr>
              <w:spacing w:after="0"/>
              <w:rPr>
                <w:sz w:val="24"/>
                <w:szCs w:val="24"/>
                <w:color w:val="auto"/>
              </w:rPr>
            </w:pPr>
          </w:p>
        </w:tc>
        <w:tc>
          <w:tcPr>
            <w:tcW w:w="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50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Property</w:t>
            </w:r>
          </w:p>
        </w:tc>
        <w:tc>
          <w:tcPr>
            <w:tcW w:w="220" w:type="dxa"/>
            <w:vAlign w:val="bottom"/>
          </w:tcPr>
          <w:p>
            <w:pPr>
              <w:spacing w:after="0"/>
              <w:rPr>
                <w:sz w:val="24"/>
                <w:szCs w:val="24"/>
                <w:color w:val="auto"/>
              </w:rPr>
            </w:pPr>
          </w:p>
        </w:tc>
        <w:tc>
          <w:tcPr>
            <w:tcW w:w="150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Location</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ind w:left="1380"/>
              <w:spacing w:after="0"/>
              <w:rPr>
                <w:sz w:val="20"/>
                <w:szCs w:val="20"/>
                <w:color w:val="auto"/>
              </w:rPr>
            </w:pPr>
            <w:r>
              <w:rPr>
                <w:rFonts w:ascii="Arial" w:cs="Arial" w:eastAsia="Arial" w:hAnsi="Arial"/>
                <w:sz w:val="13"/>
                <w:szCs w:val="13"/>
                <w:b w:val="1"/>
                <w:bCs w:val="1"/>
                <w:color w:val="auto"/>
              </w:rPr>
              <w:t>Opportunity</w:t>
            </w: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500" w:type="dxa"/>
            <w:vAlign w:val="bottom"/>
          </w:tcPr>
          <w:p>
            <w:pPr>
              <w:spacing w:after="0" w:line="183" w:lineRule="exact"/>
              <w:rPr>
                <w:sz w:val="20"/>
                <w:szCs w:val="20"/>
                <w:color w:val="auto"/>
              </w:rPr>
            </w:pPr>
            <w:r>
              <w:rPr>
                <w:rFonts w:ascii="Arial" w:cs="Arial" w:eastAsia="Arial" w:hAnsi="Arial"/>
                <w:sz w:val="17"/>
                <w:szCs w:val="17"/>
                <w:color w:val="auto"/>
              </w:rPr>
              <w:t>Pike 7</w:t>
            </w:r>
          </w:p>
        </w:tc>
        <w:tc>
          <w:tcPr>
            <w:tcW w:w="220" w:type="dxa"/>
            <w:vAlign w:val="bottom"/>
          </w:tcPr>
          <w:p>
            <w:pPr>
              <w:spacing w:after="0"/>
              <w:rPr>
                <w:sz w:val="15"/>
                <w:szCs w:val="15"/>
                <w:color w:val="auto"/>
              </w:rPr>
            </w:pPr>
          </w:p>
        </w:tc>
        <w:tc>
          <w:tcPr>
            <w:tcW w:w="1500" w:type="dxa"/>
            <w:vAlign w:val="bottom"/>
          </w:tcPr>
          <w:p>
            <w:pPr>
              <w:spacing w:after="0" w:line="183" w:lineRule="exact"/>
              <w:rPr>
                <w:sz w:val="20"/>
                <w:szCs w:val="20"/>
                <w:color w:val="auto"/>
              </w:rPr>
            </w:pPr>
            <w:r>
              <w:rPr>
                <w:rFonts w:ascii="Arial" w:cs="Arial" w:eastAsia="Arial" w:hAnsi="Arial"/>
                <w:sz w:val="17"/>
                <w:szCs w:val="17"/>
                <w:color w:val="auto"/>
              </w:rPr>
              <w:t>Vienna, VA</w:t>
            </w:r>
          </w:p>
        </w:tc>
        <w:tc>
          <w:tcPr>
            <w:tcW w:w="220" w:type="dxa"/>
            <w:vAlign w:val="bottom"/>
          </w:tcPr>
          <w:p>
            <w:pPr>
              <w:spacing w:after="0"/>
              <w:rPr>
                <w:sz w:val="15"/>
                <w:szCs w:val="15"/>
                <w:color w:val="auto"/>
              </w:rPr>
            </w:pPr>
          </w:p>
        </w:tc>
        <w:tc>
          <w:tcPr>
            <w:tcW w:w="6940" w:type="dxa"/>
            <w:vAlign w:val="bottom"/>
            <w:gridSpan w:val="9"/>
          </w:tcPr>
          <w:p>
            <w:pPr>
              <w:spacing w:after="0" w:line="183" w:lineRule="exact"/>
              <w:rPr>
                <w:sz w:val="20"/>
                <w:szCs w:val="20"/>
                <w:color w:val="auto"/>
              </w:rPr>
            </w:pPr>
            <w:r>
              <w:rPr>
                <w:rFonts w:ascii="Arial" w:cs="Arial" w:eastAsia="Arial" w:hAnsi="Arial"/>
                <w:sz w:val="17"/>
                <w:szCs w:val="17"/>
                <w:color w:val="auto"/>
                <w:w w:val="89"/>
              </w:rPr>
              <w:t>Co-terminus leases create potential for retail redevelopment or transit oriented mixed-use development</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20"/>
                <w:szCs w:val="20"/>
                <w:color w:val="auto"/>
              </w:rPr>
            </w:pPr>
            <w:r>
              <w:rPr>
                <w:rFonts w:ascii="Arial" w:cs="Arial" w:eastAsia="Arial" w:hAnsi="Arial"/>
                <w:sz w:val="17"/>
                <w:szCs w:val="17"/>
                <w:color w:val="auto"/>
              </w:rPr>
              <w:t>Westgate</w:t>
            </w:r>
          </w:p>
        </w:tc>
        <w:tc>
          <w:tcPr>
            <w:tcW w:w="220" w:type="dxa"/>
            <w:vAlign w:val="bottom"/>
          </w:tcPr>
          <w:p>
            <w:pPr>
              <w:spacing w:after="0"/>
              <w:rPr>
                <w:sz w:val="17"/>
                <w:szCs w:val="17"/>
                <w:color w:val="auto"/>
              </w:rPr>
            </w:pPr>
          </w:p>
        </w:tc>
        <w:tc>
          <w:tcPr>
            <w:tcW w:w="1500" w:type="dxa"/>
            <w:vAlign w:val="bottom"/>
          </w:tcPr>
          <w:p>
            <w:pPr>
              <w:spacing w:after="0"/>
              <w:rPr>
                <w:sz w:val="20"/>
                <w:szCs w:val="20"/>
                <w:color w:val="auto"/>
              </w:rPr>
            </w:pPr>
            <w:r>
              <w:rPr>
                <w:rFonts w:ascii="Arial" w:cs="Arial" w:eastAsia="Arial" w:hAnsi="Arial"/>
                <w:sz w:val="17"/>
                <w:szCs w:val="17"/>
                <w:color w:val="auto"/>
              </w:rPr>
              <w:t>San Jose, CA</w:t>
            </w:r>
          </w:p>
        </w:tc>
        <w:tc>
          <w:tcPr>
            <w:tcW w:w="220" w:type="dxa"/>
            <w:vAlign w:val="bottom"/>
          </w:tcPr>
          <w:p>
            <w:pPr>
              <w:spacing w:after="0"/>
              <w:rPr>
                <w:sz w:val="17"/>
                <w:szCs w:val="17"/>
                <w:color w:val="auto"/>
              </w:rPr>
            </w:pPr>
          </w:p>
        </w:tc>
        <w:tc>
          <w:tcPr>
            <w:tcW w:w="1980" w:type="dxa"/>
            <w:vAlign w:val="bottom"/>
            <w:gridSpan w:val="3"/>
          </w:tcPr>
          <w:p>
            <w:pPr>
              <w:spacing w:after="0"/>
              <w:rPr>
                <w:sz w:val="20"/>
                <w:szCs w:val="20"/>
                <w:color w:val="auto"/>
              </w:rPr>
            </w:pPr>
            <w:r>
              <w:rPr>
                <w:rFonts w:ascii="Arial" w:cs="Arial" w:eastAsia="Arial" w:hAnsi="Arial"/>
                <w:sz w:val="17"/>
                <w:szCs w:val="17"/>
                <w:color w:val="auto"/>
              </w:rPr>
              <w:t>Center redevelopment</w:t>
            </w:r>
          </w:p>
        </w:tc>
        <w:tc>
          <w:tcPr>
            <w:tcW w:w="2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20"/>
                <w:szCs w:val="20"/>
                <w:color w:val="auto"/>
              </w:rPr>
            </w:pPr>
            <w:r>
              <w:rPr>
                <w:rFonts w:ascii="Arial" w:cs="Arial" w:eastAsia="Arial" w:hAnsi="Arial"/>
                <w:sz w:val="17"/>
                <w:szCs w:val="17"/>
                <w:color w:val="auto"/>
              </w:rPr>
              <w:t>Eastgate</w:t>
            </w:r>
          </w:p>
        </w:tc>
        <w:tc>
          <w:tcPr>
            <w:tcW w:w="220" w:type="dxa"/>
            <w:vAlign w:val="bottom"/>
          </w:tcPr>
          <w:p>
            <w:pPr>
              <w:spacing w:after="0"/>
              <w:rPr>
                <w:sz w:val="17"/>
                <w:szCs w:val="17"/>
                <w:color w:val="auto"/>
              </w:rPr>
            </w:pPr>
          </w:p>
        </w:tc>
        <w:tc>
          <w:tcPr>
            <w:tcW w:w="1500" w:type="dxa"/>
            <w:vAlign w:val="bottom"/>
          </w:tcPr>
          <w:p>
            <w:pPr>
              <w:spacing w:after="0"/>
              <w:rPr>
                <w:sz w:val="20"/>
                <w:szCs w:val="20"/>
                <w:color w:val="auto"/>
              </w:rPr>
            </w:pPr>
            <w:r>
              <w:rPr>
                <w:rFonts w:ascii="Arial" w:cs="Arial" w:eastAsia="Arial" w:hAnsi="Arial"/>
                <w:sz w:val="17"/>
                <w:szCs w:val="17"/>
                <w:color w:val="auto"/>
              </w:rPr>
              <w:t>Chapel Hill, NC</w:t>
            </w:r>
          </w:p>
        </w:tc>
        <w:tc>
          <w:tcPr>
            <w:tcW w:w="220" w:type="dxa"/>
            <w:vAlign w:val="bottom"/>
          </w:tcPr>
          <w:p>
            <w:pPr>
              <w:spacing w:after="0"/>
              <w:rPr>
                <w:sz w:val="17"/>
                <w:szCs w:val="17"/>
                <w:color w:val="auto"/>
              </w:rPr>
            </w:pPr>
          </w:p>
        </w:tc>
        <w:tc>
          <w:tcPr>
            <w:tcW w:w="5460" w:type="dxa"/>
            <w:vAlign w:val="bottom"/>
            <w:gridSpan w:val="5"/>
          </w:tcPr>
          <w:p>
            <w:pPr>
              <w:spacing w:after="0"/>
              <w:rPr>
                <w:sz w:val="20"/>
                <w:szCs w:val="20"/>
                <w:color w:val="auto"/>
              </w:rPr>
            </w:pPr>
            <w:r>
              <w:rPr>
                <w:rFonts w:ascii="Arial" w:cs="Arial" w:eastAsia="Arial" w:hAnsi="Arial"/>
                <w:sz w:val="17"/>
                <w:szCs w:val="17"/>
                <w:color w:val="auto"/>
                <w:w w:val="97"/>
              </w:rPr>
              <w:t>Center redevelopment including façade renovation and site improvements</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20"/>
                <w:szCs w:val="20"/>
                <w:color w:val="auto"/>
              </w:rPr>
            </w:pPr>
            <w:r>
              <w:rPr>
                <w:rFonts w:ascii="Arial" w:cs="Arial" w:eastAsia="Arial" w:hAnsi="Arial"/>
                <w:sz w:val="17"/>
                <w:szCs w:val="17"/>
                <w:color w:val="auto"/>
              </w:rPr>
              <w:t>Flourtown</w:t>
            </w:r>
          </w:p>
        </w:tc>
        <w:tc>
          <w:tcPr>
            <w:tcW w:w="220" w:type="dxa"/>
            <w:vAlign w:val="bottom"/>
          </w:tcPr>
          <w:p>
            <w:pPr>
              <w:spacing w:after="0"/>
              <w:rPr>
                <w:sz w:val="17"/>
                <w:szCs w:val="17"/>
                <w:color w:val="auto"/>
              </w:rPr>
            </w:pPr>
          </w:p>
        </w:tc>
        <w:tc>
          <w:tcPr>
            <w:tcW w:w="1500" w:type="dxa"/>
            <w:vAlign w:val="bottom"/>
          </w:tcPr>
          <w:p>
            <w:pPr>
              <w:spacing w:after="0"/>
              <w:rPr>
                <w:sz w:val="20"/>
                <w:szCs w:val="20"/>
                <w:color w:val="auto"/>
              </w:rPr>
            </w:pPr>
            <w:r>
              <w:rPr>
                <w:rFonts w:ascii="Arial" w:cs="Arial" w:eastAsia="Arial" w:hAnsi="Arial"/>
                <w:sz w:val="17"/>
                <w:szCs w:val="17"/>
                <w:color w:val="auto"/>
              </w:rPr>
              <w:t>Flourtown, PA</w:t>
            </w:r>
          </w:p>
        </w:tc>
        <w:tc>
          <w:tcPr>
            <w:tcW w:w="220" w:type="dxa"/>
            <w:vAlign w:val="bottom"/>
          </w:tcPr>
          <w:p>
            <w:pPr>
              <w:spacing w:after="0"/>
              <w:rPr>
                <w:sz w:val="17"/>
                <w:szCs w:val="17"/>
                <w:color w:val="auto"/>
              </w:rPr>
            </w:pPr>
          </w:p>
        </w:tc>
        <w:tc>
          <w:tcPr>
            <w:tcW w:w="7580" w:type="dxa"/>
            <w:vAlign w:val="bottom"/>
            <w:gridSpan w:val="11"/>
          </w:tcPr>
          <w:p>
            <w:pPr>
              <w:spacing w:after="0"/>
              <w:rPr>
                <w:sz w:val="20"/>
                <w:szCs w:val="20"/>
                <w:color w:val="auto"/>
              </w:rPr>
            </w:pPr>
            <w:r>
              <w:rPr>
                <w:rFonts w:ascii="Arial" w:cs="Arial" w:eastAsia="Arial" w:hAnsi="Arial"/>
                <w:sz w:val="17"/>
                <w:szCs w:val="17"/>
                <w:color w:val="auto"/>
                <w:w w:val="95"/>
              </w:rPr>
              <w:t>Anchor re-tenanting, small shop demolition, new retail building, façade renovation, and site improvements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20"/>
                <w:szCs w:val="20"/>
                <w:color w:val="auto"/>
              </w:rPr>
            </w:pPr>
            <w:r>
              <w:rPr>
                <w:rFonts w:ascii="Arial" w:cs="Arial" w:eastAsia="Arial" w:hAnsi="Arial"/>
                <w:sz w:val="17"/>
                <w:szCs w:val="17"/>
                <w:color w:val="auto"/>
              </w:rPr>
              <w:t>Bala Cynwyd</w:t>
            </w:r>
          </w:p>
        </w:tc>
        <w:tc>
          <w:tcPr>
            <w:tcW w:w="220" w:type="dxa"/>
            <w:vAlign w:val="bottom"/>
          </w:tcPr>
          <w:p>
            <w:pPr>
              <w:spacing w:after="0"/>
              <w:rPr>
                <w:sz w:val="17"/>
                <w:szCs w:val="17"/>
                <w:color w:val="auto"/>
              </w:rPr>
            </w:pPr>
          </w:p>
        </w:tc>
        <w:tc>
          <w:tcPr>
            <w:tcW w:w="1500" w:type="dxa"/>
            <w:vAlign w:val="bottom"/>
          </w:tcPr>
          <w:p>
            <w:pPr>
              <w:spacing w:after="0"/>
              <w:rPr>
                <w:sz w:val="20"/>
                <w:szCs w:val="20"/>
                <w:color w:val="auto"/>
              </w:rPr>
            </w:pPr>
            <w:r>
              <w:rPr>
                <w:rFonts w:ascii="Arial" w:cs="Arial" w:eastAsia="Arial" w:hAnsi="Arial"/>
                <w:sz w:val="17"/>
                <w:szCs w:val="17"/>
                <w:color w:val="auto"/>
              </w:rPr>
              <w:t>Bala Cynwyd, PA</w:t>
            </w:r>
          </w:p>
        </w:tc>
        <w:tc>
          <w:tcPr>
            <w:tcW w:w="220" w:type="dxa"/>
            <w:vAlign w:val="bottom"/>
          </w:tcPr>
          <w:p>
            <w:pPr>
              <w:spacing w:after="0"/>
              <w:rPr>
                <w:sz w:val="17"/>
                <w:szCs w:val="17"/>
                <w:color w:val="auto"/>
              </w:rPr>
            </w:pPr>
          </w:p>
        </w:tc>
        <w:tc>
          <w:tcPr>
            <w:tcW w:w="6760" w:type="dxa"/>
            <w:vAlign w:val="bottom"/>
            <w:gridSpan w:val="8"/>
          </w:tcPr>
          <w:p>
            <w:pPr>
              <w:spacing w:after="0"/>
              <w:rPr>
                <w:sz w:val="20"/>
                <w:szCs w:val="20"/>
                <w:color w:val="auto"/>
              </w:rPr>
            </w:pPr>
            <w:r>
              <w:rPr>
                <w:rFonts w:ascii="Arial" w:cs="Arial" w:eastAsia="Arial" w:hAnsi="Arial"/>
                <w:sz w:val="17"/>
                <w:szCs w:val="17"/>
                <w:color w:val="auto"/>
                <w:w w:val="98"/>
              </w:rPr>
              <w:t>Redevelopment of nine acres of land for a transit oriented mixed-use project or retail center</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20"/>
                <w:szCs w:val="20"/>
                <w:color w:val="auto"/>
              </w:rPr>
            </w:pPr>
            <w:r>
              <w:rPr>
                <w:rFonts w:ascii="Arial" w:cs="Arial" w:eastAsia="Arial" w:hAnsi="Arial"/>
                <w:sz w:val="17"/>
                <w:szCs w:val="17"/>
                <w:color w:val="auto"/>
              </w:rPr>
              <w:t>Santana Row</w:t>
            </w:r>
          </w:p>
        </w:tc>
        <w:tc>
          <w:tcPr>
            <w:tcW w:w="220" w:type="dxa"/>
            <w:vAlign w:val="bottom"/>
          </w:tcPr>
          <w:p>
            <w:pPr>
              <w:spacing w:after="0"/>
              <w:rPr>
                <w:sz w:val="17"/>
                <w:szCs w:val="17"/>
                <w:color w:val="auto"/>
              </w:rPr>
            </w:pPr>
          </w:p>
        </w:tc>
        <w:tc>
          <w:tcPr>
            <w:tcW w:w="1500" w:type="dxa"/>
            <w:vAlign w:val="bottom"/>
          </w:tcPr>
          <w:p>
            <w:pPr>
              <w:spacing w:after="0"/>
              <w:rPr>
                <w:sz w:val="20"/>
                <w:szCs w:val="20"/>
                <w:color w:val="auto"/>
              </w:rPr>
            </w:pPr>
            <w:r>
              <w:rPr>
                <w:rFonts w:ascii="Arial" w:cs="Arial" w:eastAsia="Arial" w:hAnsi="Arial"/>
                <w:sz w:val="17"/>
                <w:szCs w:val="17"/>
                <w:color w:val="auto"/>
              </w:rPr>
              <w:t>San Jose, CA</w:t>
            </w:r>
          </w:p>
        </w:tc>
        <w:tc>
          <w:tcPr>
            <w:tcW w:w="220" w:type="dxa"/>
            <w:vAlign w:val="bottom"/>
          </w:tcPr>
          <w:p>
            <w:pPr>
              <w:spacing w:after="0"/>
              <w:rPr>
                <w:sz w:val="17"/>
                <w:szCs w:val="17"/>
                <w:color w:val="auto"/>
              </w:rPr>
            </w:pPr>
          </w:p>
        </w:tc>
        <w:tc>
          <w:tcPr>
            <w:tcW w:w="5460" w:type="dxa"/>
            <w:vAlign w:val="bottom"/>
            <w:gridSpan w:val="5"/>
          </w:tcPr>
          <w:p>
            <w:pPr>
              <w:spacing w:after="0"/>
              <w:rPr>
                <w:sz w:val="20"/>
                <w:szCs w:val="20"/>
                <w:color w:val="auto"/>
              </w:rPr>
            </w:pPr>
            <w:r>
              <w:rPr>
                <w:rFonts w:ascii="Arial" w:cs="Arial" w:eastAsia="Arial" w:hAnsi="Arial"/>
                <w:sz w:val="17"/>
                <w:szCs w:val="17"/>
                <w:color w:val="auto"/>
              </w:rPr>
              <w:t>Future phases of mixed-use development</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7"/>
                <w:szCs w:val="17"/>
                <w:color w:val="auto"/>
              </w:rPr>
              <w:t>Assembly Square</w:t>
            </w:r>
          </w:p>
        </w:tc>
        <w:tc>
          <w:tcPr>
            <w:tcW w:w="2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7"/>
                <w:szCs w:val="17"/>
                <w:color w:val="auto"/>
              </w:rPr>
              <w:t>Sommerville, MA</w:t>
            </w:r>
          </w:p>
        </w:tc>
        <w:tc>
          <w:tcPr>
            <w:tcW w:w="220" w:type="dxa"/>
            <w:vAlign w:val="bottom"/>
          </w:tcPr>
          <w:p>
            <w:pPr>
              <w:spacing w:after="0"/>
              <w:rPr>
                <w:sz w:val="18"/>
                <w:szCs w:val="18"/>
                <w:color w:val="auto"/>
              </w:rPr>
            </w:pPr>
          </w:p>
        </w:tc>
        <w:tc>
          <w:tcPr>
            <w:tcW w:w="5460" w:type="dxa"/>
            <w:vAlign w:val="bottom"/>
            <w:gridSpan w:val="5"/>
          </w:tcPr>
          <w:p>
            <w:pPr>
              <w:spacing w:after="0"/>
              <w:rPr>
                <w:sz w:val="20"/>
                <w:szCs w:val="20"/>
                <w:color w:val="auto"/>
              </w:rPr>
            </w:pPr>
            <w:r>
              <w:rPr>
                <w:rFonts w:ascii="Arial" w:cs="Arial" w:eastAsia="Arial" w:hAnsi="Arial"/>
                <w:sz w:val="17"/>
                <w:szCs w:val="17"/>
                <w:color w:val="auto"/>
              </w:rPr>
              <w:t>Potential substantial transit oriented mixed-use development</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956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563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7" w:lineRule="exact"/>
        <w:rPr>
          <w:sz w:val="20"/>
          <w:szCs w:val="20"/>
          <w:color w:val="auto"/>
        </w:rPr>
      </w:pPr>
    </w:p>
    <w:p>
      <w:pPr>
        <w:ind w:left="460" w:right="460" w:hanging="457"/>
        <w:spacing w:after="0" w:line="268"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460" w:right="120" w:hanging="457"/>
        <w:spacing w:after="0" w:line="252"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being paid for the redevelopment space and any other space taken out of service to accommodate the redevelopment. Projected ROI does NOT include peripheral impacts, such as the impact on future lease rollovers at the property or the impact on the long-term value of the property. ROI for Mount Vernon/South Valley and Mercer Mall (properties acquired on the basis of redevelopment potential) are calculated as the increase in POI between acquisition and stabilization divided by the increase in cost basis between acquisition and stabilization.</w:t>
      </w:r>
    </w:p>
    <w:p>
      <w:pPr>
        <w:spacing w:after="0" w:line="1" w:lineRule="exact"/>
        <w:rPr>
          <w:rFonts w:ascii="Arial" w:cs="Arial" w:eastAsia="Arial" w:hAnsi="Arial"/>
          <w:sz w:val="17"/>
          <w:szCs w:val="17"/>
          <w:color w:val="auto"/>
        </w:rPr>
      </w:pPr>
    </w:p>
    <w:p>
      <w:pPr>
        <w:ind w:left="460" w:hanging="457"/>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Stabilization is the year in which 95% occupancy of the redeveloped space is achieved.</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subtotals and totals reflect cost weighted-average ROIs.</w:t>
      </w:r>
    </w:p>
    <w:p>
      <w:pPr>
        <w:spacing w:after="0" w:line="10" w:lineRule="exact"/>
        <w:rPr>
          <w:rFonts w:ascii="Arial" w:cs="Arial" w:eastAsia="Arial" w:hAnsi="Arial"/>
          <w:sz w:val="17"/>
          <w:szCs w:val="17"/>
          <w:color w:val="auto"/>
        </w:rPr>
      </w:pPr>
    </w:p>
    <w:p>
      <w:pPr>
        <w:ind w:left="460" w:right="80" w:hanging="457"/>
        <w:spacing w:after="0" w:line="252"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These future redevelopment opportunities are being explored by the Trust. There is no guaranty that the Trust will ultimately pursue or complete any or all of these opportunities.</w:t>
      </w:r>
    </w:p>
    <w:p>
      <w:pPr>
        <w:ind w:left="460" w:hanging="457"/>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Individual items may not add up to total due to rounding.</w:t>
      </w:r>
    </w:p>
    <w:p>
      <w:pPr>
        <w:sectPr>
          <w:pgSz w:w="11900" w:h="16838" w:orient="portrait"/>
          <w:cols w:equalWidth="0" w:num="1">
            <w:col w:w="11420"/>
          </w:cols>
          <w:pgMar w:left="240" w:top="268" w:right="239" w:bottom="676"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2006 Significant Acquisitions and Dispositions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December 31, 2006</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Federal Realty Investment Trust Acquisitions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80" w:type="dxa"/>
            <w:vAlign w:val="bottom"/>
            <w:gridSpan w:val="2"/>
          </w:tcPr>
          <w:p>
            <w:pPr>
              <w:ind w:left="760"/>
              <w:spacing w:after="0"/>
              <w:rPr>
                <w:sz w:val="20"/>
                <w:szCs w:val="20"/>
                <w:color w:val="auto"/>
              </w:rPr>
            </w:pPr>
            <w:r>
              <w:rPr>
                <w:rFonts w:ascii="Arial" w:cs="Arial" w:eastAsia="Arial" w:hAnsi="Arial"/>
                <w:sz w:val="13"/>
                <w:szCs w:val="13"/>
                <w:b w:val="1"/>
                <w:bCs w:val="1"/>
                <w:color w:val="auto"/>
              </w:rPr>
              <w:t>Date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20" w:type="dxa"/>
            <w:vAlign w:val="bottom"/>
          </w:tcPr>
          <w:p>
            <w:pPr>
              <w:ind w:left="40"/>
              <w:spacing w:after="0"/>
              <w:rPr>
                <w:sz w:val="20"/>
                <w:szCs w:val="20"/>
                <w:color w:val="auto"/>
              </w:rPr>
            </w:pPr>
            <w:r>
              <w:rPr>
                <w:rFonts w:ascii="Arial" w:cs="Arial" w:eastAsia="Arial" w:hAnsi="Arial"/>
                <w:sz w:val="13"/>
                <w:szCs w:val="13"/>
                <w:b w:val="1"/>
                <w:bCs w:val="1"/>
                <w:color w:val="auto"/>
              </w:rPr>
              <w:t>Property</w:t>
            </w:r>
          </w:p>
        </w:tc>
        <w:tc>
          <w:tcPr>
            <w:tcW w:w="220" w:type="dxa"/>
            <w:vAlign w:val="bottom"/>
          </w:tcPr>
          <w:p>
            <w:pPr>
              <w:spacing w:after="0"/>
              <w:rPr>
                <w:sz w:val="14"/>
                <w:szCs w:val="14"/>
                <w:color w:val="auto"/>
              </w:rPr>
            </w:pPr>
          </w:p>
        </w:tc>
        <w:tc>
          <w:tcPr>
            <w:tcW w:w="1820" w:type="dxa"/>
            <w:vAlign w:val="bottom"/>
          </w:tcPr>
          <w:p>
            <w:pPr>
              <w:ind w:left="600"/>
              <w:spacing w:after="0"/>
              <w:rPr>
                <w:sz w:val="20"/>
                <w:szCs w:val="20"/>
                <w:color w:val="auto"/>
              </w:rPr>
            </w:pPr>
            <w:r>
              <w:rPr>
                <w:rFonts w:ascii="Arial" w:cs="Arial" w:eastAsia="Arial" w:hAnsi="Arial"/>
                <w:sz w:val="13"/>
                <w:szCs w:val="13"/>
                <w:b w:val="1"/>
                <w:bCs w:val="1"/>
                <w:color w:val="auto"/>
              </w:rPr>
              <w:t>City / State</w:t>
            </w:r>
          </w:p>
        </w:tc>
        <w:tc>
          <w:tcPr>
            <w:tcW w:w="220" w:type="dxa"/>
            <w:vAlign w:val="bottom"/>
          </w:tcPr>
          <w:p>
            <w:pPr>
              <w:spacing w:after="0"/>
              <w:rPr>
                <w:sz w:val="14"/>
                <w:szCs w:val="14"/>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b w:val="1"/>
                <w:bCs w:val="1"/>
                <w:color w:val="auto"/>
              </w:rPr>
              <w:t>GLA</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w w:val="85"/>
              </w:rPr>
              <w:t>Purchase price</w:t>
            </w:r>
          </w:p>
        </w:tc>
        <w:tc>
          <w:tcPr>
            <w:tcW w:w="220" w:type="dxa"/>
            <w:vAlign w:val="bottom"/>
          </w:tcPr>
          <w:p>
            <w:pPr>
              <w:spacing w:after="0"/>
              <w:rPr>
                <w:sz w:val="14"/>
                <w:szCs w:val="14"/>
                <w:color w:val="auto"/>
              </w:rPr>
            </w:pPr>
          </w:p>
        </w:tc>
        <w:tc>
          <w:tcPr>
            <w:tcW w:w="2580" w:type="dxa"/>
            <w:vAlign w:val="bottom"/>
          </w:tcPr>
          <w:p>
            <w:pPr>
              <w:ind w:left="880"/>
              <w:spacing w:after="0"/>
              <w:rPr>
                <w:sz w:val="20"/>
                <w:szCs w:val="20"/>
                <w:color w:val="auto"/>
              </w:rPr>
            </w:pPr>
            <w:r>
              <w:rPr>
                <w:rFonts w:ascii="Arial" w:cs="Arial" w:eastAsia="Arial" w:hAnsi="Arial"/>
                <w:sz w:val="13"/>
                <w:szCs w:val="13"/>
                <w:b w:val="1"/>
                <w:bCs w:val="1"/>
                <w:color w:val="auto"/>
              </w:rPr>
              <w:t>Anchor tenants</w:t>
            </w:r>
          </w:p>
        </w:tc>
        <w:tc>
          <w:tcPr>
            <w:tcW w:w="0" w:type="dxa"/>
            <w:vAlign w:val="bottom"/>
          </w:tcPr>
          <w:p>
            <w:pPr>
              <w:spacing w:after="0"/>
              <w:rPr>
                <w:sz w:val="1"/>
                <w:szCs w:val="1"/>
                <w:color w:val="auto"/>
              </w:rPr>
            </w:pPr>
          </w:p>
        </w:tc>
      </w:tr>
      <w:tr>
        <w:trPr>
          <w:trHeight w:val="134"/>
        </w:trPr>
        <w:tc>
          <w:tcPr>
            <w:tcW w:w="9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34" w:lineRule="exact"/>
              <w:rPr>
                <w:sz w:val="20"/>
                <w:szCs w:val="20"/>
                <w:color w:val="auto"/>
              </w:rPr>
            </w:pPr>
            <w:r>
              <w:rPr>
                <w:rFonts w:ascii="Arial" w:cs="Arial" w:eastAsia="Arial" w:hAnsi="Arial"/>
                <w:sz w:val="13"/>
                <w:szCs w:val="13"/>
                <w:b w:val="1"/>
                <w:bCs w:val="1"/>
                <w:color w:val="auto"/>
                <w:w w:val="90"/>
              </w:rPr>
              <w:t>(in millions)</w:t>
            </w:r>
          </w:p>
        </w:tc>
        <w:tc>
          <w:tcPr>
            <w:tcW w:w="220" w:type="dxa"/>
            <w:vAlign w:val="bottom"/>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20, 2006</w:t>
            </w:r>
          </w:p>
        </w:tc>
        <w:tc>
          <w:tcPr>
            <w:tcW w:w="2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4900 Hampden Lane (1)</w:t>
            </w:r>
          </w:p>
        </w:tc>
        <w:tc>
          <w:tcPr>
            <w:tcW w:w="20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Bethesda, MD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28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Washington Sports Club</w:t>
            </w:r>
          </w:p>
        </w:tc>
        <w:tc>
          <w:tcPr>
            <w:tcW w:w="0" w:type="dxa"/>
            <w:vAlign w:val="bottom"/>
          </w:tcPr>
          <w:p>
            <w:pPr>
              <w:spacing w:after="0"/>
              <w:rPr>
                <w:sz w:val="1"/>
                <w:szCs w:val="1"/>
                <w:color w:val="auto"/>
              </w:rPr>
            </w:pPr>
          </w:p>
        </w:tc>
      </w:tr>
      <w:tr>
        <w:trPr>
          <w:trHeight w:val="307"/>
        </w:trPr>
        <w:tc>
          <w:tcPr>
            <w:tcW w:w="1780" w:type="dxa"/>
            <w:vAlign w:val="bottom"/>
            <w:gridSpan w:val="2"/>
          </w:tcPr>
          <w:p>
            <w:pPr>
              <w:spacing w:after="0"/>
              <w:rPr>
                <w:sz w:val="20"/>
                <w:szCs w:val="20"/>
                <w:color w:val="auto"/>
              </w:rPr>
            </w:pPr>
            <w:r>
              <w:rPr>
                <w:rFonts w:ascii="Arial" w:cs="Arial" w:eastAsia="Arial" w:hAnsi="Arial"/>
                <w:sz w:val="17"/>
                <w:szCs w:val="17"/>
                <w:color w:val="auto"/>
              </w:rPr>
              <w:t>January 27, 2006</w:t>
            </w:r>
          </w:p>
        </w:tc>
        <w:tc>
          <w:tcPr>
            <w:tcW w:w="22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auto"/>
              </w:rPr>
              <w:t>7770 Richmond Highway</w:t>
            </w:r>
          </w:p>
        </w:tc>
        <w:tc>
          <w:tcPr>
            <w:tcW w:w="2040" w:type="dxa"/>
            <w:vAlign w:val="bottom"/>
            <w:gridSpan w:val="2"/>
          </w:tcPr>
          <w:p>
            <w:pPr>
              <w:ind w:left="220"/>
              <w:spacing w:after="0"/>
              <w:rPr>
                <w:sz w:val="20"/>
                <w:szCs w:val="20"/>
                <w:color w:val="auto"/>
              </w:rPr>
            </w:pPr>
            <w:r>
              <w:rPr>
                <w:rFonts w:ascii="Arial" w:cs="Arial" w:eastAsia="Arial" w:hAnsi="Arial"/>
                <w:sz w:val="17"/>
                <w:szCs w:val="17"/>
                <w:color w:val="auto"/>
              </w:rPr>
              <w:t>Alexandria, VA</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60,000</w:t>
            </w: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9.9</w:t>
            </w:r>
          </w:p>
        </w:tc>
        <w:tc>
          <w:tcPr>
            <w:tcW w:w="2800" w:type="dxa"/>
            <w:vAlign w:val="bottom"/>
            <w:gridSpan w:val="2"/>
          </w:tcPr>
          <w:p>
            <w:pPr>
              <w:ind w:left="220"/>
              <w:spacing w:after="0"/>
              <w:rPr>
                <w:sz w:val="20"/>
                <w:szCs w:val="20"/>
                <w:color w:val="auto"/>
              </w:rPr>
            </w:pPr>
            <w:r>
              <w:rPr>
                <w:rFonts w:ascii="Arial" w:cs="Arial" w:eastAsia="Arial" w:hAnsi="Arial"/>
                <w:sz w:val="17"/>
                <w:szCs w:val="17"/>
                <w:color w:val="auto"/>
              </w:rPr>
              <w:t>Gold’s Gym</w:t>
            </w:r>
          </w:p>
        </w:tc>
        <w:tc>
          <w:tcPr>
            <w:tcW w:w="0" w:type="dxa"/>
            <w:vAlign w:val="bottom"/>
          </w:tcPr>
          <w:p>
            <w:pPr>
              <w:spacing w:after="0"/>
              <w:rPr>
                <w:sz w:val="1"/>
                <w:szCs w:val="1"/>
                <w:color w:val="auto"/>
              </w:rPr>
            </w:pPr>
          </w:p>
        </w:tc>
      </w:tr>
      <w:tr>
        <w:trPr>
          <w:trHeight w:val="104"/>
        </w:trPr>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29, 2006</w:t>
            </w:r>
          </w:p>
        </w:tc>
        <w:tc>
          <w:tcPr>
            <w:tcW w:w="2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Town Center of New Britain</w:t>
            </w:r>
          </w:p>
        </w:tc>
        <w:tc>
          <w:tcPr>
            <w:tcW w:w="20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New Britain, PA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28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Giant Food, Rite Aid</w:t>
            </w:r>
          </w:p>
        </w:tc>
        <w:tc>
          <w:tcPr>
            <w:tcW w:w="0" w:type="dxa"/>
            <w:vAlign w:val="bottom"/>
          </w:tcPr>
          <w:p>
            <w:pPr>
              <w:spacing w:after="0"/>
              <w:rPr>
                <w:sz w:val="1"/>
                <w:szCs w:val="1"/>
                <w:color w:val="auto"/>
              </w:rPr>
            </w:pPr>
          </w:p>
        </w:tc>
      </w:tr>
      <w:tr>
        <w:trPr>
          <w:trHeight w:val="307"/>
        </w:trPr>
        <w:tc>
          <w:tcPr>
            <w:tcW w:w="1780" w:type="dxa"/>
            <w:vAlign w:val="bottom"/>
            <w:gridSpan w:val="2"/>
          </w:tcPr>
          <w:p>
            <w:pPr>
              <w:spacing w:after="0"/>
              <w:rPr>
                <w:sz w:val="20"/>
                <w:szCs w:val="20"/>
                <w:color w:val="auto"/>
              </w:rPr>
            </w:pPr>
            <w:r>
              <w:rPr>
                <w:rFonts w:ascii="Arial" w:cs="Arial" w:eastAsia="Arial" w:hAnsi="Arial"/>
                <w:sz w:val="17"/>
                <w:szCs w:val="17"/>
                <w:color w:val="auto"/>
              </w:rPr>
              <w:t>August 24, 2006</w:t>
            </w:r>
          </w:p>
        </w:tc>
        <w:tc>
          <w:tcPr>
            <w:tcW w:w="22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auto"/>
              </w:rPr>
              <w:t>Key Road Plaza</w:t>
            </w:r>
          </w:p>
        </w:tc>
        <w:tc>
          <w:tcPr>
            <w:tcW w:w="2040" w:type="dxa"/>
            <w:vAlign w:val="bottom"/>
            <w:gridSpan w:val="2"/>
          </w:tcPr>
          <w:p>
            <w:pPr>
              <w:ind w:left="220"/>
              <w:spacing w:after="0"/>
              <w:rPr>
                <w:sz w:val="20"/>
                <w:szCs w:val="20"/>
                <w:color w:val="auto"/>
              </w:rPr>
            </w:pPr>
            <w:r>
              <w:rPr>
                <w:rFonts w:ascii="Arial" w:cs="Arial" w:eastAsia="Arial" w:hAnsi="Arial"/>
                <w:sz w:val="17"/>
                <w:szCs w:val="17"/>
                <w:color w:val="auto"/>
              </w:rPr>
              <w:t>Keene, NH</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76,000</w:t>
            </w: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14.5</w:t>
            </w:r>
          </w:p>
        </w:tc>
        <w:tc>
          <w:tcPr>
            <w:tcW w:w="2800" w:type="dxa"/>
            <w:vAlign w:val="bottom"/>
            <w:gridSpan w:val="2"/>
          </w:tcPr>
          <w:p>
            <w:pPr>
              <w:ind w:left="220"/>
              <w:spacing w:after="0"/>
              <w:rPr>
                <w:sz w:val="20"/>
                <w:szCs w:val="20"/>
                <w:color w:val="auto"/>
              </w:rPr>
            </w:pPr>
            <w:r>
              <w:rPr>
                <w:rFonts w:ascii="Arial" w:cs="Arial" w:eastAsia="Arial" w:hAnsi="Arial"/>
                <w:sz w:val="17"/>
                <w:szCs w:val="17"/>
                <w:color w:val="auto"/>
              </w:rPr>
              <w:t>Staples, TJ Maxx</w:t>
            </w:r>
          </w:p>
        </w:tc>
        <w:tc>
          <w:tcPr>
            <w:tcW w:w="0" w:type="dxa"/>
            <w:vAlign w:val="bottom"/>
          </w:tcPr>
          <w:p>
            <w:pPr>
              <w:spacing w:after="0"/>
              <w:rPr>
                <w:sz w:val="1"/>
                <w:szCs w:val="1"/>
                <w:color w:val="auto"/>
              </w:rPr>
            </w:pPr>
          </w:p>
        </w:tc>
      </w:tr>
      <w:tr>
        <w:trPr>
          <w:trHeight w:val="104"/>
        </w:trPr>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24, 2006</w:t>
            </w:r>
          </w:p>
        </w:tc>
        <w:tc>
          <w:tcPr>
            <w:tcW w:w="2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Riverside Plaza</w:t>
            </w:r>
          </w:p>
        </w:tc>
        <w:tc>
          <w:tcPr>
            <w:tcW w:w="20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Keene, NH</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28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Shaw’s, Wal-Mart</w:t>
            </w:r>
          </w:p>
        </w:tc>
        <w:tc>
          <w:tcPr>
            <w:tcW w:w="0" w:type="dxa"/>
            <w:vAlign w:val="bottom"/>
          </w:tcPr>
          <w:p>
            <w:pPr>
              <w:spacing w:after="0"/>
              <w:rPr>
                <w:sz w:val="1"/>
                <w:szCs w:val="1"/>
                <w:color w:val="auto"/>
              </w:rPr>
            </w:pPr>
          </w:p>
        </w:tc>
      </w:tr>
      <w:tr>
        <w:trPr>
          <w:trHeight w:val="307"/>
        </w:trPr>
        <w:tc>
          <w:tcPr>
            <w:tcW w:w="1780" w:type="dxa"/>
            <w:vAlign w:val="bottom"/>
            <w:gridSpan w:val="2"/>
          </w:tcPr>
          <w:p>
            <w:pPr>
              <w:spacing w:after="0"/>
              <w:rPr>
                <w:sz w:val="20"/>
                <w:szCs w:val="20"/>
                <w:color w:val="auto"/>
              </w:rPr>
            </w:pPr>
            <w:r>
              <w:rPr>
                <w:rFonts w:ascii="Arial" w:cs="Arial" w:eastAsia="Arial" w:hAnsi="Arial"/>
                <w:sz w:val="17"/>
                <w:szCs w:val="17"/>
                <w:color w:val="auto"/>
              </w:rPr>
              <w:t>August 24, 2006</w:t>
            </w:r>
          </w:p>
        </w:tc>
        <w:tc>
          <w:tcPr>
            <w:tcW w:w="22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auto"/>
              </w:rPr>
              <w:t>Bath Shopping Center (3)</w:t>
            </w:r>
          </w:p>
        </w:tc>
        <w:tc>
          <w:tcPr>
            <w:tcW w:w="2040" w:type="dxa"/>
            <w:vAlign w:val="bottom"/>
            <w:gridSpan w:val="2"/>
          </w:tcPr>
          <w:p>
            <w:pPr>
              <w:ind w:left="220"/>
              <w:spacing w:after="0"/>
              <w:rPr>
                <w:sz w:val="20"/>
                <w:szCs w:val="20"/>
                <w:color w:val="auto"/>
              </w:rPr>
            </w:pPr>
            <w:r>
              <w:rPr>
                <w:rFonts w:ascii="Arial" w:cs="Arial" w:eastAsia="Arial" w:hAnsi="Arial"/>
                <w:sz w:val="17"/>
                <w:szCs w:val="17"/>
                <w:color w:val="auto"/>
              </w:rPr>
              <w:t>Bath, ME</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101,000</w:t>
            </w: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22.8</w:t>
            </w:r>
          </w:p>
        </w:tc>
        <w:tc>
          <w:tcPr>
            <w:tcW w:w="2800" w:type="dxa"/>
            <w:vAlign w:val="bottom"/>
            <w:gridSpan w:val="2"/>
          </w:tcPr>
          <w:p>
            <w:pPr>
              <w:ind w:left="220"/>
              <w:spacing w:after="0"/>
              <w:rPr>
                <w:sz w:val="20"/>
                <w:szCs w:val="20"/>
                <w:color w:val="auto"/>
              </w:rPr>
            </w:pPr>
            <w:r>
              <w:rPr>
                <w:rFonts w:ascii="Arial" w:cs="Arial" w:eastAsia="Arial" w:hAnsi="Arial"/>
                <w:sz w:val="17"/>
                <w:szCs w:val="17"/>
                <w:color w:val="auto"/>
              </w:rPr>
              <w:t>Shaw’s</w:t>
            </w:r>
          </w:p>
        </w:tc>
        <w:tc>
          <w:tcPr>
            <w:tcW w:w="0" w:type="dxa"/>
            <w:vAlign w:val="bottom"/>
          </w:tcPr>
          <w:p>
            <w:pPr>
              <w:spacing w:after="0"/>
              <w:rPr>
                <w:sz w:val="1"/>
                <w:szCs w:val="1"/>
                <w:color w:val="auto"/>
              </w:rPr>
            </w:pPr>
          </w:p>
        </w:tc>
      </w:tr>
      <w:tr>
        <w:trPr>
          <w:trHeight w:val="104"/>
        </w:trPr>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24, 2006</w:t>
            </w:r>
          </w:p>
        </w:tc>
        <w:tc>
          <w:tcPr>
            <w:tcW w:w="2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Linden Square</w:t>
            </w:r>
          </w:p>
        </w:tc>
        <w:tc>
          <w:tcPr>
            <w:tcW w:w="20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Wellesley, MA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261,000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w:t>
            </w:r>
          </w:p>
        </w:tc>
        <w:tc>
          <w:tcPr>
            <w:tcW w:w="28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Roche Brothers, CVS</w:t>
            </w:r>
          </w:p>
        </w:tc>
        <w:tc>
          <w:tcPr>
            <w:tcW w:w="0" w:type="dxa"/>
            <w:vAlign w:val="bottom"/>
          </w:tcPr>
          <w:p>
            <w:pPr>
              <w:spacing w:after="0"/>
              <w:rPr>
                <w:sz w:val="1"/>
                <w:szCs w:val="1"/>
                <w:color w:val="auto"/>
              </w:rPr>
            </w:pPr>
          </w:p>
        </w:tc>
      </w:tr>
      <w:tr>
        <w:trPr>
          <w:trHeight w:val="307"/>
        </w:trPr>
        <w:tc>
          <w:tcPr>
            <w:tcW w:w="1780" w:type="dxa"/>
            <w:vAlign w:val="bottom"/>
            <w:gridSpan w:val="2"/>
          </w:tcPr>
          <w:p>
            <w:pPr>
              <w:spacing w:after="0"/>
              <w:rPr>
                <w:sz w:val="20"/>
                <w:szCs w:val="20"/>
                <w:color w:val="auto"/>
              </w:rPr>
            </w:pPr>
            <w:r>
              <w:rPr>
                <w:rFonts w:ascii="Arial" w:cs="Arial" w:eastAsia="Arial" w:hAnsi="Arial"/>
                <w:sz w:val="17"/>
                <w:szCs w:val="17"/>
                <w:color w:val="auto"/>
              </w:rPr>
              <w:t>August 24, 2006</w:t>
            </w:r>
          </w:p>
        </w:tc>
        <w:tc>
          <w:tcPr>
            <w:tcW w:w="22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auto"/>
              </w:rPr>
              <w:t>North Dartmouth</w:t>
            </w:r>
          </w:p>
        </w:tc>
        <w:tc>
          <w:tcPr>
            <w:tcW w:w="2040" w:type="dxa"/>
            <w:vAlign w:val="bottom"/>
            <w:gridSpan w:val="2"/>
          </w:tcPr>
          <w:p>
            <w:pPr>
              <w:ind w:left="220"/>
              <w:spacing w:after="0"/>
              <w:rPr>
                <w:sz w:val="20"/>
                <w:szCs w:val="20"/>
                <w:color w:val="auto"/>
              </w:rPr>
            </w:pPr>
            <w:r>
              <w:rPr>
                <w:rFonts w:ascii="Arial" w:cs="Arial" w:eastAsia="Arial" w:hAnsi="Arial"/>
                <w:sz w:val="17"/>
                <w:szCs w:val="17"/>
                <w:color w:val="auto"/>
              </w:rPr>
              <w:t>North Dartmouth, MA</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183,000</w:t>
            </w: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27.5</w:t>
            </w:r>
          </w:p>
        </w:tc>
        <w:tc>
          <w:tcPr>
            <w:tcW w:w="2800" w:type="dxa"/>
            <w:vAlign w:val="bottom"/>
            <w:gridSpan w:val="2"/>
          </w:tcPr>
          <w:p>
            <w:pPr>
              <w:ind w:left="220"/>
              <w:spacing w:after="0"/>
              <w:rPr>
                <w:sz w:val="20"/>
                <w:szCs w:val="20"/>
                <w:color w:val="auto"/>
              </w:rPr>
            </w:pPr>
            <w:r>
              <w:rPr>
                <w:rFonts w:ascii="Arial" w:cs="Arial" w:eastAsia="Arial" w:hAnsi="Arial"/>
                <w:sz w:val="17"/>
                <w:szCs w:val="17"/>
                <w:color w:val="auto"/>
              </w:rPr>
              <w:t>Lowes, Stop N Shop</w:t>
            </w:r>
          </w:p>
        </w:tc>
        <w:tc>
          <w:tcPr>
            <w:tcW w:w="0" w:type="dxa"/>
            <w:vAlign w:val="bottom"/>
          </w:tcPr>
          <w:p>
            <w:pPr>
              <w:spacing w:after="0"/>
              <w:rPr>
                <w:sz w:val="1"/>
                <w:szCs w:val="1"/>
                <w:color w:val="auto"/>
              </w:rPr>
            </w:pPr>
          </w:p>
        </w:tc>
      </w:tr>
      <w:tr>
        <w:trPr>
          <w:trHeight w:val="104"/>
        </w:trPr>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25, 2006</w:t>
            </w:r>
          </w:p>
        </w:tc>
        <w:tc>
          <w:tcPr>
            <w:tcW w:w="2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Chelsea Commons (4)</w:t>
            </w:r>
          </w:p>
        </w:tc>
        <w:tc>
          <w:tcPr>
            <w:tcW w:w="20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Chelsea, MA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180,000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28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Home Depot, Save-A-Lot</w:t>
            </w:r>
          </w:p>
        </w:tc>
        <w:tc>
          <w:tcPr>
            <w:tcW w:w="0" w:type="dxa"/>
            <w:vAlign w:val="bottom"/>
          </w:tcPr>
          <w:p>
            <w:pPr>
              <w:spacing w:after="0"/>
              <w:rPr>
                <w:sz w:val="1"/>
                <w:szCs w:val="1"/>
                <w:color w:val="auto"/>
              </w:rPr>
            </w:pPr>
          </w:p>
        </w:tc>
      </w:tr>
      <w:tr>
        <w:trPr>
          <w:trHeight w:val="300"/>
        </w:trPr>
        <w:tc>
          <w:tcPr>
            <w:tcW w:w="1780" w:type="dxa"/>
            <w:vAlign w:val="bottom"/>
            <w:gridSpan w:val="2"/>
          </w:tcPr>
          <w:p>
            <w:pPr>
              <w:spacing w:after="0"/>
              <w:rPr>
                <w:sz w:val="20"/>
                <w:szCs w:val="20"/>
                <w:color w:val="auto"/>
              </w:rPr>
            </w:pPr>
            <w:r>
              <w:rPr>
                <w:rFonts w:ascii="Arial" w:cs="Arial" w:eastAsia="Arial" w:hAnsi="Arial"/>
                <w:sz w:val="17"/>
                <w:szCs w:val="17"/>
                <w:color w:val="auto"/>
              </w:rPr>
              <w:t>October 16, 2006</w:t>
            </w:r>
          </w:p>
        </w:tc>
        <w:tc>
          <w:tcPr>
            <w:tcW w:w="22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auto"/>
              </w:rPr>
              <w:t>Melville Mall (5)</w:t>
            </w:r>
          </w:p>
        </w:tc>
        <w:tc>
          <w:tcPr>
            <w:tcW w:w="2040" w:type="dxa"/>
            <w:vAlign w:val="bottom"/>
            <w:gridSpan w:val="2"/>
          </w:tcPr>
          <w:p>
            <w:pPr>
              <w:ind w:left="220"/>
              <w:spacing w:after="0"/>
              <w:rPr>
                <w:sz w:val="20"/>
                <w:szCs w:val="20"/>
                <w:color w:val="auto"/>
              </w:rPr>
            </w:pPr>
            <w:r>
              <w:rPr>
                <w:rFonts w:ascii="Arial" w:cs="Arial" w:eastAsia="Arial" w:hAnsi="Arial"/>
                <w:sz w:val="17"/>
                <w:szCs w:val="17"/>
                <w:color w:val="auto"/>
              </w:rPr>
              <w:t>Huntington, NY</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248,000</w:t>
            </w: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60.0</w:t>
            </w:r>
          </w:p>
        </w:tc>
        <w:tc>
          <w:tcPr>
            <w:tcW w:w="2800" w:type="dxa"/>
            <w:vAlign w:val="bottom"/>
            <w:gridSpan w:val="2"/>
          </w:tcPr>
          <w:p>
            <w:pPr>
              <w:ind w:left="220"/>
              <w:spacing w:after="0"/>
              <w:rPr>
                <w:sz w:val="20"/>
                <w:szCs w:val="20"/>
                <w:color w:val="auto"/>
              </w:rPr>
            </w:pPr>
            <w:r>
              <w:rPr>
                <w:rFonts w:ascii="Arial" w:cs="Arial" w:eastAsia="Arial" w:hAnsi="Arial"/>
                <w:sz w:val="17"/>
                <w:szCs w:val="17"/>
                <w:color w:val="auto"/>
              </w:rPr>
              <w:t>Marshall’s, Kohl’s, Dicks,</w:t>
            </w:r>
          </w:p>
        </w:tc>
        <w:tc>
          <w:tcPr>
            <w:tcW w:w="0" w:type="dxa"/>
            <w:vAlign w:val="bottom"/>
          </w:tcPr>
          <w:p>
            <w:pPr>
              <w:spacing w:after="0"/>
              <w:rPr>
                <w:sz w:val="1"/>
                <w:szCs w:val="1"/>
                <w:color w:val="auto"/>
              </w:rPr>
            </w:pPr>
          </w:p>
        </w:tc>
      </w:tr>
      <w:tr>
        <w:trPr>
          <w:trHeight w:val="233"/>
        </w:trPr>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0" w:type="dxa"/>
            <w:vAlign w:val="bottom"/>
            <w:gridSpan w:val="2"/>
          </w:tcPr>
          <w:p>
            <w:pPr>
              <w:ind w:left="220"/>
              <w:spacing w:after="0"/>
              <w:rPr>
                <w:sz w:val="20"/>
                <w:szCs w:val="20"/>
                <w:color w:val="auto"/>
              </w:rPr>
            </w:pPr>
            <w:r>
              <w:rPr>
                <w:rFonts w:ascii="Arial" w:cs="Arial" w:eastAsia="Arial" w:hAnsi="Arial"/>
                <w:sz w:val="17"/>
                <w:szCs w:val="17"/>
                <w:color w:val="auto"/>
              </w:rPr>
              <w:t>Waldbaum’s</w:t>
            </w:r>
          </w:p>
        </w:tc>
        <w:tc>
          <w:tcPr>
            <w:tcW w:w="0" w:type="dxa"/>
            <w:vAlign w:val="bottom"/>
          </w:tcPr>
          <w:p>
            <w:pPr>
              <w:spacing w:after="0"/>
              <w:rPr>
                <w:sz w:val="1"/>
                <w:szCs w:val="1"/>
                <w:color w:val="auto"/>
              </w:rPr>
            </w:pPr>
          </w:p>
        </w:tc>
      </w:tr>
      <w:tr>
        <w:trPr>
          <w:trHeight w:val="206"/>
        </w:trPr>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1,488,000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303.2</w:t>
            </w:r>
          </w:p>
        </w:tc>
        <w:tc>
          <w:tcPr>
            <w:tcW w:w="2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gridSpan w:val="5"/>
            <w:vMerge w:val="restart"/>
          </w:tcPr>
          <w:p>
            <w:pPr>
              <w:spacing w:after="0"/>
              <w:rPr>
                <w:sz w:val="20"/>
                <w:szCs w:val="20"/>
                <w:color w:val="auto"/>
              </w:rPr>
            </w:pPr>
            <w:r>
              <w:rPr>
                <w:rFonts w:ascii="Arial" w:cs="Arial" w:eastAsia="Arial" w:hAnsi="Arial"/>
                <w:sz w:val="17"/>
                <w:szCs w:val="17"/>
                <w:color w:val="auto"/>
              </w:rPr>
              <w:t>Federal Realty Investment Trust Dispositions</w:t>
            </w: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66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80" w:type="dxa"/>
            <w:vAlign w:val="bottom"/>
            <w:tcBorders>
              <w:top w:val="single" w:sz="8" w:color="auto"/>
            </w:tcBorders>
            <w:gridSpan w:val="2"/>
          </w:tcPr>
          <w:p>
            <w:pPr>
              <w:ind w:left="760"/>
              <w:spacing w:after="0"/>
              <w:rPr>
                <w:sz w:val="20"/>
                <w:szCs w:val="20"/>
                <w:color w:val="auto"/>
              </w:rPr>
            </w:pPr>
            <w:r>
              <w:rPr>
                <w:rFonts w:ascii="Arial" w:cs="Arial" w:eastAsia="Arial" w:hAnsi="Arial"/>
                <w:sz w:val="13"/>
                <w:szCs w:val="13"/>
                <w:b w:val="1"/>
                <w:bCs w:val="1"/>
                <w:color w:val="auto"/>
              </w:rPr>
              <w:t>Date</w:t>
            </w: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20" w:type="dxa"/>
            <w:vAlign w:val="bottom"/>
          </w:tcPr>
          <w:p>
            <w:pPr>
              <w:ind w:left="40"/>
              <w:spacing w:after="0"/>
              <w:rPr>
                <w:sz w:val="20"/>
                <w:szCs w:val="20"/>
                <w:color w:val="auto"/>
              </w:rPr>
            </w:pPr>
            <w:r>
              <w:rPr>
                <w:rFonts w:ascii="Arial" w:cs="Arial" w:eastAsia="Arial" w:hAnsi="Arial"/>
                <w:sz w:val="13"/>
                <w:szCs w:val="13"/>
                <w:b w:val="1"/>
                <w:bCs w:val="1"/>
                <w:color w:val="auto"/>
              </w:rPr>
              <w:t>Property</w:t>
            </w:r>
          </w:p>
        </w:tc>
        <w:tc>
          <w:tcPr>
            <w:tcW w:w="220" w:type="dxa"/>
            <w:vAlign w:val="bottom"/>
          </w:tcPr>
          <w:p>
            <w:pPr>
              <w:spacing w:after="0"/>
              <w:rPr>
                <w:sz w:val="24"/>
                <w:szCs w:val="24"/>
                <w:color w:val="auto"/>
              </w:rPr>
            </w:pPr>
          </w:p>
        </w:tc>
        <w:tc>
          <w:tcPr>
            <w:tcW w:w="1820" w:type="dxa"/>
            <w:vAlign w:val="bottom"/>
          </w:tcPr>
          <w:p>
            <w:pPr>
              <w:ind w:left="600"/>
              <w:spacing w:after="0"/>
              <w:rPr>
                <w:sz w:val="20"/>
                <w:szCs w:val="20"/>
                <w:color w:val="auto"/>
              </w:rPr>
            </w:pPr>
            <w:r>
              <w:rPr>
                <w:rFonts w:ascii="Arial" w:cs="Arial" w:eastAsia="Arial" w:hAnsi="Arial"/>
                <w:sz w:val="13"/>
                <w:szCs w:val="13"/>
                <w:b w:val="1"/>
                <w:bCs w:val="1"/>
                <w:color w:val="auto"/>
              </w:rPr>
              <w:t>City / State</w:t>
            </w:r>
          </w:p>
        </w:tc>
        <w:tc>
          <w:tcPr>
            <w:tcW w:w="22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b w:val="1"/>
                <w:bCs w:val="1"/>
                <w:color w:val="auto"/>
              </w:rPr>
              <w:t>GLA</w:t>
            </w:r>
          </w:p>
        </w:tc>
        <w:tc>
          <w:tcPr>
            <w:tcW w:w="100" w:type="dxa"/>
            <w:vAlign w:val="bottom"/>
          </w:tcPr>
          <w:p>
            <w:pPr>
              <w:spacing w:after="0"/>
              <w:rPr>
                <w:sz w:val="24"/>
                <w:szCs w:val="24"/>
                <w:color w:val="auto"/>
              </w:rPr>
            </w:pPr>
          </w:p>
        </w:tc>
        <w:tc>
          <w:tcPr>
            <w:tcW w:w="720" w:type="dxa"/>
            <w:vAlign w:val="bottom"/>
          </w:tcPr>
          <w:p>
            <w:pPr>
              <w:jc w:val="center"/>
              <w:ind w:right="18"/>
              <w:spacing w:after="0"/>
              <w:rPr>
                <w:sz w:val="20"/>
                <w:szCs w:val="20"/>
                <w:color w:val="auto"/>
              </w:rPr>
            </w:pPr>
            <w:r>
              <w:rPr>
                <w:rFonts w:ascii="Arial" w:cs="Arial" w:eastAsia="Arial" w:hAnsi="Arial"/>
                <w:sz w:val="13"/>
                <w:szCs w:val="13"/>
                <w:b w:val="1"/>
                <w:bCs w:val="1"/>
                <w:color w:val="auto"/>
                <w:w w:val="84"/>
              </w:rPr>
              <w:t>Sales price</w:t>
            </w: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34" w:lineRule="exact"/>
              <w:rPr>
                <w:sz w:val="20"/>
                <w:szCs w:val="20"/>
                <w:color w:val="auto"/>
              </w:rPr>
            </w:pPr>
            <w:r>
              <w:rPr>
                <w:rFonts w:ascii="Arial" w:cs="Arial" w:eastAsia="Arial" w:hAnsi="Arial"/>
                <w:sz w:val="13"/>
                <w:szCs w:val="13"/>
                <w:b w:val="1"/>
                <w:bCs w:val="1"/>
                <w:color w:val="auto"/>
                <w:w w:val="90"/>
              </w:rPr>
              <w:t>(in millions)</w:t>
            </w:r>
          </w:p>
        </w:tc>
        <w:tc>
          <w:tcPr>
            <w:tcW w:w="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 August 2006</w:t>
            </w:r>
          </w:p>
        </w:tc>
        <w:tc>
          <w:tcPr>
            <w:tcW w:w="2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Santana Row condominiums</w:t>
            </w:r>
          </w:p>
        </w:tc>
        <w:tc>
          <w:tcPr>
            <w:tcW w:w="20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San Jose, CA</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89 units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2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80" w:type="dxa"/>
            <w:vAlign w:val="bottom"/>
            <w:gridSpan w:val="2"/>
          </w:tcPr>
          <w:p>
            <w:pPr>
              <w:spacing w:after="0"/>
              <w:rPr>
                <w:sz w:val="20"/>
                <w:szCs w:val="20"/>
                <w:color w:val="auto"/>
              </w:rPr>
            </w:pPr>
            <w:r>
              <w:rPr>
                <w:rFonts w:ascii="Arial" w:cs="Arial" w:eastAsia="Arial" w:hAnsi="Arial"/>
                <w:sz w:val="17"/>
                <w:szCs w:val="17"/>
                <w:color w:val="auto"/>
              </w:rPr>
              <w:t>June 5, 2006</w:t>
            </w:r>
          </w:p>
        </w:tc>
        <w:tc>
          <w:tcPr>
            <w:tcW w:w="2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auto"/>
                <w:w w:val="91"/>
              </w:rPr>
              <w:t>Greenlawn Plaza Shopping Center (2)</w:t>
            </w:r>
          </w:p>
        </w:tc>
        <w:tc>
          <w:tcPr>
            <w:tcW w:w="2040" w:type="dxa"/>
            <w:vAlign w:val="bottom"/>
            <w:gridSpan w:val="2"/>
          </w:tcPr>
          <w:p>
            <w:pPr>
              <w:ind w:left="220"/>
              <w:spacing w:after="0"/>
              <w:rPr>
                <w:sz w:val="20"/>
                <w:szCs w:val="20"/>
                <w:color w:val="auto"/>
              </w:rPr>
            </w:pPr>
            <w:r>
              <w:rPr>
                <w:rFonts w:ascii="Arial" w:cs="Arial" w:eastAsia="Arial" w:hAnsi="Arial"/>
                <w:sz w:val="17"/>
                <w:szCs w:val="17"/>
                <w:color w:val="auto"/>
              </w:rPr>
              <w:t>Huntington, NY</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102,000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2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9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7" w:lineRule="exact"/>
        <w:rPr>
          <w:sz w:val="20"/>
          <w:szCs w:val="20"/>
          <w:color w:val="auto"/>
        </w:rPr>
      </w:pPr>
    </w:p>
    <w:p>
      <w:pPr>
        <w:ind w:left="460" w:hanging="457"/>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4900 Hampden Lane is a fully-leased retail parcel adjacent to Betheseda Row and is included in Bethesda Row on the Real Estate Status Report.</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Greenlawn Plaza was sold by the Trust to a subsidiary of our partnership with Clarion Lion Properties Fund.</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Purchase price includes the assumption of debt with a fair value of approximately $11.1 million.</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Purchase price includes the assumption of debt with a fair value of approximately $8.0 million.</w:t>
      </w:r>
    </w:p>
    <w:p>
      <w:pPr>
        <w:spacing w:after="0" w:line="10" w:lineRule="exact"/>
        <w:rPr>
          <w:rFonts w:ascii="Arial" w:cs="Arial" w:eastAsia="Arial" w:hAnsi="Arial"/>
          <w:sz w:val="17"/>
          <w:szCs w:val="17"/>
          <w:color w:val="auto"/>
        </w:rPr>
      </w:pPr>
    </w:p>
    <w:p>
      <w:pPr>
        <w:ind w:left="460" w:right="40" w:hanging="457"/>
        <w:spacing w:after="0" w:line="25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Trust controls and consolidates Melville Mall at its approximate fair value of $60.0 million. We gained control of Melville Mall through a 20-year master lease and $34.1 million secondary financing to the owner. The master lease includes a purchase option in 2023 for $5 million plus the assumption of the owner’s $25.8 million first mortgage.</w:t>
      </w:r>
    </w:p>
    <w:p>
      <w:pPr>
        <w:sectPr>
          <w:pgSz w:w="11900" w:h="16838" w:orient="portrait"/>
          <w:cols w:equalWidth="0" w:num="1">
            <w:col w:w="11420"/>
          </w:cols>
          <w:pgMar w:left="240" w:top="268"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Mortgage</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3"/>
              </w:rPr>
              <w:t>or Capital</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right"/>
              <w:ind w:right="40"/>
              <w:spacing w:after="0" w:line="141" w:lineRule="exact"/>
              <w:rPr>
                <w:sz w:val="20"/>
                <w:szCs w:val="20"/>
                <w:color w:val="auto"/>
              </w:rPr>
            </w:pPr>
            <w:r>
              <w:rPr>
                <w:rFonts w:ascii="Arial" w:cs="Arial" w:eastAsia="Arial" w:hAnsi="Arial"/>
                <w:sz w:val="13"/>
                <w:szCs w:val="13"/>
                <w:b w:val="1"/>
                <w:bCs w:val="1"/>
                <w:color w:val="auto"/>
                <w:w w:val="89"/>
              </w:rPr>
              <w:t>Average Grocery</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176"/>
              <w:spacing w:after="0" w:line="141" w:lineRule="exact"/>
              <w:rPr>
                <w:sz w:val="20"/>
                <w:szCs w:val="20"/>
                <w:color w:val="auto"/>
              </w:rPr>
            </w:pPr>
            <w:r>
              <w:rPr>
                <w:rFonts w:ascii="Arial" w:cs="Arial" w:eastAsia="Arial" w:hAnsi="Arial"/>
                <w:sz w:val="13"/>
                <w:szCs w:val="13"/>
                <w:b w:val="1"/>
                <w:bCs w:val="1"/>
                <w:color w:val="auto"/>
              </w:rPr>
              <w:t>Year</w:t>
            </w:r>
          </w:p>
        </w:tc>
        <w:tc>
          <w:tcPr>
            <w:tcW w:w="700" w:type="dxa"/>
            <w:vAlign w:val="bottom"/>
          </w:tcPr>
          <w:p>
            <w:pPr>
              <w:jc w:val="center"/>
              <w:ind w:right="36"/>
              <w:spacing w:after="0" w:line="141" w:lineRule="exact"/>
              <w:rPr>
                <w:sz w:val="20"/>
                <w:szCs w:val="20"/>
                <w:color w:val="auto"/>
              </w:rPr>
            </w:pPr>
            <w:r>
              <w:rPr>
                <w:rFonts w:ascii="Arial" w:cs="Arial" w:eastAsia="Arial" w:hAnsi="Arial"/>
                <w:sz w:val="13"/>
                <w:szCs w:val="13"/>
                <w:b w:val="1"/>
                <w:bCs w:val="1"/>
                <w:color w:val="auto"/>
                <w:w w:val="89"/>
              </w:rPr>
              <w:t>Total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81"/>
              </w:rPr>
              <w:t>Lease</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jc w:val="right"/>
              <w:ind w:right="56"/>
              <w:spacing w:after="0" w:line="141"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700" w:type="dxa"/>
            <w:vAlign w:val="bottom"/>
          </w:tcPr>
          <w:p>
            <w:pPr>
              <w:jc w:val="right"/>
              <w:ind w:right="216"/>
              <w:spacing w:after="0" w:line="141"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ind w:right="140"/>
              <w:spacing w:after="0" w:line="141" w:lineRule="exact"/>
              <w:rPr>
                <w:sz w:val="20"/>
                <w:szCs w:val="20"/>
                <w:color w:val="auto"/>
              </w:rPr>
            </w:pPr>
            <w:r>
              <w:rPr>
                <w:rFonts w:ascii="Arial" w:cs="Arial" w:eastAsia="Arial" w:hAnsi="Arial"/>
                <w:sz w:val="13"/>
                <w:szCs w:val="13"/>
                <w:b w:val="1"/>
                <w:bCs w:val="1"/>
                <w:color w:val="auto"/>
              </w:rPr>
              <w:t>Rent</w:t>
            </w:r>
          </w:p>
        </w:tc>
        <w:tc>
          <w:tcPr>
            <w:tcW w:w="500" w:type="dxa"/>
            <w:vAlign w:val="bottom"/>
            <w:gridSpan w:val="2"/>
          </w:tcPr>
          <w:p>
            <w:pPr>
              <w:ind w:left="20"/>
              <w:spacing w:after="0" w:line="141" w:lineRule="exact"/>
              <w:rPr>
                <w:sz w:val="20"/>
                <w:szCs w:val="20"/>
                <w:color w:val="auto"/>
              </w:rPr>
            </w:pPr>
            <w:r>
              <w:rPr>
                <w:rFonts w:ascii="Arial" w:cs="Arial" w:eastAsia="Arial" w:hAnsi="Arial"/>
                <w:sz w:val="13"/>
                <w:szCs w:val="13"/>
                <w:b w:val="1"/>
                <w:bCs w:val="1"/>
                <w:color w:val="auto"/>
              </w:rPr>
              <w:t>Anchor</w:t>
            </w:r>
          </w:p>
        </w:tc>
        <w:tc>
          <w:tcPr>
            <w:tcW w:w="800" w:type="dxa"/>
            <w:vAlign w:val="bottom"/>
          </w:tcPr>
          <w:p>
            <w:pPr>
              <w:ind w:left="180"/>
              <w:spacing w:after="0" w:line="141" w:lineRule="exact"/>
              <w:rPr>
                <w:sz w:val="20"/>
                <w:szCs w:val="20"/>
                <w:color w:val="auto"/>
              </w:rPr>
            </w:pPr>
            <w:r>
              <w:rPr>
                <w:rFonts w:ascii="Arial" w:cs="Arial" w:eastAsia="Arial" w:hAnsi="Arial"/>
                <w:sz w:val="13"/>
                <w:szCs w:val="13"/>
                <w:b w:val="1"/>
                <w:bCs w:val="1"/>
                <w:color w:val="auto"/>
              </w:rPr>
              <w:t>Grocery</w:t>
            </w:r>
          </w:p>
        </w:tc>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800" w:type="dxa"/>
            <w:vAlign w:val="bottom"/>
            <w:gridSpan w:val="7"/>
          </w:tcPr>
          <w:p>
            <w:pPr>
              <w:spacing w:after="0"/>
              <w:rPr>
                <w:sz w:val="20"/>
                <w:szCs w:val="20"/>
                <w:color w:val="auto"/>
              </w:rPr>
            </w:pPr>
            <w:r>
              <w:rPr>
                <w:rFonts w:ascii="Arial" w:cs="Arial" w:eastAsia="Arial" w:hAnsi="Arial"/>
                <w:sz w:val="13"/>
                <w:szCs w:val="13"/>
                <w:b w:val="1"/>
                <w:bCs w:val="1"/>
                <w:color w:val="auto"/>
              </w:rPr>
              <w:t>Property Name</w:t>
            </w:r>
          </w:p>
        </w:tc>
        <w:tc>
          <w:tcPr>
            <w:tcW w:w="300" w:type="dxa"/>
            <w:vAlign w:val="bottom"/>
          </w:tcPr>
          <w:p>
            <w:pPr>
              <w:spacing w:after="0"/>
              <w:rPr>
                <w:sz w:val="13"/>
                <w:szCs w:val="13"/>
                <w:color w:val="auto"/>
              </w:rPr>
            </w:pPr>
          </w:p>
        </w:tc>
        <w:tc>
          <w:tcPr>
            <w:tcW w:w="1340" w:type="dxa"/>
            <w:vAlign w:val="bottom"/>
          </w:tcPr>
          <w:p>
            <w:pPr>
              <w:ind w:left="200"/>
              <w:spacing w:after="0"/>
              <w:rPr>
                <w:sz w:val="20"/>
                <w:szCs w:val="20"/>
                <w:color w:val="auto"/>
              </w:rPr>
            </w:pPr>
            <w:r>
              <w:rPr>
                <w:rFonts w:ascii="Arial" w:cs="Arial" w:eastAsia="Arial" w:hAnsi="Arial"/>
                <w:sz w:val="13"/>
                <w:szCs w:val="13"/>
                <w:b w:val="1"/>
                <w:bCs w:val="1"/>
                <w:color w:val="auto"/>
              </w:rPr>
              <w:t>MSA Description</w:t>
            </w:r>
          </w:p>
        </w:tc>
        <w:tc>
          <w:tcPr>
            <w:tcW w:w="40" w:type="dxa"/>
            <w:vAlign w:val="bottom"/>
          </w:tcPr>
          <w:p>
            <w:pPr>
              <w:spacing w:after="0"/>
              <w:rPr>
                <w:sz w:val="13"/>
                <w:szCs w:val="13"/>
                <w:color w:val="auto"/>
              </w:rPr>
            </w:pPr>
          </w:p>
        </w:tc>
        <w:tc>
          <w:tcPr>
            <w:tcW w:w="640" w:type="dxa"/>
            <w:vAlign w:val="bottom"/>
            <w:gridSpan w:val="3"/>
          </w:tcPr>
          <w:p>
            <w:pPr>
              <w:jc w:val="right"/>
              <w:ind w:right="56"/>
              <w:spacing w:after="0"/>
              <w:rPr>
                <w:sz w:val="20"/>
                <w:szCs w:val="20"/>
                <w:color w:val="auto"/>
              </w:rPr>
            </w:pPr>
            <w:r>
              <w:rPr>
                <w:rFonts w:ascii="Arial" w:cs="Arial" w:eastAsia="Arial" w:hAnsi="Arial"/>
                <w:sz w:val="13"/>
                <w:szCs w:val="13"/>
                <w:b w:val="1"/>
                <w:bCs w:val="1"/>
                <w:color w:val="auto"/>
                <w:w w:val="88"/>
              </w:rPr>
              <w:t>Acquired</w:t>
            </w:r>
          </w:p>
        </w:tc>
        <w:tc>
          <w:tcPr>
            <w:tcW w:w="700" w:type="dxa"/>
            <w:vAlign w:val="bottom"/>
          </w:tcPr>
          <w:p>
            <w:pPr>
              <w:jc w:val="center"/>
              <w:ind w:right="16"/>
              <w:spacing w:after="0"/>
              <w:rPr>
                <w:sz w:val="20"/>
                <w:szCs w:val="20"/>
                <w:color w:val="auto"/>
              </w:rPr>
            </w:pPr>
            <w:r>
              <w:rPr>
                <w:rFonts w:ascii="Arial" w:cs="Arial" w:eastAsia="Arial" w:hAnsi="Arial"/>
                <w:sz w:val="13"/>
                <w:szCs w:val="13"/>
                <w:b w:val="1"/>
                <w:bCs w:val="1"/>
                <w:color w:val="auto"/>
                <w:w w:val="90"/>
              </w:rPr>
              <w:t>Investment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Obligation</w:t>
            </w:r>
          </w:p>
        </w:tc>
        <w:tc>
          <w:tcPr>
            <w:tcW w:w="20" w:type="dxa"/>
            <w:vAlign w:val="bottom"/>
          </w:tcPr>
          <w:p>
            <w:pPr>
              <w:spacing w:after="0"/>
              <w:rPr>
                <w:sz w:val="13"/>
                <w:szCs w:val="13"/>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96"/>
              </w:rPr>
              <w:t>GLA (1) Leased</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6"/>
              </w:rPr>
              <w:t>Occupied (2)</w:t>
            </w:r>
          </w:p>
        </w:tc>
        <w:tc>
          <w:tcPr>
            <w:tcW w:w="2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9"/>
              </w:rPr>
              <w:t>PSF (3)</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3"/>
              </w:rPr>
              <w:t>GLA (4)</w:t>
            </w:r>
          </w:p>
        </w:tc>
        <w:tc>
          <w:tcPr>
            <w:tcW w:w="800" w:type="dxa"/>
            <w:vAlign w:val="bottom"/>
          </w:tcPr>
          <w:p>
            <w:pPr>
              <w:ind w:left="120"/>
              <w:spacing w:after="0"/>
              <w:rPr>
                <w:sz w:val="20"/>
                <w:szCs w:val="20"/>
                <w:color w:val="auto"/>
              </w:rPr>
            </w:pPr>
            <w:r>
              <w:rPr>
                <w:rFonts w:ascii="Arial" w:cs="Arial" w:eastAsia="Arial" w:hAnsi="Arial"/>
                <w:sz w:val="13"/>
                <w:szCs w:val="13"/>
                <w:b w:val="1"/>
                <w:bCs w:val="1"/>
                <w:color w:val="auto"/>
              </w:rPr>
              <w:t>Anchor (4)</w:t>
            </w:r>
          </w:p>
        </w:tc>
        <w:tc>
          <w:tcPr>
            <w:tcW w:w="60" w:type="dxa"/>
            <w:vAlign w:val="bottom"/>
          </w:tcPr>
          <w:p>
            <w:pPr>
              <w:spacing w:after="0"/>
              <w:rPr>
                <w:sz w:val="13"/>
                <w:szCs w:val="13"/>
                <w:color w:val="auto"/>
              </w:rPr>
            </w:pPr>
          </w:p>
        </w:tc>
        <w:tc>
          <w:tcPr>
            <w:tcW w:w="1920" w:type="dxa"/>
            <w:vAlign w:val="bottom"/>
          </w:tcPr>
          <w:p>
            <w:pPr>
              <w:ind w:left="300"/>
              <w:spacing w:after="0"/>
              <w:rPr>
                <w:sz w:val="20"/>
                <w:szCs w:val="20"/>
                <w:color w:val="auto"/>
              </w:rPr>
            </w:pPr>
            <w:r>
              <w:rPr>
                <w:rFonts w:ascii="Arial" w:cs="Arial" w:eastAsia="Arial" w:hAnsi="Arial"/>
                <w:sz w:val="13"/>
                <w:szCs w:val="13"/>
                <w:b w:val="1"/>
                <w:bCs w:val="1"/>
                <w:color w:val="auto"/>
              </w:rPr>
              <w:t>Other Principal Tenants</w:t>
            </w:r>
          </w:p>
        </w:tc>
        <w:tc>
          <w:tcPr>
            <w:tcW w:w="0" w:type="dxa"/>
            <w:vAlign w:val="bottom"/>
          </w:tcPr>
          <w:p>
            <w:pPr>
              <w:spacing w:after="0"/>
              <w:rPr>
                <w:sz w:val="1"/>
                <w:szCs w:val="1"/>
                <w:color w:val="auto"/>
              </w:rPr>
            </w:pPr>
          </w:p>
        </w:tc>
      </w:tr>
      <w:tr>
        <w:trPr>
          <w:trHeight w:val="141"/>
        </w:trPr>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3"/>
                <w:szCs w:val="13"/>
                <w:b w:val="1"/>
                <w:bCs w:val="1"/>
                <w:color w:val="auto"/>
                <w:w w:val="87"/>
              </w:rPr>
              <w:t>(in thousands)</w:t>
            </w:r>
          </w:p>
        </w:tc>
        <w:tc>
          <w:tcPr>
            <w:tcW w:w="40" w:type="dxa"/>
            <w:vAlign w:val="bottom"/>
          </w:tcPr>
          <w:p>
            <w:pPr>
              <w:spacing w:after="0"/>
              <w:rPr>
                <w:sz w:val="12"/>
                <w:szCs w:val="12"/>
                <w:color w:val="auto"/>
              </w:rPr>
            </w:pPr>
          </w:p>
        </w:tc>
        <w:tc>
          <w:tcPr>
            <w:tcW w:w="78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3"/>
                <w:szCs w:val="13"/>
                <w:b w:val="1"/>
                <w:bCs w:val="1"/>
                <w:color w:val="auto"/>
                <w:w w:val="87"/>
              </w:rPr>
              <w:t>(in thousands)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00" w:type="dxa"/>
            <w:vAlign w:val="bottom"/>
            <w:gridSpan w:val="7"/>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East Region</w:t>
            </w: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00" w:type="dxa"/>
            <w:vAlign w:val="bottom"/>
            <w:gridSpan w:val="7"/>
          </w:tcPr>
          <w:p>
            <w:pPr>
              <w:spacing w:after="0"/>
              <w:rPr>
                <w:sz w:val="20"/>
                <w:szCs w:val="20"/>
                <w:color w:val="auto"/>
              </w:rPr>
            </w:pPr>
            <w:r>
              <w:rPr>
                <w:rFonts w:ascii="Arial" w:cs="Arial" w:eastAsia="Arial" w:hAnsi="Arial"/>
                <w:sz w:val="13"/>
                <w:szCs w:val="13"/>
                <w:b w:val="1"/>
                <w:bCs w:val="1"/>
                <w:color w:val="auto"/>
              </w:rPr>
              <w:t>Washington Metropolitan</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80" w:type="dxa"/>
            <w:vAlign w:val="bottom"/>
            <w:tcBorders>
              <w:top w:val="single" w:sz="8" w:color="auto"/>
              <w:bottom w:val="single" w:sz="8" w:color="auto"/>
            </w:tcBorders>
          </w:tcPr>
          <w:p>
            <w:pPr>
              <w:spacing w:after="0" w:line="121" w:lineRule="exact"/>
              <w:rPr>
                <w:sz w:val="20"/>
                <w:szCs w:val="20"/>
                <w:color w:val="auto"/>
              </w:rPr>
            </w:pPr>
            <w:r>
              <w:rPr>
                <w:rFonts w:ascii="Arial" w:cs="Arial" w:eastAsia="Arial" w:hAnsi="Arial"/>
                <w:sz w:val="13"/>
                <w:szCs w:val="13"/>
                <w:b w:val="1"/>
                <w:bCs w:val="1"/>
                <w:color w:val="auto"/>
                <w:w w:val="89"/>
              </w:rPr>
              <w:t>Area</w:t>
            </w:r>
          </w:p>
        </w:tc>
        <w:tc>
          <w:tcPr>
            <w:tcW w:w="1140" w:type="dxa"/>
            <w:vAlign w:val="bottom"/>
            <w:tcBorders>
              <w:top w:val="single" w:sz="8" w:color="auto"/>
            </w:tcBorders>
            <w:gridSpan w:val="4"/>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00" w:type="dxa"/>
            <w:vAlign w:val="bottom"/>
            <w:gridSpan w:val="7"/>
            <w:shd w:val="clear" w:color="auto" w:fill="CCEEFF"/>
          </w:tcPr>
          <w:p>
            <w:pPr>
              <w:spacing w:after="0" w:line="133" w:lineRule="exact"/>
              <w:rPr>
                <w:sz w:val="20"/>
                <w:szCs w:val="20"/>
                <w:color w:val="auto"/>
              </w:rPr>
            </w:pPr>
            <w:r>
              <w:rPr>
                <w:rFonts w:ascii="Arial" w:cs="Arial" w:eastAsia="Arial" w:hAnsi="Arial"/>
                <w:sz w:val="13"/>
                <w:szCs w:val="13"/>
                <w:color w:val="auto"/>
              </w:rPr>
              <w:t>Bethesda Row</w:t>
            </w:r>
          </w:p>
        </w:tc>
        <w:tc>
          <w:tcPr>
            <w:tcW w:w="3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(5)</w:t>
            </w:r>
          </w:p>
        </w:tc>
        <w:tc>
          <w:tcPr>
            <w:tcW w:w="13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3"/>
              </w:rPr>
              <w:t>Washington, DC-MD-VA</w:t>
            </w:r>
          </w:p>
        </w:tc>
        <w:tc>
          <w:tcPr>
            <w:tcW w:w="680" w:type="dxa"/>
            <w:vAlign w:val="bottom"/>
            <w:gridSpan w:val="4"/>
            <w:shd w:val="clear" w:color="auto" w:fill="CCEEFF"/>
          </w:tcPr>
          <w:p>
            <w:pPr>
              <w:jc w:val="right"/>
              <w:spacing w:after="0" w:line="133" w:lineRule="exact"/>
              <w:rPr>
                <w:sz w:val="20"/>
                <w:szCs w:val="20"/>
                <w:color w:val="auto"/>
              </w:rPr>
            </w:pPr>
            <w:r>
              <w:rPr>
                <w:rFonts w:ascii="Arial" w:cs="Arial" w:eastAsia="Arial" w:hAnsi="Arial"/>
                <w:sz w:val="13"/>
                <w:szCs w:val="13"/>
                <w:color w:val="auto"/>
              </w:rPr>
              <w:t>1993- $</w:t>
            </w: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114,246</w:t>
            </w:r>
          </w:p>
        </w:tc>
        <w:tc>
          <w:tcPr>
            <w:tcW w:w="1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12,576</w:t>
            </w: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477,000</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94%</w:t>
            </w:r>
          </w:p>
        </w:tc>
        <w:tc>
          <w:tcPr>
            <w:tcW w:w="8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94%</w:t>
            </w:r>
          </w:p>
        </w:tc>
        <w:tc>
          <w:tcPr>
            <w:tcW w:w="52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w w:val="93"/>
              </w:rPr>
              <w:t>$  36.01</w:t>
            </w:r>
          </w:p>
        </w:tc>
        <w:tc>
          <w:tcPr>
            <w:tcW w:w="5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40,000</w:t>
            </w:r>
          </w:p>
        </w:tc>
        <w:tc>
          <w:tcPr>
            <w:tcW w:w="80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Giant Food</w:t>
            </w:r>
          </w:p>
        </w:tc>
        <w:tc>
          <w:tcPr>
            <w:tcW w:w="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1"/>
              </w:rPr>
              <w:t>Barnes &amp; Noble / Landmark Theater</w:t>
            </w:r>
          </w:p>
        </w:tc>
        <w:tc>
          <w:tcPr>
            <w:tcW w:w="0" w:type="dxa"/>
            <w:vAlign w:val="bottom"/>
          </w:tcPr>
          <w:p>
            <w:pPr>
              <w:spacing w:after="0"/>
              <w:rPr>
                <w:sz w:val="1"/>
                <w:szCs w:val="1"/>
                <w:color w:val="auto"/>
              </w:rPr>
            </w:pPr>
          </w:p>
        </w:tc>
      </w:tr>
      <w:tr>
        <w:trPr>
          <w:trHeight w:val="141"/>
        </w:trPr>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2006</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ind w:left="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3"/>
                <w:szCs w:val="13"/>
                <w:color w:val="auto"/>
              </w:rPr>
              <w:t>Washington Sports Club</w:t>
            </w:r>
          </w:p>
        </w:tc>
        <w:tc>
          <w:tcPr>
            <w:tcW w:w="0" w:type="dxa"/>
            <w:vAlign w:val="bottom"/>
          </w:tcPr>
          <w:p>
            <w:pPr>
              <w:spacing w:after="0"/>
              <w:rPr>
                <w:sz w:val="1"/>
                <w:szCs w:val="1"/>
                <w:color w:val="auto"/>
              </w:rPr>
            </w:pPr>
          </w:p>
        </w:tc>
      </w:tr>
      <w:tr>
        <w:trPr>
          <w:trHeight w:val="141"/>
        </w:trPr>
        <w:tc>
          <w:tcPr>
            <w:tcW w:w="1800" w:type="dxa"/>
            <w:vAlign w:val="bottom"/>
            <w:gridSpan w:val="7"/>
          </w:tcPr>
          <w:p>
            <w:pPr>
              <w:spacing w:after="0" w:line="141" w:lineRule="exact"/>
              <w:rPr>
                <w:sz w:val="20"/>
                <w:szCs w:val="20"/>
                <w:color w:val="auto"/>
              </w:rPr>
            </w:pPr>
            <w:r>
              <w:rPr>
                <w:rFonts w:ascii="Arial" w:cs="Arial" w:eastAsia="Arial" w:hAnsi="Arial"/>
                <w:sz w:val="13"/>
                <w:szCs w:val="13"/>
                <w:color w:val="auto"/>
              </w:rPr>
              <w:t>Congressional Plaza</w:t>
            </w:r>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(6)</w:t>
            </w:r>
          </w:p>
        </w:tc>
        <w:tc>
          <w:tcPr>
            <w:tcW w:w="1340" w:type="dxa"/>
            <w:vAlign w:val="bottom"/>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1965</w:t>
            </w: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67,985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338,000</w:t>
            </w:r>
          </w:p>
        </w:tc>
        <w:tc>
          <w:tcPr>
            <w:tcW w:w="40" w:type="dxa"/>
            <w:vAlign w:val="bottom"/>
          </w:tcPr>
          <w:p>
            <w:pPr>
              <w:spacing w:after="0"/>
              <w:rPr>
                <w:sz w:val="12"/>
                <w:szCs w:val="12"/>
                <w:color w:val="auto"/>
              </w:rPr>
            </w:pPr>
          </w:p>
        </w:tc>
        <w:tc>
          <w:tcPr>
            <w:tcW w:w="5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91%</w:t>
            </w:r>
          </w:p>
        </w:tc>
        <w:tc>
          <w:tcPr>
            <w:tcW w:w="8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91%</w:t>
            </w:r>
          </w:p>
        </w:tc>
        <w:tc>
          <w:tcPr>
            <w:tcW w:w="52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28.45</w:t>
            </w:r>
          </w:p>
        </w:tc>
        <w:tc>
          <w:tcPr>
            <w:tcW w:w="50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28,000</w:t>
            </w:r>
          </w:p>
        </w:tc>
        <w:tc>
          <w:tcPr>
            <w:tcW w:w="800" w:type="dxa"/>
            <w:vAlign w:val="bottom"/>
          </w:tcPr>
          <w:p>
            <w:pPr>
              <w:ind w:left="20"/>
              <w:spacing w:after="0" w:line="141" w:lineRule="exact"/>
              <w:rPr>
                <w:sz w:val="20"/>
                <w:szCs w:val="20"/>
                <w:color w:val="auto"/>
              </w:rPr>
            </w:pPr>
            <w:r>
              <w:rPr>
                <w:rFonts w:ascii="Arial" w:cs="Arial" w:eastAsia="Arial" w:hAnsi="Arial"/>
                <w:sz w:val="13"/>
                <w:szCs w:val="13"/>
                <w:color w:val="auto"/>
                <w:w w:val="99"/>
              </w:rPr>
              <w:t>Whole Foods</w:t>
            </w:r>
          </w:p>
        </w:tc>
        <w:tc>
          <w:tcPr>
            <w:tcW w:w="60" w:type="dxa"/>
            <w:vAlign w:val="bottom"/>
          </w:tcPr>
          <w:p>
            <w:pPr>
              <w:spacing w:after="0"/>
              <w:rPr>
                <w:sz w:val="12"/>
                <w:szCs w:val="12"/>
                <w:color w:val="auto"/>
              </w:rPr>
            </w:pPr>
          </w:p>
        </w:tc>
        <w:tc>
          <w:tcPr>
            <w:tcW w:w="1920" w:type="dxa"/>
            <w:vAlign w:val="bottom"/>
          </w:tcPr>
          <w:p>
            <w:pPr>
              <w:spacing w:after="0" w:line="141" w:lineRule="exact"/>
              <w:rPr>
                <w:sz w:val="20"/>
                <w:szCs w:val="20"/>
                <w:color w:val="auto"/>
              </w:rPr>
            </w:pPr>
            <w:r>
              <w:rPr>
                <w:rFonts w:ascii="Arial" w:cs="Arial" w:eastAsia="Arial" w:hAnsi="Arial"/>
                <w:sz w:val="13"/>
                <w:szCs w:val="13"/>
                <w:color w:val="auto"/>
              </w:rPr>
              <w:t>Buy Buy Baby / Container Store</w:t>
            </w:r>
          </w:p>
        </w:tc>
        <w:tc>
          <w:tcPr>
            <w:tcW w:w="0" w:type="dxa"/>
            <w:vAlign w:val="bottom"/>
          </w:tcPr>
          <w:p>
            <w:pPr>
              <w:spacing w:after="0"/>
              <w:rPr>
                <w:sz w:val="1"/>
                <w:szCs w:val="1"/>
                <w:color w:val="auto"/>
              </w:rPr>
            </w:pPr>
          </w:p>
        </w:tc>
      </w:tr>
      <w:tr>
        <w:trPr>
          <w:trHeight w:val="141"/>
        </w:trPr>
        <w:tc>
          <w:tcPr>
            <w:tcW w:w="180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auto"/>
              </w:rPr>
              <w:t>Courthouse Center</w:t>
            </w:r>
          </w:p>
        </w:tc>
        <w:tc>
          <w:tcPr>
            <w:tcW w:w="3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w:t>
            </w:r>
          </w:p>
        </w:tc>
        <w:tc>
          <w:tcPr>
            <w:tcW w:w="13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91"/>
              </w:rPr>
              <w:t>Washington, DC- MD-VA</w:t>
            </w: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1997</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4,598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38,000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97%</w:t>
            </w: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97%</w:t>
            </w:r>
          </w:p>
        </w:tc>
        <w:tc>
          <w:tcPr>
            <w:tcW w:w="52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16.17</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0" w:type="dxa"/>
            <w:vAlign w:val="bottom"/>
            <w:gridSpan w:val="7"/>
          </w:tcPr>
          <w:p>
            <w:pPr>
              <w:spacing w:after="0" w:line="141" w:lineRule="exact"/>
              <w:rPr>
                <w:sz w:val="20"/>
                <w:szCs w:val="20"/>
                <w:color w:val="auto"/>
              </w:rPr>
            </w:pPr>
            <w:r>
              <w:rPr>
                <w:rFonts w:ascii="Arial" w:cs="Arial" w:eastAsia="Arial" w:hAnsi="Arial"/>
                <w:sz w:val="13"/>
                <w:szCs w:val="13"/>
                <w:color w:val="auto"/>
              </w:rPr>
              <w:t>Falls Plaza</w:t>
            </w:r>
          </w:p>
        </w:tc>
        <w:tc>
          <w:tcPr>
            <w:tcW w:w="300" w:type="dxa"/>
            <w:vAlign w:val="bottom"/>
          </w:tcPr>
          <w:p>
            <w:pPr>
              <w:spacing w:after="0"/>
              <w:rPr>
                <w:sz w:val="12"/>
                <w:szCs w:val="12"/>
                <w:color w:val="auto"/>
              </w:rPr>
            </w:pPr>
          </w:p>
        </w:tc>
        <w:tc>
          <w:tcPr>
            <w:tcW w:w="1340" w:type="dxa"/>
            <w:vAlign w:val="bottom"/>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1967</w:t>
            </w: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8,167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73,000</w:t>
            </w:r>
          </w:p>
        </w:tc>
        <w:tc>
          <w:tcPr>
            <w:tcW w:w="40" w:type="dxa"/>
            <w:vAlign w:val="bottom"/>
          </w:tcPr>
          <w:p>
            <w:pPr>
              <w:spacing w:after="0"/>
              <w:rPr>
                <w:sz w:val="12"/>
                <w:szCs w:val="12"/>
                <w:color w:val="auto"/>
              </w:rPr>
            </w:pPr>
          </w:p>
        </w:tc>
        <w:tc>
          <w:tcPr>
            <w:tcW w:w="5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100%</w:t>
            </w:r>
          </w:p>
        </w:tc>
        <w:tc>
          <w:tcPr>
            <w:tcW w:w="52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23.74</w:t>
            </w:r>
          </w:p>
        </w:tc>
        <w:tc>
          <w:tcPr>
            <w:tcW w:w="50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51,000</w:t>
            </w:r>
          </w:p>
        </w:tc>
        <w:tc>
          <w:tcPr>
            <w:tcW w:w="800" w:type="dxa"/>
            <w:vAlign w:val="bottom"/>
          </w:tcPr>
          <w:p>
            <w:pPr>
              <w:ind w:left="20"/>
              <w:spacing w:after="0" w:line="141" w:lineRule="exact"/>
              <w:rPr>
                <w:sz w:val="20"/>
                <w:szCs w:val="20"/>
                <w:color w:val="auto"/>
              </w:rPr>
            </w:pPr>
            <w:r>
              <w:rPr>
                <w:rFonts w:ascii="Arial" w:cs="Arial" w:eastAsia="Arial" w:hAnsi="Arial"/>
                <w:sz w:val="13"/>
                <w:szCs w:val="13"/>
                <w:color w:val="auto"/>
              </w:rPr>
              <w:t>Giant Food</w:t>
            </w:r>
          </w:p>
        </w:tc>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auto"/>
              </w:rPr>
              <w:t>Falls Plaza-East</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1972</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3,339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71,000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100%</w:t>
            </w: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24.61</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CVS / Staples</w:t>
            </w:r>
          </w:p>
        </w:tc>
        <w:tc>
          <w:tcPr>
            <w:tcW w:w="0" w:type="dxa"/>
            <w:vAlign w:val="bottom"/>
          </w:tcPr>
          <w:p>
            <w:pPr>
              <w:spacing w:after="0"/>
              <w:rPr>
                <w:sz w:val="1"/>
                <w:szCs w:val="1"/>
                <w:color w:val="auto"/>
              </w:rPr>
            </w:pPr>
          </w:p>
        </w:tc>
      </w:tr>
      <w:tr>
        <w:trPr>
          <w:trHeight w:val="141"/>
        </w:trPr>
        <w:tc>
          <w:tcPr>
            <w:tcW w:w="1800" w:type="dxa"/>
            <w:vAlign w:val="bottom"/>
            <w:gridSpan w:val="7"/>
          </w:tcPr>
          <w:p>
            <w:pPr>
              <w:spacing w:after="0" w:line="141" w:lineRule="exact"/>
              <w:rPr>
                <w:sz w:val="20"/>
                <w:szCs w:val="20"/>
                <w:color w:val="auto"/>
              </w:rPr>
            </w:pPr>
            <w:r>
              <w:rPr>
                <w:rFonts w:ascii="Arial" w:cs="Arial" w:eastAsia="Arial" w:hAnsi="Arial"/>
                <w:sz w:val="13"/>
                <w:szCs w:val="13"/>
                <w:color w:val="auto"/>
              </w:rPr>
              <w:t>Federal Plaza</w:t>
            </w:r>
          </w:p>
        </w:tc>
        <w:tc>
          <w:tcPr>
            <w:tcW w:w="300" w:type="dxa"/>
            <w:vAlign w:val="bottom"/>
          </w:tcPr>
          <w:p>
            <w:pPr>
              <w:spacing w:after="0"/>
              <w:rPr>
                <w:sz w:val="12"/>
                <w:szCs w:val="12"/>
                <w:color w:val="auto"/>
              </w:rPr>
            </w:pPr>
          </w:p>
        </w:tc>
        <w:tc>
          <w:tcPr>
            <w:tcW w:w="1340" w:type="dxa"/>
            <w:vAlign w:val="bottom"/>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1989</w:t>
            </w: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62,322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34,192</w:t>
            </w: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247,000</w:t>
            </w:r>
          </w:p>
        </w:tc>
        <w:tc>
          <w:tcPr>
            <w:tcW w:w="40" w:type="dxa"/>
            <w:vAlign w:val="bottom"/>
          </w:tcPr>
          <w:p>
            <w:pPr>
              <w:spacing w:after="0"/>
              <w:rPr>
                <w:sz w:val="12"/>
                <w:szCs w:val="12"/>
                <w:color w:val="auto"/>
              </w:rPr>
            </w:pPr>
          </w:p>
        </w:tc>
        <w:tc>
          <w:tcPr>
            <w:tcW w:w="5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99%</w:t>
            </w:r>
          </w:p>
        </w:tc>
        <w:tc>
          <w:tcPr>
            <w:tcW w:w="8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99%</w:t>
            </w:r>
          </w:p>
        </w:tc>
        <w:tc>
          <w:tcPr>
            <w:tcW w:w="52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27.82</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line="141" w:lineRule="exact"/>
              <w:rPr>
                <w:sz w:val="20"/>
                <w:szCs w:val="20"/>
                <w:color w:val="auto"/>
              </w:rPr>
            </w:pPr>
            <w:r>
              <w:rPr>
                <w:rFonts w:ascii="Arial" w:cs="Arial" w:eastAsia="Arial" w:hAnsi="Arial"/>
                <w:sz w:val="13"/>
                <w:szCs w:val="13"/>
                <w:color w:val="auto"/>
              </w:rPr>
              <w:t>TJ Maxx / CompUSA / Ross</w:t>
            </w:r>
          </w:p>
        </w:tc>
        <w:tc>
          <w:tcPr>
            <w:tcW w:w="0" w:type="dxa"/>
            <w:vAlign w:val="bottom"/>
          </w:tcPr>
          <w:p>
            <w:pPr>
              <w:spacing w:after="0"/>
              <w:rPr>
                <w:sz w:val="1"/>
                <w:szCs w:val="1"/>
                <w:color w:val="auto"/>
              </w:rPr>
            </w:pPr>
          </w:p>
        </w:tc>
      </w:tr>
      <w:tr>
        <w:trPr>
          <w:trHeight w:val="132"/>
        </w:trPr>
        <w:tc>
          <w:tcPr>
            <w:tcW w:w="1800" w:type="dxa"/>
            <w:vAlign w:val="bottom"/>
            <w:gridSpan w:val="7"/>
            <w:shd w:val="clear" w:color="auto" w:fill="CCEEFF"/>
          </w:tcPr>
          <w:p>
            <w:pPr>
              <w:spacing w:after="0" w:line="133" w:lineRule="exact"/>
              <w:rPr>
                <w:sz w:val="20"/>
                <w:szCs w:val="20"/>
                <w:color w:val="auto"/>
              </w:rPr>
            </w:pPr>
            <w:r>
              <w:rPr>
                <w:rFonts w:ascii="Arial" w:cs="Arial" w:eastAsia="Arial" w:hAnsi="Arial"/>
                <w:sz w:val="13"/>
                <w:szCs w:val="13"/>
                <w:color w:val="auto"/>
              </w:rPr>
              <w:t>Friendship Center</w:t>
            </w: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2001</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33,309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119,000</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100%</w:t>
            </w:r>
          </w:p>
        </w:tc>
        <w:tc>
          <w:tcPr>
            <w:tcW w:w="8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23.77</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Borders / Linens ‘n Things /</w:t>
            </w:r>
          </w:p>
        </w:tc>
        <w:tc>
          <w:tcPr>
            <w:tcW w:w="0" w:type="dxa"/>
            <w:vAlign w:val="bottom"/>
          </w:tcPr>
          <w:p>
            <w:pPr>
              <w:spacing w:after="0"/>
              <w:rPr>
                <w:sz w:val="1"/>
                <w:szCs w:val="1"/>
                <w:color w:val="auto"/>
              </w:rPr>
            </w:pPr>
          </w:p>
        </w:tc>
      </w:tr>
      <w:tr>
        <w:trPr>
          <w:trHeight w:val="150"/>
        </w:trPr>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3"/>
                <w:szCs w:val="13"/>
                <w:color w:val="auto"/>
              </w:rPr>
              <w:t>Maggiano’s</w:t>
            </w:r>
          </w:p>
        </w:tc>
        <w:tc>
          <w:tcPr>
            <w:tcW w:w="0" w:type="dxa"/>
            <w:vAlign w:val="bottom"/>
          </w:tcPr>
          <w:p>
            <w:pPr>
              <w:spacing w:after="0"/>
              <w:rPr>
                <w:sz w:val="1"/>
                <w:szCs w:val="1"/>
                <w:color w:val="auto"/>
              </w:rPr>
            </w:pPr>
          </w:p>
        </w:tc>
      </w:tr>
      <w:tr>
        <w:trPr>
          <w:trHeight w:val="132"/>
        </w:trPr>
        <w:tc>
          <w:tcPr>
            <w:tcW w:w="1800" w:type="dxa"/>
            <w:vAlign w:val="bottom"/>
            <w:gridSpan w:val="7"/>
          </w:tcPr>
          <w:p>
            <w:pPr>
              <w:spacing w:after="0" w:line="133" w:lineRule="exact"/>
              <w:rPr>
                <w:sz w:val="20"/>
                <w:szCs w:val="20"/>
                <w:color w:val="auto"/>
              </w:rPr>
            </w:pPr>
            <w:r>
              <w:rPr>
                <w:rFonts w:ascii="Arial" w:cs="Arial" w:eastAsia="Arial" w:hAnsi="Arial"/>
                <w:sz w:val="13"/>
                <w:szCs w:val="13"/>
                <w:color w:val="auto"/>
              </w:rPr>
              <w:t>Gaithersburg Square</w:t>
            </w:r>
          </w:p>
        </w:tc>
        <w:tc>
          <w:tcPr>
            <w:tcW w:w="300" w:type="dxa"/>
            <w:vAlign w:val="bottom"/>
          </w:tcPr>
          <w:p>
            <w:pPr>
              <w:spacing w:after="0"/>
              <w:rPr>
                <w:sz w:val="11"/>
                <w:szCs w:val="11"/>
                <w:color w:val="auto"/>
              </w:rPr>
            </w:pPr>
          </w:p>
        </w:tc>
        <w:tc>
          <w:tcPr>
            <w:tcW w:w="1340" w:type="dxa"/>
            <w:vAlign w:val="bottom"/>
          </w:tcPr>
          <w:p>
            <w:pPr>
              <w:spacing w:after="0" w:line="133"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tcPr>
          <w:p>
            <w:pPr>
              <w:jc w:val="right"/>
              <w:ind w:right="40"/>
              <w:spacing w:after="0" w:line="133" w:lineRule="exact"/>
              <w:rPr>
                <w:sz w:val="20"/>
                <w:szCs w:val="20"/>
                <w:color w:val="auto"/>
              </w:rPr>
            </w:pPr>
            <w:r>
              <w:rPr>
                <w:rFonts w:ascii="Arial" w:cs="Arial" w:eastAsia="Arial" w:hAnsi="Arial"/>
                <w:sz w:val="13"/>
                <w:szCs w:val="13"/>
                <w:color w:val="auto"/>
              </w:rPr>
              <w:t>1993</w:t>
            </w:r>
          </w:p>
        </w:tc>
        <w:tc>
          <w:tcPr>
            <w:tcW w:w="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23,817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198,000</w:t>
            </w:r>
          </w:p>
        </w:tc>
        <w:tc>
          <w:tcPr>
            <w:tcW w:w="40" w:type="dxa"/>
            <w:vAlign w:val="bottom"/>
          </w:tcPr>
          <w:p>
            <w:pPr>
              <w:spacing w:after="0"/>
              <w:rPr>
                <w:sz w:val="11"/>
                <w:szCs w:val="11"/>
                <w:color w:val="auto"/>
              </w:rPr>
            </w:pPr>
          </w:p>
        </w:tc>
        <w:tc>
          <w:tcPr>
            <w:tcW w:w="54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99%</w:t>
            </w:r>
          </w:p>
        </w:tc>
        <w:tc>
          <w:tcPr>
            <w:tcW w:w="84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99%</w:t>
            </w:r>
          </w:p>
        </w:tc>
        <w:tc>
          <w:tcPr>
            <w:tcW w:w="52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20.79</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tcPr>
          <w:p>
            <w:pPr>
              <w:spacing w:after="0" w:line="133" w:lineRule="exact"/>
              <w:rPr>
                <w:sz w:val="20"/>
                <w:szCs w:val="20"/>
                <w:color w:val="auto"/>
              </w:rPr>
            </w:pPr>
            <w:r>
              <w:rPr>
                <w:rFonts w:ascii="Arial" w:cs="Arial" w:eastAsia="Arial" w:hAnsi="Arial"/>
                <w:sz w:val="13"/>
                <w:szCs w:val="13"/>
                <w:color w:val="auto"/>
              </w:rPr>
              <w:t>Bed, Bath &amp; Beyond / Borders /</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Ross</w:t>
            </w:r>
          </w:p>
        </w:tc>
        <w:tc>
          <w:tcPr>
            <w:tcW w:w="0" w:type="dxa"/>
            <w:vAlign w:val="bottom"/>
          </w:tcPr>
          <w:p>
            <w:pPr>
              <w:spacing w:after="0"/>
              <w:rPr>
                <w:sz w:val="1"/>
                <w:szCs w:val="1"/>
                <w:color w:val="auto"/>
              </w:rPr>
            </w:pPr>
          </w:p>
        </w:tc>
      </w:tr>
      <w:tr>
        <w:trPr>
          <w:trHeight w:val="141"/>
        </w:trPr>
        <w:tc>
          <w:tcPr>
            <w:tcW w:w="180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auto"/>
              </w:rPr>
              <w:t>Idylwood Plaza</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1994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15,006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73,000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85%</w:t>
            </w: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85%</w:t>
            </w:r>
          </w:p>
        </w:tc>
        <w:tc>
          <w:tcPr>
            <w:tcW w:w="52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35.77</w:t>
            </w:r>
          </w:p>
        </w:tc>
        <w:tc>
          <w:tcPr>
            <w:tcW w:w="5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30,000</w:t>
            </w:r>
          </w:p>
        </w:tc>
        <w:tc>
          <w:tcPr>
            <w:tcW w:w="80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w w:val="99"/>
              </w:rPr>
              <w:t>Whole Foods</w:t>
            </w: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0" w:type="dxa"/>
            <w:vAlign w:val="bottom"/>
            <w:gridSpan w:val="7"/>
          </w:tcPr>
          <w:p>
            <w:pPr>
              <w:spacing w:after="0" w:line="141" w:lineRule="exact"/>
              <w:rPr>
                <w:sz w:val="20"/>
                <w:szCs w:val="20"/>
                <w:color w:val="auto"/>
              </w:rPr>
            </w:pPr>
            <w:r>
              <w:rPr>
                <w:rFonts w:ascii="Arial" w:cs="Arial" w:eastAsia="Arial" w:hAnsi="Arial"/>
                <w:sz w:val="13"/>
                <w:szCs w:val="13"/>
                <w:color w:val="auto"/>
              </w:rPr>
              <w:t>Laurel</w:t>
            </w:r>
          </w:p>
        </w:tc>
        <w:tc>
          <w:tcPr>
            <w:tcW w:w="300" w:type="dxa"/>
            <w:vAlign w:val="bottom"/>
          </w:tcPr>
          <w:p>
            <w:pPr>
              <w:spacing w:after="0"/>
              <w:rPr>
                <w:sz w:val="12"/>
                <w:szCs w:val="12"/>
                <w:color w:val="auto"/>
              </w:rPr>
            </w:pPr>
          </w:p>
        </w:tc>
        <w:tc>
          <w:tcPr>
            <w:tcW w:w="1340" w:type="dxa"/>
            <w:vAlign w:val="bottom"/>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1986</w:t>
            </w: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46,113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386,000</w:t>
            </w:r>
          </w:p>
        </w:tc>
        <w:tc>
          <w:tcPr>
            <w:tcW w:w="40" w:type="dxa"/>
            <w:vAlign w:val="bottom"/>
          </w:tcPr>
          <w:p>
            <w:pPr>
              <w:spacing w:after="0"/>
              <w:rPr>
                <w:sz w:val="12"/>
                <w:szCs w:val="12"/>
                <w:color w:val="auto"/>
              </w:rPr>
            </w:pPr>
          </w:p>
        </w:tc>
        <w:tc>
          <w:tcPr>
            <w:tcW w:w="5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98%</w:t>
            </w:r>
          </w:p>
        </w:tc>
        <w:tc>
          <w:tcPr>
            <w:tcW w:w="8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97%</w:t>
            </w:r>
          </w:p>
        </w:tc>
        <w:tc>
          <w:tcPr>
            <w:tcW w:w="52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16.34</w:t>
            </w:r>
          </w:p>
        </w:tc>
        <w:tc>
          <w:tcPr>
            <w:tcW w:w="50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61,000</w:t>
            </w:r>
          </w:p>
        </w:tc>
        <w:tc>
          <w:tcPr>
            <w:tcW w:w="800" w:type="dxa"/>
            <w:vAlign w:val="bottom"/>
          </w:tcPr>
          <w:p>
            <w:pPr>
              <w:ind w:left="20"/>
              <w:spacing w:after="0" w:line="141" w:lineRule="exact"/>
              <w:rPr>
                <w:sz w:val="20"/>
                <w:szCs w:val="20"/>
                <w:color w:val="auto"/>
              </w:rPr>
            </w:pPr>
            <w:r>
              <w:rPr>
                <w:rFonts w:ascii="Arial" w:cs="Arial" w:eastAsia="Arial" w:hAnsi="Arial"/>
                <w:sz w:val="13"/>
                <w:szCs w:val="13"/>
                <w:color w:val="auto"/>
              </w:rPr>
              <w:t>Giant Food</w:t>
            </w:r>
          </w:p>
        </w:tc>
        <w:tc>
          <w:tcPr>
            <w:tcW w:w="60" w:type="dxa"/>
            <w:vAlign w:val="bottom"/>
          </w:tcPr>
          <w:p>
            <w:pPr>
              <w:spacing w:after="0"/>
              <w:rPr>
                <w:sz w:val="12"/>
                <w:szCs w:val="12"/>
                <w:color w:val="auto"/>
              </w:rPr>
            </w:pPr>
          </w:p>
        </w:tc>
        <w:tc>
          <w:tcPr>
            <w:tcW w:w="1920" w:type="dxa"/>
            <w:vAlign w:val="bottom"/>
          </w:tcPr>
          <w:p>
            <w:pPr>
              <w:spacing w:after="0" w:line="141" w:lineRule="exact"/>
              <w:rPr>
                <w:sz w:val="20"/>
                <w:szCs w:val="20"/>
                <w:color w:val="auto"/>
              </w:rPr>
            </w:pPr>
            <w:r>
              <w:rPr>
                <w:rFonts w:ascii="Arial" w:cs="Arial" w:eastAsia="Arial" w:hAnsi="Arial"/>
                <w:sz w:val="13"/>
                <w:szCs w:val="13"/>
                <w:color w:val="auto"/>
              </w:rPr>
              <w:t>Marshalls / Toys R Us</w:t>
            </w:r>
          </w:p>
        </w:tc>
        <w:tc>
          <w:tcPr>
            <w:tcW w:w="0" w:type="dxa"/>
            <w:vAlign w:val="bottom"/>
          </w:tcPr>
          <w:p>
            <w:pPr>
              <w:spacing w:after="0"/>
              <w:rPr>
                <w:sz w:val="1"/>
                <w:szCs w:val="1"/>
                <w:color w:val="auto"/>
              </w:rPr>
            </w:pPr>
          </w:p>
        </w:tc>
      </w:tr>
      <w:tr>
        <w:trPr>
          <w:trHeight w:val="132"/>
        </w:trPr>
        <w:tc>
          <w:tcPr>
            <w:tcW w:w="1800" w:type="dxa"/>
            <w:vAlign w:val="bottom"/>
            <w:gridSpan w:val="7"/>
            <w:shd w:val="clear" w:color="auto" w:fill="CCEEFF"/>
          </w:tcPr>
          <w:p>
            <w:pPr>
              <w:spacing w:after="0" w:line="133" w:lineRule="exact"/>
              <w:rPr>
                <w:sz w:val="20"/>
                <w:szCs w:val="20"/>
                <w:color w:val="auto"/>
              </w:rPr>
            </w:pPr>
            <w:r>
              <w:rPr>
                <w:rFonts w:ascii="Arial" w:cs="Arial" w:eastAsia="Arial" w:hAnsi="Arial"/>
                <w:sz w:val="13"/>
                <w:szCs w:val="13"/>
                <w:color w:val="auto"/>
              </w:rPr>
              <w:t>Leesburg Plaza</w:t>
            </w:r>
          </w:p>
        </w:tc>
        <w:tc>
          <w:tcPr>
            <w:tcW w:w="3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(7)</w:t>
            </w:r>
          </w:p>
        </w:tc>
        <w:tc>
          <w:tcPr>
            <w:tcW w:w="13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1998</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30,698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9,760</w:t>
            </w: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236,000</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99%</w:t>
            </w:r>
          </w:p>
        </w:tc>
        <w:tc>
          <w:tcPr>
            <w:tcW w:w="8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93%</w:t>
            </w:r>
          </w:p>
        </w:tc>
        <w:tc>
          <w:tcPr>
            <w:tcW w:w="52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18.49</w:t>
            </w:r>
          </w:p>
        </w:tc>
        <w:tc>
          <w:tcPr>
            <w:tcW w:w="5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55,000</w:t>
            </w:r>
          </w:p>
        </w:tc>
        <w:tc>
          <w:tcPr>
            <w:tcW w:w="80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Giant Food</w:t>
            </w:r>
          </w:p>
        </w:tc>
        <w:tc>
          <w:tcPr>
            <w:tcW w:w="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Champion Billiards / Petsmart /</w:t>
            </w:r>
          </w:p>
        </w:tc>
        <w:tc>
          <w:tcPr>
            <w:tcW w:w="0" w:type="dxa"/>
            <w:vAlign w:val="bottom"/>
          </w:tcPr>
          <w:p>
            <w:pPr>
              <w:spacing w:after="0"/>
              <w:rPr>
                <w:sz w:val="1"/>
                <w:szCs w:val="1"/>
                <w:color w:val="auto"/>
              </w:rPr>
            </w:pPr>
          </w:p>
        </w:tc>
      </w:tr>
      <w:tr>
        <w:trPr>
          <w:trHeight w:val="163"/>
        </w:trPr>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3"/>
                <w:szCs w:val="13"/>
                <w:color w:val="auto"/>
              </w:rPr>
              <w:t>Pier One / Office Depot</w:t>
            </w:r>
          </w:p>
        </w:tc>
        <w:tc>
          <w:tcPr>
            <w:tcW w:w="0" w:type="dxa"/>
            <w:vAlign w:val="bottom"/>
          </w:tcPr>
          <w:p>
            <w:pPr>
              <w:spacing w:after="0"/>
              <w:rPr>
                <w:sz w:val="1"/>
                <w:szCs w:val="1"/>
                <w:color w:val="auto"/>
              </w:rPr>
            </w:pPr>
          </w:p>
        </w:tc>
      </w:tr>
      <w:tr>
        <w:trPr>
          <w:trHeight w:val="141"/>
        </w:trPr>
        <w:tc>
          <w:tcPr>
            <w:tcW w:w="1800" w:type="dxa"/>
            <w:vAlign w:val="bottom"/>
            <w:gridSpan w:val="7"/>
          </w:tcPr>
          <w:p>
            <w:pPr>
              <w:spacing w:after="0" w:line="141" w:lineRule="exact"/>
              <w:rPr>
                <w:sz w:val="20"/>
                <w:szCs w:val="20"/>
                <w:color w:val="auto"/>
              </w:rPr>
            </w:pPr>
            <w:r>
              <w:rPr>
                <w:rFonts w:ascii="Arial" w:cs="Arial" w:eastAsia="Arial" w:hAnsi="Arial"/>
                <w:sz w:val="13"/>
                <w:szCs w:val="13"/>
                <w:color w:val="auto"/>
              </w:rPr>
              <w:t>Loehmann’s Plaza</w:t>
            </w:r>
          </w:p>
        </w:tc>
        <w:tc>
          <w:tcPr>
            <w:tcW w:w="300" w:type="dxa"/>
            <w:vAlign w:val="bottom"/>
          </w:tcPr>
          <w:p>
            <w:pPr>
              <w:spacing w:after="0"/>
              <w:rPr>
                <w:sz w:val="12"/>
                <w:szCs w:val="12"/>
                <w:color w:val="auto"/>
              </w:rPr>
            </w:pPr>
          </w:p>
        </w:tc>
        <w:tc>
          <w:tcPr>
            <w:tcW w:w="1340" w:type="dxa"/>
            <w:vAlign w:val="bottom"/>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1983</w:t>
            </w: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29,933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250,000</w:t>
            </w:r>
          </w:p>
        </w:tc>
        <w:tc>
          <w:tcPr>
            <w:tcW w:w="40" w:type="dxa"/>
            <w:vAlign w:val="bottom"/>
          </w:tcPr>
          <w:p>
            <w:pPr>
              <w:spacing w:after="0"/>
              <w:rPr>
                <w:sz w:val="12"/>
                <w:szCs w:val="12"/>
                <w:color w:val="auto"/>
              </w:rPr>
            </w:pPr>
          </w:p>
        </w:tc>
        <w:tc>
          <w:tcPr>
            <w:tcW w:w="5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98%</w:t>
            </w:r>
          </w:p>
        </w:tc>
        <w:tc>
          <w:tcPr>
            <w:tcW w:w="8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98%</w:t>
            </w:r>
          </w:p>
        </w:tc>
        <w:tc>
          <w:tcPr>
            <w:tcW w:w="52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21.05</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line="141" w:lineRule="exact"/>
              <w:rPr>
                <w:sz w:val="20"/>
                <w:szCs w:val="20"/>
                <w:color w:val="auto"/>
              </w:rPr>
            </w:pPr>
            <w:r>
              <w:rPr>
                <w:rFonts w:ascii="Arial" w:cs="Arial" w:eastAsia="Arial" w:hAnsi="Arial"/>
                <w:sz w:val="13"/>
                <w:szCs w:val="13"/>
                <w:color w:val="auto"/>
              </w:rPr>
              <w:t>Bally’s / Loehmann’s</w:t>
            </w:r>
          </w:p>
        </w:tc>
        <w:tc>
          <w:tcPr>
            <w:tcW w:w="0" w:type="dxa"/>
            <w:vAlign w:val="bottom"/>
          </w:tcPr>
          <w:p>
            <w:pPr>
              <w:spacing w:after="0"/>
              <w:rPr>
                <w:sz w:val="1"/>
                <w:szCs w:val="1"/>
                <w:color w:val="auto"/>
              </w:rPr>
            </w:pPr>
          </w:p>
        </w:tc>
      </w:tr>
      <w:tr>
        <w:trPr>
          <w:trHeight w:val="132"/>
        </w:trPr>
        <w:tc>
          <w:tcPr>
            <w:tcW w:w="1800" w:type="dxa"/>
            <w:vAlign w:val="bottom"/>
            <w:gridSpan w:val="7"/>
            <w:shd w:val="clear" w:color="auto" w:fill="CCEEFF"/>
          </w:tcPr>
          <w:p>
            <w:pPr>
              <w:spacing w:after="0" w:line="133" w:lineRule="exact"/>
              <w:rPr>
                <w:sz w:val="20"/>
                <w:szCs w:val="20"/>
                <w:color w:val="auto"/>
              </w:rPr>
            </w:pPr>
            <w:r>
              <w:rPr>
                <w:rFonts w:ascii="Arial" w:cs="Arial" w:eastAsia="Arial" w:hAnsi="Arial"/>
                <w:sz w:val="13"/>
                <w:szCs w:val="13"/>
                <w:color w:val="auto"/>
              </w:rPr>
              <w:t>Mid-Pike Plaza</w:t>
            </w:r>
          </w:p>
        </w:tc>
        <w:tc>
          <w:tcPr>
            <w:tcW w:w="3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(8)</w:t>
            </w:r>
          </w:p>
        </w:tc>
        <w:tc>
          <w:tcPr>
            <w:tcW w:w="13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1982</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17,845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10,041</w:t>
            </w: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309,000</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100%</w:t>
            </w:r>
          </w:p>
        </w:tc>
        <w:tc>
          <w:tcPr>
            <w:tcW w:w="8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21.63</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Linens ‘n Things / Toys R Us /</w:t>
            </w:r>
          </w:p>
        </w:tc>
        <w:tc>
          <w:tcPr>
            <w:tcW w:w="0" w:type="dxa"/>
            <w:vAlign w:val="bottom"/>
          </w:tcPr>
          <w:p>
            <w:pPr>
              <w:spacing w:after="0"/>
              <w:rPr>
                <w:sz w:val="1"/>
                <w:szCs w:val="1"/>
                <w:color w:val="auto"/>
              </w:rPr>
            </w:pPr>
          </w:p>
        </w:tc>
      </w:tr>
      <w:tr>
        <w:trPr>
          <w:trHeight w:val="141"/>
        </w:trPr>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Bally’s / AC Moore / Filene’s</w:t>
            </w:r>
          </w:p>
        </w:tc>
        <w:tc>
          <w:tcPr>
            <w:tcW w:w="0" w:type="dxa"/>
            <w:vAlign w:val="bottom"/>
          </w:tcPr>
          <w:p>
            <w:pPr>
              <w:spacing w:after="0"/>
              <w:rPr>
                <w:sz w:val="1"/>
                <w:szCs w:val="1"/>
                <w:color w:val="auto"/>
              </w:rPr>
            </w:pPr>
          </w:p>
        </w:tc>
      </w:tr>
      <w:tr>
        <w:trPr>
          <w:trHeight w:val="163"/>
        </w:trPr>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3"/>
                <w:szCs w:val="13"/>
                <w:color w:val="auto"/>
              </w:rPr>
              <w:t>Basement</w:t>
            </w:r>
          </w:p>
        </w:tc>
        <w:tc>
          <w:tcPr>
            <w:tcW w:w="0" w:type="dxa"/>
            <w:vAlign w:val="bottom"/>
          </w:tcPr>
          <w:p>
            <w:pPr>
              <w:spacing w:after="0"/>
              <w:rPr>
                <w:sz w:val="1"/>
                <w:szCs w:val="1"/>
                <w:color w:val="auto"/>
              </w:rPr>
            </w:pPr>
          </w:p>
        </w:tc>
      </w:tr>
      <w:tr>
        <w:trPr>
          <w:trHeight w:val="132"/>
        </w:trPr>
        <w:tc>
          <w:tcPr>
            <w:tcW w:w="1800" w:type="dxa"/>
            <w:vAlign w:val="bottom"/>
            <w:gridSpan w:val="7"/>
          </w:tcPr>
          <w:p>
            <w:pPr>
              <w:spacing w:after="0" w:line="133" w:lineRule="exact"/>
              <w:rPr>
                <w:sz w:val="20"/>
                <w:szCs w:val="20"/>
                <w:color w:val="auto"/>
              </w:rPr>
            </w:pPr>
            <w:r>
              <w:rPr>
                <w:rFonts w:ascii="Arial" w:cs="Arial" w:eastAsia="Arial" w:hAnsi="Arial"/>
                <w:sz w:val="13"/>
                <w:szCs w:val="13"/>
                <w:color w:val="auto"/>
              </w:rPr>
              <w:t>Mount Vernon</w:t>
            </w:r>
          </w:p>
        </w:tc>
        <w:tc>
          <w:tcPr>
            <w:tcW w:w="300" w:type="dxa"/>
            <w:vAlign w:val="bottom"/>
          </w:tcPr>
          <w:p>
            <w:pPr>
              <w:jc w:val="right"/>
              <w:spacing w:after="0" w:line="133" w:lineRule="exact"/>
              <w:rPr>
                <w:sz w:val="20"/>
                <w:szCs w:val="20"/>
                <w:color w:val="auto"/>
              </w:rPr>
            </w:pPr>
            <w:r>
              <w:rPr>
                <w:rFonts w:ascii="Arial" w:cs="Arial" w:eastAsia="Arial" w:hAnsi="Arial"/>
                <w:sz w:val="13"/>
                <w:szCs w:val="13"/>
                <w:color w:val="auto"/>
              </w:rPr>
              <w:t>(7)</w:t>
            </w:r>
          </w:p>
        </w:tc>
        <w:tc>
          <w:tcPr>
            <w:tcW w:w="1340" w:type="dxa"/>
            <w:vAlign w:val="bottom"/>
          </w:tcPr>
          <w:p>
            <w:pPr>
              <w:spacing w:after="0" w:line="133"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tcPr>
          <w:p>
            <w:pPr>
              <w:jc w:val="right"/>
              <w:ind w:right="40"/>
              <w:spacing w:after="0" w:line="133" w:lineRule="exact"/>
              <w:rPr>
                <w:sz w:val="20"/>
                <w:szCs w:val="20"/>
                <w:color w:val="auto"/>
              </w:rPr>
            </w:pPr>
            <w:r>
              <w:rPr>
                <w:rFonts w:ascii="Arial" w:cs="Arial" w:eastAsia="Arial" w:hAnsi="Arial"/>
                <w:sz w:val="13"/>
                <w:szCs w:val="13"/>
                <w:color w:val="auto"/>
              </w:rPr>
              <w:t>2003</w:t>
            </w:r>
          </w:p>
        </w:tc>
        <w:tc>
          <w:tcPr>
            <w:tcW w:w="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42,363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12,268</w:t>
            </w:r>
          </w:p>
        </w:tc>
        <w:tc>
          <w:tcPr>
            <w:tcW w:w="5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284,000</w:t>
            </w:r>
          </w:p>
        </w:tc>
        <w:tc>
          <w:tcPr>
            <w:tcW w:w="40" w:type="dxa"/>
            <w:vAlign w:val="bottom"/>
          </w:tcPr>
          <w:p>
            <w:pPr>
              <w:spacing w:after="0"/>
              <w:rPr>
                <w:sz w:val="11"/>
                <w:szCs w:val="11"/>
                <w:color w:val="auto"/>
              </w:rPr>
            </w:pPr>
          </w:p>
        </w:tc>
        <w:tc>
          <w:tcPr>
            <w:tcW w:w="54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94%</w:t>
            </w:r>
          </w:p>
        </w:tc>
        <w:tc>
          <w:tcPr>
            <w:tcW w:w="84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93%</w:t>
            </w:r>
          </w:p>
        </w:tc>
        <w:tc>
          <w:tcPr>
            <w:tcW w:w="52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18.59</w:t>
            </w:r>
          </w:p>
        </w:tc>
        <w:tc>
          <w:tcPr>
            <w:tcW w:w="50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62,000</w:t>
            </w:r>
          </w:p>
        </w:tc>
        <w:tc>
          <w:tcPr>
            <w:tcW w:w="800" w:type="dxa"/>
            <w:vAlign w:val="bottom"/>
          </w:tcPr>
          <w:p>
            <w:pPr>
              <w:ind w:left="20"/>
              <w:spacing w:after="0" w:line="133" w:lineRule="exact"/>
              <w:rPr>
                <w:sz w:val="20"/>
                <w:szCs w:val="20"/>
                <w:color w:val="auto"/>
              </w:rPr>
            </w:pPr>
            <w:r>
              <w:rPr>
                <w:rFonts w:ascii="Arial" w:cs="Arial" w:eastAsia="Arial" w:hAnsi="Arial"/>
                <w:sz w:val="13"/>
                <w:szCs w:val="13"/>
                <w:color w:val="auto"/>
                <w:w w:val="85"/>
              </w:rPr>
              <w:t>Shoppers Food</w:t>
            </w:r>
          </w:p>
        </w:tc>
        <w:tc>
          <w:tcPr>
            <w:tcW w:w="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Warehouse</w:t>
            </w:r>
          </w:p>
        </w:tc>
        <w:tc>
          <w:tcPr>
            <w:tcW w:w="60" w:type="dxa"/>
            <w:vAlign w:val="bottom"/>
          </w:tcPr>
          <w:p>
            <w:pPr>
              <w:spacing w:after="0"/>
              <w:rPr>
                <w:sz w:val="14"/>
                <w:szCs w:val="14"/>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Bed, Bath &amp; Beyond / Michaels</w:t>
            </w:r>
          </w:p>
        </w:tc>
        <w:tc>
          <w:tcPr>
            <w:tcW w:w="0" w:type="dxa"/>
            <w:vAlign w:val="bottom"/>
          </w:tcPr>
          <w:p>
            <w:pPr>
              <w:spacing w:after="0"/>
              <w:rPr>
                <w:sz w:val="1"/>
                <w:szCs w:val="1"/>
                <w:color w:val="auto"/>
              </w:rPr>
            </w:pPr>
          </w:p>
        </w:tc>
      </w:tr>
      <w:tr>
        <w:trPr>
          <w:trHeight w:val="141"/>
        </w:trPr>
        <w:tc>
          <w:tcPr>
            <w:tcW w:w="180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auto"/>
              </w:rPr>
              <w:t>Old Keene Mill</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1976</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5,391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92,000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100%</w:t>
            </w: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24.62</w:t>
            </w:r>
          </w:p>
        </w:tc>
        <w:tc>
          <w:tcPr>
            <w:tcW w:w="5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24,000</w:t>
            </w:r>
          </w:p>
        </w:tc>
        <w:tc>
          <w:tcPr>
            <w:tcW w:w="80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w w:val="99"/>
              </w:rPr>
              <w:t>Whole Foods</w:t>
            </w: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0" w:type="dxa"/>
            <w:vAlign w:val="bottom"/>
            <w:gridSpan w:val="7"/>
          </w:tcPr>
          <w:p>
            <w:pPr>
              <w:spacing w:after="0" w:line="141" w:lineRule="exact"/>
              <w:rPr>
                <w:sz w:val="20"/>
                <w:szCs w:val="20"/>
                <w:color w:val="auto"/>
              </w:rPr>
            </w:pPr>
            <w:r>
              <w:rPr>
                <w:rFonts w:ascii="Arial" w:cs="Arial" w:eastAsia="Arial" w:hAnsi="Arial"/>
                <w:sz w:val="13"/>
                <w:szCs w:val="13"/>
                <w:color w:val="auto"/>
              </w:rPr>
              <w:t>Pan Am</w:t>
            </w:r>
          </w:p>
        </w:tc>
        <w:tc>
          <w:tcPr>
            <w:tcW w:w="300" w:type="dxa"/>
            <w:vAlign w:val="bottom"/>
          </w:tcPr>
          <w:p>
            <w:pPr>
              <w:spacing w:after="0"/>
              <w:rPr>
                <w:sz w:val="12"/>
                <w:szCs w:val="12"/>
                <w:color w:val="auto"/>
              </w:rPr>
            </w:pPr>
          </w:p>
        </w:tc>
        <w:tc>
          <w:tcPr>
            <w:tcW w:w="1340" w:type="dxa"/>
            <w:vAlign w:val="bottom"/>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1993</w:t>
            </w: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27,592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227,000</w:t>
            </w:r>
          </w:p>
        </w:tc>
        <w:tc>
          <w:tcPr>
            <w:tcW w:w="40" w:type="dxa"/>
            <w:vAlign w:val="bottom"/>
          </w:tcPr>
          <w:p>
            <w:pPr>
              <w:spacing w:after="0"/>
              <w:rPr>
                <w:sz w:val="12"/>
                <w:szCs w:val="12"/>
                <w:color w:val="auto"/>
              </w:rPr>
            </w:pPr>
          </w:p>
        </w:tc>
        <w:tc>
          <w:tcPr>
            <w:tcW w:w="5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100%</w:t>
            </w:r>
          </w:p>
        </w:tc>
        <w:tc>
          <w:tcPr>
            <w:tcW w:w="52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15.77</w:t>
            </w:r>
          </w:p>
        </w:tc>
        <w:tc>
          <w:tcPr>
            <w:tcW w:w="50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63,000</w:t>
            </w:r>
          </w:p>
        </w:tc>
        <w:tc>
          <w:tcPr>
            <w:tcW w:w="800" w:type="dxa"/>
            <w:vAlign w:val="bottom"/>
          </w:tcPr>
          <w:p>
            <w:pPr>
              <w:ind w:left="20"/>
              <w:spacing w:after="0" w:line="141" w:lineRule="exact"/>
              <w:rPr>
                <w:sz w:val="20"/>
                <w:szCs w:val="20"/>
                <w:color w:val="auto"/>
              </w:rPr>
            </w:pPr>
            <w:r>
              <w:rPr>
                <w:rFonts w:ascii="Arial" w:cs="Arial" w:eastAsia="Arial" w:hAnsi="Arial"/>
                <w:sz w:val="13"/>
                <w:szCs w:val="13"/>
                <w:color w:val="auto"/>
              </w:rPr>
              <w:t>Safeway</w:t>
            </w:r>
          </w:p>
        </w:tc>
        <w:tc>
          <w:tcPr>
            <w:tcW w:w="60" w:type="dxa"/>
            <w:vAlign w:val="bottom"/>
          </w:tcPr>
          <w:p>
            <w:pPr>
              <w:spacing w:after="0"/>
              <w:rPr>
                <w:sz w:val="12"/>
                <w:szCs w:val="12"/>
                <w:color w:val="auto"/>
              </w:rPr>
            </w:pPr>
          </w:p>
        </w:tc>
        <w:tc>
          <w:tcPr>
            <w:tcW w:w="1920" w:type="dxa"/>
            <w:vAlign w:val="bottom"/>
          </w:tcPr>
          <w:p>
            <w:pPr>
              <w:spacing w:after="0" w:line="141" w:lineRule="exact"/>
              <w:rPr>
                <w:sz w:val="20"/>
                <w:szCs w:val="20"/>
                <w:color w:val="auto"/>
              </w:rPr>
            </w:pPr>
            <w:r>
              <w:rPr>
                <w:rFonts w:ascii="Arial" w:cs="Arial" w:eastAsia="Arial" w:hAnsi="Arial"/>
                <w:sz w:val="13"/>
                <w:szCs w:val="13"/>
                <w:color w:val="auto"/>
              </w:rPr>
              <w:t>Micro Center / Michaels</w:t>
            </w:r>
          </w:p>
        </w:tc>
        <w:tc>
          <w:tcPr>
            <w:tcW w:w="0" w:type="dxa"/>
            <w:vAlign w:val="bottom"/>
          </w:tcPr>
          <w:p>
            <w:pPr>
              <w:spacing w:after="0"/>
              <w:rPr>
                <w:sz w:val="1"/>
                <w:szCs w:val="1"/>
                <w:color w:val="auto"/>
              </w:rPr>
            </w:pPr>
          </w:p>
        </w:tc>
      </w:tr>
      <w:tr>
        <w:trPr>
          <w:trHeight w:val="132"/>
        </w:trPr>
        <w:tc>
          <w:tcPr>
            <w:tcW w:w="1800" w:type="dxa"/>
            <w:vAlign w:val="bottom"/>
            <w:gridSpan w:val="7"/>
            <w:shd w:val="clear" w:color="auto" w:fill="CCEEFF"/>
          </w:tcPr>
          <w:p>
            <w:pPr>
              <w:spacing w:after="0" w:line="133" w:lineRule="exact"/>
              <w:rPr>
                <w:sz w:val="20"/>
                <w:szCs w:val="20"/>
                <w:color w:val="auto"/>
              </w:rPr>
            </w:pPr>
            <w:r>
              <w:rPr>
                <w:rFonts w:ascii="Arial" w:cs="Arial" w:eastAsia="Arial" w:hAnsi="Arial"/>
                <w:sz w:val="13"/>
                <w:szCs w:val="13"/>
                <w:color w:val="auto"/>
              </w:rPr>
              <w:t>Pentagon Row</w:t>
            </w: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1999</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87,959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296,000</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98%</w:t>
            </w:r>
          </w:p>
        </w:tc>
        <w:tc>
          <w:tcPr>
            <w:tcW w:w="8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98%</w:t>
            </w:r>
          </w:p>
        </w:tc>
        <w:tc>
          <w:tcPr>
            <w:tcW w:w="52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31.52</w:t>
            </w:r>
          </w:p>
        </w:tc>
        <w:tc>
          <w:tcPr>
            <w:tcW w:w="5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45,000</w:t>
            </w:r>
          </w:p>
        </w:tc>
        <w:tc>
          <w:tcPr>
            <w:tcW w:w="80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Harris Teeter</w:t>
            </w:r>
          </w:p>
        </w:tc>
        <w:tc>
          <w:tcPr>
            <w:tcW w:w="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1"/>
              </w:rPr>
              <w:t>Bally’s / Bed, Bath &amp; Beyond / DSW</w:t>
            </w:r>
          </w:p>
        </w:tc>
        <w:tc>
          <w:tcPr>
            <w:tcW w:w="0" w:type="dxa"/>
            <w:vAlign w:val="bottom"/>
          </w:tcPr>
          <w:p>
            <w:pPr>
              <w:spacing w:after="0"/>
              <w:rPr>
                <w:sz w:val="1"/>
                <w:szCs w:val="1"/>
                <w:color w:val="auto"/>
              </w:rPr>
            </w:pPr>
          </w:p>
        </w:tc>
      </w:tr>
      <w:tr>
        <w:trPr>
          <w:trHeight w:val="150"/>
        </w:trPr>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3"/>
                <w:szCs w:val="13"/>
                <w:color w:val="auto"/>
              </w:rPr>
              <w:t>/ Cost Plus</w:t>
            </w:r>
          </w:p>
        </w:tc>
        <w:tc>
          <w:tcPr>
            <w:tcW w:w="0" w:type="dxa"/>
            <w:vAlign w:val="bottom"/>
          </w:tcPr>
          <w:p>
            <w:pPr>
              <w:spacing w:after="0"/>
              <w:rPr>
                <w:sz w:val="1"/>
                <w:szCs w:val="1"/>
                <w:color w:val="auto"/>
              </w:rPr>
            </w:pPr>
          </w:p>
        </w:tc>
      </w:tr>
      <w:tr>
        <w:trPr>
          <w:trHeight w:val="141"/>
        </w:trPr>
        <w:tc>
          <w:tcPr>
            <w:tcW w:w="1800" w:type="dxa"/>
            <w:vAlign w:val="bottom"/>
            <w:gridSpan w:val="7"/>
          </w:tcPr>
          <w:p>
            <w:pPr>
              <w:spacing w:after="0" w:line="141" w:lineRule="exact"/>
              <w:rPr>
                <w:sz w:val="20"/>
                <w:szCs w:val="20"/>
                <w:color w:val="auto"/>
              </w:rPr>
            </w:pPr>
            <w:r>
              <w:rPr>
                <w:rFonts w:ascii="Arial" w:cs="Arial" w:eastAsia="Arial" w:hAnsi="Arial"/>
                <w:sz w:val="13"/>
                <w:szCs w:val="13"/>
                <w:color w:val="auto"/>
              </w:rPr>
              <w:t>Pike 7</w:t>
            </w:r>
          </w:p>
        </w:tc>
        <w:tc>
          <w:tcPr>
            <w:tcW w:w="300" w:type="dxa"/>
            <w:vAlign w:val="bottom"/>
          </w:tcPr>
          <w:p>
            <w:pPr>
              <w:spacing w:after="0"/>
              <w:rPr>
                <w:sz w:val="12"/>
                <w:szCs w:val="12"/>
                <w:color w:val="auto"/>
              </w:rPr>
            </w:pPr>
          </w:p>
        </w:tc>
        <w:tc>
          <w:tcPr>
            <w:tcW w:w="1340" w:type="dxa"/>
            <w:vAlign w:val="bottom"/>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1997</w:t>
            </w: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33,832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164,000</w:t>
            </w:r>
          </w:p>
        </w:tc>
        <w:tc>
          <w:tcPr>
            <w:tcW w:w="40" w:type="dxa"/>
            <w:vAlign w:val="bottom"/>
          </w:tcPr>
          <w:p>
            <w:pPr>
              <w:spacing w:after="0"/>
              <w:rPr>
                <w:sz w:val="12"/>
                <w:szCs w:val="12"/>
                <w:color w:val="auto"/>
              </w:rPr>
            </w:pPr>
          </w:p>
        </w:tc>
        <w:tc>
          <w:tcPr>
            <w:tcW w:w="5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90%</w:t>
            </w:r>
          </w:p>
        </w:tc>
        <w:tc>
          <w:tcPr>
            <w:tcW w:w="8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90%</w:t>
            </w:r>
          </w:p>
        </w:tc>
        <w:tc>
          <w:tcPr>
            <w:tcW w:w="52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29.43</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line="141" w:lineRule="exact"/>
              <w:rPr>
                <w:sz w:val="20"/>
                <w:szCs w:val="20"/>
                <w:color w:val="auto"/>
              </w:rPr>
            </w:pPr>
            <w:r>
              <w:rPr>
                <w:rFonts w:ascii="Arial" w:cs="Arial" w:eastAsia="Arial" w:hAnsi="Arial"/>
                <w:sz w:val="13"/>
                <w:szCs w:val="13"/>
                <w:color w:val="auto"/>
              </w:rPr>
              <w:t>Staples / TJ Maxx</w:t>
            </w:r>
          </w:p>
        </w:tc>
        <w:tc>
          <w:tcPr>
            <w:tcW w:w="0" w:type="dxa"/>
            <w:vAlign w:val="bottom"/>
          </w:tcPr>
          <w:p>
            <w:pPr>
              <w:spacing w:after="0"/>
              <w:rPr>
                <w:sz w:val="1"/>
                <w:szCs w:val="1"/>
                <w:color w:val="auto"/>
              </w:rPr>
            </w:pPr>
          </w:p>
        </w:tc>
      </w:tr>
      <w:tr>
        <w:trPr>
          <w:trHeight w:val="141"/>
        </w:trPr>
        <w:tc>
          <w:tcPr>
            <w:tcW w:w="180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auto"/>
              </w:rPr>
              <w:t>Quince Orchard</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1993</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20,083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253,000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100%</w:t>
            </w: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19.15</w:t>
            </w:r>
          </w:p>
        </w:tc>
        <w:tc>
          <w:tcPr>
            <w:tcW w:w="5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24,000</w:t>
            </w:r>
          </w:p>
        </w:tc>
        <w:tc>
          <w:tcPr>
            <w:tcW w:w="80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Magruders</w:t>
            </w: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Circuit City / Staples</w:t>
            </w:r>
          </w:p>
        </w:tc>
        <w:tc>
          <w:tcPr>
            <w:tcW w:w="0" w:type="dxa"/>
            <w:vAlign w:val="bottom"/>
          </w:tcPr>
          <w:p>
            <w:pPr>
              <w:spacing w:after="0"/>
              <w:rPr>
                <w:sz w:val="1"/>
                <w:szCs w:val="1"/>
                <w:color w:val="auto"/>
              </w:rPr>
            </w:pPr>
          </w:p>
        </w:tc>
      </w:tr>
      <w:tr>
        <w:trPr>
          <w:trHeight w:val="141"/>
        </w:trPr>
        <w:tc>
          <w:tcPr>
            <w:tcW w:w="1800" w:type="dxa"/>
            <w:vAlign w:val="bottom"/>
            <w:gridSpan w:val="7"/>
          </w:tcPr>
          <w:p>
            <w:pPr>
              <w:spacing w:after="0" w:line="141" w:lineRule="exact"/>
              <w:rPr>
                <w:sz w:val="20"/>
                <w:szCs w:val="20"/>
                <w:color w:val="auto"/>
              </w:rPr>
            </w:pPr>
            <w:r>
              <w:rPr>
                <w:rFonts w:ascii="Arial" w:cs="Arial" w:eastAsia="Arial" w:hAnsi="Arial"/>
                <w:sz w:val="13"/>
                <w:szCs w:val="13"/>
                <w:color w:val="auto"/>
              </w:rPr>
              <w:t>Rockville Town Square</w:t>
            </w:r>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(9)</w:t>
            </w:r>
          </w:p>
        </w:tc>
        <w:tc>
          <w:tcPr>
            <w:tcW w:w="1340" w:type="dxa"/>
            <w:vAlign w:val="bottom"/>
          </w:tcPr>
          <w:p>
            <w:pPr>
              <w:spacing w:after="0" w:line="141" w:lineRule="exact"/>
              <w:rPr>
                <w:sz w:val="20"/>
                <w:szCs w:val="20"/>
                <w:color w:val="auto"/>
              </w:rPr>
            </w:pPr>
            <w:r>
              <w:rPr>
                <w:rFonts w:ascii="Arial" w:cs="Arial" w:eastAsia="Arial" w:hAnsi="Arial"/>
                <w:sz w:val="13"/>
                <w:szCs w:val="13"/>
                <w:color w:val="auto"/>
                <w:w w:val="93"/>
              </w:rPr>
              <w:t>Washington, DC-MD-VA</w:t>
            </w:r>
          </w:p>
        </w:tc>
        <w:tc>
          <w:tcPr>
            <w:tcW w:w="40" w:type="dxa"/>
            <w:vAlign w:val="bottom"/>
          </w:tcPr>
          <w:p>
            <w:pPr>
              <w:spacing w:after="0"/>
              <w:rPr>
                <w:sz w:val="12"/>
                <w:szCs w:val="12"/>
                <w:color w:val="auto"/>
              </w:rPr>
            </w:pPr>
          </w:p>
        </w:tc>
        <w:tc>
          <w:tcPr>
            <w:tcW w:w="640" w:type="dxa"/>
            <w:vAlign w:val="bottom"/>
            <w:gridSpan w:val="3"/>
          </w:tcPr>
          <w:p>
            <w:pPr>
              <w:jc w:val="right"/>
              <w:ind w:right="56"/>
              <w:spacing w:after="0" w:line="141" w:lineRule="exact"/>
              <w:rPr>
                <w:sz w:val="20"/>
                <w:szCs w:val="20"/>
                <w:color w:val="auto"/>
              </w:rPr>
            </w:pPr>
            <w:r>
              <w:rPr>
                <w:rFonts w:ascii="Arial" w:cs="Arial" w:eastAsia="Arial" w:hAnsi="Arial"/>
                <w:sz w:val="13"/>
                <w:szCs w:val="13"/>
                <w:color w:val="auto"/>
              </w:rPr>
              <w:t>N/A</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14,285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ind w:left="300"/>
              <w:spacing w:after="0" w:line="141" w:lineRule="exact"/>
              <w:rPr>
                <w:sz w:val="20"/>
                <w:szCs w:val="20"/>
                <w:color w:val="auto"/>
              </w:rPr>
            </w:pPr>
            <w:r>
              <w:rPr>
                <w:rFonts w:ascii="Arial" w:cs="Arial" w:eastAsia="Arial" w:hAnsi="Arial"/>
                <w:sz w:val="13"/>
                <w:szCs w:val="13"/>
                <w:color w:val="auto"/>
              </w:rPr>
              <w:t>N/A</w:t>
            </w:r>
          </w:p>
        </w:tc>
        <w:tc>
          <w:tcPr>
            <w:tcW w:w="5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N/A</w:t>
            </w:r>
          </w:p>
        </w:tc>
        <w:tc>
          <w:tcPr>
            <w:tcW w:w="8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N/A</w:t>
            </w:r>
          </w:p>
        </w:tc>
        <w:tc>
          <w:tcPr>
            <w:tcW w:w="20" w:type="dxa"/>
            <w:vAlign w:val="bottom"/>
          </w:tcPr>
          <w:p>
            <w:pPr>
              <w:spacing w:after="0"/>
              <w:rPr>
                <w:sz w:val="12"/>
                <w:szCs w:val="12"/>
                <w:color w:val="auto"/>
              </w:rPr>
            </w:pPr>
          </w:p>
        </w:tc>
        <w:tc>
          <w:tcPr>
            <w:tcW w:w="50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N/A</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auto"/>
              </w:rPr>
              <w:t>Rollingwood Apartments</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1971</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6,826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00"/>
              <w:spacing w:after="0" w:line="141" w:lineRule="exact"/>
              <w:rPr>
                <w:sz w:val="20"/>
                <w:szCs w:val="20"/>
                <w:color w:val="auto"/>
              </w:rPr>
            </w:pPr>
            <w:r>
              <w:rPr>
                <w:rFonts w:ascii="Arial" w:cs="Arial" w:eastAsia="Arial" w:hAnsi="Arial"/>
                <w:sz w:val="13"/>
                <w:szCs w:val="13"/>
                <w:color w:val="auto"/>
              </w:rPr>
              <w:t>N/A</w:t>
            </w:r>
          </w:p>
        </w:tc>
        <w:tc>
          <w:tcPr>
            <w:tcW w:w="5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95%</w:t>
            </w: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95%</w:t>
            </w: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N/A</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0" w:type="dxa"/>
            <w:vAlign w:val="bottom"/>
            <w:gridSpan w:val="7"/>
          </w:tcPr>
          <w:p>
            <w:pPr>
              <w:spacing w:after="0" w:line="141" w:lineRule="exact"/>
              <w:rPr>
                <w:sz w:val="20"/>
                <w:szCs w:val="20"/>
                <w:color w:val="auto"/>
              </w:rPr>
            </w:pPr>
            <w:r>
              <w:rPr>
                <w:rFonts w:ascii="Arial" w:cs="Arial" w:eastAsia="Arial" w:hAnsi="Arial"/>
                <w:sz w:val="13"/>
                <w:szCs w:val="13"/>
                <w:color w:val="auto"/>
              </w:rPr>
              <w:t>Sam’s Park &amp; Shop</w:t>
            </w:r>
          </w:p>
        </w:tc>
        <w:tc>
          <w:tcPr>
            <w:tcW w:w="300" w:type="dxa"/>
            <w:vAlign w:val="bottom"/>
          </w:tcPr>
          <w:p>
            <w:pPr>
              <w:spacing w:after="0"/>
              <w:rPr>
                <w:sz w:val="12"/>
                <w:szCs w:val="12"/>
                <w:color w:val="auto"/>
              </w:rPr>
            </w:pPr>
          </w:p>
        </w:tc>
        <w:tc>
          <w:tcPr>
            <w:tcW w:w="1340" w:type="dxa"/>
            <w:vAlign w:val="bottom"/>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1995</w:t>
            </w: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12,206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49,000</w:t>
            </w:r>
          </w:p>
        </w:tc>
        <w:tc>
          <w:tcPr>
            <w:tcW w:w="40" w:type="dxa"/>
            <w:vAlign w:val="bottom"/>
          </w:tcPr>
          <w:p>
            <w:pPr>
              <w:spacing w:after="0"/>
              <w:rPr>
                <w:sz w:val="12"/>
                <w:szCs w:val="12"/>
                <w:color w:val="auto"/>
              </w:rPr>
            </w:pPr>
          </w:p>
        </w:tc>
        <w:tc>
          <w:tcPr>
            <w:tcW w:w="5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100%</w:t>
            </w:r>
          </w:p>
        </w:tc>
        <w:tc>
          <w:tcPr>
            <w:tcW w:w="52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34.73</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line="141" w:lineRule="exact"/>
              <w:rPr>
                <w:sz w:val="20"/>
                <w:szCs w:val="20"/>
                <w:color w:val="auto"/>
              </w:rPr>
            </w:pPr>
            <w:r>
              <w:rPr>
                <w:rFonts w:ascii="Arial" w:cs="Arial" w:eastAsia="Arial" w:hAnsi="Arial"/>
                <w:sz w:val="13"/>
                <w:szCs w:val="13"/>
                <w:color w:val="auto"/>
              </w:rPr>
              <w:t>Petco</w:t>
            </w:r>
          </w:p>
        </w:tc>
        <w:tc>
          <w:tcPr>
            <w:tcW w:w="0" w:type="dxa"/>
            <w:vAlign w:val="bottom"/>
          </w:tcPr>
          <w:p>
            <w:pPr>
              <w:spacing w:after="0"/>
              <w:rPr>
                <w:sz w:val="1"/>
                <w:szCs w:val="1"/>
                <w:color w:val="auto"/>
              </w:rPr>
            </w:pPr>
          </w:p>
        </w:tc>
      </w:tr>
      <w:tr>
        <w:trPr>
          <w:trHeight w:val="141"/>
        </w:trPr>
        <w:tc>
          <w:tcPr>
            <w:tcW w:w="180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auto"/>
              </w:rPr>
              <w:t>South Valley</w:t>
            </w:r>
          </w:p>
        </w:tc>
        <w:tc>
          <w:tcPr>
            <w:tcW w:w="3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w:t>
            </w:r>
          </w:p>
        </w:tc>
        <w:tc>
          <w:tcPr>
            <w:tcW w:w="13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2003</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22,177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221,000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99%</w:t>
            </w: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99%</w:t>
            </w:r>
          </w:p>
        </w:tc>
        <w:tc>
          <w:tcPr>
            <w:tcW w:w="52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9.80</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Home Depot / TJ Maxx</w:t>
            </w:r>
          </w:p>
        </w:tc>
        <w:tc>
          <w:tcPr>
            <w:tcW w:w="0" w:type="dxa"/>
            <w:vAlign w:val="bottom"/>
          </w:tcPr>
          <w:p>
            <w:pPr>
              <w:spacing w:after="0"/>
              <w:rPr>
                <w:sz w:val="1"/>
                <w:szCs w:val="1"/>
                <w:color w:val="auto"/>
              </w:rPr>
            </w:pPr>
          </w:p>
        </w:tc>
      </w:tr>
      <w:tr>
        <w:trPr>
          <w:trHeight w:val="141"/>
        </w:trPr>
        <w:tc>
          <w:tcPr>
            <w:tcW w:w="1800" w:type="dxa"/>
            <w:vAlign w:val="bottom"/>
            <w:gridSpan w:val="7"/>
          </w:tcPr>
          <w:p>
            <w:pPr>
              <w:spacing w:after="0" w:line="141" w:lineRule="exact"/>
              <w:rPr>
                <w:sz w:val="20"/>
                <w:szCs w:val="20"/>
                <w:color w:val="auto"/>
              </w:rPr>
            </w:pPr>
            <w:r>
              <w:rPr>
                <w:rFonts w:ascii="Arial" w:cs="Arial" w:eastAsia="Arial" w:hAnsi="Arial"/>
                <w:sz w:val="13"/>
                <w:szCs w:val="13"/>
                <w:color w:val="auto"/>
              </w:rPr>
              <w:t>Tower</w:t>
            </w:r>
          </w:p>
        </w:tc>
        <w:tc>
          <w:tcPr>
            <w:tcW w:w="300" w:type="dxa"/>
            <w:vAlign w:val="bottom"/>
          </w:tcPr>
          <w:p>
            <w:pPr>
              <w:spacing w:after="0"/>
              <w:rPr>
                <w:sz w:val="12"/>
                <w:szCs w:val="12"/>
                <w:color w:val="auto"/>
              </w:rPr>
            </w:pPr>
          </w:p>
        </w:tc>
        <w:tc>
          <w:tcPr>
            <w:tcW w:w="1340" w:type="dxa"/>
            <w:vAlign w:val="bottom"/>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1998</w:t>
            </w: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19,009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112,000</w:t>
            </w:r>
          </w:p>
        </w:tc>
        <w:tc>
          <w:tcPr>
            <w:tcW w:w="40" w:type="dxa"/>
            <w:vAlign w:val="bottom"/>
          </w:tcPr>
          <w:p>
            <w:pPr>
              <w:spacing w:after="0"/>
              <w:rPr>
                <w:sz w:val="12"/>
                <w:szCs w:val="12"/>
                <w:color w:val="auto"/>
              </w:rPr>
            </w:pPr>
          </w:p>
        </w:tc>
        <w:tc>
          <w:tcPr>
            <w:tcW w:w="5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97%</w:t>
            </w:r>
          </w:p>
        </w:tc>
        <w:tc>
          <w:tcPr>
            <w:tcW w:w="8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85%</w:t>
            </w:r>
          </w:p>
        </w:tc>
        <w:tc>
          <w:tcPr>
            <w:tcW w:w="52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20.49</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line="141" w:lineRule="exact"/>
              <w:rPr>
                <w:sz w:val="20"/>
                <w:szCs w:val="20"/>
                <w:color w:val="auto"/>
              </w:rPr>
            </w:pPr>
            <w:r>
              <w:rPr>
                <w:rFonts w:ascii="Arial" w:cs="Arial" w:eastAsia="Arial" w:hAnsi="Arial"/>
                <w:sz w:val="13"/>
                <w:szCs w:val="13"/>
                <w:color w:val="auto"/>
              </w:rPr>
              <w:t>Virginia Fine Wine / Talbots</w:t>
            </w:r>
          </w:p>
        </w:tc>
        <w:tc>
          <w:tcPr>
            <w:tcW w:w="0" w:type="dxa"/>
            <w:vAlign w:val="bottom"/>
          </w:tcPr>
          <w:p>
            <w:pPr>
              <w:spacing w:after="0"/>
              <w:rPr>
                <w:sz w:val="1"/>
                <w:szCs w:val="1"/>
                <w:color w:val="auto"/>
              </w:rPr>
            </w:pPr>
          </w:p>
        </w:tc>
      </w:tr>
      <w:tr>
        <w:trPr>
          <w:trHeight w:val="141"/>
        </w:trPr>
        <w:tc>
          <w:tcPr>
            <w:tcW w:w="180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auto"/>
              </w:rPr>
              <w:t>Tyson’s Station</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1978</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3,453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6,366</w:t>
            </w:r>
          </w:p>
        </w:tc>
        <w:tc>
          <w:tcPr>
            <w:tcW w:w="5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50,000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100%</w:t>
            </w: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34.78</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Trader Joes</w:t>
            </w:r>
          </w:p>
        </w:tc>
        <w:tc>
          <w:tcPr>
            <w:tcW w:w="0" w:type="dxa"/>
            <w:vAlign w:val="bottom"/>
          </w:tcPr>
          <w:p>
            <w:pPr>
              <w:spacing w:after="0"/>
              <w:rPr>
                <w:sz w:val="1"/>
                <w:szCs w:val="1"/>
                <w:color w:val="auto"/>
              </w:rPr>
            </w:pPr>
          </w:p>
        </w:tc>
      </w:tr>
      <w:tr>
        <w:trPr>
          <w:trHeight w:val="132"/>
        </w:trPr>
        <w:tc>
          <w:tcPr>
            <w:tcW w:w="1800" w:type="dxa"/>
            <w:vAlign w:val="bottom"/>
            <w:gridSpan w:val="7"/>
          </w:tcPr>
          <w:p>
            <w:pPr>
              <w:spacing w:after="0" w:line="133" w:lineRule="exact"/>
              <w:rPr>
                <w:sz w:val="20"/>
                <w:szCs w:val="20"/>
                <w:color w:val="auto"/>
              </w:rPr>
            </w:pPr>
            <w:r>
              <w:rPr>
                <w:rFonts w:ascii="Arial" w:cs="Arial" w:eastAsia="Arial" w:hAnsi="Arial"/>
                <w:sz w:val="13"/>
                <w:szCs w:val="13"/>
                <w:color w:val="auto"/>
              </w:rPr>
              <w:t>Village at Shirlington</w:t>
            </w:r>
          </w:p>
        </w:tc>
        <w:tc>
          <w:tcPr>
            <w:tcW w:w="300" w:type="dxa"/>
            <w:vAlign w:val="bottom"/>
          </w:tcPr>
          <w:p>
            <w:pPr>
              <w:spacing w:after="0"/>
              <w:rPr>
                <w:sz w:val="11"/>
                <w:szCs w:val="11"/>
                <w:color w:val="auto"/>
              </w:rPr>
            </w:pPr>
          </w:p>
        </w:tc>
        <w:tc>
          <w:tcPr>
            <w:tcW w:w="1340" w:type="dxa"/>
            <w:vAlign w:val="bottom"/>
          </w:tcPr>
          <w:p>
            <w:pPr>
              <w:spacing w:after="0" w:line="133"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tcPr>
          <w:p>
            <w:pPr>
              <w:jc w:val="right"/>
              <w:ind w:right="40"/>
              <w:spacing w:after="0" w:line="133" w:lineRule="exact"/>
              <w:rPr>
                <w:sz w:val="20"/>
                <w:szCs w:val="20"/>
                <w:color w:val="auto"/>
              </w:rPr>
            </w:pPr>
            <w:r>
              <w:rPr>
                <w:rFonts w:ascii="Arial" w:cs="Arial" w:eastAsia="Arial" w:hAnsi="Arial"/>
                <w:sz w:val="13"/>
                <w:szCs w:val="13"/>
                <w:color w:val="auto"/>
              </w:rPr>
              <w:t>1995</w:t>
            </w:r>
          </w:p>
        </w:tc>
        <w:tc>
          <w:tcPr>
            <w:tcW w:w="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39,222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1,777</w:t>
            </w:r>
          </w:p>
        </w:tc>
        <w:tc>
          <w:tcPr>
            <w:tcW w:w="5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214,000</w:t>
            </w:r>
          </w:p>
        </w:tc>
        <w:tc>
          <w:tcPr>
            <w:tcW w:w="40" w:type="dxa"/>
            <w:vAlign w:val="bottom"/>
          </w:tcPr>
          <w:p>
            <w:pPr>
              <w:spacing w:after="0"/>
              <w:rPr>
                <w:sz w:val="11"/>
                <w:szCs w:val="11"/>
                <w:color w:val="auto"/>
              </w:rPr>
            </w:pPr>
          </w:p>
        </w:tc>
        <w:tc>
          <w:tcPr>
            <w:tcW w:w="54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98%</w:t>
            </w:r>
          </w:p>
        </w:tc>
        <w:tc>
          <w:tcPr>
            <w:tcW w:w="84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98%</w:t>
            </w:r>
          </w:p>
        </w:tc>
        <w:tc>
          <w:tcPr>
            <w:tcW w:w="52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28.23</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tcPr>
          <w:p>
            <w:pPr>
              <w:spacing w:after="0" w:line="133" w:lineRule="exact"/>
              <w:rPr>
                <w:sz w:val="20"/>
                <w:szCs w:val="20"/>
                <w:color w:val="auto"/>
              </w:rPr>
            </w:pPr>
            <w:r>
              <w:rPr>
                <w:rFonts w:ascii="Arial" w:cs="Arial" w:eastAsia="Arial" w:hAnsi="Arial"/>
                <w:sz w:val="13"/>
                <w:szCs w:val="13"/>
                <w:color w:val="auto"/>
              </w:rPr>
              <w:t>Cineplex Odeon / Carlyle Grand</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Café</w:t>
            </w:r>
          </w:p>
        </w:tc>
        <w:tc>
          <w:tcPr>
            <w:tcW w:w="0" w:type="dxa"/>
            <w:vAlign w:val="bottom"/>
          </w:tcPr>
          <w:p>
            <w:pPr>
              <w:spacing w:after="0"/>
              <w:rPr>
                <w:sz w:val="1"/>
                <w:szCs w:val="1"/>
                <w:color w:val="auto"/>
              </w:rPr>
            </w:pPr>
          </w:p>
        </w:tc>
      </w:tr>
      <w:tr>
        <w:trPr>
          <w:trHeight w:val="141"/>
        </w:trPr>
        <w:tc>
          <w:tcPr>
            <w:tcW w:w="180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auto"/>
              </w:rPr>
              <w:t>Wildwood</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1969</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17,556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26,550</w:t>
            </w:r>
          </w:p>
        </w:tc>
        <w:tc>
          <w:tcPr>
            <w:tcW w:w="5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85,000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100%</w:t>
            </w: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64.62</w:t>
            </w:r>
          </w:p>
        </w:tc>
        <w:tc>
          <w:tcPr>
            <w:tcW w:w="5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20,000</w:t>
            </w:r>
          </w:p>
        </w:tc>
        <w:tc>
          <w:tcPr>
            <w:tcW w:w="80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Balducci’s</w:t>
            </w: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41"/>
        </w:trPr>
        <w:tc>
          <w:tcPr>
            <w:tcW w:w="1800" w:type="dxa"/>
            <w:vAlign w:val="bottom"/>
            <w:gridSpan w:val="7"/>
          </w:tcPr>
          <w:p>
            <w:pPr>
              <w:spacing w:after="0" w:line="141" w:lineRule="exact"/>
              <w:rPr>
                <w:sz w:val="20"/>
                <w:szCs w:val="20"/>
                <w:color w:val="auto"/>
              </w:rPr>
            </w:pPr>
            <w:r>
              <w:rPr>
                <w:rFonts w:ascii="Arial" w:cs="Arial" w:eastAsia="Arial" w:hAnsi="Arial"/>
                <w:sz w:val="13"/>
                <w:szCs w:val="13"/>
                <w:color w:val="auto"/>
              </w:rPr>
              <w:t>7770 Richmond Hwy</w:t>
            </w:r>
          </w:p>
        </w:tc>
        <w:tc>
          <w:tcPr>
            <w:tcW w:w="300" w:type="dxa"/>
            <w:vAlign w:val="bottom"/>
          </w:tcPr>
          <w:p>
            <w:pPr>
              <w:spacing w:after="0"/>
              <w:rPr>
                <w:sz w:val="12"/>
                <w:szCs w:val="12"/>
                <w:color w:val="auto"/>
              </w:rPr>
            </w:pPr>
          </w:p>
        </w:tc>
        <w:tc>
          <w:tcPr>
            <w:tcW w:w="1340" w:type="dxa"/>
            <w:vAlign w:val="bottom"/>
          </w:tcPr>
          <w:p>
            <w:pPr>
              <w:spacing w:after="0" w:line="141" w:lineRule="exact"/>
              <w:rPr>
                <w:sz w:val="20"/>
                <w:szCs w:val="20"/>
                <w:color w:val="auto"/>
              </w:rPr>
            </w:pPr>
            <w:r>
              <w:rPr>
                <w:rFonts w:ascii="Arial" w:cs="Arial" w:eastAsia="Arial" w:hAnsi="Arial"/>
                <w:sz w:val="13"/>
                <w:szCs w:val="13"/>
                <w:color w:val="auto"/>
                <w:w w:val="93"/>
              </w:rPr>
              <w:t>Washington, DC-MD-VA</w:t>
            </w:r>
          </w:p>
        </w:tc>
        <w:tc>
          <w:tcPr>
            <w:tcW w:w="6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2006</w:t>
            </w: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10,043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spacing w:after="0" w:line="141" w:lineRule="exact"/>
              <w:rPr>
                <w:sz w:val="20"/>
                <w:szCs w:val="20"/>
                <w:color w:val="auto"/>
              </w:rPr>
            </w:pPr>
            <w:r>
              <w:rPr>
                <w:rFonts w:ascii="Arial" w:cs="Arial" w:eastAsia="Arial" w:hAnsi="Arial"/>
                <w:sz w:val="13"/>
                <w:szCs w:val="13"/>
                <w:color w:val="auto"/>
              </w:rPr>
              <w:t>61,000</w:t>
            </w:r>
          </w:p>
        </w:tc>
        <w:tc>
          <w:tcPr>
            <w:tcW w:w="40" w:type="dxa"/>
            <w:vAlign w:val="bottom"/>
          </w:tcPr>
          <w:p>
            <w:pPr>
              <w:spacing w:after="0"/>
              <w:rPr>
                <w:sz w:val="12"/>
                <w:szCs w:val="12"/>
                <w:color w:val="auto"/>
              </w:rPr>
            </w:pPr>
          </w:p>
        </w:tc>
        <w:tc>
          <w:tcPr>
            <w:tcW w:w="5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100%</w:t>
            </w:r>
          </w:p>
        </w:tc>
        <w:tc>
          <w:tcPr>
            <w:tcW w:w="52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11.</w:t>
            </w:r>
            <w:r>
              <w:rPr>
                <w:rFonts w:ascii="Arial" w:cs="Arial" w:eastAsia="Arial" w:hAnsi="Arial"/>
                <w:sz w:val="13"/>
                <w:szCs w:val="13"/>
                <w:u w:val="single" w:color="auto"/>
                <w:color w:val="auto"/>
              </w:rPr>
              <w:t>54</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line="141" w:lineRule="exact"/>
              <w:rPr>
                <w:sz w:val="20"/>
                <w:szCs w:val="20"/>
                <w:color w:val="auto"/>
              </w:rPr>
            </w:pPr>
            <w:r>
              <w:rPr>
                <w:rFonts w:ascii="Arial" w:cs="Arial" w:eastAsia="Arial" w:hAnsi="Arial"/>
                <w:sz w:val="13"/>
                <w:szCs w:val="13"/>
                <w:color w:val="auto"/>
              </w:rPr>
              <w:t>Gold’s Gym</w:t>
            </w: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Washington</w:t>
            </w: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819,375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4,923,000</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97%</w:t>
            </w:r>
          </w:p>
        </w:tc>
        <w:tc>
          <w:tcPr>
            <w:tcW w:w="84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96%</w:t>
            </w:r>
          </w:p>
        </w:tc>
        <w:tc>
          <w:tcPr>
            <w:tcW w:w="520" w:type="dxa"/>
            <w:vAlign w:val="bottom"/>
            <w:gridSpan w:val="3"/>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24.44</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Metropolitan Area</w:t>
            </w: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280" w:type="dxa"/>
            <w:vAlign w:val="bottom"/>
            <w:tcBorders>
              <w:bottom w:val="single" w:sz="8" w:color="auto"/>
            </w:tcBorders>
            <w:gridSpan w:val="4"/>
          </w:tcPr>
          <w:p>
            <w:pPr>
              <w:spacing w:after="0" w:line="129" w:lineRule="exact"/>
              <w:rPr>
                <w:sz w:val="20"/>
                <w:szCs w:val="20"/>
                <w:color w:val="auto"/>
              </w:rPr>
            </w:pPr>
            <w:r>
              <w:rPr>
                <w:rFonts w:ascii="Arial" w:cs="Arial" w:eastAsia="Arial" w:hAnsi="Arial"/>
                <w:sz w:val="13"/>
                <w:szCs w:val="13"/>
                <w:b w:val="1"/>
                <w:bCs w:val="1"/>
                <w:color w:val="auto"/>
                <w:w w:val="88"/>
              </w:rPr>
              <w:t>New York / New Jersey</w:t>
            </w:r>
          </w:p>
        </w:tc>
        <w:tc>
          <w:tcPr>
            <w:tcW w:w="520" w:type="dxa"/>
            <w:vAlign w:val="bottom"/>
            <w:gridSpan w:val="3"/>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00" w:type="dxa"/>
            <w:vAlign w:val="bottom"/>
            <w:gridSpan w:val="7"/>
            <w:shd w:val="clear" w:color="auto" w:fill="CCEEFF"/>
          </w:tcPr>
          <w:p>
            <w:pPr>
              <w:spacing w:after="0" w:line="134" w:lineRule="exact"/>
              <w:rPr>
                <w:sz w:val="20"/>
                <w:szCs w:val="20"/>
                <w:color w:val="auto"/>
              </w:rPr>
            </w:pPr>
            <w:r>
              <w:rPr>
                <w:rFonts w:ascii="Arial" w:cs="Arial" w:eastAsia="Arial" w:hAnsi="Arial"/>
                <w:sz w:val="13"/>
                <w:szCs w:val="13"/>
                <w:color w:val="auto"/>
              </w:rPr>
              <w:t>Allwood</w:t>
            </w:r>
          </w:p>
        </w:tc>
        <w:tc>
          <w:tcPr>
            <w:tcW w:w="3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(8)</w:t>
            </w:r>
          </w:p>
        </w:tc>
        <w:tc>
          <w:tcPr>
            <w:tcW w:w="13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Bergen-Passaic, NJ</w:t>
            </w:r>
          </w:p>
        </w:tc>
        <w:tc>
          <w:tcPr>
            <w:tcW w:w="600" w:type="dxa"/>
            <w:vAlign w:val="bottom"/>
            <w:gridSpan w:val="3"/>
            <w:shd w:val="clear" w:color="auto" w:fill="CCEEFF"/>
          </w:tcPr>
          <w:p>
            <w:pPr>
              <w:jc w:val="right"/>
              <w:ind w:right="40"/>
              <w:spacing w:after="0" w:line="134" w:lineRule="exact"/>
              <w:rPr>
                <w:sz w:val="20"/>
                <w:szCs w:val="20"/>
                <w:color w:val="auto"/>
              </w:rPr>
            </w:pPr>
            <w:r>
              <w:rPr>
                <w:rFonts w:ascii="Arial" w:cs="Arial" w:eastAsia="Arial" w:hAnsi="Arial"/>
                <w:sz w:val="13"/>
                <w:szCs w:val="13"/>
                <w:color w:val="auto"/>
              </w:rPr>
              <w:t>1988</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3,884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3"/>
                <w:szCs w:val="13"/>
                <w:color w:val="auto"/>
              </w:rPr>
              <w:t>3,048</w:t>
            </w:r>
          </w:p>
        </w:tc>
        <w:tc>
          <w:tcPr>
            <w:tcW w:w="5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3"/>
                <w:szCs w:val="13"/>
                <w:color w:val="auto"/>
              </w:rPr>
              <w:t>50,000</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100%</w:t>
            </w:r>
          </w:p>
        </w:tc>
        <w:tc>
          <w:tcPr>
            <w:tcW w:w="8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22.00</w:t>
            </w: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3"/>
                <w:szCs w:val="13"/>
                <w:color w:val="auto"/>
              </w:rPr>
              <w:t>50,000</w:t>
            </w:r>
          </w:p>
        </w:tc>
        <w:tc>
          <w:tcPr>
            <w:tcW w:w="8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Stop &amp; Shop</w:t>
            </w:r>
          </w:p>
        </w:tc>
        <w:tc>
          <w:tcPr>
            <w:tcW w:w="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00" w:type="dxa"/>
            <w:vAlign w:val="bottom"/>
            <w:gridSpan w:val="7"/>
          </w:tcPr>
          <w:p>
            <w:pPr>
              <w:spacing w:after="0" w:line="133" w:lineRule="exact"/>
              <w:rPr>
                <w:sz w:val="20"/>
                <w:szCs w:val="20"/>
                <w:color w:val="auto"/>
              </w:rPr>
            </w:pPr>
            <w:r>
              <w:rPr>
                <w:rFonts w:ascii="Arial" w:cs="Arial" w:eastAsia="Arial" w:hAnsi="Arial"/>
                <w:sz w:val="13"/>
                <w:szCs w:val="13"/>
                <w:color w:val="auto"/>
              </w:rPr>
              <w:t>Blue Star</w:t>
            </w:r>
          </w:p>
        </w:tc>
        <w:tc>
          <w:tcPr>
            <w:tcW w:w="300" w:type="dxa"/>
            <w:vAlign w:val="bottom"/>
          </w:tcPr>
          <w:p>
            <w:pPr>
              <w:jc w:val="right"/>
              <w:spacing w:after="0" w:line="133" w:lineRule="exact"/>
              <w:rPr>
                <w:sz w:val="20"/>
                <w:szCs w:val="20"/>
                <w:color w:val="auto"/>
              </w:rPr>
            </w:pPr>
            <w:r>
              <w:rPr>
                <w:rFonts w:ascii="Arial" w:cs="Arial" w:eastAsia="Arial" w:hAnsi="Arial"/>
                <w:sz w:val="13"/>
                <w:szCs w:val="13"/>
                <w:color w:val="auto"/>
              </w:rPr>
              <w:t>(8)</w:t>
            </w:r>
          </w:p>
        </w:tc>
        <w:tc>
          <w:tcPr>
            <w:tcW w:w="1340" w:type="dxa"/>
            <w:vAlign w:val="bottom"/>
          </w:tcPr>
          <w:p>
            <w:pPr>
              <w:spacing w:after="0" w:line="133" w:lineRule="exact"/>
              <w:rPr>
                <w:sz w:val="20"/>
                <w:szCs w:val="20"/>
                <w:color w:val="auto"/>
              </w:rPr>
            </w:pPr>
            <w:r>
              <w:rPr>
                <w:rFonts w:ascii="Arial" w:cs="Arial" w:eastAsia="Arial" w:hAnsi="Arial"/>
                <w:sz w:val="13"/>
                <w:szCs w:val="13"/>
                <w:color w:val="auto"/>
              </w:rPr>
              <w:t>Middlesex-Somerset-</w:t>
            </w:r>
          </w:p>
        </w:tc>
        <w:tc>
          <w:tcPr>
            <w:tcW w:w="600" w:type="dxa"/>
            <w:vAlign w:val="bottom"/>
            <w:gridSpan w:val="3"/>
          </w:tcPr>
          <w:p>
            <w:pPr>
              <w:jc w:val="right"/>
              <w:ind w:right="40"/>
              <w:spacing w:after="0" w:line="133" w:lineRule="exact"/>
              <w:rPr>
                <w:sz w:val="20"/>
                <w:szCs w:val="20"/>
                <w:color w:val="auto"/>
              </w:rPr>
            </w:pPr>
            <w:r>
              <w:rPr>
                <w:rFonts w:ascii="Arial" w:cs="Arial" w:eastAsia="Arial" w:hAnsi="Arial"/>
                <w:sz w:val="13"/>
                <w:szCs w:val="13"/>
                <w:color w:val="auto"/>
              </w:rPr>
              <w:t>1988</w:t>
            </w:r>
          </w:p>
        </w:tc>
        <w:tc>
          <w:tcPr>
            <w:tcW w:w="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37,084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23,261</w:t>
            </w:r>
          </w:p>
        </w:tc>
        <w:tc>
          <w:tcPr>
            <w:tcW w:w="5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410,000</w:t>
            </w:r>
          </w:p>
        </w:tc>
        <w:tc>
          <w:tcPr>
            <w:tcW w:w="40" w:type="dxa"/>
            <w:vAlign w:val="bottom"/>
          </w:tcPr>
          <w:p>
            <w:pPr>
              <w:spacing w:after="0"/>
              <w:rPr>
                <w:sz w:val="11"/>
                <w:szCs w:val="11"/>
                <w:color w:val="auto"/>
              </w:rPr>
            </w:pPr>
          </w:p>
        </w:tc>
        <w:tc>
          <w:tcPr>
            <w:tcW w:w="54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99%</w:t>
            </w:r>
          </w:p>
        </w:tc>
        <w:tc>
          <w:tcPr>
            <w:tcW w:w="84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99%</w:t>
            </w:r>
          </w:p>
        </w:tc>
        <w:tc>
          <w:tcPr>
            <w:tcW w:w="52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11.43</w:t>
            </w:r>
          </w:p>
        </w:tc>
        <w:tc>
          <w:tcPr>
            <w:tcW w:w="50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43,000</w:t>
            </w:r>
          </w:p>
        </w:tc>
        <w:tc>
          <w:tcPr>
            <w:tcW w:w="800" w:type="dxa"/>
            <w:vAlign w:val="bottom"/>
          </w:tcPr>
          <w:p>
            <w:pPr>
              <w:ind w:left="20"/>
              <w:spacing w:after="0" w:line="133" w:lineRule="exact"/>
              <w:rPr>
                <w:sz w:val="20"/>
                <w:szCs w:val="20"/>
                <w:color w:val="auto"/>
              </w:rPr>
            </w:pPr>
            <w:r>
              <w:rPr>
                <w:rFonts w:ascii="Arial" w:cs="Arial" w:eastAsia="Arial" w:hAnsi="Arial"/>
                <w:sz w:val="13"/>
                <w:szCs w:val="13"/>
                <w:color w:val="auto"/>
              </w:rPr>
              <w:t>Shop Rite</w:t>
            </w:r>
          </w:p>
        </w:tc>
        <w:tc>
          <w:tcPr>
            <w:tcW w:w="60" w:type="dxa"/>
            <w:vAlign w:val="bottom"/>
          </w:tcPr>
          <w:p>
            <w:pPr>
              <w:spacing w:after="0"/>
              <w:rPr>
                <w:sz w:val="11"/>
                <w:szCs w:val="11"/>
                <w:color w:val="auto"/>
              </w:rPr>
            </w:pPr>
          </w:p>
        </w:tc>
        <w:tc>
          <w:tcPr>
            <w:tcW w:w="1920" w:type="dxa"/>
            <w:vAlign w:val="bottom"/>
          </w:tcPr>
          <w:p>
            <w:pPr>
              <w:spacing w:after="0" w:line="133" w:lineRule="exact"/>
              <w:rPr>
                <w:sz w:val="20"/>
                <w:szCs w:val="20"/>
                <w:color w:val="auto"/>
              </w:rPr>
            </w:pPr>
            <w:r>
              <w:rPr>
                <w:rFonts w:ascii="Arial" w:cs="Arial" w:eastAsia="Arial" w:hAnsi="Arial"/>
                <w:sz w:val="13"/>
                <w:szCs w:val="13"/>
                <w:color w:val="auto"/>
              </w:rPr>
              <w:t>Kohl’s / Michaels / Toys R Us /</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Hunterdon, NJ</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32"/>
        </w:trPr>
        <w:tc>
          <w:tcPr>
            <w:tcW w:w="1800" w:type="dxa"/>
            <w:vAlign w:val="bottom"/>
            <w:gridSpan w:val="7"/>
            <w:shd w:val="clear" w:color="auto" w:fill="CCEEFF"/>
          </w:tcPr>
          <w:p>
            <w:pPr>
              <w:spacing w:after="0" w:line="133" w:lineRule="exact"/>
              <w:rPr>
                <w:sz w:val="20"/>
                <w:szCs w:val="20"/>
                <w:color w:val="auto"/>
              </w:rPr>
            </w:pPr>
            <w:r>
              <w:rPr>
                <w:rFonts w:ascii="Arial" w:cs="Arial" w:eastAsia="Arial" w:hAnsi="Arial"/>
                <w:sz w:val="13"/>
                <w:szCs w:val="13"/>
                <w:color w:val="auto"/>
              </w:rPr>
              <w:t>Brick Plaza</w:t>
            </w: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Monmouth-Ocean, NJ</w:t>
            </w:r>
          </w:p>
        </w:tc>
        <w:tc>
          <w:tcPr>
            <w:tcW w:w="60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1989</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55,870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31,631</w:t>
            </w: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409,000</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100%</w:t>
            </w:r>
          </w:p>
        </w:tc>
        <w:tc>
          <w:tcPr>
            <w:tcW w:w="8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14.30</w:t>
            </w:r>
          </w:p>
        </w:tc>
        <w:tc>
          <w:tcPr>
            <w:tcW w:w="5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66,000</w:t>
            </w:r>
          </w:p>
        </w:tc>
        <w:tc>
          <w:tcPr>
            <w:tcW w:w="80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A&amp;P</w:t>
            </w:r>
          </w:p>
        </w:tc>
        <w:tc>
          <w:tcPr>
            <w:tcW w:w="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7"/>
              </w:rPr>
              <w:t>Loews Theatre / Barnes &amp; Noble /</w:t>
            </w:r>
          </w:p>
        </w:tc>
        <w:tc>
          <w:tcPr>
            <w:tcW w:w="0" w:type="dxa"/>
            <w:vAlign w:val="bottom"/>
          </w:tcPr>
          <w:p>
            <w:pPr>
              <w:spacing w:after="0"/>
              <w:rPr>
                <w:sz w:val="1"/>
                <w:szCs w:val="1"/>
                <w:color w:val="auto"/>
              </w:rPr>
            </w:pPr>
          </w:p>
        </w:tc>
      </w:tr>
      <w:tr>
        <w:trPr>
          <w:trHeight w:val="150"/>
        </w:trPr>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3"/>
                <w:szCs w:val="13"/>
                <w:color w:val="auto"/>
              </w:rPr>
              <w:t>Sports Authority</w:t>
            </w:r>
          </w:p>
        </w:tc>
        <w:tc>
          <w:tcPr>
            <w:tcW w:w="0" w:type="dxa"/>
            <w:vAlign w:val="bottom"/>
          </w:tcPr>
          <w:p>
            <w:pPr>
              <w:spacing w:after="0"/>
              <w:rPr>
                <w:sz w:val="1"/>
                <w:szCs w:val="1"/>
                <w:color w:val="auto"/>
              </w:rPr>
            </w:pPr>
          </w:p>
        </w:tc>
      </w:tr>
      <w:tr>
        <w:trPr>
          <w:trHeight w:val="132"/>
        </w:trPr>
        <w:tc>
          <w:tcPr>
            <w:tcW w:w="1800" w:type="dxa"/>
            <w:vAlign w:val="bottom"/>
            <w:gridSpan w:val="7"/>
          </w:tcPr>
          <w:p>
            <w:pPr>
              <w:spacing w:after="0" w:line="133" w:lineRule="exact"/>
              <w:rPr>
                <w:sz w:val="20"/>
                <w:szCs w:val="20"/>
                <w:color w:val="auto"/>
              </w:rPr>
            </w:pPr>
            <w:r>
              <w:rPr>
                <w:rFonts w:ascii="Arial" w:cs="Arial" w:eastAsia="Arial" w:hAnsi="Arial"/>
                <w:sz w:val="13"/>
                <w:szCs w:val="13"/>
                <w:color w:val="auto"/>
              </w:rPr>
              <w:t>Brunswick</w:t>
            </w:r>
          </w:p>
        </w:tc>
        <w:tc>
          <w:tcPr>
            <w:tcW w:w="300" w:type="dxa"/>
            <w:vAlign w:val="bottom"/>
          </w:tcPr>
          <w:p>
            <w:pPr>
              <w:jc w:val="right"/>
              <w:spacing w:after="0" w:line="133" w:lineRule="exact"/>
              <w:rPr>
                <w:sz w:val="20"/>
                <w:szCs w:val="20"/>
                <w:color w:val="auto"/>
              </w:rPr>
            </w:pPr>
            <w:r>
              <w:rPr>
                <w:rFonts w:ascii="Arial" w:cs="Arial" w:eastAsia="Arial" w:hAnsi="Arial"/>
                <w:sz w:val="13"/>
                <w:szCs w:val="13"/>
                <w:color w:val="auto"/>
              </w:rPr>
              <w:t>(8)</w:t>
            </w:r>
          </w:p>
        </w:tc>
        <w:tc>
          <w:tcPr>
            <w:tcW w:w="1340" w:type="dxa"/>
            <w:vAlign w:val="bottom"/>
          </w:tcPr>
          <w:p>
            <w:pPr>
              <w:spacing w:after="0" w:line="133" w:lineRule="exact"/>
              <w:rPr>
                <w:sz w:val="20"/>
                <w:szCs w:val="20"/>
                <w:color w:val="auto"/>
              </w:rPr>
            </w:pPr>
            <w:r>
              <w:rPr>
                <w:rFonts w:ascii="Arial" w:cs="Arial" w:eastAsia="Arial" w:hAnsi="Arial"/>
                <w:sz w:val="13"/>
                <w:szCs w:val="13"/>
                <w:color w:val="auto"/>
              </w:rPr>
              <w:t>Middlesex-Somerset-</w:t>
            </w:r>
          </w:p>
        </w:tc>
        <w:tc>
          <w:tcPr>
            <w:tcW w:w="600" w:type="dxa"/>
            <w:vAlign w:val="bottom"/>
            <w:gridSpan w:val="3"/>
          </w:tcPr>
          <w:p>
            <w:pPr>
              <w:jc w:val="right"/>
              <w:ind w:right="40"/>
              <w:spacing w:after="0" w:line="133" w:lineRule="exact"/>
              <w:rPr>
                <w:sz w:val="20"/>
                <w:szCs w:val="20"/>
                <w:color w:val="auto"/>
              </w:rPr>
            </w:pPr>
            <w:r>
              <w:rPr>
                <w:rFonts w:ascii="Arial" w:cs="Arial" w:eastAsia="Arial" w:hAnsi="Arial"/>
                <w:sz w:val="13"/>
                <w:szCs w:val="13"/>
                <w:color w:val="auto"/>
              </w:rPr>
              <w:t>1988</w:t>
            </w:r>
          </w:p>
        </w:tc>
        <w:tc>
          <w:tcPr>
            <w:tcW w:w="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22,550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9,683</w:t>
            </w:r>
          </w:p>
        </w:tc>
        <w:tc>
          <w:tcPr>
            <w:tcW w:w="5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303,000</w:t>
            </w:r>
          </w:p>
        </w:tc>
        <w:tc>
          <w:tcPr>
            <w:tcW w:w="40" w:type="dxa"/>
            <w:vAlign w:val="bottom"/>
          </w:tcPr>
          <w:p>
            <w:pPr>
              <w:spacing w:after="0"/>
              <w:rPr>
                <w:sz w:val="11"/>
                <w:szCs w:val="11"/>
                <w:color w:val="auto"/>
              </w:rPr>
            </w:pPr>
          </w:p>
        </w:tc>
        <w:tc>
          <w:tcPr>
            <w:tcW w:w="54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99%</w:t>
            </w:r>
          </w:p>
        </w:tc>
        <w:tc>
          <w:tcPr>
            <w:tcW w:w="84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99%</w:t>
            </w:r>
          </w:p>
        </w:tc>
        <w:tc>
          <w:tcPr>
            <w:tcW w:w="52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11.52</w:t>
            </w:r>
          </w:p>
        </w:tc>
        <w:tc>
          <w:tcPr>
            <w:tcW w:w="50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55,000</w:t>
            </w:r>
          </w:p>
        </w:tc>
        <w:tc>
          <w:tcPr>
            <w:tcW w:w="800" w:type="dxa"/>
            <w:vAlign w:val="bottom"/>
          </w:tcPr>
          <w:p>
            <w:pPr>
              <w:ind w:left="20"/>
              <w:spacing w:after="0" w:line="133" w:lineRule="exact"/>
              <w:rPr>
                <w:sz w:val="20"/>
                <w:szCs w:val="20"/>
                <w:color w:val="auto"/>
              </w:rPr>
            </w:pPr>
            <w:r>
              <w:rPr>
                <w:rFonts w:ascii="Arial" w:cs="Arial" w:eastAsia="Arial" w:hAnsi="Arial"/>
                <w:sz w:val="13"/>
                <w:szCs w:val="13"/>
                <w:color w:val="auto"/>
              </w:rPr>
              <w:t>A&amp;P</w:t>
            </w:r>
          </w:p>
        </w:tc>
        <w:tc>
          <w:tcPr>
            <w:tcW w:w="60" w:type="dxa"/>
            <w:vAlign w:val="bottom"/>
          </w:tcPr>
          <w:p>
            <w:pPr>
              <w:spacing w:after="0"/>
              <w:rPr>
                <w:sz w:val="11"/>
                <w:szCs w:val="11"/>
                <w:color w:val="auto"/>
              </w:rPr>
            </w:pPr>
          </w:p>
        </w:tc>
        <w:tc>
          <w:tcPr>
            <w:tcW w:w="1920" w:type="dxa"/>
            <w:vAlign w:val="bottom"/>
          </w:tcPr>
          <w:p>
            <w:pPr>
              <w:spacing w:after="0" w:line="133" w:lineRule="exact"/>
              <w:rPr>
                <w:sz w:val="20"/>
                <w:szCs w:val="20"/>
                <w:color w:val="auto"/>
              </w:rPr>
            </w:pPr>
            <w:r>
              <w:rPr>
                <w:rFonts w:ascii="Arial" w:cs="Arial" w:eastAsia="Arial" w:hAnsi="Arial"/>
                <w:sz w:val="13"/>
                <w:szCs w:val="13"/>
                <w:color w:val="auto"/>
              </w:rPr>
              <w:t>A.J. Wright / L.A. Fitness</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Hunterdon, NJ</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80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auto"/>
              </w:rPr>
              <w:t>Clifton</w:t>
            </w:r>
          </w:p>
        </w:tc>
        <w:tc>
          <w:tcPr>
            <w:tcW w:w="3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w:t>
            </w:r>
          </w:p>
        </w:tc>
        <w:tc>
          <w:tcPr>
            <w:tcW w:w="13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Bergen-Passaic, NJ</w:t>
            </w: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1988</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5,019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2,834</w:t>
            </w:r>
          </w:p>
        </w:tc>
        <w:tc>
          <w:tcPr>
            <w:tcW w:w="5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80,000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100%</w:t>
            </w: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15.39</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Drug Fair / Dollar Express</w:t>
            </w:r>
          </w:p>
        </w:tc>
        <w:tc>
          <w:tcPr>
            <w:tcW w:w="0" w:type="dxa"/>
            <w:vAlign w:val="bottom"/>
          </w:tcPr>
          <w:p>
            <w:pPr>
              <w:spacing w:after="0"/>
              <w:rPr>
                <w:sz w:val="1"/>
                <w:szCs w:val="1"/>
                <w:color w:val="auto"/>
              </w:rPr>
            </w:pPr>
          </w:p>
        </w:tc>
      </w:tr>
      <w:tr>
        <w:trPr>
          <w:trHeight w:val="132"/>
        </w:trPr>
        <w:tc>
          <w:tcPr>
            <w:tcW w:w="1800" w:type="dxa"/>
            <w:vAlign w:val="bottom"/>
            <w:gridSpan w:val="7"/>
          </w:tcPr>
          <w:p>
            <w:pPr>
              <w:spacing w:after="0" w:line="133" w:lineRule="exact"/>
              <w:rPr>
                <w:sz w:val="20"/>
                <w:szCs w:val="20"/>
                <w:color w:val="auto"/>
              </w:rPr>
            </w:pPr>
            <w:r>
              <w:rPr>
                <w:rFonts w:ascii="Arial" w:cs="Arial" w:eastAsia="Arial" w:hAnsi="Arial"/>
                <w:sz w:val="13"/>
                <w:szCs w:val="13"/>
                <w:color w:val="auto"/>
              </w:rPr>
              <w:t>Forest Hills</w:t>
            </w:r>
          </w:p>
        </w:tc>
        <w:tc>
          <w:tcPr>
            <w:tcW w:w="300" w:type="dxa"/>
            <w:vAlign w:val="bottom"/>
          </w:tcPr>
          <w:p>
            <w:pPr>
              <w:spacing w:after="0"/>
              <w:rPr>
                <w:sz w:val="11"/>
                <w:szCs w:val="11"/>
                <w:color w:val="auto"/>
              </w:rPr>
            </w:pPr>
          </w:p>
        </w:tc>
        <w:tc>
          <w:tcPr>
            <w:tcW w:w="1340" w:type="dxa"/>
            <w:vAlign w:val="bottom"/>
          </w:tcPr>
          <w:p>
            <w:pPr>
              <w:spacing w:after="0" w:line="133" w:lineRule="exact"/>
              <w:rPr>
                <w:sz w:val="20"/>
                <w:szCs w:val="20"/>
                <w:color w:val="auto"/>
              </w:rPr>
            </w:pPr>
            <w:r>
              <w:rPr>
                <w:rFonts w:ascii="Arial" w:cs="Arial" w:eastAsia="Arial" w:hAnsi="Arial"/>
                <w:sz w:val="13"/>
                <w:szCs w:val="13"/>
                <w:color w:val="auto"/>
              </w:rPr>
              <w:t>New York, NY</w:t>
            </w:r>
          </w:p>
        </w:tc>
        <w:tc>
          <w:tcPr>
            <w:tcW w:w="600" w:type="dxa"/>
            <w:vAlign w:val="bottom"/>
            <w:gridSpan w:val="3"/>
          </w:tcPr>
          <w:p>
            <w:pPr>
              <w:jc w:val="right"/>
              <w:ind w:right="40"/>
              <w:spacing w:after="0" w:line="133" w:lineRule="exact"/>
              <w:rPr>
                <w:sz w:val="20"/>
                <w:szCs w:val="20"/>
                <w:color w:val="auto"/>
              </w:rPr>
            </w:pPr>
            <w:r>
              <w:rPr>
                <w:rFonts w:ascii="Arial" w:cs="Arial" w:eastAsia="Arial" w:hAnsi="Arial"/>
                <w:sz w:val="13"/>
                <w:szCs w:val="13"/>
                <w:color w:val="auto"/>
              </w:rPr>
              <w:t>1997</w:t>
            </w:r>
          </w:p>
        </w:tc>
        <w:tc>
          <w:tcPr>
            <w:tcW w:w="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24,055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85,000</w:t>
            </w:r>
          </w:p>
        </w:tc>
        <w:tc>
          <w:tcPr>
            <w:tcW w:w="40" w:type="dxa"/>
            <w:vAlign w:val="bottom"/>
          </w:tcPr>
          <w:p>
            <w:pPr>
              <w:spacing w:after="0"/>
              <w:rPr>
                <w:sz w:val="11"/>
                <w:szCs w:val="11"/>
                <w:color w:val="auto"/>
              </w:rPr>
            </w:pPr>
          </w:p>
        </w:tc>
        <w:tc>
          <w:tcPr>
            <w:tcW w:w="54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100%</w:t>
            </w:r>
          </w:p>
        </w:tc>
        <w:tc>
          <w:tcPr>
            <w:tcW w:w="52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33.83</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tcPr>
          <w:p>
            <w:pPr>
              <w:spacing w:after="0" w:line="133" w:lineRule="exact"/>
              <w:rPr>
                <w:sz w:val="20"/>
                <w:szCs w:val="20"/>
                <w:color w:val="auto"/>
              </w:rPr>
            </w:pPr>
            <w:r>
              <w:rPr>
                <w:rFonts w:ascii="Arial" w:cs="Arial" w:eastAsia="Arial" w:hAnsi="Arial"/>
                <w:sz w:val="13"/>
                <w:szCs w:val="13"/>
                <w:color w:val="auto"/>
                <w:w w:val="99"/>
              </w:rPr>
              <w:t>Midway Theatre / Duane Reade /</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Gap</w:t>
            </w:r>
          </w:p>
        </w:tc>
        <w:tc>
          <w:tcPr>
            <w:tcW w:w="0" w:type="dxa"/>
            <w:vAlign w:val="bottom"/>
          </w:tcPr>
          <w:p>
            <w:pPr>
              <w:spacing w:after="0"/>
              <w:rPr>
                <w:sz w:val="1"/>
                <w:szCs w:val="1"/>
                <w:color w:val="auto"/>
              </w:rPr>
            </w:pPr>
          </w:p>
        </w:tc>
      </w:tr>
      <w:tr>
        <w:trPr>
          <w:trHeight w:val="132"/>
        </w:trPr>
        <w:tc>
          <w:tcPr>
            <w:tcW w:w="1800" w:type="dxa"/>
            <w:vAlign w:val="bottom"/>
            <w:gridSpan w:val="7"/>
            <w:shd w:val="clear" w:color="auto" w:fill="CCEEFF"/>
          </w:tcPr>
          <w:p>
            <w:pPr>
              <w:spacing w:after="0" w:line="133" w:lineRule="exact"/>
              <w:rPr>
                <w:sz w:val="20"/>
                <w:szCs w:val="20"/>
                <w:color w:val="auto"/>
              </w:rPr>
            </w:pPr>
            <w:r>
              <w:rPr>
                <w:rFonts w:ascii="Arial" w:cs="Arial" w:eastAsia="Arial" w:hAnsi="Arial"/>
                <w:sz w:val="13"/>
                <w:szCs w:val="13"/>
                <w:color w:val="auto"/>
              </w:rPr>
              <w:t>Fresh Meadows</w:t>
            </w: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New York, NY</w:t>
            </w:r>
          </w:p>
        </w:tc>
        <w:tc>
          <w:tcPr>
            <w:tcW w:w="60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1997</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67,392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403,000</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95%</w:t>
            </w:r>
          </w:p>
        </w:tc>
        <w:tc>
          <w:tcPr>
            <w:tcW w:w="8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95%</w:t>
            </w:r>
          </w:p>
        </w:tc>
        <w:tc>
          <w:tcPr>
            <w:tcW w:w="52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23.14</w:t>
            </w:r>
          </w:p>
        </w:tc>
        <w:tc>
          <w:tcPr>
            <w:tcW w:w="5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15,000</w:t>
            </w:r>
          </w:p>
        </w:tc>
        <w:tc>
          <w:tcPr>
            <w:tcW w:w="80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Associated</w:t>
            </w:r>
          </w:p>
        </w:tc>
        <w:tc>
          <w:tcPr>
            <w:tcW w:w="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Food</w:t>
            </w: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Filene’s Basement / Kohl’s /</w:t>
            </w:r>
          </w:p>
        </w:tc>
        <w:tc>
          <w:tcPr>
            <w:tcW w:w="0" w:type="dxa"/>
            <w:vAlign w:val="bottom"/>
          </w:tcPr>
          <w:p>
            <w:pPr>
              <w:spacing w:after="0"/>
              <w:rPr>
                <w:sz w:val="1"/>
                <w:szCs w:val="1"/>
                <w:color w:val="auto"/>
              </w:rPr>
            </w:pPr>
          </w:p>
        </w:tc>
      </w:tr>
      <w:tr>
        <w:trPr>
          <w:trHeight w:val="163"/>
        </w:trPr>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Stores</w:t>
            </w:r>
          </w:p>
        </w:tc>
        <w:tc>
          <w:tcPr>
            <w:tcW w:w="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3"/>
                <w:szCs w:val="13"/>
                <w:color w:val="auto"/>
              </w:rPr>
              <w:t>Cineplex Odeon</w:t>
            </w:r>
          </w:p>
        </w:tc>
        <w:tc>
          <w:tcPr>
            <w:tcW w:w="0" w:type="dxa"/>
            <w:vAlign w:val="bottom"/>
          </w:tcPr>
          <w:p>
            <w:pPr>
              <w:spacing w:after="0"/>
              <w:rPr>
                <w:sz w:val="1"/>
                <w:szCs w:val="1"/>
                <w:color w:val="auto"/>
              </w:rPr>
            </w:pPr>
          </w:p>
        </w:tc>
      </w:tr>
      <w:tr>
        <w:trPr>
          <w:trHeight w:val="141"/>
        </w:trPr>
        <w:tc>
          <w:tcPr>
            <w:tcW w:w="1800" w:type="dxa"/>
            <w:vAlign w:val="bottom"/>
            <w:gridSpan w:val="7"/>
          </w:tcPr>
          <w:p>
            <w:pPr>
              <w:spacing w:after="0" w:line="141" w:lineRule="exact"/>
              <w:rPr>
                <w:sz w:val="20"/>
                <w:szCs w:val="20"/>
                <w:color w:val="auto"/>
              </w:rPr>
            </w:pPr>
            <w:r>
              <w:rPr>
                <w:rFonts w:ascii="Arial" w:cs="Arial" w:eastAsia="Arial" w:hAnsi="Arial"/>
                <w:sz w:val="13"/>
                <w:szCs w:val="13"/>
                <w:color w:val="auto"/>
              </w:rPr>
              <w:t>Hamilton</w:t>
            </w:r>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(8)</w:t>
            </w:r>
          </w:p>
        </w:tc>
        <w:tc>
          <w:tcPr>
            <w:tcW w:w="1340" w:type="dxa"/>
            <w:vAlign w:val="bottom"/>
          </w:tcPr>
          <w:p>
            <w:pPr>
              <w:spacing w:after="0" w:line="141" w:lineRule="exact"/>
              <w:rPr>
                <w:sz w:val="20"/>
                <w:szCs w:val="20"/>
                <w:color w:val="auto"/>
              </w:rPr>
            </w:pPr>
            <w:r>
              <w:rPr>
                <w:rFonts w:ascii="Arial" w:cs="Arial" w:eastAsia="Arial" w:hAnsi="Arial"/>
                <w:sz w:val="13"/>
                <w:szCs w:val="13"/>
                <w:color w:val="auto"/>
              </w:rPr>
              <w:t>Trenton, NJ</w:t>
            </w:r>
          </w:p>
        </w:tc>
        <w:tc>
          <w:tcPr>
            <w:tcW w:w="6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1988</w:t>
            </w: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7,858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4,201</w:t>
            </w: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190,000</w:t>
            </w:r>
          </w:p>
        </w:tc>
        <w:tc>
          <w:tcPr>
            <w:tcW w:w="40" w:type="dxa"/>
            <w:vAlign w:val="bottom"/>
          </w:tcPr>
          <w:p>
            <w:pPr>
              <w:spacing w:after="0"/>
              <w:rPr>
                <w:sz w:val="12"/>
                <w:szCs w:val="12"/>
                <w:color w:val="auto"/>
              </w:rPr>
            </w:pPr>
          </w:p>
        </w:tc>
        <w:tc>
          <w:tcPr>
            <w:tcW w:w="5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93%</w:t>
            </w:r>
          </w:p>
        </w:tc>
        <w:tc>
          <w:tcPr>
            <w:tcW w:w="8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93%</w:t>
            </w:r>
          </w:p>
        </w:tc>
        <w:tc>
          <w:tcPr>
            <w:tcW w:w="52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8.78</w:t>
            </w:r>
          </w:p>
        </w:tc>
        <w:tc>
          <w:tcPr>
            <w:tcW w:w="50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53,000</w:t>
            </w:r>
          </w:p>
        </w:tc>
        <w:tc>
          <w:tcPr>
            <w:tcW w:w="800" w:type="dxa"/>
            <w:vAlign w:val="bottom"/>
          </w:tcPr>
          <w:p>
            <w:pPr>
              <w:ind w:left="20"/>
              <w:spacing w:after="0" w:line="141" w:lineRule="exact"/>
              <w:rPr>
                <w:sz w:val="20"/>
                <w:szCs w:val="20"/>
                <w:color w:val="auto"/>
              </w:rPr>
            </w:pPr>
            <w:r>
              <w:rPr>
                <w:rFonts w:ascii="Arial" w:cs="Arial" w:eastAsia="Arial" w:hAnsi="Arial"/>
                <w:sz w:val="13"/>
                <w:szCs w:val="13"/>
                <w:color w:val="auto"/>
              </w:rPr>
              <w:t>Shop Rite</w:t>
            </w:r>
          </w:p>
        </w:tc>
        <w:tc>
          <w:tcPr>
            <w:tcW w:w="60" w:type="dxa"/>
            <w:vAlign w:val="bottom"/>
          </w:tcPr>
          <w:p>
            <w:pPr>
              <w:spacing w:after="0"/>
              <w:rPr>
                <w:sz w:val="12"/>
                <w:szCs w:val="12"/>
                <w:color w:val="auto"/>
              </w:rPr>
            </w:pPr>
          </w:p>
        </w:tc>
        <w:tc>
          <w:tcPr>
            <w:tcW w:w="1920" w:type="dxa"/>
            <w:vAlign w:val="bottom"/>
          </w:tcPr>
          <w:p>
            <w:pPr>
              <w:spacing w:after="0" w:line="141" w:lineRule="exact"/>
              <w:rPr>
                <w:sz w:val="20"/>
                <w:szCs w:val="20"/>
                <w:color w:val="auto"/>
              </w:rPr>
            </w:pPr>
            <w:r>
              <w:rPr>
                <w:rFonts w:ascii="Arial" w:cs="Arial" w:eastAsia="Arial" w:hAnsi="Arial"/>
                <w:sz w:val="13"/>
                <w:szCs w:val="13"/>
                <w:color w:val="auto"/>
              </w:rPr>
              <w:t>AC Moore / Stevens Furniture</w:t>
            </w:r>
          </w:p>
        </w:tc>
        <w:tc>
          <w:tcPr>
            <w:tcW w:w="0" w:type="dxa"/>
            <w:vAlign w:val="bottom"/>
          </w:tcPr>
          <w:p>
            <w:pPr>
              <w:spacing w:after="0"/>
              <w:rPr>
                <w:sz w:val="1"/>
                <w:szCs w:val="1"/>
                <w:color w:val="auto"/>
              </w:rPr>
            </w:pPr>
          </w:p>
        </w:tc>
      </w:tr>
      <w:tr>
        <w:trPr>
          <w:trHeight w:val="141"/>
        </w:trPr>
        <w:tc>
          <w:tcPr>
            <w:tcW w:w="180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auto"/>
              </w:rPr>
              <w:t>Hauppauge</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Nassau-Suffolk, NY</w:t>
            </w: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1998</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27,389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16,064</w:t>
            </w:r>
          </w:p>
        </w:tc>
        <w:tc>
          <w:tcPr>
            <w:tcW w:w="5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133,000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98%</w:t>
            </w: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98%</w:t>
            </w:r>
          </w:p>
        </w:tc>
        <w:tc>
          <w:tcPr>
            <w:tcW w:w="52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21.56</w:t>
            </w:r>
          </w:p>
        </w:tc>
        <w:tc>
          <w:tcPr>
            <w:tcW w:w="5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61,000</w:t>
            </w:r>
          </w:p>
        </w:tc>
        <w:tc>
          <w:tcPr>
            <w:tcW w:w="80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Shop Rite</w:t>
            </w: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AC Moore</w:t>
            </w:r>
          </w:p>
        </w:tc>
        <w:tc>
          <w:tcPr>
            <w:tcW w:w="0" w:type="dxa"/>
            <w:vAlign w:val="bottom"/>
          </w:tcPr>
          <w:p>
            <w:pPr>
              <w:spacing w:after="0"/>
              <w:rPr>
                <w:sz w:val="1"/>
                <w:szCs w:val="1"/>
                <w:color w:val="auto"/>
              </w:rPr>
            </w:pPr>
          </w:p>
        </w:tc>
      </w:tr>
      <w:tr>
        <w:trPr>
          <w:trHeight w:val="132"/>
        </w:trPr>
        <w:tc>
          <w:tcPr>
            <w:tcW w:w="1800" w:type="dxa"/>
            <w:vAlign w:val="bottom"/>
            <w:gridSpan w:val="7"/>
          </w:tcPr>
          <w:p>
            <w:pPr>
              <w:spacing w:after="0" w:line="133" w:lineRule="exact"/>
              <w:rPr>
                <w:sz w:val="20"/>
                <w:szCs w:val="20"/>
                <w:color w:val="auto"/>
              </w:rPr>
            </w:pPr>
            <w:r>
              <w:rPr>
                <w:rFonts w:ascii="Arial" w:cs="Arial" w:eastAsia="Arial" w:hAnsi="Arial"/>
                <w:sz w:val="13"/>
                <w:szCs w:val="13"/>
                <w:color w:val="auto"/>
              </w:rPr>
              <w:t>Huntington</w:t>
            </w:r>
          </w:p>
        </w:tc>
        <w:tc>
          <w:tcPr>
            <w:tcW w:w="300" w:type="dxa"/>
            <w:vAlign w:val="bottom"/>
          </w:tcPr>
          <w:p>
            <w:pPr>
              <w:jc w:val="right"/>
              <w:spacing w:after="0" w:line="133" w:lineRule="exact"/>
              <w:rPr>
                <w:sz w:val="20"/>
                <w:szCs w:val="20"/>
                <w:color w:val="auto"/>
              </w:rPr>
            </w:pPr>
            <w:r>
              <w:rPr>
                <w:rFonts w:ascii="Arial" w:cs="Arial" w:eastAsia="Arial" w:hAnsi="Arial"/>
                <w:sz w:val="13"/>
                <w:szCs w:val="13"/>
                <w:color w:val="auto"/>
              </w:rPr>
              <w:t>(8)</w:t>
            </w:r>
          </w:p>
        </w:tc>
        <w:tc>
          <w:tcPr>
            <w:tcW w:w="1340" w:type="dxa"/>
            <w:vAlign w:val="bottom"/>
          </w:tcPr>
          <w:p>
            <w:pPr>
              <w:spacing w:after="0" w:line="133" w:lineRule="exact"/>
              <w:rPr>
                <w:sz w:val="20"/>
                <w:szCs w:val="20"/>
                <w:color w:val="auto"/>
              </w:rPr>
            </w:pPr>
            <w:r>
              <w:rPr>
                <w:rFonts w:ascii="Arial" w:cs="Arial" w:eastAsia="Arial" w:hAnsi="Arial"/>
                <w:sz w:val="13"/>
                <w:szCs w:val="13"/>
                <w:color w:val="auto"/>
              </w:rPr>
              <w:t>Nassau-Suffolk, NY</w:t>
            </w:r>
          </w:p>
        </w:tc>
        <w:tc>
          <w:tcPr>
            <w:tcW w:w="600" w:type="dxa"/>
            <w:vAlign w:val="bottom"/>
            <w:gridSpan w:val="3"/>
          </w:tcPr>
          <w:p>
            <w:pPr>
              <w:jc w:val="right"/>
              <w:ind w:right="40"/>
              <w:spacing w:after="0" w:line="133" w:lineRule="exact"/>
              <w:rPr>
                <w:sz w:val="20"/>
                <w:szCs w:val="20"/>
                <w:color w:val="auto"/>
              </w:rPr>
            </w:pPr>
            <w:r>
              <w:rPr>
                <w:rFonts w:ascii="Arial" w:cs="Arial" w:eastAsia="Arial" w:hAnsi="Arial"/>
                <w:sz w:val="13"/>
                <w:szCs w:val="13"/>
                <w:color w:val="auto"/>
              </w:rPr>
              <w:t>1988</w:t>
            </w:r>
          </w:p>
        </w:tc>
        <w:tc>
          <w:tcPr>
            <w:tcW w:w="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21,357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12,434</w:t>
            </w:r>
          </w:p>
        </w:tc>
        <w:tc>
          <w:tcPr>
            <w:tcW w:w="5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279,000</w:t>
            </w:r>
          </w:p>
        </w:tc>
        <w:tc>
          <w:tcPr>
            <w:tcW w:w="40" w:type="dxa"/>
            <w:vAlign w:val="bottom"/>
          </w:tcPr>
          <w:p>
            <w:pPr>
              <w:spacing w:after="0"/>
              <w:rPr>
                <w:sz w:val="11"/>
                <w:szCs w:val="11"/>
                <w:color w:val="auto"/>
              </w:rPr>
            </w:pPr>
          </w:p>
        </w:tc>
        <w:tc>
          <w:tcPr>
            <w:tcW w:w="54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100%</w:t>
            </w:r>
          </w:p>
        </w:tc>
        <w:tc>
          <w:tcPr>
            <w:tcW w:w="52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18.24</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tcPr>
          <w:p>
            <w:pPr>
              <w:spacing w:after="0" w:line="133" w:lineRule="exact"/>
              <w:rPr>
                <w:sz w:val="20"/>
                <w:szCs w:val="20"/>
                <w:color w:val="auto"/>
              </w:rPr>
            </w:pPr>
            <w:r>
              <w:rPr>
                <w:rFonts w:ascii="Arial" w:cs="Arial" w:eastAsia="Arial" w:hAnsi="Arial"/>
                <w:sz w:val="13"/>
                <w:szCs w:val="13"/>
                <w:color w:val="auto"/>
                <w:w w:val="99"/>
              </w:rPr>
              <w:t>Buy Buy Baby / Toys R Us / Bed,</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Bath &amp; Beyond / Barnes &amp; Noble</w:t>
            </w:r>
          </w:p>
        </w:tc>
        <w:tc>
          <w:tcPr>
            <w:tcW w:w="0" w:type="dxa"/>
            <w:vAlign w:val="bottom"/>
          </w:tcPr>
          <w:p>
            <w:pPr>
              <w:spacing w:after="0"/>
              <w:rPr>
                <w:sz w:val="1"/>
                <w:szCs w:val="1"/>
                <w:color w:val="auto"/>
              </w:rPr>
            </w:pPr>
          </w:p>
        </w:tc>
      </w:tr>
      <w:tr>
        <w:trPr>
          <w:trHeight w:val="141"/>
        </w:trPr>
        <w:tc>
          <w:tcPr>
            <w:tcW w:w="180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auto"/>
              </w:rPr>
              <w:t>Melville Mall</w:t>
            </w:r>
          </w:p>
        </w:tc>
        <w:tc>
          <w:tcPr>
            <w:tcW w:w="3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(10)</w:t>
            </w:r>
          </w:p>
        </w:tc>
        <w:tc>
          <w:tcPr>
            <w:tcW w:w="13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Nassau-Suffolk, NY</w:t>
            </w: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2006</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68,504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25,702</w:t>
            </w:r>
          </w:p>
        </w:tc>
        <w:tc>
          <w:tcPr>
            <w:tcW w:w="5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248,000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100%</w:t>
            </w: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15.83</w:t>
            </w:r>
          </w:p>
        </w:tc>
        <w:tc>
          <w:tcPr>
            <w:tcW w:w="5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54,000</w:t>
            </w:r>
          </w:p>
        </w:tc>
        <w:tc>
          <w:tcPr>
            <w:tcW w:w="80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Waldbaum’s</w:t>
            </w: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Kohl’s / Marshalls</w:t>
            </w:r>
          </w:p>
        </w:tc>
        <w:tc>
          <w:tcPr>
            <w:tcW w:w="0" w:type="dxa"/>
            <w:vAlign w:val="bottom"/>
          </w:tcPr>
          <w:p>
            <w:pPr>
              <w:spacing w:after="0"/>
              <w:rPr>
                <w:sz w:val="1"/>
                <w:szCs w:val="1"/>
                <w:color w:val="auto"/>
              </w:rPr>
            </w:pPr>
          </w:p>
        </w:tc>
      </w:tr>
      <w:tr>
        <w:trPr>
          <w:trHeight w:val="132"/>
        </w:trPr>
        <w:tc>
          <w:tcPr>
            <w:tcW w:w="1800" w:type="dxa"/>
            <w:vAlign w:val="bottom"/>
            <w:gridSpan w:val="7"/>
          </w:tcPr>
          <w:p>
            <w:pPr>
              <w:spacing w:after="0" w:line="133" w:lineRule="exact"/>
              <w:rPr>
                <w:sz w:val="20"/>
                <w:szCs w:val="20"/>
                <w:color w:val="auto"/>
              </w:rPr>
            </w:pPr>
            <w:r>
              <w:rPr>
                <w:rFonts w:ascii="Arial" w:cs="Arial" w:eastAsia="Arial" w:hAnsi="Arial"/>
                <w:sz w:val="13"/>
                <w:szCs w:val="13"/>
                <w:color w:val="auto"/>
              </w:rPr>
              <w:t>Mercer Mall</w:t>
            </w:r>
          </w:p>
        </w:tc>
        <w:tc>
          <w:tcPr>
            <w:tcW w:w="300" w:type="dxa"/>
            <w:vAlign w:val="bottom"/>
          </w:tcPr>
          <w:p>
            <w:pPr>
              <w:jc w:val="right"/>
              <w:spacing w:after="0" w:line="133" w:lineRule="exact"/>
              <w:rPr>
                <w:sz w:val="20"/>
                <w:szCs w:val="20"/>
                <w:color w:val="auto"/>
              </w:rPr>
            </w:pPr>
            <w:r>
              <w:rPr>
                <w:rFonts w:ascii="Arial" w:cs="Arial" w:eastAsia="Arial" w:hAnsi="Arial"/>
                <w:sz w:val="13"/>
                <w:szCs w:val="13"/>
                <w:color w:val="auto"/>
              </w:rPr>
              <w:t>(8)</w:t>
            </w:r>
          </w:p>
        </w:tc>
        <w:tc>
          <w:tcPr>
            <w:tcW w:w="1340" w:type="dxa"/>
            <w:vAlign w:val="bottom"/>
          </w:tcPr>
          <w:p>
            <w:pPr>
              <w:spacing w:after="0" w:line="133" w:lineRule="exact"/>
              <w:rPr>
                <w:sz w:val="20"/>
                <w:szCs w:val="20"/>
                <w:color w:val="auto"/>
              </w:rPr>
            </w:pPr>
            <w:r>
              <w:rPr>
                <w:rFonts w:ascii="Arial" w:cs="Arial" w:eastAsia="Arial" w:hAnsi="Arial"/>
                <w:sz w:val="13"/>
                <w:szCs w:val="13"/>
                <w:color w:val="auto"/>
              </w:rPr>
              <w:t>Trenton, NJ</w:t>
            </w:r>
          </w:p>
        </w:tc>
        <w:tc>
          <w:tcPr>
            <w:tcW w:w="600" w:type="dxa"/>
            <w:vAlign w:val="bottom"/>
            <w:gridSpan w:val="3"/>
          </w:tcPr>
          <w:p>
            <w:pPr>
              <w:jc w:val="right"/>
              <w:ind w:right="40"/>
              <w:spacing w:after="0" w:line="133" w:lineRule="exact"/>
              <w:rPr>
                <w:sz w:val="20"/>
                <w:szCs w:val="20"/>
                <w:color w:val="auto"/>
              </w:rPr>
            </w:pPr>
            <w:r>
              <w:rPr>
                <w:rFonts w:ascii="Arial" w:cs="Arial" w:eastAsia="Arial" w:hAnsi="Arial"/>
                <w:sz w:val="13"/>
                <w:szCs w:val="13"/>
                <w:color w:val="auto"/>
              </w:rPr>
              <w:t>2003</w:t>
            </w:r>
          </w:p>
        </w:tc>
        <w:tc>
          <w:tcPr>
            <w:tcW w:w="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101,928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57,893</w:t>
            </w:r>
          </w:p>
        </w:tc>
        <w:tc>
          <w:tcPr>
            <w:tcW w:w="5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501,000</w:t>
            </w:r>
          </w:p>
        </w:tc>
        <w:tc>
          <w:tcPr>
            <w:tcW w:w="40" w:type="dxa"/>
            <w:vAlign w:val="bottom"/>
          </w:tcPr>
          <w:p>
            <w:pPr>
              <w:spacing w:after="0"/>
              <w:rPr>
                <w:sz w:val="11"/>
                <w:szCs w:val="11"/>
                <w:color w:val="auto"/>
              </w:rPr>
            </w:pPr>
          </w:p>
        </w:tc>
        <w:tc>
          <w:tcPr>
            <w:tcW w:w="54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94%</w:t>
            </w:r>
          </w:p>
        </w:tc>
        <w:tc>
          <w:tcPr>
            <w:tcW w:w="84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91%</w:t>
            </w:r>
          </w:p>
        </w:tc>
        <w:tc>
          <w:tcPr>
            <w:tcW w:w="52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18.73</w:t>
            </w:r>
          </w:p>
        </w:tc>
        <w:tc>
          <w:tcPr>
            <w:tcW w:w="50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75,000</w:t>
            </w:r>
          </w:p>
        </w:tc>
        <w:tc>
          <w:tcPr>
            <w:tcW w:w="800" w:type="dxa"/>
            <w:vAlign w:val="bottom"/>
          </w:tcPr>
          <w:p>
            <w:pPr>
              <w:ind w:left="20"/>
              <w:spacing w:after="0" w:line="133" w:lineRule="exact"/>
              <w:rPr>
                <w:sz w:val="20"/>
                <w:szCs w:val="20"/>
                <w:color w:val="auto"/>
              </w:rPr>
            </w:pPr>
            <w:r>
              <w:rPr>
                <w:rFonts w:ascii="Arial" w:cs="Arial" w:eastAsia="Arial" w:hAnsi="Arial"/>
                <w:sz w:val="13"/>
                <w:szCs w:val="13"/>
                <w:color w:val="auto"/>
              </w:rPr>
              <w:t>Shop Rite</w:t>
            </w:r>
          </w:p>
        </w:tc>
        <w:tc>
          <w:tcPr>
            <w:tcW w:w="60" w:type="dxa"/>
            <w:vAlign w:val="bottom"/>
          </w:tcPr>
          <w:p>
            <w:pPr>
              <w:spacing w:after="0"/>
              <w:rPr>
                <w:sz w:val="11"/>
                <w:szCs w:val="11"/>
                <w:color w:val="auto"/>
              </w:rPr>
            </w:pPr>
          </w:p>
        </w:tc>
        <w:tc>
          <w:tcPr>
            <w:tcW w:w="1920" w:type="dxa"/>
            <w:vAlign w:val="bottom"/>
          </w:tcPr>
          <w:p>
            <w:pPr>
              <w:spacing w:after="0" w:line="133" w:lineRule="exact"/>
              <w:rPr>
                <w:sz w:val="20"/>
                <w:szCs w:val="20"/>
                <w:color w:val="auto"/>
              </w:rPr>
            </w:pPr>
            <w:r>
              <w:rPr>
                <w:rFonts w:ascii="Arial" w:cs="Arial" w:eastAsia="Arial" w:hAnsi="Arial"/>
                <w:sz w:val="13"/>
                <w:szCs w:val="13"/>
                <w:color w:val="auto"/>
              </w:rPr>
              <w:t>Bed, Bath &amp; Beyond / DSW / TJ</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Maxx / Raymour &amp; Flanigan</w:t>
            </w:r>
          </w:p>
        </w:tc>
        <w:tc>
          <w:tcPr>
            <w:tcW w:w="0" w:type="dxa"/>
            <w:vAlign w:val="bottom"/>
          </w:tcPr>
          <w:p>
            <w:pPr>
              <w:spacing w:after="0"/>
              <w:rPr>
                <w:sz w:val="1"/>
                <w:szCs w:val="1"/>
                <w:color w:val="auto"/>
              </w:rPr>
            </w:pPr>
          </w:p>
        </w:tc>
      </w:tr>
      <w:tr>
        <w:trPr>
          <w:trHeight w:val="132"/>
        </w:trPr>
        <w:tc>
          <w:tcPr>
            <w:tcW w:w="1800" w:type="dxa"/>
            <w:vAlign w:val="bottom"/>
            <w:gridSpan w:val="7"/>
            <w:shd w:val="clear" w:color="auto" w:fill="CCEEFF"/>
          </w:tcPr>
          <w:p>
            <w:pPr>
              <w:spacing w:after="0" w:line="133" w:lineRule="exact"/>
              <w:rPr>
                <w:sz w:val="20"/>
                <w:szCs w:val="20"/>
                <w:color w:val="auto"/>
              </w:rPr>
            </w:pPr>
            <w:r>
              <w:rPr>
                <w:rFonts w:ascii="Arial" w:cs="Arial" w:eastAsia="Arial" w:hAnsi="Arial"/>
                <w:sz w:val="13"/>
                <w:szCs w:val="13"/>
                <w:color w:val="auto"/>
              </w:rPr>
              <w:t>Rutgers</w:t>
            </w:r>
          </w:p>
        </w:tc>
        <w:tc>
          <w:tcPr>
            <w:tcW w:w="3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(8)</w:t>
            </w:r>
          </w:p>
        </w:tc>
        <w:tc>
          <w:tcPr>
            <w:tcW w:w="13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Middlesex-Somerset-</w:t>
            </w:r>
          </w:p>
        </w:tc>
        <w:tc>
          <w:tcPr>
            <w:tcW w:w="60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1988</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17,424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11,217</w:t>
            </w: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267,000</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91%</w:t>
            </w:r>
          </w:p>
        </w:tc>
        <w:tc>
          <w:tcPr>
            <w:tcW w:w="8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91%</w:t>
            </w:r>
          </w:p>
        </w:tc>
        <w:tc>
          <w:tcPr>
            <w:tcW w:w="52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8.86</w:t>
            </w:r>
          </w:p>
        </w:tc>
        <w:tc>
          <w:tcPr>
            <w:tcW w:w="5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74,000</w:t>
            </w:r>
          </w:p>
        </w:tc>
        <w:tc>
          <w:tcPr>
            <w:tcW w:w="80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Stop &amp; Shop</w:t>
            </w:r>
          </w:p>
        </w:tc>
        <w:tc>
          <w:tcPr>
            <w:tcW w:w="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Kmart</w:t>
            </w:r>
          </w:p>
        </w:tc>
        <w:tc>
          <w:tcPr>
            <w:tcW w:w="0" w:type="dxa"/>
            <w:vAlign w:val="bottom"/>
          </w:tcPr>
          <w:p>
            <w:pPr>
              <w:spacing w:after="0"/>
              <w:rPr>
                <w:sz w:val="1"/>
                <w:szCs w:val="1"/>
                <w:color w:val="auto"/>
              </w:rPr>
            </w:pPr>
          </w:p>
        </w:tc>
      </w:tr>
      <w:tr>
        <w:trPr>
          <w:trHeight w:val="150"/>
        </w:trPr>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Hunterdon, NJ</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800" w:type="dxa"/>
            <w:vAlign w:val="bottom"/>
            <w:gridSpan w:val="7"/>
          </w:tcPr>
          <w:p>
            <w:pPr>
              <w:spacing w:after="0" w:line="141" w:lineRule="exact"/>
              <w:rPr>
                <w:sz w:val="20"/>
                <w:szCs w:val="20"/>
                <w:color w:val="auto"/>
              </w:rPr>
            </w:pPr>
            <w:r>
              <w:rPr>
                <w:rFonts w:ascii="Arial" w:cs="Arial" w:eastAsia="Arial" w:hAnsi="Arial"/>
                <w:sz w:val="13"/>
                <w:szCs w:val="13"/>
                <w:color w:val="auto"/>
              </w:rPr>
              <w:t>Troy</w:t>
            </w:r>
          </w:p>
        </w:tc>
        <w:tc>
          <w:tcPr>
            <w:tcW w:w="300" w:type="dxa"/>
            <w:vAlign w:val="bottom"/>
          </w:tcPr>
          <w:p>
            <w:pPr>
              <w:spacing w:after="0"/>
              <w:rPr>
                <w:sz w:val="12"/>
                <w:szCs w:val="12"/>
                <w:color w:val="auto"/>
              </w:rPr>
            </w:pPr>
          </w:p>
        </w:tc>
        <w:tc>
          <w:tcPr>
            <w:tcW w:w="1340" w:type="dxa"/>
            <w:vAlign w:val="bottom"/>
          </w:tcPr>
          <w:p>
            <w:pPr>
              <w:spacing w:after="0" w:line="141" w:lineRule="exact"/>
              <w:rPr>
                <w:sz w:val="20"/>
                <w:szCs w:val="20"/>
                <w:color w:val="auto"/>
              </w:rPr>
            </w:pPr>
            <w:r>
              <w:rPr>
                <w:rFonts w:ascii="Arial" w:cs="Arial" w:eastAsia="Arial" w:hAnsi="Arial"/>
                <w:sz w:val="13"/>
                <w:szCs w:val="13"/>
                <w:color w:val="auto"/>
              </w:rPr>
              <w:t>Newark, NJ</w:t>
            </w:r>
          </w:p>
        </w:tc>
        <w:tc>
          <w:tcPr>
            <w:tcW w:w="6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1980</w:t>
            </w: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21,592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spacing w:after="0" w:line="141" w:lineRule="exact"/>
              <w:rPr>
                <w:sz w:val="20"/>
                <w:szCs w:val="20"/>
                <w:color w:val="auto"/>
              </w:rPr>
            </w:pPr>
            <w:r>
              <w:rPr>
                <w:rFonts w:ascii="Arial" w:cs="Arial" w:eastAsia="Arial" w:hAnsi="Arial"/>
                <w:sz w:val="13"/>
                <w:szCs w:val="13"/>
                <w:color w:val="auto"/>
              </w:rPr>
              <w:t>202,000</w:t>
            </w:r>
          </w:p>
        </w:tc>
        <w:tc>
          <w:tcPr>
            <w:tcW w:w="40" w:type="dxa"/>
            <w:vAlign w:val="bottom"/>
          </w:tcPr>
          <w:p>
            <w:pPr>
              <w:spacing w:after="0"/>
              <w:rPr>
                <w:sz w:val="12"/>
                <w:szCs w:val="12"/>
                <w:color w:val="auto"/>
              </w:rPr>
            </w:pPr>
          </w:p>
        </w:tc>
        <w:tc>
          <w:tcPr>
            <w:tcW w:w="5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99%</w:t>
            </w:r>
          </w:p>
        </w:tc>
        <w:tc>
          <w:tcPr>
            <w:tcW w:w="8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99%</w:t>
            </w:r>
          </w:p>
        </w:tc>
        <w:tc>
          <w:tcPr>
            <w:tcW w:w="52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17.</w:t>
            </w:r>
            <w:r>
              <w:rPr>
                <w:rFonts w:ascii="Arial" w:cs="Arial" w:eastAsia="Arial" w:hAnsi="Arial"/>
                <w:sz w:val="13"/>
                <w:szCs w:val="13"/>
                <w:u w:val="single" w:color="auto"/>
                <w:color w:val="auto"/>
              </w:rPr>
              <w:t>24</w:t>
            </w:r>
          </w:p>
        </w:tc>
        <w:tc>
          <w:tcPr>
            <w:tcW w:w="50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64,000</w:t>
            </w:r>
          </w:p>
        </w:tc>
        <w:tc>
          <w:tcPr>
            <w:tcW w:w="800" w:type="dxa"/>
            <w:vAlign w:val="bottom"/>
          </w:tcPr>
          <w:p>
            <w:pPr>
              <w:ind w:left="20"/>
              <w:spacing w:after="0" w:line="141" w:lineRule="exact"/>
              <w:rPr>
                <w:sz w:val="20"/>
                <w:szCs w:val="20"/>
                <w:color w:val="auto"/>
              </w:rPr>
            </w:pPr>
            <w:r>
              <w:rPr>
                <w:rFonts w:ascii="Arial" w:cs="Arial" w:eastAsia="Arial" w:hAnsi="Arial"/>
                <w:sz w:val="13"/>
                <w:szCs w:val="13"/>
                <w:color w:val="auto"/>
              </w:rPr>
              <w:t>Pathmark</w:t>
            </w:r>
          </w:p>
        </w:tc>
        <w:tc>
          <w:tcPr>
            <w:tcW w:w="60" w:type="dxa"/>
            <w:vAlign w:val="bottom"/>
          </w:tcPr>
          <w:p>
            <w:pPr>
              <w:spacing w:after="0"/>
              <w:rPr>
                <w:sz w:val="12"/>
                <w:szCs w:val="12"/>
                <w:color w:val="auto"/>
              </w:rPr>
            </w:pPr>
          </w:p>
        </w:tc>
        <w:tc>
          <w:tcPr>
            <w:tcW w:w="1920" w:type="dxa"/>
            <w:vAlign w:val="bottom"/>
          </w:tcPr>
          <w:p>
            <w:pPr>
              <w:spacing w:after="0" w:line="141" w:lineRule="exact"/>
              <w:rPr>
                <w:sz w:val="20"/>
                <w:szCs w:val="20"/>
                <w:color w:val="auto"/>
              </w:rPr>
            </w:pPr>
            <w:r>
              <w:rPr>
                <w:rFonts w:ascii="Arial" w:cs="Arial" w:eastAsia="Arial" w:hAnsi="Arial"/>
                <w:sz w:val="13"/>
                <w:szCs w:val="13"/>
                <w:color w:val="auto"/>
                <w:w w:val="92"/>
              </w:rPr>
              <w:t>AC Moore / Comp USA / Toys R Us</w:t>
            </w: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New York /</w:t>
            </w: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481,906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3,560,000</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97%</w:t>
            </w:r>
          </w:p>
        </w:tc>
        <w:tc>
          <w:tcPr>
            <w:tcW w:w="84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97%</w:t>
            </w:r>
          </w:p>
        </w:tc>
        <w:tc>
          <w:tcPr>
            <w:tcW w:w="520" w:type="dxa"/>
            <w:vAlign w:val="bottom"/>
            <w:gridSpan w:val="3"/>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16.05</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New Jersey</w:t>
            </w: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00" w:type="dxa"/>
            <w:vAlign w:val="bottom"/>
            <w:gridSpan w:val="7"/>
          </w:tcPr>
          <w:p>
            <w:pPr>
              <w:spacing w:after="0" w:line="129" w:lineRule="exact"/>
              <w:rPr>
                <w:sz w:val="20"/>
                <w:szCs w:val="20"/>
                <w:color w:val="auto"/>
              </w:rPr>
            </w:pPr>
            <w:r>
              <w:rPr>
                <w:rFonts w:ascii="Arial" w:cs="Arial" w:eastAsia="Arial" w:hAnsi="Arial"/>
                <w:sz w:val="13"/>
                <w:szCs w:val="13"/>
                <w:b w:val="1"/>
                <w:bCs w:val="1"/>
                <w:color w:val="auto"/>
              </w:rPr>
              <w:t>Philadelphia Metropolitan</w:t>
            </w: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tcBorders>
              <w:top w:val="single" w:sz="8" w:color="auto"/>
              <w:bottom w:val="single" w:sz="8" w:color="auto"/>
            </w:tcBorders>
          </w:tcPr>
          <w:p>
            <w:pPr>
              <w:spacing w:after="0" w:line="121" w:lineRule="exact"/>
              <w:rPr>
                <w:sz w:val="20"/>
                <w:szCs w:val="20"/>
                <w:color w:val="auto"/>
              </w:rPr>
            </w:pPr>
            <w:r>
              <w:rPr>
                <w:rFonts w:ascii="Arial" w:cs="Arial" w:eastAsia="Arial" w:hAnsi="Arial"/>
                <w:sz w:val="13"/>
                <w:szCs w:val="13"/>
                <w:b w:val="1"/>
                <w:bCs w:val="1"/>
                <w:color w:val="auto"/>
                <w:w w:val="89"/>
              </w:rPr>
              <w:t>Area</w:t>
            </w:r>
          </w:p>
        </w:tc>
        <w:tc>
          <w:tcPr>
            <w:tcW w:w="1180" w:type="dxa"/>
            <w:vAlign w:val="bottom"/>
            <w:tcBorders>
              <w:top w:val="single" w:sz="8" w:color="auto"/>
            </w:tcBorders>
            <w:gridSpan w:val="5"/>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0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auto"/>
              </w:rPr>
              <w:t>Andorra</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Philadelphia, PA-NJ</w:t>
            </w: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1988</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23,023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267,000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100%</w:t>
            </w: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12.75</w:t>
            </w:r>
          </w:p>
        </w:tc>
        <w:tc>
          <w:tcPr>
            <w:tcW w:w="5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24,000</w:t>
            </w:r>
          </w:p>
        </w:tc>
        <w:tc>
          <w:tcPr>
            <w:tcW w:w="80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w w:val="91"/>
              </w:rPr>
              <w:t>Acme Markets</w:t>
            </w: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Kohl’s / Staples / L.A. Fitness</w:t>
            </w:r>
          </w:p>
        </w:tc>
        <w:tc>
          <w:tcPr>
            <w:tcW w:w="0" w:type="dxa"/>
            <w:vAlign w:val="bottom"/>
          </w:tcPr>
          <w:p>
            <w:pPr>
              <w:spacing w:after="0"/>
              <w:rPr>
                <w:sz w:val="1"/>
                <w:szCs w:val="1"/>
                <w:color w:val="auto"/>
              </w:rPr>
            </w:pPr>
          </w:p>
        </w:tc>
      </w:tr>
      <w:tr>
        <w:trPr>
          <w:trHeight w:val="141"/>
        </w:trPr>
        <w:tc>
          <w:tcPr>
            <w:tcW w:w="1800" w:type="dxa"/>
            <w:vAlign w:val="bottom"/>
            <w:gridSpan w:val="7"/>
          </w:tcPr>
          <w:p>
            <w:pPr>
              <w:spacing w:after="0" w:line="141" w:lineRule="exact"/>
              <w:rPr>
                <w:sz w:val="20"/>
                <w:szCs w:val="20"/>
                <w:color w:val="auto"/>
              </w:rPr>
            </w:pPr>
            <w:r>
              <w:rPr>
                <w:rFonts w:ascii="Arial" w:cs="Arial" w:eastAsia="Arial" w:hAnsi="Arial"/>
                <w:sz w:val="13"/>
                <w:szCs w:val="13"/>
                <w:color w:val="auto"/>
              </w:rPr>
              <w:t>Bala Cynwyd</w:t>
            </w:r>
          </w:p>
        </w:tc>
        <w:tc>
          <w:tcPr>
            <w:tcW w:w="300" w:type="dxa"/>
            <w:vAlign w:val="bottom"/>
          </w:tcPr>
          <w:p>
            <w:pPr>
              <w:spacing w:after="0"/>
              <w:rPr>
                <w:sz w:val="12"/>
                <w:szCs w:val="12"/>
                <w:color w:val="auto"/>
              </w:rPr>
            </w:pPr>
          </w:p>
        </w:tc>
        <w:tc>
          <w:tcPr>
            <w:tcW w:w="1340" w:type="dxa"/>
            <w:vAlign w:val="bottom"/>
          </w:tcPr>
          <w:p>
            <w:pPr>
              <w:spacing w:after="0" w:line="141" w:lineRule="exact"/>
              <w:rPr>
                <w:sz w:val="20"/>
                <w:szCs w:val="20"/>
                <w:color w:val="auto"/>
              </w:rPr>
            </w:pPr>
            <w:r>
              <w:rPr>
                <w:rFonts w:ascii="Arial" w:cs="Arial" w:eastAsia="Arial" w:hAnsi="Arial"/>
                <w:sz w:val="13"/>
                <w:szCs w:val="13"/>
                <w:color w:val="auto"/>
              </w:rPr>
              <w:t>Philadelphia, PA-NJ</w:t>
            </w:r>
          </w:p>
        </w:tc>
        <w:tc>
          <w:tcPr>
            <w:tcW w:w="6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1993</w:t>
            </w: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26,281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280,000</w:t>
            </w:r>
          </w:p>
        </w:tc>
        <w:tc>
          <w:tcPr>
            <w:tcW w:w="40" w:type="dxa"/>
            <w:vAlign w:val="bottom"/>
          </w:tcPr>
          <w:p>
            <w:pPr>
              <w:spacing w:after="0"/>
              <w:rPr>
                <w:sz w:val="12"/>
                <w:szCs w:val="12"/>
                <w:color w:val="auto"/>
              </w:rPr>
            </w:pPr>
          </w:p>
        </w:tc>
        <w:tc>
          <w:tcPr>
            <w:tcW w:w="5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100%</w:t>
            </w:r>
          </w:p>
        </w:tc>
        <w:tc>
          <w:tcPr>
            <w:tcW w:w="52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13.07</w:t>
            </w:r>
          </w:p>
        </w:tc>
        <w:tc>
          <w:tcPr>
            <w:tcW w:w="50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45,000</w:t>
            </w:r>
          </w:p>
        </w:tc>
        <w:tc>
          <w:tcPr>
            <w:tcW w:w="800" w:type="dxa"/>
            <w:vAlign w:val="bottom"/>
          </w:tcPr>
          <w:p>
            <w:pPr>
              <w:ind w:left="20"/>
              <w:spacing w:after="0" w:line="141" w:lineRule="exact"/>
              <w:rPr>
                <w:sz w:val="20"/>
                <w:szCs w:val="20"/>
                <w:color w:val="auto"/>
              </w:rPr>
            </w:pPr>
            <w:r>
              <w:rPr>
                <w:rFonts w:ascii="Arial" w:cs="Arial" w:eastAsia="Arial" w:hAnsi="Arial"/>
                <w:sz w:val="13"/>
                <w:szCs w:val="13"/>
                <w:color w:val="auto"/>
                <w:w w:val="91"/>
              </w:rPr>
              <w:t>Acme Markets</w:t>
            </w:r>
          </w:p>
        </w:tc>
        <w:tc>
          <w:tcPr>
            <w:tcW w:w="60" w:type="dxa"/>
            <w:vAlign w:val="bottom"/>
          </w:tcPr>
          <w:p>
            <w:pPr>
              <w:spacing w:after="0"/>
              <w:rPr>
                <w:sz w:val="12"/>
                <w:szCs w:val="12"/>
                <w:color w:val="auto"/>
              </w:rPr>
            </w:pPr>
          </w:p>
        </w:tc>
        <w:tc>
          <w:tcPr>
            <w:tcW w:w="1920" w:type="dxa"/>
            <w:vAlign w:val="bottom"/>
          </w:tcPr>
          <w:p>
            <w:pPr>
              <w:spacing w:after="0" w:line="141" w:lineRule="exact"/>
              <w:rPr>
                <w:sz w:val="20"/>
                <w:szCs w:val="20"/>
                <w:color w:val="auto"/>
              </w:rPr>
            </w:pPr>
            <w:r>
              <w:rPr>
                <w:rFonts w:ascii="Arial" w:cs="Arial" w:eastAsia="Arial" w:hAnsi="Arial"/>
                <w:sz w:val="13"/>
                <w:szCs w:val="13"/>
                <w:color w:val="auto"/>
              </w:rPr>
              <w:t>Lord &amp; Taylor / L.A. Fitness</w:t>
            </w:r>
          </w:p>
        </w:tc>
        <w:tc>
          <w:tcPr>
            <w:tcW w:w="0" w:type="dxa"/>
            <w:vAlign w:val="bottom"/>
          </w:tcPr>
          <w:p>
            <w:pPr>
              <w:spacing w:after="0"/>
              <w:rPr>
                <w:sz w:val="1"/>
                <w:szCs w:val="1"/>
                <w:color w:val="auto"/>
              </w:rPr>
            </w:pPr>
          </w:p>
        </w:tc>
      </w:tr>
      <w:tr>
        <w:trPr>
          <w:trHeight w:val="141"/>
        </w:trPr>
        <w:tc>
          <w:tcPr>
            <w:tcW w:w="180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auto"/>
              </w:rPr>
              <w:t>Ellisburg Circle</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Philadelphia, PA-NJ</w:t>
            </w: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1992</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26,899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267,000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89%</w:t>
            </w: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89%</w:t>
            </w:r>
          </w:p>
        </w:tc>
        <w:tc>
          <w:tcPr>
            <w:tcW w:w="52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13.72</w:t>
            </w:r>
          </w:p>
        </w:tc>
        <w:tc>
          <w:tcPr>
            <w:tcW w:w="5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47,000</w:t>
            </w:r>
          </w:p>
        </w:tc>
        <w:tc>
          <w:tcPr>
            <w:tcW w:w="80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Genuardi’s</w:t>
            </w: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Stein Mart</w:t>
            </w:r>
          </w:p>
        </w:tc>
        <w:tc>
          <w:tcPr>
            <w:tcW w:w="0" w:type="dxa"/>
            <w:vAlign w:val="bottom"/>
          </w:tcPr>
          <w:p>
            <w:pPr>
              <w:spacing w:after="0"/>
              <w:rPr>
                <w:sz w:val="1"/>
                <w:szCs w:val="1"/>
                <w:color w:val="auto"/>
              </w:rPr>
            </w:pPr>
          </w:p>
        </w:tc>
      </w:tr>
      <w:tr>
        <w:trPr>
          <w:trHeight w:val="141"/>
        </w:trPr>
        <w:tc>
          <w:tcPr>
            <w:tcW w:w="1800" w:type="dxa"/>
            <w:vAlign w:val="bottom"/>
            <w:gridSpan w:val="7"/>
          </w:tcPr>
          <w:p>
            <w:pPr>
              <w:spacing w:after="0" w:line="141" w:lineRule="exact"/>
              <w:rPr>
                <w:sz w:val="20"/>
                <w:szCs w:val="20"/>
                <w:color w:val="auto"/>
              </w:rPr>
            </w:pPr>
            <w:r>
              <w:rPr>
                <w:rFonts w:ascii="Arial" w:cs="Arial" w:eastAsia="Arial" w:hAnsi="Arial"/>
                <w:sz w:val="13"/>
                <w:szCs w:val="13"/>
                <w:color w:val="auto"/>
              </w:rPr>
              <w:t>Feasterville</w:t>
            </w:r>
          </w:p>
        </w:tc>
        <w:tc>
          <w:tcPr>
            <w:tcW w:w="300" w:type="dxa"/>
            <w:vAlign w:val="bottom"/>
          </w:tcPr>
          <w:p>
            <w:pPr>
              <w:spacing w:after="0"/>
              <w:rPr>
                <w:sz w:val="12"/>
                <w:szCs w:val="12"/>
                <w:color w:val="auto"/>
              </w:rPr>
            </w:pPr>
          </w:p>
        </w:tc>
        <w:tc>
          <w:tcPr>
            <w:tcW w:w="1340" w:type="dxa"/>
            <w:vAlign w:val="bottom"/>
          </w:tcPr>
          <w:p>
            <w:pPr>
              <w:spacing w:after="0" w:line="141" w:lineRule="exact"/>
              <w:rPr>
                <w:sz w:val="20"/>
                <w:szCs w:val="20"/>
                <w:color w:val="auto"/>
              </w:rPr>
            </w:pPr>
            <w:r>
              <w:rPr>
                <w:rFonts w:ascii="Arial" w:cs="Arial" w:eastAsia="Arial" w:hAnsi="Arial"/>
                <w:sz w:val="13"/>
                <w:szCs w:val="13"/>
                <w:color w:val="auto"/>
              </w:rPr>
              <w:t>Philadelphia, PA-NJ</w:t>
            </w:r>
          </w:p>
        </w:tc>
        <w:tc>
          <w:tcPr>
            <w:tcW w:w="6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1980</w:t>
            </w: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11,645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111,000</w:t>
            </w:r>
          </w:p>
        </w:tc>
        <w:tc>
          <w:tcPr>
            <w:tcW w:w="5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100%</w:t>
            </w:r>
          </w:p>
        </w:tc>
        <w:tc>
          <w:tcPr>
            <w:tcW w:w="52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13.08</w:t>
            </w:r>
          </w:p>
        </w:tc>
        <w:tc>
          <w:tcPr>
            <w:tcW w:w="50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53,000</w:t>
            </w:r>
          </w:p>
        </w:tc>
        <w:tc>
          <w:tcPr>
            <w:tcW w:w="800" w:type="dxa"/>
            <w:vAlign w:val="bottom"/>
          </w:tcPr>
          <w:p>
            <w:pPr>
              <w:ind w:left="20"/>
              <w:spacing w:after="0" w:line="141" w:lineRule="exact"/>
              <w:rPr>
                <w:sz w:val="20"/>
                <w:szCs w:val="20"/>
                <w:color w:val="auto"/>
              </w:rPr>
            </w:pPr>
            <w:r>
              <w:rPr>
                <w:rFonts w:ascii="Arial" w:cs="Arial" w:eastAsia="Arial" w:hAnsi="Arial"/>
                <w:sz w:val="13"/>
                <w:szCs w:val="13"/>
                <w:color w:val="auto"/>
              </w:rPr>
              <w:t>Genuardi’s</w:t>
            </w:r>
          </w:p>
        </w:tc>
        <w:tc>
          <w:tcPr>
            <w:tcW w:w="60" w:type="dxa"/>
            <w:vAlign w:val="bottom"/>
          </w:tcPr>
          <w:p>
            <w:pPr>
              <w:spacing w:after="0"/>
              <w:rPr>
                <w:sz w:val="12"/>
                <w:szCs w:val="12"/>
                <w:color w:val="auto"/>
              </w:rPr>
            </w:pPr>
          </w:p>
        </w:tc>
        <w:tc>
          <w:tcPr>
            <w:tcW w:w="1920" w:type="dxa"/>
            <w:vAlign w:val="bottom"/>
          </w:tcPr>
          <w:p>
            <w:pPr>
              <w:spacing w:after="0" w:line="141" w:lineRule="exact"/>
              <w:rPr>
                <w:sz w:val="20"/>
                <w:szCs w:val="20"/>
                <w:color w:val="auto"/>
              </w:rPr>
            </w:pPr>
            <w:r>
              <w:rPr>
                <w:rFonts w:ascii="Arial" w:cs="Arial" w:eastAsia="Arial" w:hAnsi="Arial"/>
                <w:sz w:val="13"/>
                <w:szCs w:val="13"/>
                <w:color w:val="auto"/>
              </w:rPr>
              <w:t>OfficeMax</w:t>
            </w:r>
          </w:p>
        </w:tc>
        <w:tc>
          <w:tcPr>
            <w:tcW w:w="0" w:type="dxa"/>
            <w:vAlign w:val="bottom"/>
          </w:tcPr>
          <w:p>
            <w:pPr>
              <w:spacing w:after="0"/>
              <w:rPr>
                <w:sz w:val="1"/>
                <w:szCs w:val="1"/>
                <w:color w:val="auto"/>
              </w:rPr>
            </w:pPr>
          </w:p>
        </w:tc>
      </w:tr>
      <w:tr>
        <w:trPr>
          <w:trHeight w:val="141"/>
        </w:trPr>
        <w:tc>
          <w:tcPr>
            <w:tcW w:w="180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auto"/>
              </w:rPr>
              <w:t>Flourtown</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Philadelphia, PA-NJ</w:t>
            </w: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1980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9,662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181,000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96%</w:t>
            </w: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50%</w:t>
            </w:r>
          </w:p>
        </w:tc>
        <w:tc>
          <w:tcPr>
            <w:tcW w:w="52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18.18</w:t>
            </w:r>
          </w:p>
        </w:tc>
        <w:tc>
          <w:tcPr>
            <w:tcW w:w="5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42,000</w:t>
            </w:r>
          </w:p>
        </w:tc>
        <w:tc>
          <w:tcPr>
            <w:tcW w:w="80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Genuardi’s</w:t>
            </w: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00" w:type="dxa"/>
            <w:vAlign w:val="bottom"/>
            <w:gridSpan w:val="7"/>
          </w:tcPr>
          <w:p>
            <w:pPr>
              <w:spacing w:after="0" w:line="133" w:lineRule="exact"/>
              <w:rPr>
                <w:sz w:val="20"/>
                <w:szCs w:val="20"/>
                <w:color w:val="auto"/>
              </w:rPr>
            </w:pPr>
            <w:r>
              <w:rPr>
                <w:rFonts w:ascii="Arial" w:cs="Arial" w:eastAsia="Arial" w:hAnsi="Arial"/>
                <w:sz w:val="13"/>
                <w:szCs w:val="13"/>
                <w:color w:val="auto"/>
              </w:rPr>
              <w:t>Langhorne Square</w:t>
            </w:r>
          </w:p>
        </w:tc>
        <w:tc>
          <w:tcPr>
            <w:tcW w:w="300" w:type="dxa"/>
            <w:vAlign w:val="bottom"/>
          </w:tcPr>
          <w:p>
            <w:pPr>
              <w:spacing w:after="0"/>
              <w:rPr>
                <w:sz w:val="11"/>
                <w:szCs w:val="11"/>
                <w:color w:val="auto"/>
              </w:rPr>
            </w:pPr>
          </w:p>
        </w:tc>
        <w:tc>
          <w:tcPr>
            <w:tcW w:w="1340" w:type="dxa"/>
            <w:vAlign w:val="bottom"/>
          </w:tcPr>
          <w:p>
            <w:pPr>
              <w:spacing w:after="0" w:line="133" w:lineRule="exact"/>
              <w:rPr>
                <w:sz w:val="20"/>
                <w:szCs w:val="20"/>
                <w:color w:val="auto"/>
              </w:rPr>
            </w:pPr>
            <w:r>
              <w:rPr>
                <w:rFonts w:ascii="Arial" w:cs="Arial" w:eastAsia="Arial" w:hAnsi="Arial"/>
                <w:sz w:val="13"/>
                <w:szCs w:val="13"/>
                <w:color w:val="auto"/>
              </w:rPr>
              <w:t>Philadelphia, PA-NJ</w:t>
            </w:r>
          </w:p>
        </w:tc>
        <w:tc>
          <w:tcPr>
            <w:tcW w:w="600" w:type="dxa"/>
            <w:vAlign w:val="bottom"/>
            <w:gridSpan w:val="3"/>
          </w:tcPr>
          <w:p>
            <w:pPr>
              <w:jc w:val="right"/>
              <w:ind w:right="40"/>
              <w:spacing w:after="0" w:line="133" w:lineRule="exact"/>
              <w:rPr>
                <w:sz w:val="20"/>
                <w:szCs w:val="20"/>
                <w:color w:val="auto"/>
              </w:rPr>
            </w:pPr>
            <w:r>
              <w:rPr>
                <w:rFonts w:ascii="Arial" w:cs="Arial" w:eastAsia="Arial" w:hAnsi="Arial"/>
                <w:sz w:val="13"/>
                <w:szCs w:val="13"/>
                <w:color w:val="auto"/>
              </w:rPr>
              <w:t>1985</w:t>
            </w:r>
          </w:p>
        </w:tc>
        <w:tc>
          <w:tcPr>
            <w:tcW w:w="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18,149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216,000</w:t>
            </w:r>
          </w:p>
        </w:tc>
        <w:tc>
          <w:tcPr>
            <w:tcW w:w="40" w:type="dxa"/>
            <w:vAlign w:val="bottom"/>
          </w:tcPr>
          <w:p>
            <w:pPr>
              <w:spacing w:after="0"/>
              <w:rPr>
                <w:sz w:val="11"/>
                <w:szCs w:val="11"/>
                <w:color w:val="auto"/>
              </w:rPr>
            </w:pPr>
          </w:p>
        </w:tc>
        <w:tc>
          <w:tcPr>
            <w:tcW w:w="54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98%</w:t>
            </w:r>
          </w:p>
        </w:tc>
        <w:tc>
          <w:tcPr>
            <w:tcW w:w="84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89%</w:t>
            </w:r>
          </w:p>
        </w:tc>
        <w:tc>
          <w:tcPr>
            <w:tcW w:w="52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13.90</w:t>
            </w:r>
          </w:p>
        </w:tc>
        <w:tc>
          <w:tcPr>
            <w:tcW w:w="50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55,000</w:t>
            </w:r>
          </w:p>
        </w:tc>
        <w:tc>
          <w:tcPr>
            <w:tcW w:w="800" w:type="dxa"/>
            <w:vAlign w:val="bottom"/>
          </w:tcPr>
          <w:p>
            <w:pPr>
              <w:ind w:left="20"/>
              <w:spacing w:after="0" w:line="133" w:lineRule="exact"/>
              <w:rPr>
                <w:sz w:val="20"/>
                <w:szCs w:val="20"/>
                <w:color w:val="auto"/>
              </w:rPr>
            </w:pPr>
            <w:r>
              <w:rPr>
                <w:rFonts w:ascii="Arial" w:cs="Arial" w:eastAsia="Arial" w:hAnsi="Arial"/>
                <w:sz w:val="13"/>
                <w:szCs w:val="13"/>
                <w:color w:val="auto"/>
              </w:rPr>
              <w:t>Redner’s</w:t>
            </w:r>
          </w:p>
        </w:tc>
        <w:tc>
          <w:tcPr>
            <w:tcW w:w="60" w:type="dxa"/>
            <w:vAlign w:val="bottom"/>
          </w:tcPr>
          <w:p>
            <w:pPr>
              <w:spacing w:after="0"/>
              <w:rPr>
                <w:sz w:val="11"/>
                <w:szCs w:val="11"/>
                <w:color w:val="auto"/>
              </w:rPr>
            </w:pPr>
          </w:p>
        </w:tc>
        <w:tc>
          <w:tcPr>
            <w:tcW w:w="1920" w:type="dxa"/>
            <w:vAlign w:val="bottom"/>
          </w:tcPr>
          <w:p>
            <w:pPr>
              <w:spacing w:after="0" w:line="133"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41"/>
        </w:trPr>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ind w:left="20"/>
              <w:spacing w:after="0" w:line="141" w:lineRule="exact"/>
              <w:rPr>
                <w:sz w:val="20"/>
                <w:szCs w:val="20"/>
                <w:color w:val="auto"/>
              </w:rPr>
            </w:pPr>
            <w:r>
              <w:rPr>
                <w:rFonts w:ascii="Arial" w:cs="Arial" w:eastAsia="Arial" w:hAnsi="Arial"/>
                <w:sz w:val="13"/>
                <w:szCs w:val="13"/>
                <w:color w:val="auto"/>
              </w:rPr>
              <w:t>Warehouse</w:t>
            </w:r>
          </w:p>
        </w:tc>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Mkts.</w:t>
            </w:r>
          </w:p>
        </w:tc>
        <w:tc>
          <w:tcPr>
            <w:tcW w:w="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0" w:type="dxa"/>
            <w:vAlign w:val="bottom"/>
            <w:gridSpan w:val="7"/>
            <w:shd w:val="clear" w:color="auto" w:fill="CCEEFF"/>
          </w:tcPr>
          <w:p>
            <w:pPr>
              <w:spacing w:after="0" w:line="142" w:lineRule="exact"/>
              <w:rPr>
                <w:sz w:val="20"/>
                <w:szCs w:val="20"/>
                <w:color w:val="auto"/>
              </w:rPr>
            </w:pPr>
            <w:r>
              <w:rPr>
                <w:rFonts w:ascii="Arial" w:cs="Arial" w:eastAsia="Arial" w:hAnsi="Arial"/>
                <w:sz w:val="13"/>
                <w:szCs w:val="13"/>
                <w:color w:val="auto"/>
              </w:rPr>
              <w:t>Lawrence Park</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Philadelphia, PA-NJ</w:t>
            </w:r>
          </w:p>
        </w:tc>
        <w:tc>
          <w:tcPr>
            <w:tcW w:w="60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1980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28,679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30,205</w:t>
            </w:r>
          </w:p>
        </w:tc>
        <w:tc>
          <w:tcPr>
            <w:tcW w:w="5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353,000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100%</w:t>
            </w:r>
          </w:p>
        </w:tc>
        <w:tc>
          <w:tcPr>
            <w:tcW w:w="8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100%</w:t>
            </w:r>
          </w:p>
        </w:tc>
        <w:tc>
          <w:tcPr>
            <w:tcW w:w="5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16.49</w:t>
            </w:r>
          </w:p>
        </w:tc>
        <w:tc>
          <w:tcPr>
            <w:tcW w:w="5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53,000</w:t>
            </w:r>
          </w:p>
        </w:tc>
        <w:tc>
          <w:tcPr>
            <w:tcW w:w="8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w w:val="91"/>
              </w:rPr>
              <w:t>Acme Markets</w:t>
            </w: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CHI / TJ Maxx / HomeGoods</w:t>
            </w:r>
          </w:p>
        </w:tc>
        <w:tc>
          <w:tcPr>
            <w:tcW w:w="0" w:type="dxa"/>
            <w:vAlign w:val="bottom"/>
          </w:tcPr>
          <w:p>
            <w:pPr>
              <w:spacing w:after="0"/>
              <w:rPr>
                <w:sz w:val="1"/>
                <w:szCs w:val="1"/>
                <w:color w:val="auto"/>
              </w:rPr>
            </w:pPr>
          </w:p>
        </w:tc>
      </w:tr>
      <w:tr>
        <w:trPr>
          <w:trHeight w:val="141"/>
        </w:trPr>
        <w:tc>
          <w:tcPr>
            <w:tcW w:w="1800" w:type="dxa"/>
            <w:vAlign w:val="bottom"/>
            <w:gridSpan w:val="7"/>
          </w:tcPr>
          <w:p>
            <w:pPr>
              <w:spacing w:after="0" w:line="141" w:lineRule="exact"/>
              <w:rPr>
                <w:sz w:val="20"/>
                <w:szCs w:val="20"/>
                <w:color w:val="auto"/>
              </w:rPr>
            </w:pPr>
            <w:r>
              <w:rPr>
                <w:rFonts w:ascii="Arial" w:cs="Arial" w:eastAsia="Arial" w:hAnsi="Arial"/>
                <w:sz w:val="13"/>
                <w:szCs w:val="13"/>
                <w:color w:val="auto"/>
              </w:rPr>
              <w:t>Northeast</w:t>
            </w:r>
          </w:p>
        </w:tc>
        <w:tc>
          <w:tcPr>
            <w:tcW w:w="300" w:type="dxa"/>
            <w:vAlign w:val="bottom"/>
          </w:tcPr>
          <w:p>
            <w:pPr>
              <w:spacing w:after="0"/>
              <w:rPr>
                <w:sz w:val="12"/>
                <w:szCs w:val="12"/>
                <w:color w:val="auto"/>
              </w:rPr>
            </w:pPr>
          </w:p>
        </w:tc>
        <w:tc>
          <w:tcPr>
            <w:tcW w:w="1340" w:type="dxa"/>
            <w:vAlign w:val="bottom"/>
          </w:tcPr>
          <w:p>
            <w:pPr>
              <w:spacing w:after="0" w:line="141" w:lineRule="exact"/>
              <w:rPr>
                <w:sz w:val="20"/>
                <w:szCs w:val="20"/>
                <w:color w:val="auto"/>
              </w:rPr>
            </w:pPr>
            <w:r>
              <w:rPr>
                <w:rFonts w:ascii="Arial" w:cs="Arial" w:eastAsia="Arial" w:hAnsi="Arial"/>
                <w:sz w:val="13"/>
                <w:szCs w:val="13"/>
                <w:color w:val="auto"/>
              </w:rPr>
              <w:t>Philadelphia, PA-NJ</w:t>
            </w:r>
          </w:p>
        </w:tc>
        <w:tc>
          <w:tcPr>
            <w:tcW w:w="6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1983</w:t>
            </w: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22,181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287,000</w:t>
            </w:r>
          </w:p>
        </w:tc>
        <w:tc>
          <w:tcPr>
            <w:tcW w:w="40" w:type="dxa"/>
            <w:vAlign w:val="bottom"/>
          </w:tcPr>
          <w:p>
            <w:pPr>
              <w:spacing w:after="0"/>
              <w:rPr>
                <w:sz w:val="12"/>
                <w:szCs w:val="12"/>
                <w:color w:val="auto"/>
              </w:rPr>
            </w:pPr>
          </w:p>
        </w:tc>
        <w:tc>
          <w:tcPr>
            <w:tcW w:w="5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85%</w:t>
            </w:r>
          </w:p>
        </w:tc>
        <w:tc>
          <w:tcPr>
            <w:tcW w:w="8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85%</w:t>
            </w:r>
          </w:p>
        </w:tc>
        <w:tc>
          <w:tcPr>
            <w:tcW w:w="52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10.25</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line="141" w:lineRule="exact"/>
              <w:rPr>
                <w:sz w:val="20"/>
                <w:szCs w:val="20"/>
                <w:color w:val="auto"/>
              </w:rPr>
            </w:pPr>
            <w:r>
              <w:rPr>
                <w:rFonts w:ascii="Arial" w:cs="Arial" w:eastAsia="Arial" w:hAnsi="Arial"/>
                <w:sz w:val="13"/>
                <w:szCs w:val="13"/>
                <w:color w:val="auto"/>
              </w:rPr>
              <w:t>Burlington Coat / Marshalls</w:t>
            </w:r>
          </w:p>
        </w:tc>
        <w:tc>
          <w:tcPr>
            <w:tcW w:w="0" w:type="dxa"/>
            <w:vAlign w:val="bottom"/>
          </w:tcPr>
          <w:p>
            <w:pPr>
              <w:spacing w:after="0"/>
              <w:rPr>
                <w:sz w:val="1"/>
                <w:szCs w:val="1"/>
                <w:color w:val="auto"/>
              </w:rPr>
            </w:pPr>
          </w:p>
        </w:tc>
      </w:tr>
      <w:tr>
        <w:trPr>
          <w:trHeight w:val="141"/>
        </w:trPr>
        <w:tc>
          <w:tcPr>
            <w:tcW w:w="180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auto"/>
              </w:rPr>
              <w:t>Town Center of New Britain</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Philadelphia, PA-NJ</w:t>
            </w: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2006</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13,823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125,000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87%</w:t>
            </w: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87%</w:t>
            </w:r>
          </w:p>
        </w:tc>
        <w:tc>
          <w:tcPr>
            <w:tcW w:w="52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9.35</w:t>
            </w:r>
          </w:p>
        </w:tc>
        <w:tc>
          <w:tcPr>
            <w:tcW w:w="5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36,000</w:t>
            </w:r>
          </w:p>
        </w:tc>
        <w:tc>
          <w:tcPr>
            <w:tcW w:w="80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Giant Food</w:t>
            </w:r>
          </w:p>
        </w:tc>
        <w:tc>
          <w:tcPr>
            <w:tcW w:w="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Rite Aid</w:t>
            </w:r>
          </w:p>
        </w:tc>
        <w:tc>
          <w:tcPr>
            <w:tcW w:w="0" w:type="dxa"/>
            <w:vAlign w:val="bottom"/>
          </w:tcPr>
          <w:p>
            <w:pPr>
              <w:spacing w:after="0"/>
              <w:rPr>
                <w:sz w:val="1"/>
                <w:szCs w:val="1"/>
                <w:color w:val="auto"/>
              </w:rPr>
            </w:pPr>
          </w:p>
        </w:tc>
      </w:tr>
      <w:tr>
        <w:trPr>
          <w:trHeight w:val="132"/>
        </w:trPr>
        <w:tc>
          <w:tcPr>
            <w:tcW w:w="1800" w:type="dxa"/>
            <w:vAlign w:val="bottom"/>
            <w:gridSpan w:val="7"/>
          </w:tcPr>
          <w:p>
            <w:pPr>
              <w:spacing w:after="0" w:line="133" w:lineRule="exact"/>
              <w:rPr>
                <w:sz w:val="20"/>
                <w:szCs w:val="20"/>
                <w:color w:val="auto"/>
              </w:rPr>
            </w:pPr>
            <w:r>
              <w:rPr>
                <w:rFonts w:ascii="Arial" w:cs="Arial" w:eastAsia="Arial" w:hAnsi="Arial"/>
                <w:sz w:val="13"/>
                <w:szCs w:val="13"/>
                <w:color w:val="auto"/>
              </w:rPr>
              <w:t>Willow Grove</w:t>
            </w:r>
          </w:p>
        </w:tc>
        <w:tc>
          <w:tcPr>
            <w:tcW w:w="300" w:type="dxa"/>
            <w:vAlign w:val="bottom"/>
          </w:tcPr>
          <w:p>
            <w:pPr>
              <w:spacing w:after="0"/>
              <w:rPr>
                <w:sz w:val="11"/>
                <w:szCs w:val="11"/>
                <w:color w:val="auto"/>
              </w:rPr>
            </w:pPr>
          </w:p>
        </w:tc>
        <w:tc>
          <w:tcPr>
            <w:tcW w:w="1340" w:type="dxa"/>
            <w:vAlign w:val="bottom"/>
          </w:tcPr>
          <w:p>
            <w:pPr>
              <w:spacing w:after="0" w:line="133" w:lineRule="exact"/>
              <w:rPr>
                <w:sz w:val="20"/>
                <w:szCs w:val="20"/>
                <w:color w:val="auto"/>
              </w:rPr>
            </w:pPr>
            <w:r>
              <w:rPr>
                <w:rFonts w:ascii="Arial" w:cs="Arial" w:eastAsia="Arial" w:hAnsi="Arial"/>
                <w:sz w:val="13"/>
                <w:szCs w:val="13"/>
                <w:color w:val="auto"/>
              </w:rPr>
              <w:t>Philadelphia, PA-NJ</w:t>
            </w:r>
          </w:p>
        </w:tc>
        <w:tc>
          <w:tcPr>
            <w:tcW w:w="600" w:type="dxa"/>
            <w:vAlign w:val="bottom"/>
            <w:gridSpan w:val="3"/>
          </w:tcPr>
          <w:p>
            <w:pPr>
              <w:jc w:val="right"/>
              <w:ind w:right="40"/>
              <w:spacing w:after="0" w:line="133" w:lineRule="exact"/>
              <w:rPr>
                <w:sz w:val="20"/>
                <w:szCs w:val="20"/>
                <w:color w:val="auto"/>
              </w:rPr>
            </w:pPr>
            <w:r>
              <w:rPr>
                <w:rFonts w:ascii="Arial" w:cs="Arial" w:eastAsia="Arial" w:hAnsi="Arial"/>
                <w:sz w:val="13"/>
                <w:szCs w:val="13"/>
                <w:color w:val="auto"/>
              </w:rPr>
              <w:t>1984</w:t>
            </w:r>
          </w:p>
        </w:tc>
        <w:tc>
          <w:tcPr>
            <w:tcW w:w="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26,679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215,000</w:t>
            </w:r>
          </w:p>
        </w:tc>
        <w:tc>
          <w:tcPr>
            <w:tcW w:w="40" w:type="dxa"/>
            <w:vAlign w:val="bottom"/>
          </w:tcPr>
          <w:p>
            <w:pPr>
              <w:spacing w:after="0"/>
              <w:rPr>
                <w:sz w:val="11"/>
                <w:szCs w:val="11"/>
                <w:color w:val="auto"/>
              </w:rPr>
            </w:pPr>
          </w:p>
        </w:tc>
        <w:tc>
          <w:tcPr>
            <w:tcW w:w="54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100%</w:t>
            </w:r>
          </w:p>
        </w:tc>
        <w:tc>
          <w:tcPr>
            <w:tcW w:w="52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17.93</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tcPr>
          <w:p>
            <w:pPr>
              <w:spacing w:after="0" w:line="133" w:lineRule="exact"/>
              <w:rPr>
                <w:sz w:val="20"/>
                <w:szCs w:val="20"/>
                <w:color w:val="auto"/>
              </w:rPr>
            </w:pPr>
            <w:r>
              <w:rPr>
                <w:rFonts w:ascii="Arial" w:cs="Arial" w:eastAsia="Arial" w:hAnsi="Arial"/>
                <w:sz w:val="13"/>
                <w:szCs w:val="13"/>
                <w:color w:val="auto"/>
              </w:rPr>
              <w:t>Barnes &amp; Noble / Marshalls /</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color w:val="auto"/>
              </w:rPr>
              <w:t>Toys R Us</w:t>
            </w:r>
          </w:p>
        </w:tc>
        <w:tc>
          <w:tcPr>
            <w:tcW w:w="0" w:type="dxa"/>
            <w:vAlign w:val="bottom"/>
          </w:tcPr>
          <w:p>
            <w:pPr>
              <w:spacing w:after="0"/>
              <w:rPr>
                <w:sz w:val="1"/>
                <w:szCs w:val="1"/>
                <w:color w:val="auto"/>
              </w:rPr>
            </w:pPr>
          </w:p>
        </w:tc>
      </w:tr>
      <w:tr>
        <w:trPr>
          <w:trHeight w:val="132"/>
        </w:trPr>
        <w:tc>
          <w:tcPr>
            <w:tcW w:w="2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Bed, Bath &amp; Beyond / Borders /</w:t>
            </w:r>
          </w:p>
        </w:tc>
        <w:tc>
          <w:tcPr>
            <w:tcW w:w="0" w:type="dxa"/>
            <w:vAlign w:val="bottom"/>
          </w:tcPr>
          <w:p>
            <w:pPr>
              <w:spacing w:after="0"/>
              <w:rPr>
                <w:sz w:val="1"/>
                <w:szCs w:val="1"/>
                <w:color w:val="auto"/>
              </w:rPr>
            </w:pPr>
          </w:p>
        </w:tc>
      </w:tr>
      <w:tr>
        <w:trPr>
          <w:trHeight w:val="150"/>
        </w:trPr>
        <w:tc>
          <w:tcPr>
            <w:tcW w:w="1800" w:type="dxa"/>
            <w:vAlign w:val="bottom"/>
            <w:gridSpan w:val="7"/>
            <w:shd w:val="clear" w:color="auto" w:fill="CCEEFF"/>
          </w:tcPr>
          <w:p>
            <w:pPr>
              <w:spacing w:after="0"/>
              <w:rPr>
                <w:sz w:val="20"/>
                <w:szCs w:val="20"/>
                <w:color w:val="auto"/>
              </w:rPr>
            </w:pPr>
            <w:r>
              <w:rPr>
                <w:rFonts w:ascii="Arial" w:cs="Arial" w:eastAsia="Arial" w:hAnsi="Arial"/>
                <w:sz w:val="13"/>
                <w:szCs w:val="13"/>
                <w:color w:val="auto"/>
              </w:rPr>
              <w:t>Wynnewood</w:t>
            </w: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Philadelphia, PA-NJ</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1996</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35,877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30,782</w:t>
            </w: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255,000</w:t>
            </w:r>
          </w:p>
        </w:tc>
        <w:tc>
          <w:tcPr>
            <w:tcW w:w="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98%</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22.</w:t>
            </w:r>
            <w:r>
              <w:rPr>
                <w:rFonts w:ascii="Arial" w:cs="Arial" w:eastAsia="Arial" w:hAnsi="Arial"/>
                <w:sz w:val="13"/>
                <w:szCs w:val="13"/>
                <w:u w:val="single" w:color="auto"/>
                <w:color w:val="auto"/>
              </w:rPr>
              <w:t>40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98,000</w:t>
            </w: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Genuardi’s</w:t>
            </w:r>
          </w:p>
        </w:tc>
        <w:tc>
          <w:tcPr>
            <w:tcW w:w="6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3"/>
                <w:szCs w:val="13"/>
                <w:color w:val="auto"/>
              </w:rPr>
              <w:t>Old Navy</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vMerge w:val="restart"/>
          </w:tcPr>
          <w:p>
            <w:pPr>
              <w:spacing w:after="0"/>
              <w:rPr>
                <w:sz w:val="20"/>
                <w:szCs w:val="20"/>
                <w:color w:val="auto"/>
              </w:rPr>
            </w:pPr>
            <w:r>
              <w:rPr>
                <w:rFonts w:ascii="Arial" w:cs="Arial" w:eastAsia="Arial" w:hAnsi="Arial"/>
                <w:sz w:val="13"/>
                <w:szCs w:val="13"/>
                <w:b w:val="1"/>
                <w:bCs w:val="1"/>
                <w:color w:val="auto"/>
              </w:rPr>
              <w:t>Total Philadelphia</w:t>
            </w: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242,898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Arial" w:cs="Arial" w:eastAsia="Arial" w:hAnsi="Arial"/>
                <w:sz w:val="13"/>
                <w:szCs w:val="13"/>
                <w:color w:val="auto"/>
                <w:w w:val="86"/>
              </w:rPr>
              <w:t>2,557,000</w:t>
            </w:r>
          </w:p>
        </w:tc>
        <w:tc>
          <w:tcPr>
            <w:tcW w:w="40" w:type="dxa"/>
            <w:vAlign w:val="bottom"/>
          </w:tcPr>
          <w:p>
            <w:pPr>
              <w:spacing w:after="0"/>
              <w:rPr>
                <w:sz w:val="11"/>
                <w:szCs w:val="11"/>
                <w:color w:val="auto"/>
              </w:rPr>
            </w:pPr>
          </w:p>
        </w:tc>
        <w:tc>
          <w:tcPr>
            <w:tcW w:w="540" w:type="dxa"/>
            <w:vAlign w:val="bottom"/>
            <w:gridSpan w:val="2"/>
          </w:tcPr>
          <w:p>
            <w:pPr>
              <w:jc w:val="right"/>
              <w:ind w:right="60"/>
              <w:spacing w:after="0" w:line="134" w:lineRule="exact"/>
              <w:rPr>
                <w:sz w:val="20"/>
                <w:szCs w:val="20"/>
                <w:color w:val="auto"/>
              </w:rPr>
            </w:pPr>
            <w:r>
              <w:rPr>
                <w:rFonts w:ascii="Arial" w:cs="Arial" w:eastAsia="Arial" w:hAnsi="Arial"/>
                <w:sz w:val="13"/>
                <w:szCs w:val="13"/>
                <w:color w:val="auto"/>
              </w:rPr>
              <w:t>96%</w:t>
            </w:r>
          </w:p>
        </w:tc>
        <w:tc>
          <w:tcPr>
            <w:tcW w:w="840" w:type="dxa"/>
            <w:vAlign w:val="bottom"/>
            <w:gridSpan w:val="2"/>
          </w:tcPr>
          <w:p>
            <w:pPr>
              <w:jc w:val="right"/>
              <w:ind w:right="40"/>
              <w:spacing w:after="0" w:line="134" w:lineRule="exact"/>
              <w:rPr>
                <w:sz w:val="20"/>
                <w:szCs w:val="20"/>
                <w:color w:val="auto"/>
              </w:rPr>
            </w:pPr>
            <w:r>
              <w:rPr>
                <w:rFonts w:ascii="Arial" w:cs="Arial" w:eastAsia="Arial" w:hAnsi="Arial"/>
                <w:sz w:val="13"/>
                <w:szCs w:val="13"/>
                <w:color w:val="auto"/>
              </w:rPr>
              <w:t>92%</w:t>
            </w:r>
          </w:p>
        </w:tc>
        <w:tc>
          <w:tcPr>
            <w:tcW w:w="520" w:type="dxa"/>
            <w:vAlign w:val="bottom"/>
            <w:gridSpan w:val="3"/>
          </w:tcPr>
          <w:p>
            <w:pPr>
              <w:jc w:val="right"/>
              <w:ind w:right="60"/>
              <w:spacing w:after="0" w:line="134" w:lineRule="exact"/>
              <w:rPr>
                <w:sz w:val="20"/>
                <w:szCs w:val="20"/>
                <w:color w:val="auto"/>
              </w:rPr>
            </w:pPr>
            <w:r>
              <w:rPr>
                <w:rFonts w:ascii="Arial" w:cs="Arial" w:eastAsia="Arial" w:hAnsi="Arial"/>
                <w:sz w:val="13"/>
                <w:szCs w:val="13"/>
                <w:color w:val="auto"/>
              </w:rPr>
              <w:t>14.84</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3"/>
                <w:szCs w:val="13"/>
                <w:b w:val="1"/>
                <w:bCs w:val="1"/>
                <w:color w:val="auto"/>
              </w:rPr>
              <w:t>Metropolitan Area</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800" w:type="dxa"/>
            <w:vAlign w:val="bottom"/>
            <w:gridSpan w:val="7"/>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New England</w:t>
            </w: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800" w:type="dxa"/>
            <w:vAlign w:val="bottom"/>
            <w:gridSpan w:val="7"/>
          </w:tcPr>
          <w:p>
            <w:pPr>
              <w:spacing w:after="0" w:line="126" w:lineRule="exact"/>
              <w:rPr>
                <w:sz w:val="20"/>
                <w:szCs w:val="20"/>
                <w:color w:val="auto"/>
              </w:rPr>
            </w:pPr>
            <w:r>
              <w:rPr>
                <w:rFonts w:ascii="Arial" w:cs="Arial" w:eastAsia="Arial" w:hAnsi="Arial"/>
                <w:sz w:val="13"/>
                <w:szCs w:val="13"/>
                <w:color w:val="auto"/>
                <w:w w:val="87"/>
              </w:rPr>
              <w:t>Assembly Square/Sturtevant Street</w:t>
            </w:r>
          </w:p>
        </w:tc>
        <w:tc>
          <w:tcPr>
            <w:tcW w:w="300" w:type="dxa"/>
            <w:vAlign w:val="bottom"/>
          </w:tcPr>
          <w:p>
            <w:pPr>
              <w:spacing w:after="0"/>
              <w:rPr>
                <w:sz w:val="10"/>
                <w:szCs w:val="10"/>
                <w:color w:val="auto"/>
              </w:rPr>
            </w:pPr>
          </w:p>
        </w:tc>
        <w:tc>
          <w:tcPr>
            <w:tcW w:w="1340" w:type="dxa"/>
            <w:vAlign w:val="bottom"/>
          </w:tcPr>
          <w:p>
            <w:pPr>
              <w:spacing w:after="0" w:line="126" w:lineRule="exact"/>
              <w:rPr>
                <w:sz w:val="20"/>
                <w:szCs w:val="20"/>
                <w:color w:val="auto"/>
              </w:rPr>
            </w:pPr>
            <w:r>
              <w:rPr>
                <w:rFonts w:ascii="Arial" w:cs="Arial" w:eastAsia="Arial" w:hAnsi="Arial"/>
                <w:sz w:val="13"/>
                <w:szCs w:val="13"/>
                <w:color w:val="auto"/>
              </w:rPr>
              <w:t>Boston-Cambridge-</w:t>
            </w:r>
          </w:p>
        </w:tc>
        <w:tc>
          <w:tcPr>
            <w:tcW w:w="600" w:type="dxa"/>
            <w:vAlign w:val="bottom"/>
            <w:gridSpan w:val="3"/>
          </w:tcPr>
          <w:p>
            <w:pPr>
              <w:jc w:val="right"/>
              <w:ind w:right="40"/>
              <w:spacing w:after="0" w:line="126" w:lineRule="exact"/>
              <w:rPr>
                <w:sz w:val="20"/>
                <w:szCs w:val="20"/>
                <w:color w:val="auto"/>
              </w:rPr>
            </w:pPr>
            <w:r>
              <w:rPr>
                <w:rFonts w:ascii="Arial" w:cs="Arial" w:eastAsia="Arial" w:hAnsi="Arial"/>
                <w:sz w:val="13"/>
                <w:szCs w:val="13"/>
                <w:color w:val="auto"/>
              </w:rPr>
              <w:t>2005-</w:t>
            </w:r>
          </w:p>
        </w:tc>
        <w:tc>
          <w:tcPr>
            <w:tcW w:w="8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Arial" w:cs="Arial" w:eastAsia="Arial" w:hAnsi="Arial"/>
                <w:sz w:val="13"/>
                <w:szCs w:val="13"/>
                <w:color w:val="auto"/>
              </w:rPr>
              <w:t>112,050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554,000</w:t>
            </w:r>
          </w:p>
        </w:tc>
        <w:tc>
          <w:tcPr>
            <w:tcW w:w="40" w:type="dxa"/>
            <w:vAlign w:val="bottom"/>
          </w:tcPr>
          <w:p>
            <w:pPr>
              <w:spacing w:after="0"/>
              <w:rPr>
                <w:sz w:val="10"/>
                <w:szCs w:val="10"/>
                <w:color w:val="auto"/>
              </w:rPr>
            </w:pPr>
          </w:p>
        </w:tc>
        <w:tc>
          <w:tcPr>
            <w:tcW w:w="540" w:type="dxa"/>
            <w:vAlign w:val="bottom"/>
            <w:gridSpan w:val="2"/>
          </w:tcPr>
          <w:p>
            <w:pPr>
              <w:jc w:val="right"/>
              <w:ind w:right="60"/>
              <w:spacing w:after="0" w:line="126"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40"/>
              <w:spacing w:after="0" w:line="126" w:lineRule="exact"/>
              <w:rPr>
                <w:sz w:val="20"/>
                <w:szCs w:val="20"/>
                <w:color w:val="auto"/>
              </w:rPr>
            </w:pPr>
            <w:r>
              <w:rPr>
                <w:rFonts w:ascii="Arial" w:cs="Arial" w:eastAsia="Arial" w:hAnsi="Arial"/>
                <w:sz w:val="13"/>
                <w:szCs w:val="13"/>
                <w:color w:val="auto"/>
              </w:rPr>
              <w:t>100%</w:t>
            </w:r>
          </w:p>
        </w:tc>
        <w:tc>
          <w:tcPr>
            <w:tcW w:w="520" w:type="dxa"/>
            <w:vAlign w:val="bottom"/>
            <w:gridSpan w:val="3"/>
          </w:tcPr>
          <w:p>
            <w:pPr>
              <w:jc w:val="right"/>
              <w:ind w:right="60"/>
              <w:spacing w:after="0" w:line="126" w:lineRule="exact"/>
              <w:rPr>
                <w:sz w:val="20"/>
                <w:szCs w:val="20"/>
                <w:color w:val="auto"/>
              </w:rPr>
            </w:pPr>
            <w:r>
              <w:rPr>
                <w:rFonts w:ascii="Arial" w:cs="Arial" w:eastAsia="Arial" w:hAnsi="Arial"/>
                <w:sz w:val="13"/>
                <w:szCs w:val="13"/>
                <w:color w:val="auto"/>
              </w:rPr>
              <w:t>13.35</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20" w:type="dxa"/>
            <w:vAlign w:val="bottom"/>
          </w:tcPr>
          <w:p>
            <w:pPr>
              <w:spacing w:after="0" w:line="126" w:lineRule="exact"/>
              <w:rPr>
                <w:sz w:val="20"/>
                <w:szCs w:val="20"/>
                <w:color w:val="auto"/>
              </w:rPr>
            </w:pPr>
            <w:r>
              <w:rPr>
                <w:rFonts w:ascii="Arial" w:cs="Arial" w:eastAsia="Arial" w:hAnsi="Arial"/>
                <w:sz w:val="13"/>
                <w:szCs w:val="13"/>
                <w:color w:val="auto"/>
                <w:w w:val="98"/>
              </w:rPr>
              <w:t>AC Moore / Bed, Bath &amp; Beyond /</w:t>
            </w:r>
          </w:p>
        </w:tc>
        <w:tc>
          <w:tcPr>
            <w:tcW w:w="0" w:type="dxa"/>
            <w:vAlign w:val="bottom"/>
          </w:tcPr>
          <w:p>
            <w:pPr>
              <w:spacing w:after="0"/>
              <w:rPr>
                <w:sz w:val="1"/>
                <w:szCs w:val="1"/>
                <w:color w:val="auto"/>
              </w:rPr>
            </w:pPr>
          </w:p>
        </w:tc>
      </w:tr>
      <w:tr>
        <w:trPr>
          <w:trHeight w:val="141"/>
        </w:trPr>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line="141" w:lineRule="exact"/>
              <w:rPr>
                <w:sz w:val="20"/>
                <w:szCs w:val="20"/>
                <w:color w:val="auto"/>
              </w:rPr>
            </w:pPr>
            <w:r>
              <w:rPr>
                <w:rFonts w:ascii="Arial" w:cs="Arial" w:eastAsia="Arial" w:hAnsi="Arial"/>
                <w:sz w:val="13"/>
                <w:szCs w:val="13"/>
                <w:color w:val="auto"/>
              </w:rPr>
              <w:t>Quincy, MA-NH</w:t>
            </w:r>
          </w:p>
        </w:tc>
        <w:tc>
          <w:tcPr>
            <w:tcW w:w="6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2006</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line="141" w:lineRule="exact"/>
              <w:rPr>
                <w:sz w:val="20"/>
                <w:szCs w:val="20"/>
                <w:color w:val="auto"/>
              </w:rPr>
            </w:pPr>
            <w:r>
              <w:rPr>
                <w:rFonts w:ascii="Arial" w:cs="Arial" w:eastAsia="Arial" w:hAnsi="Arial"/>
                <w:sz w:val="13"/>
                <w:szCs w:val="13"/>
                <w:color w:val="auto"/>
              </w:rPr>
              <w:t>Christmas Tree Shops / Kmart /</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color w:val="auto"/>
                <w:w w:val="91"/>
              </w:rPr>
              <w:t>Staples / Sports Authority / TJ Maxx</w:t>
            </w:r>
          </w:p>
        </w:tc>
        <w:tc>
          <w:tcPr>
            <w:tcW w:w="0" w:type="dxa"/>
            <w:vAlign w:val="bottom"/>
          </w:tcPr>
          <w:p>
            <w:pPr>
              <w:spacing w:after="0"/>
              <w:rPr>
                <w:sz w:val="1"/>
                <w:szCs w:val="1"/>
                <w:color w:val="auto"/>
              </w:rPr>
            </w:pPr>
          </w:p>
        </w:tc>
      </w:tr>
      <w:tr>
        <w:trPr>
          <w:trHeight w:val="132"/>
        </w:trPr>
        <w:tc>
          <w:tcPr>
            <w:tcW w:w="1800" w:type="dxa"/>
            <w:vAlign w:val="bottom"/>
            <w:gridSpan w:val="7"/>
            <w:shd w:val="clear" w:color="auto" w:fill="CCEEFF"/>
          </w:tcPr>
          <w:p>
            <w:pPr>
              <w:spacing w:after="0" w:line="133" w:lineRule="exact"/>
              <w:rPr>
                <w:sz w:val="20"/>
                <w:szCs w:val="20"/>
                <w:color w:val="auto"/>
              </w:rPr>
            </w:pPr>
            <w:r>
              <w:rPr>
                <w:rFonts w:ascii="Arial" w:cs="Arial" w:eastAsia="Arial" w:hAnsi="Arial"/>
                <w:sz w:val="13"/>
                <w:szCs w:val="13"/>
                <w:color w:val="auto"/>
              </w:rPr>
              <w:t>Bath Shopping Center</w:t>
            </w: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Portland/South</w:t>
            </w:r>
          </w:p>
        </w:tc>
        <w:tc>
          <w:tcPr>
            <w:tcW w:w="60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2006</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19,753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9,999</w:t>
            </w: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101,000</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96%</w:t>
            </w:r>
          </w:p>
        </w:tc>
        <w:tc>
          <w:tcPr>
            <w:tcW w:w="8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96%</w:t>
            </w:r>
          </w:p>
        </w:tc>
        <w:tc>
          <w:tcPr>
            <w:tcW w:w="52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15.01</w:t>
            </w:r>
          </w:p>
        </w:tc>
        <w:tc>
          <w:tcPr>
            <w:tcW w:w="5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57,000</w:t>
            </w:r>
          </w:p>
        </w:tc>
        <w:tc>
          <w:tcPr>
            <w:tcW w:w="80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Shaw’s</w:t>
            </w:r>
          </w:p>
        </w:tc>
        <w:tc>
          <w:tcPr>
            <w:tcW w:w="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50"/>
        </w:trPr>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Portland/Biddeford</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Supermarket</w:t>
            </w:r>
          </w:p>
        </w:tc>
        <w:tc>
          <w:tcPr>
            <w:tcW w:w="6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800" w:type="dxa"/>
            <w:vAlign w:val="bottom"/>
            <w:gridSpan w:val="7"/>
          </w:tcPr>
          <w:p>
            <w:pPr>
              <w:spacing w:after="0" w:line="133" w:lineRule="exact"/>
              <w:rPr>
                <w:sz w:val="20"/>
                <w:szCs w:val="20"/>
                <w:color w:val="auto"/>
              </w:rPr>
            </w:pPr>
            <w:r>
              <w:rPr>
                <w:rFonts w:ascii="Arial" w:cs="Arial" w:eastAsia="Arial" w:hAnsi="Arial"/>
                <w:sz w:val="13"/>
                <w:szCs w:val="13"/>
                <w:color w:val="auto"/>
              </w:rPr>
              <w:t>Chelsea Commons I &amp; II</w:t>
            </w:r>
          </w:p>
        </w:tc>
        <w:tc>
          <w:tcPr>
            <w:tcW w:w="300" w:type="dxa"/>
            <w:vAlign w:val="bottom"/>
          </w:tcPr>
          <w:p>
            <w:pPr>
              <w:jc w:val="right"/>
              <w:spacing w:after="0" w:line="133" w:lineRule="exact"/>
              <w:rPr>
                <w:sz w:val="20"/>
                <w:szCs w:val="20"/>
                <w:color w:val="auto"/>
              </w:rPr>
            </w:pPr>
            <w:r>
              <w:rPr>
                <w:rFonts w:ascii="Arial" w:cs="Arial" w:eastAsia="Arial" w:hAnsi="Arial"/>
                <w:sz w:val="13"/>
                <w:szCs w:val="13"/>
                <w:color w:val="auto"/>
              </w:rPr>
              <w:t>(11)</w:t>
            </w:r>
          </w:p>
        </w:tc>
        <w:tc>
          <w:tcPr>
            <w:tcW w:w="1340" w:type="dxa"/>
            <w:vAlign w:val="bottom"/>
          </w:tcPr>
          <w:p>
            <w:pPr>
              <w:spacing w:after="0" w:line="133" w:lineRule="exact"/>
              <w:rPr>
                <w:sz w:val="20"/>
                <w:szCs w:val="20"/>
                <w:color w:val="auto"/>
              </w:rPr>
            </w:pPr>
            <w:r>
              <w:rPr>
                <w:rFonts w:ascii="Arial" w:cs="Arial" w:eastAsia="Arial" w:hAnsi="Arial"/>
                <w:sz w:val="13"/>
                <w:szCs w:val="13"/>
                <w:color w:val="auto"/>
              </w:rPr>
              <w:t>Boston-Cambridge-</w:t>
            </w:r>
          </w:p>
        </w:tc>
        <w:tc>
          <w:tcPr>
            <w:tcW w:w="600" w:type="dxa"/>
            <w:vAlign w:val="bottom"/>
            <w:gridSpan w:val="3"/>
          </w:tcPr>
          <w:p>
            <w:pPr>
              <w:jc w:val="right"/>
              <w:ind w:right="40"/>
              <w:spacing w:after="0" w:line="133" w:lineRule="exact"/>
              <w:rPr>
                <w:sz w:val="20"/>
                <w:szCs w:val="20"/>
                <w:color w:val="auto"/>
              </w:rPr>
            </w:pPr>
            <w:r>
              <w:rPr>
                <w:rFonts w:ascii="Arial" w:cs="Arial" w:eastAsia="Arial" w:hAnsi="Arial"/>
                <w:sz w:val="13"/>
                <w:szCs w:val="13"/>
                <w:color w:val="auto"/>
              </w:rPr>
              <w:t>2006</w:t>
            </w:r>
          </w:p>
        </w:tc>
        <w:tc>
          <w:tcPr>
            <w:tcW w:w="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18,034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
              <w:spacing w:after="0" w:line="133" w:lineRule="exact"/>
              <w:rPr>
                <w:sz w:val="20"/>
                <w:szCs w:val="20"/>
                <w:color w:val="auto"/>
              </w:rPr>
            </w:pPr>
            <w:r>
              <w:rPr>
                <w:rFonts w:ascii="Arial" w:cs="Arial" w:eastAsia="Arial" w:hAnsi="Arial"/>
                <w:sz w:val="13"/>
                <w:szCs w:val="13"/>
                <w:color w:val="auto"/>
              </w:rPr>
              <w:t>8,384</w:t>
            </w:r>
          </w:p>
        </w:tc>
        <w:tc>
          <w:tcPr>
            <w:tcW w:w="5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179,000</w:t>
            </w:r>
          </w:p>
        </w:tc>
        <w:tc>
          <w:tcPr>
            <w:tcW w:w="40" w:type="dxa"/>
            <w:vAlign w:val="bottom"/>
          </w:tcPr>
          <w:p>
            <w:pPr>
              <w:spacing w:after="0"/>
              <w:rPr>
                <w:sz w:val="11"/>
                <w:szCs w:val="11"/>
                <w:color w:val="auto"/>
              </w:rPr>
            </w:pPr>
          </w:p>
        </w:tc>
        <w:tc>
          <w:tcPr>
            <w:tcW w:w="54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99%</w:t>
            </w:r>
          </w:p>
        </w:tc>
        <w:tc>
          <w:tcPr>
            <w:tcW w:w="84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88%</w:t>
            </w:r>
          </w:p>
        </w:tc>
        <w:tc>
          <w:tcPr>
            <w:tcW w:w="52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6.92</w:t>
            </w:r>
          </w:p>
        </w:tc>
        <w:tc>
          <w:tcPr>
            <w:tcW w:w="50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16,000</w:t>
            </w:r>
          </w:p>
        </w:tc>
        <w:tc>
          <w:tcPr>
            <w:tcW w:w="800" w:type="dxa"/>
            <w:vAlign w:val="bottom"/>
          </w:tcPr>
          <w:p>
            <w:pPr>
              <w:ind w:left="20"/>
              <w:spacing w:after="0" w:line="133" w:lineRule="exact"/>
              <w:rPr>
                <w:sz w:val="20"/>
                <w:szCs w:val="20"/>
                <w:color w:val="auto"/>
              </w:rPr>
            </w:pPr>
            <w:r>
              <w:rPr>
                <w:rFonts w:ascii="Arial" w:cs="Arial" w:eastAsia="Arial" w:hAnsi="Arial"/>
                <w:sz w:val="13"/>
                <w:szCs w:val="13"/>
                <w:color w:val="auto"/>
              </w:rPr>
              <w:t>Sav-A-Lot</w:t>
            </w:r>
          </w:p>
        </w:tc>
        <w:tc>
          <w:tcPr>
            <w:tcW w:w="60" w:type="dxa"/>
            <w:vAlign w:val="bottom"/>
          </w:tcPr>
          <w:p>
            <w:pPr>
              <w:spacing w:after="0"/>
              <w:rPr>
                <w:sz w:val="11"/>
                <w:szCs w:val="11"/>
                <w:color w:val="auto"/>
              </w:rPr>
            </w:pPr>
          </w:p>
        </w:tc>
        <w:tc>
          <w:tcPr>
            <w:tcW w:w="1920" w:type="dxa"/>
            <w:vAlign w:val="bottom"/>
          </w:tcPr>
          <w:p>
            <w:pPr>
              <w:spacing w:after="0" w:line="133" w:lineRule="exact"/>
              <w:rPr>
                <w:sz w:val="20"/>
                <w:szCs w:val="20"/>
                <w:color w:val="auto"/>
              </w:rPr>
            </w:pPr>
            <w:r>
              <w:rPr>
                <w:rFonts w:ascii="Arial" w:cs="Arial" w:eastAsia="Arial" w:hAnsi="Arial"/>
                <w:sz w:val="13"/>
                <w:szCs w:val="13"/>
                <w:color w:val="auto"/>
              </w:rPr>
              <w:t>Home Depot</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Quincy, MA-NH</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800" w:type="dxa"/>
            <w:vAlign w:val="bottom"/>
            <w:gridSpan w:val="7"/>
            <w:shd w:val="clear" w:color="auto" w:fill="CCEEFF"/>
          </w:tcPr>
          <w:p>
            <w:pPr>
              <w:spacing w:after="0" w:line="133" w:lineRule="exact"/>
              <w:rPr>
                <w:sz w:val="20"/>
                <w:szCs w:val="20"/>
                <w:color w:val="auto"/>
              </w:rPr>
            </w:pPr>
            <w:r>
              <w:rPr>
                <w:rFonts w:ascii="Arial" w:cs="Arial" w:eastAsia="Arial" w:hAnsi="Arial"/>
                <w:sz w:val="13"/>
                <w:szCs w:val="13"/>
                <w:color w:val="auto"/>
              </w:rPr>
              <w:t>Dedham Plaza</w:t>
            </w:r>
          </w:p>
        </w:tc>
        <w:tc>
          <w:tcPr>
            <w:tcW w:w="3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Boston-Cambridge-</w:t>
            </w:r>
          </w:p>
        </w:tc>
        <w:tc>
          <w:tcPr>
            <w:tcW w:w="60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1993</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29,784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241,000</w:t>
            </w: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94%</w:t>
            </w:r>
          </w:p>
        </w:tc>
        <w:tc>
          <w:tcPr>
            <w:tcW w:w="8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94%</w:t>
            </w:r>
          </w:p>
        </w:tc>
        <w:tc>
          <w:tcPr>
            <w:tcW w:w="52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15.08</w:t>
            </w:r>
          </w:p>
        </w:tc>
        <w:tc>
          <w:tcPr>
            <w:tcW w:w="5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80,000</w:t>
            </w:r>
          </w:p>
        </w:tc>
        <w:tc>
          <w:tcPr>
            <w:tcW w:w="80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Star Market</w:t>
            </w:r>
          </w:p>
        </w:tc>
        <w:tc>
          <w:tcPr>
            <w:tcW w:w="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Pier One</w:t>
            </w:r>
          </w:p>
        </w:tc>
        <w:tc>
          <w:tcPr>
            <w:tcW w:w="0" w:type="dxa"/>
            <w:vAlign w:val="bottom"/>
          </w:tcPr>
          <w:p>
            <w:pPr>
              <w:spacing w:after="0"/>
              <w:rPr>
                <w:sz w:val="1"/>
                <w:szCs w:val="1"/>
                <w:color w:val="auto"/>
              </w:rPr>
            </w:pPr>
          </w:p>
        </w:tc>
      </w:tr>
      <w:tr>
        <w:trPr>
          <w:trHeight w:val="150"/>
        </w:trPr>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Quincy, MA-NH</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800" w:type="dxa"/>
            <w:vAlign w:val="bottom"/>
            <w:gridSpan w:val="7"/>
          </w:tcPr>
          <w:p>
            <w:pPr>
              <w:spacing w:after="0" w:line="133" w:lineRule="exact"/>
              <w:rPr>
                <w:sz w:val="20"/>
                <w:szCs w:val="20"/>
                <w:color w:val="auto"/>
              </w:rPr>
            </w:pPr>
            <w:r>
              <w:rPr>
                <w:rFonts w:ascii="Arial" w:cs="Arial" w:eastAsia="Arial" w:hAnsi="Arial"/>
                <w:sz w:val="13"/>
                <w:szCs w:val="13"/>
                <w:color w:val="auto"/>
              </w:rPr>
              <w:t>Key Road</w:t>
            </w:r>
          </w:p>
        </w:tc>
        <w:tc>
          <w:tcPr>
            <w:tcW w:w="300" w:type="dxa"/>
            <w:vAlign w:val="bottom"/>
          </w:tcPr>
          <w:p>
            <w:pPr>
              <w:spacing w:after="0"/>
              <w:rPr>
                <w:sz w:val="11"/>
                <w:szCs w:val="11"/>
                <w:color w:val="auto"/>
              </w:rPr>
            </w:pPr>
          </w:p>
        </w:tc>
        <w:tc>
          <w:tcPr>
            <w:tcW w:w="1340" w:type="dxa"/>
            <w:vAlign w:val="bottom"/>
          </w:tcPr>
          <w:p>
            <w:pPr>
              <w:spacing w:after="0" w:line="133" w:lineRule="exact"/>
              <w:rPr>
                <w:sz w:val="20"/>
                <w:szCs w:val="20"/>
                <w:color w:val="auto"/>
              </w:rPr>
            </w:pPr>
            <w:r>
              <w:rPr>
                <w:rFonts w:ascii="Arial" w:cs="Arial" w:eastAsia="Arial" w:hAnsi="Arial"/>
                <w:sz w:val="13"/>
                <w:szCs w:val="13"/>
                <w:color w:val="auto"/>
              </w:rPr>
              <w:t>Boston-Cambridge-</w:t>
            </w:r>
          </w:p>
        </w:tc>
        <w:tc>
          <w:tcPr>
            <w:tcW w:w="600" w:type="dxa"/>
            <w:vAlign w:val="bottom"/>
            <w:gridSpan w:val="3"/>
          </w:tcPr>
          <w:p>
            <w:pPr>
              <w:jc w:val="right"/>
              <w:ind w:right="40"/>
              <w:spacing w:after="0" w:line="133" w:lineRule="exact"/>
              <w:rPr>
                <w:sz w:val="20"/>
                <w:szCs w:val="20"/>
                <w:color w:val="auto"/>
              </w:rPr>
            </w:pPr>
            <w:r>
              <w:rPr>
                <w:rFonts w:ascii="Arial" w:cs="Arial" w:eastAsia="Arial" w:hAnsi="Arial"/>
                <w:sz w:val="13"/>
                <w:szCs w:val="13"/>
                <w:color w:val="auto"/>
              </w:rPr>
              <w:t>2006</w:t>
            </w:r>
          </w:p>
        </w:tc>
        <w:tc>
          <w:tcPr>
            <w:tcW w:w="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14,650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76,000</w:t>
            </w:r>
          </w:p>
        </w:tc>
        <w:tc>
          <w:tcPr>
            <w:tcW w:w="40" w:type="dxa"/>
            <w:vAlign w:val="bottom"/>
          </w:tcPr>
          <w:p>
            <w:pPr>
              <w:spacing w:after="0"/>
              <w:rPr>
                <w:sz w:val="11"/>
                <w:szCs w:val="11"/>
                <w:color w:val="auto"/>
              </w:rPr>
            </w:pPr>
          </w:p>
        </w:tc>
        <w:tc>
          <w:tcPr>
            <w:tcW w:w="54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100%</w:t>
            </w:r>
          </w:p>
        </w:tc>
        <w:tc>
          <w:tcPr>
            <w:tcW w:w="52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11.96</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tcPr>
          <w:p>
            <w:pPr>
              <w:spacing w:after="0" w:line="133" w:lineRule="exact"/>
              <w:rPr>
                <w:sz w:val="20"/>
                <w:szCs w:val="20"/>
                <w:color w:val="auto"/>
              </w:rPr>
            </w:pPr>
            <w:r>
              <w:rPr>
                <w:rFonts w:ascii="Arial" w:cs="Arial" w:eastAsia="Arial" w:hAnsi="Arial"/>
                <w:sz w:val="13"/>
                <w:szCs w:val="13"/>
                <w:color w:val="auto"/>
              </w:rPr>
              <w:t>Petco</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Quincy, MA-NH</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8" w:right="239" w:bottom="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b w:val="1"/>
                <w:bCs w:val="1"/>
                <w:color w:val="auto"/>
                <w:w w:val="92"/>
              </w:rPr>
              <w:t>Mortgage</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36"/>
              <w:spacing w:after="0" w:line="141" w:lineRule="exact"/>
              <w:rPr>
                <w:sz w:val="20"/>
                <w:szCs w:val="20"/>
                <w:color w:val="auto"/>
              </w:rPr>
            </w:pPr>
            <w:r>
              <w:rPr>
                <w:rFonts w:ascii="Arial" w:cs="Arial" w:eastAsia="Arial" w:hAnsi="Arial"/>
                <w:sz w:val="13"/>
                <w:szCs w:val="13"/>
                <w:b w:val="1"/>
                <w:bCs w:val="1"/>
                <w:color w:val="auto"/>
                <w:w w:val="93"/>
              </w:rPr>
              <w:t>or Capital</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4"/>
          </w:tcPr>
          <w:p>
            <w:pPr>
              <w:jc w:val="right"/>
              <w:ind w:right="40"/>
              <w:spacing w:after="0" w:line="141" w:lineRule="exact"/>
              <w:rPr>
                <w:sz w:val="20"/>
                <w:szCs w:val="20"/>
                <w:color w:val="auto"/>
              </w:rPr>
            </w:pPr>
            <w:r>
              <w:rPr>
                <w:rFonts w:ascii="Arial" w:cs="Arial" w:eastAsia="Arial" w:hAnsi="Arial"/>
                <w:sz w:val="13"/>
                <w:szCs w:val="13"/>
                <w:b w:val="1"/>
                <w:bCs w:val="1"/>
                <w:color w:val="auto"/>
                <w:w w:val="89"/>
              </w:rPr>
              <w:t>Average Grocery</w:t>
            </w: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92"/>
              </w:rPr>
              <w:t>Year</w:t>
            </w:r>
          </w:p>
        </w:tc>
        <w:tc>
          <w:tcPr>
            <w:tcW w:w="20" w:type="dxa"/>
            <w:vAlign w:val="bottom"/>
          </w:tcPr>
          <w:p>
            <w:pPr>
              <w:spacing w:after="0"/>
              <w:rPr>
                <w:sz w:val="12"/>
                <w:szCs w:val="12"/>
                <w:color w:val="auto"/>
              </w:rPr>
            </w:pPr>
          </w:p>
        </w:tc>
        <w:tc>
          <w:tcPr>
            <w:tcW w:w="820" w:type="dxa"/>
            <w:vAlign w:val="bottom"/>
            <w:gridSpan w:val="2"/>
          </w:tcPr>
          <w:p>
            <w:pPr>
              <w:jc w:val="center"/>
              <w:ind w:right="20"/>
              <w:spacing w:after="0" w:line="141" w:lineRule="exact"/>
              <w:rPr>
                <w:sz w:val="20"/>
                <w:szCs w:val="20"/>
                <w:color w:val="auto"/>
              </w:rPr>
            </w:pPr>
            <w:r>
              <w:rPr>
                <w:rFonts w:ascii="Arial" w:cs="Arial" w:eastAsia="Arial" w:hAnsi="Arial"/>
                <w:sz w:val="13"/>
                <w:szCs w:val="13"/>
                <w:b w:val="1"/>
                <w:bCs w:val="1"/>
                <w:color w:val="auto"/>
                <w:w w:val="89"/>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6"/>
              <w:spacing w:after="0" w:line="141" w:lineRule="exact"/>
              <w:rPr>
                <w:sz w:val="20"/>
                <w:szCs w:val="20"/>
                <w:color w:val="auto"/>
              </w:rPr>
            </w:pPr>
            <w:r>
              <w:rPr>
                <w:rFonts w:ascii="Arial" w:cs="Arial" w:eastAsia="Arial" w:hAnsi="Arial"/>
                <w:sz w:val="13"/>
                <w:szCs w:val="13"/>
                <w:b w:val="1"/>
                <w:bCs w:val="1"/>
                <w:color w:val="auto"/>
                <w:w w:val="81"/>
              </w:rPr>
              <w:t>Lease</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gridSpan w:val="2"/>
          </w:tcPr>
          <w:p>
            <w:pPr>
              <w:jc w:val="right"/>
              <w:ind w:right="56"/>
              <w:spacing w:after="0" w:line="141"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720" w:type="dxa"/>
            <w:vAlign w:val="bottom"/>
          </w:tcPr>
          <w:p>
            <w:pPr>
              <w:jc w:val="right"/>
              <w:ind w:right="236"/>
              <w:spacing w:after="0" w:line="141"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500" w:type="dxa"/>
            <w:vAlign w:val="bottom"/>
            <w:gridSpan w:val="2"/>
          </w:tcPr>
          <w:p>
            <w:pPr>
              <w:jc w:val="right"/>
              <w:ind w:right="140"/>
              <w:spacing w:after="0" w:line="141" w:lineRule="exact"/>
              <w:rPr>
                <w:sz w:val="20"/>
                <w:szCs w:val="20"/>
                <w:color w:val="auto"/>
              </w:rPr>
            </w:pPr>
            <w:r>
              <w:rPr>
                <w:rFonts w:ascii="Arial" w:cs="Arial" w:eastAsia="Arial" w:hAnsi="Arial"/>
                <w:sz w:val="13"/>
                <w:szCs w:val="13"/>
                <w:b w:val="1"/>
                <w:bCs w:val="1"/>
                <w:color w:val="auto"/>
              </w:rPr>
              <w:t>Rent</w:t>
            </w:r>
          </w:p>
        </w:tc>
        <w:tc>
          <w:tcPr>
            <w:tcW w:w="500" w:type="dxa"/>
            <w:vAlign w:val="bottom"/>
            <w:gridSpan w:val="2"/>
          </w:tcPr>
          <w:p>
            <w:pPr>
              <w:ind w:left="20"/>
              <w:spacing w:after="0" w:line="141"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180"/>
              <w:spacing w:after="0" w:line="141" w:lineRule="exact"/>
              <w:rPr>
                <w:sz w:val="20"/>
                <w:szCs w:val="20"/>
                <w:color w:val="auto"/>
              </w:rPr>
            </w:pPr>
            <w:r>
              <w:rPr>
                <w:rFonts w:ascii="Arial" w:cs="Arial" w:eastAsia="Arial" w:hAnsi="Arial"/>
                <w:sz w:val="13"/>
                <w:szCs w:val="13"/>
                <w:b w:val="1"/>
                <w:bCs w:val="1"/>
                <w:color w:val="auto"/>
              </w:rPr>
              <w:t>Grocery</w:t>
            </w: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60" w:type="dxa"/>
            <w:vAlign w:val="bottom"/>
            <w:gridSpan w:val="6"/>
          </w:tcPr>
          <w:p>
            <w:pPr>
              <w:spacing w:after="0"/>
              <w:rPr>
                <w:sz w:val="20"/>
                <w:szCs w:val="20"/>
                <w:color w:val="auto"/>
              </w:rPr>
            </w:pPr>
            <w:r>
              <w:rPr>
                <w:rFonts w:ascii="Arial" w:cs="Arial" w:eastAsia="Arial" w:hAnsi="Arial"/>
                <w:sz w:val="13"/>
                <w:szCs w:val="13"/>
                <w:b w:val="1"/>
                <w:bCs w:val="1"/>
                <w:color w:val="auto"/>
              </w:rPr>
              <w:t>Property Name</w:t>
            </w:r>
          </w:p>
        </w:tc>
        <w:tc>
          <w:tcPr>
            <w:tcW w:w="320" w:type="dxa"/>
            <w:vAlign w:val="bottom"/>
          </w:tcPr>
          <w:p>
            <w:pPr>
              <w:spacing w:after="0"/>
              <w:rPr>
                <w:sz w:val="13"/>
                <w:szCs w:val="13"/>
                <w:color w:val="auto"/>
              </w:rPr>
            </w:pPr>
          </w:p>
        </w:tc>
        <w:tc>
          <w:tcPr>
            <w:tcW w:w="1900" w:type="dxa"/>
            <w:vAlign w:val="bottom"/>
          </w:tcPr>
          <w:p>
            <w:pPr>
              <w:ind w:left="480"/>
              <w:spacing w:after="0"/>
              <w:rPr>
                <w:sz w:val="20"/>
                <w:szCs w:val="20"/>
                <w:color w:val="auto"/>
              </w:rPr>
            </w:pPr>
            <w:r>
              <w:rPr>
                <w:rFonts w:ascii="Arial" w:cs="Arial" w:eastAsia="Arial" w:hAnsi="Arial"/>
                <w:sz w:val="13"/>
                <w:szCs w:val="13"/>
                <w:b w:val="1"/>
                <w:bCs w:val="1"/>
                <w:color w:val="auto"/>
              </w:rPr>
              <w:t>MSA Description</w:t>
            </w:r>
          </w:p>
        </w:tc>
        <w:tc>
          <w:tcPr>
            <w:tcW w:w="60" w:type="dxa"/>
            <w:vAlign w:val="bottom"/>
          </w:tcPr>
          <w:p>
            <w:pPr>
              <w:spacing w:after="0"/>
              <w:rPr>
                <w:sz w:val="13"/>
                <w:szCs w:val="13"/>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8"/>
              </w:rPr>
              <w:t>Acquired</w:t>
            </w:r>
          </w:p>
        </w:tc>
        <w:tc>
          <w:tcPr>
            <w:tcW w:w="20" w:type="dxa"/>
            <w:vAlign w:val="bottom"/>
          </w:tcPr>
          <w:p>
            <w:pPr>
              <w:spacing w:after="0"/>
              <w:rPr>
                <w:sz w:val="13"/>
                <w:szCs w:val="13"/>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0"/>
              </w:rPr>
              <w:t>Investment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b w:val="1"/>
                <w:bCs w:val="1"/>
                <w:color w:val="auto"/>
                <w:w w:val="90"/>
              </w:rPr>
              <w:t>Obligation</w:t>
            </w: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GLA (1)</w:t>
            </w:r>
          </w:p>
        </w:tc>
        <w:tc>
          <w:tcPr>
            <w:tcW w:w="6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4"/>
              </w:rPr>
              <w:t>Leased</w:t>
            </w: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Occupied (2)</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9"/>
              </w:rPr>
              <w:t>PSF (3)</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3"/>
              </w:rPr>
              <w:t>GLA (4)</w:t>
            </w:r>
          </w:p>
        </w:tc>
        <w:tc>
          <w:tcPr>
            <w:tcW w:w="820" w:type="dxa"/>
            <w:vAlign w:val="bottom"/>
          </w:tcPr>
          <w:p>
            <w:pPr>
              <w:ind w:left="120"/>
              <w:spacing w:after="0"/>
              <w:rPr>
                <w:sz w:val="20"/>
                <w:szCs w:val="20"/>
                <w:color w:val="auto"/>
              </w:rPr>
            </w:pPr>
            <w:r>
              <w:rPr>
                <w:rFonts w:ascii="Arial" w:cs="Arial" w:eastAsia="Arial" w:hAnsi="Arial"/>
                <w:sz w:val="13"/>
                <w:szCs w:val="13"/>
                <w:b w:val="1"/>
                <w:bCs w:val="1"/>
                <w:color w:val="auto"/>
              </w:rPr>
              <w:t>Anchor (4)</w:t>
            </w:r>
          </w:p>
        </w:tc>
        <w:tc>
          <w:tcPr>
            <w:tcW w:w="40" w:type="dxa"/>
            <w:vAlign w:val="bottom"/>
          </w:tcPr>
          <w:p>
            <w:pPr>
              <w:spacing w:after="0"/>
              <w:rPr>
                <w:sz w:val="13"/>
                <w:szCs w:val="13"/>
                <w:color w:val="auto"/>
              </w:rPr>
            </w:pPr>
          </w:p>
        </w:tc>
        <w:tc>
          <w:tcPr>
            <w:tcW w:w="1700" w:type="dxa"/>
            <w:vAlign w:val="bottom"/>
          </w:tcPr>
          <w:p>
            <w:pPr>
              <w:ind w:left="200"/>
              <w:spacing w:after="0"/>
              <w:rPr>
                <w:sz w:val="20"/>
                <w:szCs w:val="20"/>
                <w:color w:val="auto"/>
              </w:rPr>
            </w:pPr>
            <w:r>
              <w:rPr>
                <w:rFonts w:ascii="Arial" w:cs="Arial" w:eastAsia="Arial" w:hAnsi="Arial"/>
                <w:sz w:val="13"/>
                <w:szCs w:val="13"/>
                <w:b w:val="1"/>
                <w:bCs w:val="1"/>
                <w:color w:val="auto"/>
              </w:rPr>
              <w:t>Other Principal Tenants</w:t>
            </w:r>
          </w:p>
        </w:tc>
        <w:tc>
          <w:tcPr>
            <w:tcW w:w="0" w:type="dxa"/>
            <w:vAlign w:val="bottom"/>
          </w:tcPr>
          <w:p>
            <w:pPr>
              <w:spacing w:after="0"/>
              <w:rPr>
                <w:sz w:val="1"/>
                <w:szCs w:val="1"/>
                <w:color w:val="auto"/>
              </w:rPr>
            </w:pPr>
          </w:p>
        </w:tc>
      </w:tr>
      <w:tr>
        <w:trPr>
          <w:trHeight w:val="141"/>
        </w:trPr>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87"/>
              </w:rPr>
              <w:t>(in thousands)</w:t>
            </w:r>
          </w:p>
        </w:tc>
        <w:tc>
          <w:tcPr>
            <w:tcW w:w="60" w:type="dxa"/>
            <w:vAlign w:val="bottom"/>
            <w:gridSpan w:val="2"/>
          </w:tcPr>
          <w:p>
            <w:pPr>
              <w:spacing w:after="0"/>
              <w:rPr>
                <w:sz w:val="12"/>
                <w:szCs w:val="12"/>
                <w:color w:val="auto"/>
              </w:rPr>
            </w:pPr>
          </w:p>
        </w:tc>
        <w:tc>
          <w:tcPr>
            <w:tcW w:w="78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3"/>
                <w:szCs w:val="13"/>
                <w:b w:val="1"/>
                <w:bCs w:val="1"/>
                <w:color w:val="auto"/>
                <w:w w:val="87"/>
              </w:rPr>
              <w:t>(in thousands)</w:t>
            </w: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260" w:type="dxa"/>
            <w:vAlign w:val="bottom"/>
            <w:gridSpan w:val="6"/>
            <w:shd w:val="clear" w:color="auto" w:fill="CCEEFF"/>
          </w:tcPr>
          <w:p>
            <w:pPr>
              <w:spacing w:after="0" w:line="133" w:lineRule="exact"/>
              <w:rPr>
                <w:sz w:val="20"/>
                <w:szCs w:val="20"/>
                <w:color w:val="auto"/>
              </w:rPr>
            </w:pPr>
            <w:r>
              <w:rPr>
                <w:rFonts w:ascii="Arial" w:cs="Arial" w:eastAsia="Arial" w:hAnsi="Arial"/>
                <w:sz w:val="13"/>
                <w:szCs w:val="13"/>
                <w:color w:val="auto"/>
              </w:rPr>
              <w:t>Linden Square</w:t>
            </w:r>
          </w:p>
        </w:tc>
        <w:tc>
          <w:tcPr>
            <w:tcW w:w="3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2"/>
              </w:rPr>
              <w:t>Boston-Cambridge-Quincy, MA-NH</w:t>
            </w:r>
          </w:p>
        </w:tc>
        <w:tc>
          <w:tcPr>
            <w:tcW w:w="60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2006</w:t>
            </w:r>
          </w:p>
        </w:tc>
        <w:tc>
          <w:tcPr>
            <w:tcW w:w="84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110,531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100,000</w:t>
            </w:r>
          </w:p>
        </w:tc>
        <w:tc>
          <w:tcPr>
            <w:tcW w:w="6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95%</w:t>
            </w:r>
          </w:p>
        </w:tc>
        <w:tc>
          <w:tcPr>
            <w:tcW w:w="9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90%</w:t>
            </w:r>
          </w:p>
        </w:tc>
        <w:tc>
          <w:tcPr>
            <w:tcW w:w="5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34.80</w:t>
            </w:r>
          </w:p>
        </w:tc>
        <w:tc>
          <w:tcPr>
            <w:tcW w:w="5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33,000</w:t>
            </w:r>
          </w:p>
        </w:tc>
        <w:tc>
          <w:tcPr>
            <w:tcW w:w="256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Roche Brothers Fitness Club for Women /</w:t>
            </w:r>
          </w:p>
        </w:tc>
        <w:tc>
          <w:tcPr>
            <w:tcW w:w="0" w:type="dxa"/>
            <w:vAlign w:val="bottom"/>
          </w:tcPr>
          <w:p>
            <w:pPr>
              <w:spacing w:after="0"/>
              <w:rPr>
                <w:sz w:val="1"/>
                <w:szCs w:val="1"/>
                <w:color w:val="auto"/>
              </w:rPr>
            </w:pPr>
          </w:p>
        </w:tc>
      </w:tr>
      <w:tr>
        <w:trPr>
          <w:trHeight w:val="15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3"/>
                <w:szCs w:val="13"/>
                <w:color w:val="auto"/>
                <w:w w:val="98"/>
              </w:rPr>
              <w:t>Supermarkets</w:t>
            </w:r>
          </w:p>
        </w:tc>
        <w:tc>
          <w:tcPr>
            <w:tcW w:w="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w w:val="99"/>
              </w:rPr>
              <w:t>Wellesley Volkswagen, Buick</w:t>
            </w:r>
          </w:p>
        </w:tc>
        <w:tc>
          <w:tcPr>
            <w:tcW w:w="0" w:type="dxa"/>
            <w:vAlign w:val="bottom"/>
          </w:tcPr>
          <w:p>
            <w:pPr>
              <w:spacing w:after="0"/>
              <w:rPr>
                <w:sz w:val="1"/>
                <w:szCs w:val="1"/>
                <w:color w:val="auto"/>
              </w:rPr>
            </w:pPr>
          </w:p>
        </w:tc>
      </w:tr>
      <w:tr>
        <w:trPr>
          <w:trHeight w:val="141"/>
        </w:trPr>
        <w:tc>
          <w:tcPr>
            <w:tcW w:w="1260" w:type="dxa"/>
            <w:vAlign w:val="bottom"/>
            <w:gridSpan w:val="6"/>
          </w:tcPr>
          <w:p>
            <w:pPr>
              <w:spacing w:after="0" w:line="141" w:lineRule="exact"/>
              <w:rPr>
                <w:sz w:val="20"/>
                <w:szCs w:val="20"/>
                <w:color w:val="auto"/>
              </w:rPr>
            </w:pPr>
            <w:r>
              <w:rPr>
                <w:rFonts w:ascii="Arial" w:cs="Arial" w:eastAsia="Arial" w:hAnsi="Arial"/>
                <w:sz w:val="13"/>
                <w:szCs w:val="13"/>
                <w:color w:val="auto"/>
              </w:rPr>
              <w:t>North Dartmouth</w:t>
            </w:r>
          </w:p>
        </w:tc>
        <w:tc>
          <w:tcPr>
            <w:tcW w:w="320" w:type="dxa"/>
            <w:vAlign w:val="bottom"/>
          </w:tcPr>
          <w:p>
            <w:pPr>
              <w:jc w:val="right"/>
              <w:spacing w:after="0" w:line="141" w:lineRule="exact"/>
              <w:rPr>
                <w:sz w:val="20"/>
                <w:szCs w:val="20"/>
                <w:color w:val="auto"/>
              </w:rPr>
            </w:pPr>
            <w:r>
              <w:rPr>
                <w:rFonts w:ascii="Arial" w:cs="Arial" w:eastAsia="Arial" w:hAnsi="Arial"/>
                <w:sz w:val="13"/>
                <w:szCs w:val="13"/>
                <w:color w:val="auto"/>
              </w:rPr>
              <w:t>(11)</w:t>
            </w:r>
          </w:p>
        </w:tc>
        <w:tc>
          <w:tcPr>
            <w:tcW w:w="1900" w:type="dxa"/>
            <w:vAlign w:val="bottom"/>
          </w:tcPr>
          <w:p>
            <w:pPr>
              <w:spacing w:after="0" w:line="141" w:lineRule="exact"/>
              <w:rPr>
                <w:sz w:val="20"/>
                <w:szCs w:val="20"/>
                <w:color w:val="auto"/>
              </w:rPr>
            </w:pPr>
            <w:r>
              <w:rPr>
                <w:rFonts w:ascii="Arial" w:cs="Arial" w:eastAsia="Arial" w:hAnsi="Arial"/>
                <w:sz w:val="13"/>
                <w:szCs w:val="13"/>
                <w:color w:val="auto"/>
                <w:w w:val="92"/>
              </w:rPr>
              <w:t>Boston-Cambridge-Quincy, MA-NH</w:t>
            </w:r>
          </w:p>
        </w:tc>
        <w:tc>
          <w:tcPr>
            <w:tcW w:w="600" w:type="dxa"/>
            <w:vAlign w:val="bottom"/>
            <w:gridSpan w:val="3"/>
          </w:tcPr>
          <w:p>
            <w:pPr>
              <w:jc w:val="right"/>
              <w:ind w:right="20"/>
              <w:spacing w:after="0" w:line="141" w:lineRule="exact"/>
              <w:rPr>
                <w:sz w:val="20"/>
                <w:szCs w:val="20"/>
                <w:color w:val="auto"/>
              </w:rPr>
            </w:pPr>
            <w:r>
              <w:rPr>
                <w:rFonts w:ascii="Arial" w:cs="Arial" w:eastAsia="Arial" w:hAnsi="Arial"/>
                <w:sz w:val="13"/>
                <w:szCs w:val="13"/>
                <w:color w:val="auto"/>
              </w:rPr>
              <w:t>2006</w:t>
            </w:r>
          </w:p>
        </w:tc>
        <w:tc>
          <w:tcPr>
            <w:tcW w:w="8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27,214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183,000</w:t>
            </w:r>
          </w:p>
        </w:tc>
        <w:tc>
          <w:tcPr>
            <w:tcW w:w="60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100%</w:t>
            </w:r>
          </w:p>
        </w:tc>
        <w:tc>
          <w:tcPr>
            <w:tcW w:w="50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9.96</w:t>
            </w:r>
          </w:p>
        </w:tc>
        <w:tc>
          <w:tcPr>
            <w:tcW w:w="50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48,000</w:t>
            </w:r>
          </w:p>
        </w:tc>
        <w:tc>
          <w:tcPr>
            <w:tcW w:w="820" w:type="dxa"/>
            <w:vAlign w:val="bottom"/>
          </w:tcPr>
          <w:p>
            <w:pPr>
              <w:spacing w:after="0" w:line="141" w:lineRule="exact"/>
              <w:rPr>
                <w:sz w:val="20"/>
                <w:szCs w:val="20"/>
                <w:color w:val="auto"/>
              </w:rPr>
            </w:pPr>
            <w:r>
              <w:rPr>
                <w:rFonts w:ascii="Arial" w:cs="Arial" w:eastAsia="Arial" w:hAnsi="Arial"/>
                <w:sz w:val="13"/>
                <w:szCs w:val="13"/>
                <w:color w:val="auto"/>
              </w:rPr>
              <w:t>Stop &amp; Shop</w:t>
            </w:r>
          </w:p>
        </w:tc>
        <w:tc>
          <w:tcPr>
            <w:tcW w:w="40" w:type="dxa"/>
            <w:vAlign w:val="bottom"/>
          </w:tcPr>
          <w:p>
            <w:pPr>
              <w:spacing w:after="0"/>
              <w:rPr>
                <w:sz w:val="12"/>
                <w:szCs w:val="12"/>
                <w:color w:val="auto"/>
              </w:rPr>
            </w:pPr>
          </w:p>
        </w:tc>
        <w:tc>
          <w:tcPr>
            <w:tcW w:w="1700" w:type="dxa"/>
            <w:vAlign w:val="bottom"/>
          </w:tcPr>
          <w:p>
            <w:pPr>
              <w:spacing w:after="0" w:line="141" w:lineRule="exact"/>
              <w:rPr>
                <w:sz w:val="20"/>
                <w:szCs w:val="20"/>
                <w:color w:val="auto"/>
              </w:rPr>
            </w:pPr>
            <w:r>
              <w:rPr>
                <w:rFonts w:ascii="Arial" w:cs="Arial" w:eastAsia="Arial" w:hAnsi="Arial"/>
                <w:sz w:val="13"/>
                <w:szCs w:val="13"/>
                <w:color w:val="auto"/>
              </w:rPr>
              <w:t>Lowe’s Home Center</w:t>
            </w:r>
          </w:p>
        </w:tc>
        <w:tc>
          <w:tcPr>
            <w:tcW w:w="0" w:type="dxa"/>
            <w:vAlign w:val="bottom"/>
          </w:tcPr>
          <w:p>
            <w:pPr>
              <w:spacing w:after="0"/>
              <w:rPr>
                <w:sz w:val="1"/>
                <w:szCs w:val="1"/>
                <w:color w:val="auto"/>
              </w:rPr>
            </w:pPr>
          </w:p>
        </w:tc>
      </w:tr>
      <w:tr>
        <w:trPr>
          <w:trHeight w:val="132"/>
        </w:trPr>
        <w:tc>
          <w:tcPr>
            <w:tcW w:w="1260" w:type="dxa"/>
            <w:vAlign w:val="bottom"/>
            <w:gridSpan w:val="6"/>
            <w:shd w:val="clear" w:color="auto" w:fill="CCEEFF"/>
          </w:tcPr>
          <w:p>
            <w:pPr>
              <w:spacing w:after="0" w:line="133" w:lineRule="exact"/>
              <w:rPr>
                <w:sz w:val="20"/>
                <w:szCs w:val="20"/>
                <w:color w:val="auto"/>
              </w:rPr>
            </w:pPr>
            <w:r>
              <w:rPr>
                <w:rFonts w:ascii="Arial" w:cs="Arial" w:eastAsia="Arial" w:hAnsi="Arial"/>
                <w:sz w:val="13"/>
                <w:szCs w:val="13"/>
                <w:color w:val="auto"/>
              </w:rPr>
              <w:t>Queen Anne Plaza</w:t>
            </w:r>
          </w:p>
        </w:tc>
        <w:tc>
          <w:tcPr>
            <w:tcW w:w="3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2"/>
              </w:rPr>
              <w:t>Boston-Cambridge-Quincy, MA-NH</w:t>
            </w:r>
          </w:p>
        </w:tc>
        <w:tc>
          <w:tcPr>
            <w:tcW w:w="60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1994</w:t>
            </w:r>
          </w:p>
        </w:tc>
        <w:tc>
          <w:tcPr>
            <w:tcW w:w="8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15,017</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149,000</w:t>
            </w:r>
          </w:p>
        </w:tc>
        <w:tc>
          <w:tcPr>
            <w:tcW w:w="6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100%</w:t>
            </w:r>
          </w:p>
        </w:tc>
        <w:tc>
          <w:tcPr>
            <w:tcW w:w="5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14.98</w:t>
            </w:r>
          </w:p>
        </w:tc>
        <w:tc>
          <w:tcPr>
            <w:tcW w:w="5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50,000</w:t>
            </w:r>
          </w:p>
        </w:tc>
        <w:tc>
          <w:tcPr>
            <w:tcW w:w="8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Victory</w:t>
            </w:r>
          </w:p>
        </w:tc>
        <w:tc>
          <w:tcPr>
            <w:tcW w:w="4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5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3"/>
                <w:szCs w:val="13"/>
                <w:color w:val="auto"/>
              </w:rPr>
              <w:t>Supermarket</w:t>
            </w:r>
          </w:p>
        </w:tc>
        <w:tc>
          <w:tcPr>
            <w:tcW w:w="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260" w:type="dxa"/>
            <w:vAlign w:val="bottom"/>
            <w:gridSpan w:val="6"/>
          </w:tcPr>
          <w:p>
            <w:pPr>
              <w:spacing w:after="0" w:line="133" w:lineRule="exact"/>
              <w:rPr>
                <w:sz w:val="20"/>
                <w:szCs w:val="20"/>
                <w:color w:val="auto"/>
              </w:rPr>
            </w:pPr>
            <w:r>
              <w:rPr>
                <w:rFonts w:ascii="Arial" w:cs="Arial" w:eastAsia="Arial" w:hAnsi="Arial"/>
                <w:sz w:val="13"/>
                <w:szCs w:val="13"/>
                <w:color w:val="auto"/>
              </w:rPr>
              <w:t>Riverside</w:t>
            </w:r>
          </w:p>
        </w:tc>
        <w:tc>
          <w:tcPr>
            <w:tcW w:w="320" w:type="dxa"/>
            <w:vAlign w:val="bottom"/>
          </w:tcPr>
          <w:p>
            <w:pPr>
              <w:spacing w:after="0"/>
              <w:rPr>
                <w:sz w:val="11"/>
                <w:szCs w:val="11"/>
                <w:color w:val="auto"/>
              </w:rPr>
            </w:pPr>
          </w:p>
        </w:tc>
        <w:tc>
          <w:tcPr>
            <w:tcW w:w="1900" w:type="dxa"/>
            <w:vAlign w:val="bottom"/>
          </w:tcPr>
          <w:p>
            <w:pPr>
              <w:spacing w:after="0" w:line="133" w:lineRule="exact"/>
              <w:rPr>
                <w:sz w:val="20"/>
                <w:szCs w:val="20"/>
                <w:color w:val="auto"/>
              </w:rPr>
            </w:pPr>
            <w:r>
              <w:rPr>
                <w:rFonts w:ascii="Arial" w:cs="Arial" w:eastAsia="Arial" w:hAnsi="Arial"/>
                <w:sz w:val="13"/>
                <w:szCs w:val="13"/>
                <w:color w:val="auto"/>
                <w:w w:val="92"/>
              </w:rPr>
              <w:t>Boston-Cambridge-Quincy, MA-NH</w:t>
            </w:r>
          </w:p>
        </w:tc>
        <w:tc>
          <w:tcPr>
            <w:tcW w:w="600" w:type="dxa"/>
            <w:vAlign w:val="bottom"/>
            <w:gridSpan w:val="3"/>
          </w:tcPr>
          <w:p>
            <w:pPr>
              <w:jc w:val="right"/>
              <w:ind w:right="20"/>
              <w:spacing w:after="0" w:line="133" w:lineRule="exact"/>
              <w:rPr>
                <w:sz w:val="20"/>
                <w:szCs w:val="20"/>
                <w:color w:val="auto"/>
              </w:rPr>
            </w:pPr>
            <w:r>
              <w:rPr>
                <w:rFonts w:ascii="Arial" w:cs="Arial" w:eastAsia="Arial" w:hAnsi="Arial"/>
                <w:sz w:val="13"/>
                <w:szCs w:val="13"/>
                <w:color w:val="auto"/>
              </w:rPr>
              <w:t>2006</w:t>
            </w:r>
          </w:p>
        </w:tc>
        <w:tc>
          <w:tcPr>
            <w:tcW w:w="80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28,882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218,000</w:t>
            </w:r>
          </w:p>
        </w:tc>
        <w:tc>
          <w:tcPr>
            <w:tcW w:w="60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100%</w:t>
            </w:r>
          </w:p>
        </w:tc>
        <w:tc>
          <w:tcPr>
            <w:tcW w:w="50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9.01</w:t>
            </w:r>
          </w:p>
        </w:tc>
        <w:tc>
          <w:tcPr>
            <w:tcW w:w="50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65,000</w:t>
            </w:r>
          </w:p>
        </w:tc>
        <w:tc>
          <w:tcPr>
            <w:tcW w:w="820" w:type="dxa"/>
            <w:vAlign w:val="bottom"/>
          </w:tcPr>
          <w:p>
            <w:pPr>
              <w:spacing w:after="0" w:line="133" w:lineRule="exact"/>
              <w:rPr>
                <w:sz w:val="20"/>
                <w:szCs w:val="20"/>
                <w:color w:val="auto"/>
              </w:rPr>
            </w:pPr>
            <w:r>
              <w:rPr>
                <w:rFonts w:ascii="Arial" w:cs="Arial" w:eastAsia="Arial" w:hAnsi="Arial"/>
                <w:sz w:val="13"/>
                <w:szCs w:val="13"/>
                <w:color w:val="auto"/>
              </w:rPr>
              <w:t>Shaw’s</w:t>
            </w:r>
          </w:p>
        </w:tc>
        <w:tc>
          <w:tcPr>
            <w:tcW w:w="40" w:type="dxa"/>
            <w:vAlign w:val="bottom"/>
          </w:tcPr>
          <w:p>
            <w:pPr>
              <w:spacing w:after="0"/>
              <w:rPr>
                <w:sz w:val="11"/>
                <w:szCs w:val="11"/>
                <w:color w:val="auto"/>
              </w:rPr>
            </w:pPr>
          </w:p>
        </w:tc>
        <w:tc>
          <w:tcPr>
            <w:tcW w:w="1700" w:type="dxa"/>
            <w:vAlign w:val="bottom"/>
          </w:tcPr>
          <w:p>
            <w:pPr>
              <w:spacing w:after="0" w:line="133" w:lineRule="exact"/>
              <w:rPr>
                <w:sz w:val="20"/>
                <w:szCs w:val="20"/>
                <w:color w:val="auto"/>
              </w:rPr>
            </w:pPr>
            <w:r>
              <w:rPr>
                <w:rFonts w:ascii="Arial" w:cs="Arial" w:eastAsia="Arial" w:hAnsi="Arial"/>
                <w:sz w:val="13"/>
                <w:szCs w:val="13"/>
                <w:color w:val="auto"/>
              </w:rPr>
              <w:t>Brooks Pharmacy / Walmart</w:t>
            </w: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Supermarket</w:t>
            </w: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Super Stop &amp;</w:t>
            </w:r>
          </w:p>
        </w:tc>
        <w:tc>
          <w:tcPr>
            <w:tcW w:w="4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2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Saugus Plaza</w:t>
            </w:r>
          </w:p>
        </w:tc>
        <w:tc>
          <w:tcPr>
            <w:tcW w:w="32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3"/>
                <w:szCs w:val="13"/>
                <w:color w:val="auto"/>
                <w:w w:val="92"/>
              </w:rPr>
              <w:t>Boston-Cambridge-Quincy, MA-NH</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1996</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171,000</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10.41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55,000</w:t>
            </w:r>
          </w:p>
        </w:tc>
        <w:tc>
          <w:tcPr>
            <w:tcW w:w="820" w:type="dxa"/>
            <w:vAlign w:val="bottom"/>
            <w:shd w:val="clear" w:color="auto" w:fill="CCEEFF"/>
          </w:tcPr>
          <w:p>
            <w:pPr>
              <w:spacing w:after="0"/>
              <w:rPr>
                <w:sz w:val="20"/>
                <w:szCs w:val="20"/>
                <w:color w:val="auto"/>
              </w:rPr>
            </w:pPr>
            <w:r>
              <w:rPr>
                <w:rFonts w:ascii="Arial" w:cs="Arial" w:eastAsia="Arial" w:hAnsi="Arial"/>
                <w:sz w:val="13"/>
                <w:szCs w:val="13"/>
                <w:color w:val="auto"/>
              </w:rPr>
              <w:t>Shop</w:t>
            </w:r>
          </w:p>
        </w:tc>
        <w:tc>
          <w:tcPr>
            <w:tcW w:w="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Kmart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vMerge w:val="restart"/>
          </w:tcPr>
          <w:p>
            <w:pPr>
              <w:spacing w:after="0"/>
              <w:rPr>
                <w:sz w:val="20"/>
                <w:szCs w:val="20"/>
                <w:color w:val="auto"/>
              </w:rPr>
            </w:pPr>
            <w:r>
              <w:rPr>
                <w:rFonts w:ascii="Arial" w:cs="Arial" w:eastAsia="Arial" w:hAnsi="Arial"/>
                <w:sz w:val="13"/>
                <w:szCs w:val="13"/>
                <w:b w:val="1"/>
                <w:bCs w:val="1"/>
                <w:color w:val="auto"/>
              </w:rPr>
              <w:t>Total New England</w:t>
            </w: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389,512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w w:val="96"/>
              </w:rPr>
              <w:t>1,972,000</w:t>
            </w:r>
          </w:p>
        </w:tc>
        <w:tc>
          <w:tcPr>
            <w:tcW w:w="40" w:type="dxa"/>
            <w:vAlign w:val="bottom"/>
          </w:tcPr>
          <w:p>
            <w:pPr>
              <w:spacing w:after="0"/>
              <w:rPr>
                <w:sz w:val="12"/>
                <w:szCs w:val="12"/>
                <w:color w:val="auto"/>
              </w:rPr>
            </w:pPr>
          </w:p>
        </w:tc>
        <w:tc>
          <w:tcPr>
            <w:tcW w:w="5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99%</w:t>
            </w:r>
          </w:p>
        </w:tc>
        <w:tc>
          <w:tcPr>
            <w:tcW w:w="9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97%</w:t>
            </w:r>
          </w:p>
        </w:tc>
        <w:tc>
          <w:tcPr>
            <w:tcW w:w="5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13.11</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5"/>
              </w:rPr>
              <w:t>Chicago</w:t>
            </w:r>
          </w:p>
        </w:tc>
        <w:tc>
          <w:tcPr>
            <w:tcW w:w="800" w:type="dxa"/>
            <w:vAlign w:val="bottom"/>
            <w:tcBorders>
              <w:bottom w:val="single" w:sz="8" w:color="CCEEFF"/>
            </w:tcBorders>
            <w:gridSpan w:val="5"/>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7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260" w:type="dxa"/>
            <w:vAlign w:val="bottom"/>
            <w:gridSpan w:val="6"/>
          </w:tcPr>
          <w:p>
            <w:pPr>
              <w:spacing w:after="0" w:line="126" w:lineRule="exact"/>
              <w:rPr>
                <w:sz w:val="20"/>
                <w:szCs w:val="20"/>
                <w:color w:val="auto"/>
              </w:rPr>
            </w:pPr>
            <w:r>
              <w:rPr>
                <w:rFonts w:ascii="Arial" w:cs="Arial" w:eastAsia="Arial" w:hAnsi="Arial"/>
                <w:sz w:val="13"/>
                <w:szCs w:val="13"/>
                <w:color w:val="auto"/>
              </w:rPr>
              <w:t>Crossroads</w:t>
            </w:r>
          </w:p>
        </w:tc>
        <w:tc>
          <w:tcPr>
            <w:tcW w:w="320" w:type="dxa"/>
            <w:vAlign w:val="bottom"/>
          </w:tcPr>
          <w:p>
            <w:pPr>
              <w:spacing w:after="0"/>
              <w:rPr>
                <w:sz w:val="10"/>
                <w:szCs w:val="10"/>
                <w:color w:val="auto"/>
              </w:rPr>
            </w:pPr>
          </w:p>
        </w:tc>
        <w:tc>
          <w:tcPr>
            <w:tcW w:w="1900" w:type="dxa"/>
            <w:vAlign w:val="bottom"/>
          </w:tcPr>
          <w:p>
            <w:pPr>
              <w:spacing w:after="0" w:line="126" w:lineRule="exact"/>
              <w:rPr>
                <w:sz w:val="20"/>
                <w:szCs w:val="20"/>
                <w:color w:val="auto"/>
              </w:rPr>
            </w:pPr>
            <w:r>
              <w:rPr>
                <w:rFonts w:ascii="Arial" w:cs="Arial" w:eastAsia="Arial" w:hAnsi="Arial"/>
                <w:sz w:val="13"/>
                <w:szCs w:val="13"/>
                <w:color w:val="auto"/>
              </w:rPr>
              <w:t>Chicago, IL</w:t>
            </w:r>
          </w:p>
        </w:tc>
        <w:tc>
          <w:tcPr>
            <w:tcW w:w="600" w:type="dxa"/>
            <w:vAlign w:val="bottom"/>
            <w:gridSpan w:val="3"/>
          </w:tcPr>
          <w:p>
            <w:pPr>
              <w:jc w:val="right"/>
              <w:ind w:right="20"/>
              <w:spacing w:after="0" w:line="126" w:lineRule="exact"/>
              <w:rPr>
                <w:sz w:val="20"/>
                <w:szCs w:val="20"/>
                <w:color w:val="auto"/>
              </w:rPr>
            </w:pPr>
            <w:r>
              <w:rPr>
                <w:rFonts w:ascii="Arial" w:cs="Arial" w:eastAsia="Arial" w:hAnsi="Arial"/>
                <w:sz w:val="13"/>
                <w:szCs w:val="13"/>
                <w:color w:val="auto"/>
              </w:rPr>
              <w:t>1993</w:t>
            </w:r>
          </w:p>
        </w:tc>
        <w:tc>
          <w:tcPr>
            <w:tcW w:w="840" w:type="dxa"/>
            <w:vAlign w:val="bottom"/>
            <w:gridSpan w:val="3"/>
          </w:tcPr>
          <w:p>
            <w:pPr>
              <w:jc w:val="right"/>
              <w:ind w:right="40"/>
              <w:spacing w:after="0" w:line="126" w:lineRule="exact"/>
              <w:rPr>
                <w:sz w:val="20"/>
                <w:szCs w:val="20"/>
                <w:color w:val="auto"/>
              </w:rPr>
            </w:pPr>
            <w:r>
              <w:rPr>
                <w:rFonts w:ascii="Arial" w:cs="Arial" w:eastAsia="Arial" w:hAnsi="Arial"/>
                <w:sz w:val="13"/>
                <w:szCs w:val="13"/>
                <w:color w:val="auto"/>
              </w:rPr>
              <w:t>22,811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173,000</w:t>
            </w:r>
          </w:p>
        </w:tc>
        <w:tc>
          <w:tcPr>
            <w:tcW w:w="600" w:type="dxa"/>
            <w:vAlign w:val="bottom"/>
            <w:gridSpan w:val="3"/>
          </w:tcPr>
          <w:p>
            <w:pPr>
              <w:jc w:val="right"/>
              <w:ind w:right="60"/>
              <w:spacing w:after="0" w:line="126" w:lineRule="exact"/>
              <w:rPr>
                <w:sz w:val="20"/>
                <w:szCs w:val="20"/>
                <w:color w:val="auto"/>
              </w:rPr>
            </w:pPr>
            <w:r>
              <w:rPr>
                <w:rFonts w:ascii="Arial" w:cs="Arial" w:eastAsia="Arial" w:hAnsi="Arial"/>
                <w:sz w:val="13"/>
                <w:szCs w:val="13"/>
                <w:color w:val="auto"/>
              </w:rPr>
              <w:t>95%</w:t>
            </w:r>
          </w:p>
        </w:tc>
        <w:tc>
          <w:tcPr>
            <w:tcW w:w="900" w:type="dxa"/>
            <w:vAlign w:val="bottom"/>
            <w:gridSpan w:val="2"/>
          </w:tcPr>
          <w:p>
            <w:pPr>
              <w:jc w:val="right"/>
              <w:ind w:right="80"/>
              <w:spacing w:after="0" w:line="126" w:lineRule="exact"/>
              <w:rPr>
                <w:sz w:val="20"/>
                <w:szCs w:val="20"/>
                <w:color w:val="auto"/>
              </w:rPr>
            </w:pPr>
            <w:r>
              <w:rPr>
                <w:rFonts w:ascii="Arial" w:cs="Arial" w:eastAsia="Arial" w:hAnsi="Arial"/>
                <w:sz w:val="13"/>
                <w:szCs w:val="13"/>
                <w:color w:val="auto"/>
              </w:rPr>
              <w:t>95%</w:t>
            </w:r>
          </w:p>
        </w:tc>
        <w:tc>
          <w:tcPr>
            <w:tcW w:w="500" w:type="dxa"/>
            <w:vAlign w:val="bottom"/>
            <w:gridSpan w:val="2"/>
          </w:tcPr>
          <w:p>
            <w:pPr>
              <w:jc w:val="right"/>
              <w:ind w:right="60"/>
              <w:spacing w:after="0" w:line="126" w:lineRule="exact"/>
              <w:rPr>
                <w:sz w:val="20"/>
                <w:szCs w:val="20"/>
                <w:color w:val="auto"/>
              </w:rPr>
            </w:pPr>
            <w:r>
              <w:rPr>
                <w:rFonts w:ascii="Arial" w:cs="Arial" w:eastAsia="Arial" w:hAnsi="Arial"/>
                <w:sz w:val="13"/>
                <w:szCs w:val="13"/>
                <w:color w:val="auto"/>
              </w:rPr>
              <w:t>18.12</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line="126" w:lineRule="exact"/>
              <w:rPr>
                <w:sz w:val="20"/>
                <w:szCs w:val="20"/>
                <w:color w:val="auto"/>
              </w:rPr>
            </w:pPr>
            <w:r>
              <w:rPr>
                <w:rFonts w:ascii="Arial" w:cs="Arial" w:eastAsia="Arial" w:hAnsi="Arial"/>
                <w:sz w:val="13"/>
                <w:szCs w:val="13"/>
                <w:color w:val="auto"/>
                <w:w w:val="94"/>
              </w:rPr>
              <w:t>Comp USA / Golfsmith / Guitar</w:t>
            </w: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20"/>
                <w:szCs w:val="20"/>
                <w:color w:val="auto"/>
              </w:rPr>
            </w:pPr>
            <w:r>
              <w:rPr>
                <w:rFonts w:ascii="Arial" w:cs="Arial" w:eastAsia="Arial" w:hAnsi="Arial"/>
                <w:sz w:val="13"/>
                <w:szCs w:val="13"/>
                <w:color w:val="auto"/>
              </w:rPr>
              <w:t>Center</w:t>
            </w:r>
          </w:p>
        </w:tc>
        <w:tc>
          <w:tcPr>
            <w:tcW w:w="0" w:type="dxa"/>
            <w:vAlign w:val="bottom"/>
          </w:tcPr>
          <w:p>
            <w:pPr>
              <w:spacing w:after="0"/>
              <w:rPr>
                <w:sz w:val="1"/>
                <w:szCs w:val="1"/>
                <w:color w:val="auto"/>
              </w:rPr>
            </w:pPr>
          </w:p>
        </w:tc>
      </w:tr>
      <w:tr>
        <w:trPr>
          <w:trHeight w:val="132"/>
        </w:trPr>
        <w:tc>
          <w:tcPr>
            <w:tcW w:w="1260" w:type="dxa"/>
            <w:vAlign w:val="bottom"/>
            <w:gridSpan w:val="6"/>
            <w:shd w:val="clear" w:color="auto" w:fill="CCEEFF"/>
          </w:tcPr>
          <w:p>
            <w:pPr>
              <w:spacing w:after="0" w:line="133" w:lineRule="exact"/>
              <w:rPr>
                <w:sz w:val="20"/>
                <w:szCs w:val="20"/>
                <w:color w:val="auto"/>
              </w:rPr>
            </w:pPr>
            <w:r>
              <w:rPr>
                <w:rFonts w:ascii="Arial" w:cs="Arial" w:eastAsia="Arial" w:hAnsi="Arial"/>
                <w:sz w:val="13"/>
                <w:szCs w:val="13"/>
                <w:color w:val="auto"/>
              </w:rPr>
              <w:t>Finley Square</w:t>
            </w:r>
          </w:p>
        </w:tc>
        <w:tc>
          <w:tcPr>
            <w:tcW w:w="3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Chicago, IL</w:t>
            </w:r>
          </w:p>
        </w:tc>
        <w:tc>
          <w:tcPr>
            <w:tcW w:w="60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1995</w:t>
            </w:r>
          </w:p>
        </w:tc>
        <w:tc>
          <w:tcPr>
            <w:tcW w:w="8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29,077</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315,000</w:t>
            </w:r>
          </w:p>
        </w:tc>
        <w:tc>
          <w:tcPr>
            <w:tcW w:w="6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97%</w:t>
            </w:r>
          </w:p>
        </w:tc>
        <w:tc>
          <w:tcPr>
            <w:tcW w:w="9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97%</w:t>
            </w:r>
          </w:p>
        </w:tc>
        <w:tc>
          <w:tcPr>
            <w:tcW w:w="5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8.97</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Bed, Bath &amp; Beyond / Sports</w:t>
            </w:r>
          </w:p>
        </w:tc>
        <w:tc>
          <w:tcPr>
            <w:tcW w:w="0" w:type="dxa"/>
            <w:vAlign w:val="bottom"/>
          </w:tcPr>
          <w:p>
            <w:pPr>
              <w:spacing w:after="0"/>
              <w:rPr>
                <w:sz w:val="1"/>
                <w:szCs w:val="1"/>
                <w:color w:val="auto"/>
              </w:rPr>
            </w:pPr>
          </w:p>
        </w:tc>
      </w:tr>
      <w:tr>
        <w:trPr>
          <w:trHeight w:val="15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Authority</w:t>
            </w:r>
          </w:p>
        </w:tc>
        <w:tc>
          <w:tcPr>
            <w:tcW w:w="0" w:type="dxa"/>
            <w:vAlign w:val="bottom"/>
          </w:tcPr>
          <w:p>
            <w:pPr>
              <w:spacing w:after="0"/>
              <w:rPr>
                <w:sz w:val="1"/>
                <w:szCs w:val="1"/>
                <w:color w:val="auto"/>
              </w:rPr>
            </w:pPr>
          </w:p>
        </w:tc>
      </w:tr>
      <w:tr>
        <w:trPr>
          <w:trHeight w:val="141"/>
        </w:trPr>
        <w:tc>
          <w:tcPr>
            <w:tcW w:w="1260" w:type="dxa"/>
            <w:vAlign w:val="bottom"/>
            <w:gridSpan w:val="6"/>
          </w:tcPr>
          <w:p>
            <w:pPr>
              <w:spacing w:after="0" w:line="141" w:lineRule="exact"/>
              <w:rPr>
                <w:sz w:val="20"/>
                <w:szCs w:val="20"/>
                <w:color w:val="auto"/>
              </w:rPr>
            </w:pPr>
            <w:r>
              <w:rPr>
                <w:rFonts w:ascii="Arial" w:cs="Arial" w:eastAsia="Arial" w:hAnsi="Arial"/>
                <w:sz w:val="13"/>
                <w:szCs w:val="13"/>
                <w:color w:val="auto"/>
              </w:rPr>
              <w:t>Garden Market</w:t>
            </w:r>
          </w:p>
        </w:tc>
        <w:tc>
          <w:tcPr>
            <w:tcW w:w="320" w:type="dxa"/>
            <w:vAlign w:val="bottom"/>
          </w:tcPr>
          <w:p>
            <w:pPr>
              <w:spacing w:after="0"/>
              <w:rPr>
                <w:sz w:val="12"/>
                <w:szCs w:val="12"/>
                <w:color w:val="auto"/>
              </w:rPr>
            </w:pPr>
          </w:p>
        </w:tc>
        <w:tc>
          <w:tcPr>
            <w:tcW w:w="1900" w:type="dxa"/>
            <w:vAlign w:val="bottom"/>
          </w:tcPr>
          <w:p>
            <w:pPr>
              <w:spacing w:after="0" w:line="141" w:lineRule="exact"/>
              <w:rPr>
                <w:sz w:val="20"/>
                <w:szCs w:val="20"/>
                <w:color w:val="auto"/>
              </w:rPr>
            </w:pPr>
            <w:r>
              <w:rPr>
                <w:rFonts w:ascii="Arial" w:cs="Arial" w:eastAsia="Arial" w:hAnsi="Arial"/>
                <w:sz w:val="13"/>
                <w:szCs w:val="13"/>
                <w:color w:val="auto"/>
              </w:rPr>
              <w:t>Chicago, IL</w:t>
            </w:r>
          </w:p>
        </w:tc>
        <w:tc>
          <w:tcPr>
            <w:tcW w:w="600" w:type="dxa"/>
            <w:vAlign w:val="bottom"/>
            <w:gridSpan w:val="3"/>
          </w:tcPr>
          <w:p>
            <w:pPr>
              <w:jc w:val="right"/>
              <w:ind w:right="20"/>
              <w:spacing w:after="0" w:line="141" w:lineRule="exact"/>
              <w:rPr>
                <w:sz w:val="20"/>
                <w:szCs w:val="20"/>
                <w:color w:val="auto"/>
              </w:rPr>
            </w:pPr>
            <w:r>
              <w:rPr>
                <w:rFonts w:ascii="Arial" w:cs="Arial" w:eastAsia="Arial" w:hAnsi="Arial"/>
                <w:sz w:val="13"/>
                <w:szCs w:val="13"/>
                <w:color w:val="auto"/>
              </w:rPr>
              <w:t>1994</w:t>
            </w:r>
          </w:p>
        </w:tc>
        <w:tc>
          <w:tcPr>
            <w:tcW w:w="84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11,275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140,000</w:t>
            </w:r>
          </w:p>
        </w:tc>
        <w:tc>
          <w:tcPr>
            <w:tcW w:w="60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96%</w:t>
            </w:r>
          </w:p>
        </w:tc>
        <w:tc>
          <w:tcPr>
            <w:tcW w:w="9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96%</w:t>
            </w:r>
          </w:p>
        </w:tc>
        <w:tc>
          <w:tcPr>
            <w:tcW w:w="50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12.11</w:t>
            </w:r>
          </w:p>
        </w:tc>
        <w:tc>
          <w:tcPr>
            <w:tcW w:w="50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63,000</w:t>
            </w:r>
          </w:p>
        </w:tc>
        <w:tc>
          <w:tcPr>
            <w:tcW w:w="820" w:type="dxa"/>
            <w:vAlign w:val="bottom"/>
          </w:tcPr>
          <w:p>
            <w:pPr>
              <w:spacing w:after="0" w:line="141" w:lineRule="exact"/>
              <w:rPr>
                <w:sz w:val="20"/>
                <w:szCs w:val="20"/>
                <w:color w:val="auto"/>
              </w:rPr>
            </w:pPr>
            <w:r>
              <w:rPr>
                <w:rFonts w:ascii="Arial" w:cs="Arial" w:eastAsia="Arial" w:hAnsi="Arial"/>
                <w:sz w:val="13"/>
                <w:szCs w:val="13"/>
                <w:color w:val="auto"/>
              </w:rPr>
              <w:t>Dominick’s</w:t>
            </w:r>
          </w:p>
        </w:tc>
        <w:tc>
          <w:tcPr>
            <w:tcW w:w="40" w:type="dxa"/>
            <w:vAlign w:val="bottom"/>
          </w:tcPr>
          <w:p>
            <w:pPr>
              <w:spacing w:after="0"/>
              <w:rPr>
                <w:sz w:val="12"/>
                <w:szCs w:val="12"/>
                <w:color w:val="auto"/>
              </w:rPr>
            </w:pPr>
          </w:p>
        </w:tc>
        <w:tc>
          <w:tcPr>
            <w:tcW w:w="1700" w:type="dxa"/>
            <w:vAlign w:val="bottom"/>
          </w:tcPr>
          <w:p>
            <w:pPr>
              <w:spacing w:after="0" w:line="141"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41"/>
        </w:trPr>
        <w:tc>
          <w:tcPr>
            <w:tcW w:w="1260" w:type="dxa"/>
            <w:vAlign w:val="bottom"/>
            <w:gridSpan w:val="6"/>
            <w:shd w:val="clear" w:color="auto" w:fill="CCEEFF"/>
          </w:tcPr>
          <w:p>
            <w:pPr>
              <w:spacing w:after="0" w:line="141" w:lineRule="exact"/>
              <w:rPr>
                <w:sz w:val="20"/>
                <w:szCs w:val="20"/>
                <w:color w:val="auto"/>
              </w:rPr>
            </w:pPr>
            <w:r>
              <w:rPr>
                <w:rFonts w:ascii="Arial" w:cs="Arial" w:eastAsia="Arial" w:hAnsi="Arial"/>
                <w:sz w:val="13"/>
                <w:szCs w:val="13"/>
                <w:color w:val="auto"/>
                <w:w w:val="98"/>
              </w:rPr>
              <w:t>North Lake Commons</w:t>
            </w:r>
          </w:p>
        </w:tc>
        <w:tc>
          <w:tcPr>
            <w:tcW w:w="3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Chicago, IL</w:t>
            </w:r>
          </w:p>
        </w:tc>
        <w:tc>
          <w:tcPr>
            <w:tcW w:w="600" w:type="dxa"/>
            <w:vAlign w:val="bottom"/>
            <w:gridSpan w:val="3"/>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1994</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13,263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129,000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96%</w:t>
            </w:r>
          </w:p>
        </w:tc>
        <w:tc>
          <w:tcPr>
            <w:tcW w:w="9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96%</w:t>
            </w:r>
          </w:p>
        </w:tc>
        <w:tc>
          <w:tcPr>
            <w:tcW w:w="50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13.42</w:t>
            </w:r>
          </w:p>
        </w:tc>
        <w:tc>
          <w:tcPr>
            <w:tcW w:w="5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77,000</w:t>
            </w:r>
          </w:p>
        </w:tc>
        <w:tc>
          <w:tcPr>
            <w:tcW w:w="8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Dominick’s</w:t>
            </w:r>
          </w:p>
        </w:tc>
        <w:tc>
          <w:tcPr>
            <w:tcW w:w="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vMerge w:val="restart"/>
          </w:tcPr>
          <w:p>
            <w:pPr>
              <w:spacing w:after="0"/>
              <w:rPr>
                <w:sz w:val="20"/>
                <w:szCs w:val="20"/>
                <w:color w:val="auto"/>
              </w:rPr>
            </w:pPr>
            <w:r>
              <w:rPr>
                <w:rFonts w:ascii="Arial" w:cs="Arial" w:eastAsia="Arial" w:hAnsi="Arial"/>
                <w:sz w:val="13"/>
                <w:szCs w:val="13"/>
                <w:b w:val="1"/>
                <w:bCs w:val="1"/>
                <w:color w:val="auto"/>
              </w:rPr>
              <w:t>Total Chicago</w:t>
            </w: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76,426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757,000</w:t>
            </w:r>
          </w:p>
        </w:tc>
        <w:tc>
          <w:tcPr>
            <w:tcW w:w="40" w:type="dxa"/>
            <w:vAlign w:val="bottom"/>
          </w:tcPr>
          <w:p>
            <w:pPr>
              <w:spacing w:after="0"/>
              <w:rPr>
                <w:sz w:val="12"/>
                <w:szCs w:val="12"/>
                <w:color w:val="auto"/>
              </w:rPr>
            </w:pPr>
          </w:p>
        </w:tc>
        <w:tc>
          <w:tcPr>
            <w:tcW w:w="5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96%</w:t>
            </w:r>
          </w:p>
        </w:tc>
        <w:tc>
          <w:tcPr>
            <w:tcW w:w="9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96%</w:t>
            </w:r>
          </w:p>
        </w:tc>
        <w:tc>
          <w:tcPr>
            <w:tcW w:w="5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12.40</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00" w:type="dxa"/>
            <w:vAlign w:val="bottom"/>
            <w:tcBorders>
              <w:bottom w:val="single" w:sz="8" w:color="auto"/>
            </w:tcBorders>
            <w:gridSpan w:val="4"/>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8"/>
              </w:rPr>
              <w:t>East Region - Other</w:t>
            </w:r>
          </w:p>
        </w:tc>
        <w:tc>
          <w:tcPr>
            <w:tcW w:w="160" w:type="dxa"/>
            <w:vAlign w:val="bottom"/>
            <w:tcBorders>
              <w:bottom w:val="single" w:sz="8" w:color="CCEEFF"/>
            </w:tcBorders>
            <w:gridSpan w:val="2"/>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7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260" w:type="dxa"/>
            <w:vAlign w:val="bottom"/>
            <w:gridSpan w:val="6"/>
          </w:tcPr>
          <w:p>
            <w:pPr>
              <w:spacing w:after="0" w:line="126" w:lineRule="exact"/>
              <w:rPr>
                <w:sz w:val="20"/>
                <w:szCs w:val="20"/>
                <w:color w:val="auto"/>
              </w:rPr>
            </w:pPr>
            <w:r>
              <w:rPr>
                <w:rFonts w:ascii="Arial" w:cs="Arial" w:eastAsia="Arial" w:hAnsi="Arial"/>
                <w:sz w:val="13"/>
                <w:szCs w:val="13"/>
                <w:color w:val="auto"/>
              </w:rPr>
              <w:t>Barracks Road</w:t>
            </w:r>
          </w:p>
        </w:tc>
        <w:tc>
          <w:tcPr>
            <w:tcW w:w="320" w:type="dxa"/>
            <w:vAlign w:val="bottom"/>
          </w:tcPr>
          <w:p>
            <w:pPr>
              <w:spacing w:after="0"/>
              <w:rPr>
                <w:sz w:val="10"/>
                <w:szCs w:val="10"/>
                <w:color w:val="auto"/>
              </w:rPr>
            </w:pPr>
          </w:p>
        </w:tc>
        <w:tc>
          <w:tcPr>
            <w:tcW w:w="1900" w:type="dxa"/>
            <w:vAlign w:val="bottom"/>
          </w:tcPr>
          <w:p>
            <w:pPr>
              <w:spacing w:after="0" w:line="126" w:lineRule="exact"/>
              <w:rPr>
                <w:sz w:val="20"/>
                <w:szCs w:val="20"/>
                <w:color w:val="auto"/>
              </w:rPr>
            </w:pPr>
            <w:r>
              <w:rPr>
                <w:rFonts w:ascii="Arial" w:cs="Arial" w:eastAsia="Arial" w:hAnsi="Arial"/>
                <w:sz w:val="13"/>
                <w:szCs w:val="13"/>
                <w:color w:val="auto"/>
              </w:rPr>
              <w:t>Charlottesville, VA</w:t>
            </w:r>
          </w:p>
        </w:tc>
        <w:tc>
          <w:tcPr>
            <w:tcW w:w="600" w:type="dxa"/>
            <w:vAlign w:val="bottom"/>
            <w:gridSpan w:val="3"/>
          </w:tcPr>
          <w:p>
            <w:pPr>
              <w:jc w:val="right"/>
              <w:ind w:right="20"/>
              <w:spacing w:after="0" w:line="126" w:lineRule="exact"/>
              <w:rPr>
                <w:sz w:val="20"/>
                <w:szCs w:val="20"/>
                <w:color w:val="auto"/>
              </w:rPr>
            </w:pPr>
            <w:r>
              <w:rPr>
                <w:rFonts w:ascii="Arial" w:cs="Arial" w:eastAsia="Arial" w:hAnsi="Arial"/>
                <w:sz w:val="13"/>
                <w:szCs w:val="13"/>
                <w:color w:val="auto"/>
              </w:rPr>
              <w:t>1985</w:t>
            </w:r>
          </w:p>
        </w:tc>
        <w:tc>
          <w:tcPr>
            <w:tcW w:w="80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42,316</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Arial" w:cs="Arial" w:eastAsia="Arial" w:hAnsi="Arial"/>
                <w:sz w:val="13"/>
                <w:szCs w:val="13"/>
                <w:color w:val="auto"/>
              </w:rPr>
              <w:t>42,614</w:t>
            </w:r>
          </w:p>
        </w:tc>
        <w:tc>
          <w:tcPr>
            <w:tcW w:w="64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488,000</w:t>
            </w:r>
          </w:p>
        </w:tc>
        <w:tc>
          <w:tcPr>
            <w:tcW w:w="600" w:type="dxa"/>
            <w:vAlign w:val="bottom"/>
            <w:gridSpan w:val="3"/>
          </w:tcPr>
          <w:p>
            <w:pPr>
              <w:jc w:val="right"/>
              <w:ind w:right="60"/>
              <w:spacing w:after="0" w:line="126"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26" w:lineRule="exact"/>
              <w:rPr>
                <w:sz w:val="20"/>
                <w:szCs w:val="20"/>
                <w:color w:val="auto"/>
              </w:rPr>
            </w:pPr>
            <w:r>
              <w:rPr>
                <w:rFonts w:ascii="Arial" w:cs="Arial" w:eastAsia="Arial" w:hAnsi="Arial"/>
                <w:sz w:val="13"/>
                <w:szCs w:val="13"/>
                <w:color w:val="auto"/>
              </w:rPr>
              <w:t>100%</w:t>
            </w:r>
          </w:p>
        </w:tc>
        <w:tc>
          <w:tcPr>
            <w:tcW w:w="500" w:type="dxa"/>
            <w:vAlign w:val="bottom"/>
            <w:gridSpan w:val="2"/>
          </w:tcPr>
          <w:p>
            <w:pPr>
              <w:jc w:val="right"/>
              <w:ind w:right="60"/>
              <w:spacing w:after="0" w:line="126" w:lineRule="exact"/>
              <w:rPr>
                <w:sz w:val="20"/>
                <w:szCs w:val="20"/>
                <w:color w:val="auto"/>
              </w:rPr>
            </w:pPr>
            <w:r>
              <w:rPr>
                <w:rFonts w:ascii="Arial" w:cs="Arial" w:eastAsia="Arial" w:hAnsi="Arial"/>
                <w:sz w:val="13"/>
                <w:szCs w:val="13"/>
                <w:color w:val="auto"/>
              </w:rPr>
              <w:t>17.67</w:t>
            </w:r>
          </w:p>
        </w:tc>
        <w:tc>
          <w:tcPr>
            <w:tcW w:w="500" w:type="dxa"/>
            <w:vAlign w:val="bottom"/>
            <w:gridSpan w:val="2"/>
          </w:tcPr>
          <w:p>
            <w:pPr>
              <w:jc w:val="right"/>
              <w:ind w:right="40"/>
              <w:spacing w:after="0" w:line="126" w:lineRule="exact"/>
              <w:rPr>
                <w:sz w:val="20"/>
                <w:szCs w:val="20"/>
                <w:color w:val="auto"/>
              </w:rPr>
            </w:pPr>
            <w:r>
              <w:rPr>
                <w:rFonts w:ascii="Arial" w:cs="Arial" w:eastAsia="Arial" w:hAnsi="Arial"/>
                <w:sz w:val="13"/>
                <w:szCs w:val="13"/>
                <w:color w:val="auto"/>
              </w:rPr>
              <w:t>99,000</w:t>
            </w:r>
          </w:p>
        </w:tc>
        <w:tc>
          <w:tcPr>
            <w:tcW w:w="820" w:type="dxa"/>
            <w:vAlign w:val="bottom"/>
          </w:tcPr>
          <w:p>
            <w:pPr>
              <w:spacing w:after="0" w:line="126" w:lineRule="exact"/>
              <w:rPr>
                <w:sz w:val="20"/>
                <w:szCs w:val="20"/>
                <w:color w:val="auto"/>
              </w:rPr>
            </w:pPr>
            <w:r>
              <w:rPr>
                <w:rFonts w:ascii="Arial" w:cs="Arial" w:eastAsia="Arial" w:hAnsi="Arial"/>
                <w:sz w:val="13"/>
                <w:szCs w:val="13"/>
                <w:color w:val="auto"/>
                <w:w w:val="96"/>
              </w:rPr>
              <w:t>Harris Teeter /</w:t>
            </w:r>
          </w:p>
        </w:tc>
        <w:tc>
          <w:tcPr>
            <w:tcW w:w="40" w:type="dxa"/>
            <w:vAlign w:val="bottom"/>
          </w:tcPr>
          <w:p>
            <w:pPr>
              <w:spacing w:after="0"/>
              <w:rPr>
                <w:sz w:val="10"/>
                <w:szCs w:val="10"/>
                <w:color w:val="auto"/>
              </w:rPr>
            </w:pPr>
          </w:p>
        </w:tc>
        <w:tc>
          <w:tcPr>
            <w:tcW w:w="1700" w:type="dxa"/>
            <w:vAlign w:val="bottom"/>
          </w:tcPr>
          <w:p>
            <w:pPr>
              <w:spacing w:after="0" w:line="126" w:lineRule="exact"/>
              <w:rPr>
                <w:sz w:val="20"/>
                <w:szCs w:val="20"/>
                <w:color w:val="auto"/>
              </w:rPr>
            </w:pPr>
            <w:r>
              <w:rPr>
                <w:rFonts w:ascii="Arial" w:cs="Arial" w:eastAsia="Arial" w:hAnsi="Arial"/>
                <w:sz w:val="13"/>
                <w:szCs w:val="13"/>
                <w:color w:val="auto"/>
                <w:w w:val="92"/>
              </w:rPr>
              <w:t>Bed, Bath &amp; Beyond / Barnes &amp;</w:t>
            </w: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Kroger</w:t>
            </w:r>
          </w:p>
        </w:tc>
        <w:tc>
          <w:tcPr>
            <w:tcW w:w="40" w:type="dxa"/>
            <w:vAlign w:val="bottom"/>
          </w:tcPr>
          <w:p>
            <w:pPr>
              <w:spacing w:after="0"/>
              <w:rPr>
                <w:sz w:val="13"/>
                <w:szCs w:val="13"/>
                <w:color w:val="auto"/>
              </w:rPr>
            </w:pPr>
          </w:p>
        </w:tc>
        <w:tc>
          <w:tcPr>
            <w:tcW w:w="1700" w:type="dxa"/>
            <w:vAlign w:val="bottom"/>
          </w:tcPr>
          <w:p>
            <w:pPr>
              <w:spacing w:after="0"/>
              <w:rPr>
                <w:sz w:val="20"/>
                <w:szCs w:val="20"/>
                <w:color w:val="auto"/>
              </w:rPr>
            </w:pPr>
            <w:r>
              <w:rPr>
                <w:rFonts w:ascii="Arial" w:cs="Arial" w:eastAsia="Arial" w:hAnsi="Arial"/>
                <w:sz w:val="13"/>
                <w:szCs w:val="13"/>
                <w:color w:val="auto"/>
              </w:rPr>
              <w:t>Noble / Old Navy</w:t>
            </w:r>
          </w:p>
        </w:tc>
        <w:tc>
          <w:tcPr>
            <w:tcW w:w="0" w:type="dxa"/>
            <w:vAlign w:val="bottom"/>
          </w:tcPr>
          <w:p>
            <w:pPr>
              <w:spacing w:after="0"/>
              <w:rPr>
                <w:sz w:val="1"/>
                <w:szCs w:val="1"/>
                <w:color w:val="auto"/>
              </w:rPr>
            </w:pPr>
          </w:p>
        </w:tc>
      </w:tr>
      <w:tr>
        <w:trPr>
          <w:trHeight w:val="141"/>
        </w:trPr>
        <w:tc>
          <w:tcPr>
            <w:tcW w:w="1260" w:type="dxa"/>
            <w:vAlign w:val="bottom"/>
            <w:gridSpan w:val="6"/>
            <w:shd w:val="clear" w:color="auto" w:fill="CCEEFF"/>
          </w:tcPr>
          <w:p>
            <w:pPr>
              <w:spacing w:after="0" w:line="141" w:lineRule="exact"/>
              <w:rPr>
                <w:sz w:val="20"/>
                <w:szCs w:val="20"/>
                <w:color w:val="auto"/>
              </w:rPr>
            </w:pPr>
            <w:r>
              <w:rPr>
                <w:rFonts w:ascii="Arial" w:cs="Arial" w:eastAsia="Arial" w:hAnsi="Arial"/>
                <w:sz w:val="13"/>
                <w:szCs w:val="13"/>
                <w:color w:val="auto"/>
              </w:rPr>
              <w:t>Bristol Plaza</w:t>
            </w:r>
          </w:p>
        </w:tc>
        <w:tc>
          <w:tcPr>
            <w:tcW w:w="3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Hartford, CT</w:t>
            </w:r>
          </w:p>
        </w:tc>
        <w:tc>
          <w:tcPr>
            <w:tcW w:w="600" w:type="dxa"/>
            <w:vAlign w:val="bottom"/>
            <w:gridSpan w:val="3"/>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1995</w:t>
            </w:r>
          </w:p>
        </w:tc>
        <w:tc>
          <w:tcPr>
            <w:tcW w:w="8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24,216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275,000</w:t>
            </w:r>
          </w:p>
        </w:tc>
        <w:tc>
          <w:tcPr>
            <w:tcW w:w="60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97%</w:t>
            </w:r>
          </w:p>
        </w:tc>
        <w:tc>
          <w:tcPr>
            <w:tcW w:w="9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97%</w:t>
            </w:r>
          </w:p>
        </w:tc>
        <w:tc>
          <w:tcPr>
            <w:tcW w:w="50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10.40</w:t>
            </w:r>
          </w:p>
        </w:tc>
        <w:tc>
          <w:tcPr>
            <w:tcW w:w="5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74,000</w:t>
            </w:r>
          </w:p>
        </w:tc>
        <w:tc>
          <w:tcPr>
            <w:tcW w:w="8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Stop &amp; Shop</w:t>
            </w:r>
          </w:p>
        </w:tc>
        <w:tc>
          <w:tcPr>
            <w:tcW w:w="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41"/>
        </w:trPr>
        <w:tc>
          <w:tcPr>
            <w:tcW w:w="1260" w:type="dxa"/>
            <w:vAlign w:val="bottom"/>
            <w:gridSpan w:val="6"/>
          </w:tcPr>
          <w:p>
            <w:pPr>
              <w:spacing w:after="0" w:line="141" w:lineRule="exact"/>
              <w:rPr>
                <w:sz w:val="20"/>
                <w:szCs w:val="20"/>
                <w:color w:val="auto"/>
              </w:rPr>
            </w:pPr>
            <w:r>
              <w:rPr>
                <w:rFonts w:ascii="Arial" w:cs="Arial" w:eastAsia="Arial" w:hAnsi="Arial"/>
                <w:sz w:val="13"/>
                <w:szCs w:val="13"/>
                <w:color w:val="auto"/>
              </w:rPr>
              <w:t>Eastgate</w:t>
            </w:r>
          </w:p>
        </w:tc>
        <w:tc>
          <w:tcPr>
            <w:tcW w:w="320" w:type="dxa"/>
            <w:vAlign w:val="bottom"/>
          </w:tcPr>
          <w:p>
            <w:pPr>
              <w:spacing w:after="0"/>
              <w:rPr>
                <w:sz w:val="12"/>
                <w:szCs w:val="12"/>
                <w:color w:val="auto"/>
              </w:rPr>
            </w:pPr>
          </w:p>
        </w:tc>
        <w:tc>
          <w:tcPr>
            <w:tcW w:w="1900" w:type="dxa"/>
            <w:vAlign w:val="bottom"/>
          </w:tcPr>
          <w:p>
            <w:pPr>
              <w:spacing w:after="0" w:line="141" w:lineRule="exact"/>
              <w:rPr>
                <w:sz w:val="20"/>
                <w:szCs w:val="20"/>
                <w:color w:val="auto"/>
              </w:rPr>
            </w:pPr>
            <w:r>
              <w:rPr>
                <w:rFonts w:ascii="Arial" w:cs="Arial" w:eastAsia="Arial" w:hAnsi="Arial"/>
                <w:sz w:val="13"/>
                <w:szCs w:val="13"/>
                <w:color w:val="auto"/>
              </w:rPr>
              <w:t>Raleigh-Durham-Chapel Hill, NC</w:t>
            </w:r>
          </w:p>
        </w:tc>
        <w:tc>
          <w:tcPr>
            <w:tcW w:w="600" w:type="dxa"/>
            <w:vAlign w:val="bottom"/>
            <w:gridSpan w:val="3"/>
          </w:tcPr>
          <w:p>
            <w:pPr>
              <w:jc w:val="right"/>
              <w:ind w:right="20"/>
              <w:spacing w:after="0" w:line="141" w:lineRule="exact"/>
              <w:rPr>
                <w:sz w:val="20"/>
                <w:szCs w:val="20"/>
                <w:color w:val="auto"/>
              </w:rPr>
            </w:pPr>
            <w:r>
              <w:rPr>
                <w:rFonts w:ascii="Arial" w:cs="Arial" w:eastAsia="Arial" w:hAnsi="Arial"/>
                <w:sz w:val="13"/>
                <w:szCs w:val="13"/>
                <w:color w:val="auto"/>
              </w:rPr>
              <w:t>1986</w:t>
            </w:r>
          </w:p>
        </w:tc>
        <w:tc>
          <w:tcPr>
            <w:tcW w:w="8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17,336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159,000</w:t>
            </w:r>
          </w:p>
        </w:tc>
        <w:tc>
          <w:tcPr>
            <w:tcW w:w="60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90%</w:t>
            </w:r>
          </w:p>
        </w:tc>
        <w:tc>
          <w:tcPr>
            <w:tcW w:w="9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89%</w:t>
            </w:r>
          </w:p>
        </w:tc>
        <w:tc>
          <w:tcPr>
            <w:tcW w:w="50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15.32</w:t>
            </w:r>
          </w:p>
        </w:tc>
        <w:tc>
          <w:tcPr>
            <w:tcW w:w="50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23,000</w:t>
            </w:r>
          </w:p>
        </w:tc>
        <w:tc>
          <w:tcPr>
            <w:tcW w:w="820" w:type="dxa"/>
            <w:vAlign w:val="bottom"/>
          </w:tcPr>
          <w:p>
            <w:pPr>
              <w:spacing w:after="0" w:line="141" w:lineRule="exact"/>
              <w:rPr>
                <w:sz w:val="20"/>
                <w:szCs w:val="20"/>
                <w:color w:val="auto"/>
              </w:rPr>
            </w:pPr>
            <w:r>
              <w:rPr>
                <w:rFonts w:ascii="Arial" w:cs="Arial" w:eastAsia="Arial" w:hAnsi="Arial"/>
                <w:sz w:val="13"/>
                <w:szCs w:val="13"/>
                <w:color w:val="auto"/>
              </w:rPr>
              <w:t>Earth Fare</w:t>
            </w:r>
          </w:p>
        </w:tc>
        <w:tc>
          <w:tcPr>
            <w:tcW w:w="40" w:type="dxa"/>
            <w:vAlign w:val="bottom"/>
          </w:tcPr>
          <w:p>
            <w:pPr>
              <w:spacing w:after="0"/>
              <w:rPr>
                <w:sz w:val="12"/>
                <w:szCs w:val="12"/>
                <w:color w:val="auto"/>
              </w:rPr>
            </w:pPr>
          </w:p>
        </w:tc>
        <w:tc>
          <w:tcPr>
            <w:tcW w:w="1700" w:type="dxa"/>
            <w:vAlign w:val="bottom"/>
          </w:tcPr>
          <w:p>
            <w:pPr>
              <w:spacing w:after="0" w:line="141" w:lineRule="exact"/>
              <w:rPr>
                <w:sz w:val="20"/>
                <w:szCs w:val="20"/>
                <w:color w:val="auto"/>
              </w:rPr>
            </w:pPr>
            <w:r>
              <w:rPr>
                <w:rFonts w:ascii="Arial" w:cs="Arial" w:eastAsia="Arial" w:hAnsi="Arial"/>
                <w:sz w:val="13"/>
                <w:szCs w:val="13"/>
                <w:color w:val="auto"/>
              </w:rPr>
              <w:t>Stein Mart</w:t>
            </w:r>
          </w:p>
        </w:tc>
        <w:tc>
          <w:tcPr>
            <w:tcW w:w="0" w:type="dxa"/>
            <w:vAlign w:val="bottom"/>
          </w:tcPr>
          <w:p>
            <w:pPr>
              <w:spacing w:after="0"/>
              <w:rPr>
                <w:sz w:val="1"/>
                <w:szCs w:val="1"/>
                <w:color w:val="auto"/>
              </w:rPr>
            </w:pPr>
          </w:p>
        </w:tc>
      </w:tr>
      <w:tr>
        <w:trPr>
          <w:trHeight w:val="132"/>
        </w:trPr>
        <w:tc>
          <w:tcPr>
            <w:tcW w:w="1260" w:type="dxa"/>
            <w:vAlign w:val="bottom"/>
            <w:gridSpan w:val="6"/>
            <w:shd w:val="clear" w:color="auto" w:fill="CCEEFF"/>
          </w:tcPr>
          <w:p>
            <w:pPr>
              <w:spacing w:after="0" w:line="133" w:lineRule="exact"/>
              <w:rPr>
                <w:sz w:val="20"/>
                <w:szCs w:val="20"/>
                <w:color w:val="auto"/>
              </w:rPr>
            </w:pPr>
            <w:r>
              <w:rPr>
                <w:rFonts w:ascii="Arial" w:cs="Arial" w:eastAsia="Arial" w:hAnsi="Arial"/>
                <w:sz w:val="13"/>
                <w:szCs w:val="13"/>
                <w:color w:val="auto"/>
              </w:rPr>
              <w:t>Governor Plaza</w:t>
            </w:r>
          </w:p>
        </w:tc>
        <w:tc>
          <w:tcPr>
            <w:tcW w:w="3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Baltimore, MD</w:t>
            </w:r>
          </w:p>
        </w:tc>
        <w:tc>
          <w:tcPr>
            <w:tcW w:w="60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1985</w:t>
            </w:r>
          </w:p>
        </w:tc>
        <w:tc>
          <w:tcPr>
            <w:tcW w:w="8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21,346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269,000</w:t>
            </w:r>
          </w:p>
        </w:tc>
        <w:tc>
          <w:tcPr>
            <w:tcW w:w="6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100%</w:t>
            </w:r>
          </w:p>
        </w:tc>
        <w:tc>
          <w:tcPr>
            <w:tcW w:w="5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14.57</w:t>
            </w:r>
          </w:p>
        </w:tc>
        <w:tc>
          <w:tcPr>
            <w:tcW w:w="5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16,500</w:t>
            </w:r>
          </w:p>
        </w:tc>
        <w:tc>
          <w:tcPr>
            <w:tcW w:w="8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Aldi</w:t>
            </w:r>
          </w:p>
        </w:tc>
        <w:tc>
          <w:tcPr>
            <w:tcW w:w="4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Bally’s / Comp USA / Office</w:t>
            </w:r>
          </w:p>
        </w:tc>
        <w:tc>
          <w:tcPr>
            <w:tcW w:w="0" w:type="dxa"/>
            <w:vAlign w:val="bottom"/>
          </w:tcPr>
          <w:p>
            <w:pPr>
              <w:spacing w:after="0"/>
              <w:rPr>
                <w:sz w:val="1"/>
                <w:szCs w:val="1"/>
                <w:color w:val="auto"/>
              </w:rPr>
            </w:pPr>
          </w:p>
        </w:tc>
      </w:tr>
      <w:tr>
        <w:trPr>
          <w:trHeight w:val="15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Depot</w:t>
            </w:r>
          </w:p>
        </w:tc>
        <w:tc>
          <w:tcPr>
            <w:tcW w:w="0" w:type="dxa"/>
            <w:vAlign w:val="bottom"/>
          </w:tcPr>
          <w:p>
            <w:pPr>
              <w:spacing w:after="0"/>
              <w:rPr>
                <w:sz w:val="1"/>
                <w:szCs w:val="1"/>
                <w:color w:val="auto"/>
              </w:rPr>
            </w:pPr>
          </w:p>
        </w:tc>
      </w:tr>
      <w:tr>
        <w:trPr>
          <w:trHeight w:val="132"/>
        </w:trPr>
        <w:tc>
          <w:tcPr>
            <w:tcW w:w="1260" w:type="dxa"/>
            <w:vAlign w:val="bottom"/>
            <w:gridSpan w:val="6"/>
          </w:tcPr>
          <w:p>
            <w:pPr>
              <w:spacing w:after="0" w:line="133" w:lineRule="exact"/>
              <w:rPr>
                <w:sz w:val="20"/>
                <w:szCs w:val="20"/>
                <w:color w:val="auto"/>
              </w:rPr>
            </w:pPr>
            <w:r>
              <w:rPr>
                <w:rFonts w:ascii="Arial" w:cs="Arial" w:eastAsia="Arial" w:hAnsi="Arial"/>
                <w:sz w:val="13"/>
                <w:szCs w:val="13"/>
                <w:color w:val="auto"/>
              </w:rPr>
              <w:t>Gratiot Plaza</w:t>
            </w:r>
          </w:p>
        </w:tc>
        <w:tc>
          <w:tcPr>
            <w:tcW w:w="320" w:type="dxa"/>
            <w:vAlign w:val="bottom"/>
          </w:tcPr>
          <w:p>
            <w:pPr>
              <w:spacing w:after="0"/>
              <w:rPr>
                <w:sz w:val="11"/>
                <w:szCs w:val="11"/>
                <w:color w:val="auto"/>
              </w:rPr>
            </w:pPr>
          </w:p>
        </w:tc>
        <w:tc>
          <w:tcPr>
            <w:tcW w:w="1900" w:type="dxa"/>
            <w:vAlign w:val="bottom"/>
          </w:tcPr>
          <w:p>
            <w:pPr>
              <w:spacing w:after="0" w:line="133" w:lineRule="exact"/>
              <w:rPr>
                <w:sz w:val="20"/>
                <w:szCs w:val="20"/>
                <w:color w:val="auto"/>
              </w:rPr>
            </w:pPr>
            <w:r>
              <w:rPr>
                <w:rFonts w:ascii="Arial" w:cs="Arial" w:eastAsia="Arial" w:hAnsi="Arial"/>
                <w:sz w:val="13"/>
                <w:szCs w:val="13"/>
                <w:color w:val="auto"/>
              </w:rPr>
              <w:t>Detroit, MI</w:t>
            </w:r>
          </w:p>
        </w:tc>
        <w:tc>
          <w:tcPr>
            <w:tcW w:w="600" w:type="dxa"/>
            <w:vAlign w:val="bottom"/>
            <w:gridSpan w:val="3"/>
          </w:tcPr>
          <w:p>
            <w:pPr>
              <w:jc w:val="right"/>
              <w:ind w:right="20"/>
              <w:spacing w:after="0" w:line="133" w:lineRule="exact"/>
              <w:rPr>
                <w:sz w:val="20"/>
                <w:szCs w:val="20"/>
                <w:color w:val="auto"/>
              </w:rPr>
            </w:pPr>
            <w:r>
              <w:rPr>
                <w:rFonts w:ascii="Arial" w:cs="Arial" w:eastAsia="Arial" w:hAnsi="Arial"/>
                <w:sz w:val="13"/>
                <w:szCs w:val="13"/>
                <w:color w:val="auto"/>
              </w:rPr>
              <w:t>1973</w:t>
            </w:r>
          </w:p>
        </w:tc>
        <w:tc>
          <w:tcPr>
            <w:tcW w:w="80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18,061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217,000</w:t>
            </w:r>
          </w:p>
        </w:tc>
        <w:tc>
          <w:tcPr>
            <w:tcW w:w="60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100%</w:t>
            </w:r>
          </w:p>
        </w:tc>
        <w:tc>
          <w:tcPr>
            <w:tcW w:w="50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11.11</w:t>
            </w:r>
          </w:p>
        </w:tc>
        <w:tc>
          <w:tcPr>
            <w:tcW w:w="500" w:type="dxa"/>
            <w:vAlign w:val="bottom"/>
            <w:gridSpan w:val="2"/>
          </w:tcPr>
          <w:p>
            <w:pPr>
              <w:jc w:val="right"/>
              <w:ind w:right="40"/>
              <w:spacing w:after="0" w:line="133" w:lineRule="exact"/>
              <w:rPr>
                <w:sz w:val="20"/>
                <w:szCs w:val="20"/>
                <w:color w:val="auto"/>
              </w:rPr>
            </w:pPr>
            <w:r>
              <w:rPr>
                <w:rFonts w:ascii="Arial" w:cs="Arial" w:eastAsia="Arial" w:hAnsi="Arial"/>
                <w:sz w:val="13"/>
                <w:szCs w:val="13"/>
                <w:color w:val="auto"/>
              </w:rPr>
              <w:t>69,000</w:t>
            </w:r>
          </w:p>
        </w:tc>
        <w:tc>
          <w:tcPr>
            <w:tcW w:w="820" w:type="dxa"/>
            <w:vAlign w:val="bottom"/>
          </w:tcPr>
          <w:p>
            <w:pPr>
              <w:spacing w:after="0" w:line="133" w:lineRule="exact"/>
              <w:rPr>
                <w:sz w:val="20"/>
                <w:szCs w:val="20"/>
                <w:color w:val="auto"/>
              </w:rPr>
            </w:pPr>
            <w:r>
              <w:rPr>
                <w:rFonts w:ascii="Arial" w:cs="Arial" w:eastAsia="Arial" w:hAnsi="Arial"/>
                <w:sz w:val="13"/>
                <w:szCs w:val="13"/>
                <w:color w:val="auto"/>
              </w:rPr>
              <w:t>Farmer Jacks</w:t>
            </w:r>
          </w:p>
        </w:tc>
        <w:tc>
          <w:tcPr>
            <w:tcW w:w="40" w:type="dxa"/>
            <w:vAlign w:val="bottom"/>
          </w:tcPr>
          <w:p>
            <w:pPr>
              <w:spacing w:after="0"/>
              <w:rPr>
                <w:sz w:val="11"/>
                <w:szCs w:val="11"/>
                <w:color w:val="auto"/>
              </w:rPr>
            </w:pPr>
          </w:p>
        </w:tc>
        <w:tc>
          <w:tcPr>
            <w:tcW w:w="1700" w:type="dxa"/>
            <w:vAlign w:val="bottom"/>
          </w:tcPr>
          <w:p>
            <w:pPr>
              <w:spacing w:after="0" w:line="133" w:lineRule="exact"/>
              <w:rPr>
                <w:sz w:val="20"/>
                <w:szCs w:val="20"/>
                <w:color w:val="auto"/>
              </w:rPr>
            </w:pPr>
            <w:r>
              <w:rPr>
                <w:rFonts w:ascii="Arial" w:cs="Arial" w:eastAsia="Arial" w:hAnsi="Arial"/>
                <w:sz w:val="13"/>
                <w:szCs w:val="13"/>
                <w:color w:val="auto"/>
                <w:w w:val="93"/>
              </w:rPr>
              <w:t>Bed, Bath &amp; Beyond / Best Buy</w:t>
            </w: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20"/>
                <w:szCs w:val="20"/>
                <w:color w:val="auto"/>
              </w:rPr>
            </w:pPr>
            <w:r>
              <w:rPr>
                <w:rFonts w:ascii="Arial" w:cs="Arial" w:eastAsia="Arial" w:hAnsi="Arial"/>
                <w:sz w:val="13"/>
                <w:szCs w:val="13"/>
                <w:color w:val="auto"/>
              </w:rPr>
              <w:t>/ DSW</w:t>
            </w:r>
          </w:p>
        </w:tc>
        <w:tc>
          <w:tcPr>
            <w:tcW w:w="0" w:type="dxa"/>
            <w:vAlign w:val="bottom"/>
          </w:tcPr>
          <w:p>
            <w:pPr>
              <w:spacing w:after="0"/>
              <w:rPr>
                <w:sz w:val="1"/>
                <w:szCs w:val="1"/>
                <w:color w:val="auto"/>
              </w:rPr>
            </w:pPr>
          </w:p>
        </w:tc>
      </w:tr>
      <w:tr>
        <w:trPr>
          <w:trHeight w:val="132"/>
        </w:trPr>
        <w:tc>
          <w:tcPr>
            <w:tcW w:w="1260" w:type="dxa"/>
            <w:vAlign w:val="bottom"/>
            <w:gridSpan w:val="6"/>
            <w:shd w:val="clear" w:color="auto" w:fill="CCEEFF"/>
          </w:tcPr>
          <w:p>
            <w:pPr>
              <w:spacing w:after="0" w:line="133" w:lineRule="exact"/>
              <w:rPr>
                <w:sz w:val="20"/>
                <w:szCs w:val="20"/>
                <w:color w:val="auto"/>
              </w:rPr>
            </w:pPr>
            <w:r>
              <w:rPr>
                <w:rFonts w:ascii="Arial" w:cs="Arial" w:eastAsia="Arial" w:hAnsi="Arial"/>
                <w:sz w:val="13"/>
                <w:szCs w:val="13"/>
                <w:color w:val="auto"/>
              </w:rPr>
              <w:t>Greenwich Avenue</w:t>
            </w:r>
          </w:p>
        </w:tc>
        <w:tc>
          <w:tcPr>
            <w:tcW w:w="3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7"/>
              </w:rPr>
              <w:t>New Haven-Bridgeport-Stamford-</w:t>
            </w:r>
          </w:p>
        </w:tc>
        <w:tc>
          <w:tcPr>
            <w:tcW w:w="60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1995</w:t>
            </w:r>
          </w:p>
        </w:tc>
        <w:tc>
          <w:tcPr>
            <w:tcW w:w="8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15,998</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42,000</w:t>
            </w:r>
          </w:p>
        </w:tc>
        <w:tc>
          <w:tcPr>
            <w:tcW w:w="6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100%</w:t>
            </w:r>
          </w:p>
        </w:tc>
        <w:tc>
          <w:tcPr>
            <w:tcW w:w="5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51.06</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Saks Fifth Avenue</w:t>
            </w:r>
          </w:p>
        </w:tc>
        <w:tc>
          <w:tcPr>
            <w:tcW w:w="0" w:type="dxa"/>
            <w:vAlign w:val="bottom"/>
          </w:tcPr>
          <w:p>
            <w:pPr>
              <w:spacing w:after="0"/>
              <w:rPr>
                <w:sz w:val="1"/>
                <w:szCs w:val="1"/>
                <w:color w:val="auto"/>
              </w:rPr>
            </w:pPr>
          </w:p>
        </w:tc>
      </w:tr>
      <w:tr>
        <w:trPr>
          <w:trHeight w:val="15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3"/>
                <w:szCs w:val="13"/>
                <w:color w:val="auto"/>
              </w:rPr>
              <w:t>Waterbury</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260" w:type="dxa"/>
            <w:vAlign w:val="bottom"/>
            <w:gridSpan w:val="6"/>
          </w:tcPr>
          <w:p>
            <w:pPr>
              <w:spacing w:after="0" w:line="141" w:lineRule="exact"/>
              <w:rPr>
                <w:sz w:val="20"/>
                <w:szCs w:val="20"/>
                <w:color w:val="auto"/>
              </w:rPr>
            </w:pPr>
            <w:r>
              <w:rPr>
                <w:rFonts w:ascii="Arial" w:cs="Arial" w:eastAsia="Arial" w:hAnsi="Arial"/>
                <w:sz w:val="13"/>
                <w:szCs w:val="13"/>
                <w:color w:val="auto"/>
              </w:rPr>
              <w:t>Lancaster</w:t>
            </w:r>
          </w:p>
        </w:tc>
        <w:tc>
          <w:tcPr>
            <w:tcW w:w="320" w:type="dxa"/>
            <w:vAlign w:val="bottom"/>
          </w:tcPr>
          <w:p>
            <w:pPr>
              <w:jc w:val="right"/>
              <w:spacing w:after="0" w:line="141" w:lineRule="exact"/>
              <w:rPr>
                <w:sz w:val="20"/>
                <w:szCs w:val="20"/>
                <w:color w:val="auto"/>
              </w:rPr>
            </w:pPr>
            <w:r>
              <w:rPr>
                <w:rFonts w:ascii="Arial" w:cs="Arial" w:eastAsia="Arial" w:hAnsi="Arial"/>
                <w:sz w:val="13"/>
                <w:szCs w:val="13"/>
                <w:color w:val="auto"/>
              </w:rPr>
              <w:t>(8)</w:t>
            </w:r>
          </w:p>
        </w:tc>
        <w:tc>
          <w:tcPr>
            <w:tcW w:w="1900" w:type="dxa"/>
            <w:vAlign w:val="bottom"/>
          </w:tcPr>
          <w:p>
            <w:pPr>
              <w:spacing w:after="0" w:line="141" w:lineRule="exact"/>
              <w:rPr>
                <w:sz w:val="20"/>
                <w:szCs w:val="20"/>
                <w:color w:val="auto"/>
              </w:rPr>
            </w:pPr>
            <w:r>
              <w:rPr>
                <w:rFonts w:ascii="Arial" w:cs="Arial" w:eastAsia="Arial" w:hAnsi="Arial"/>
                <w:sz w:val="13"/>
                <w:szCs w:val="13"/>
                <w:color w:val="auto"/>
              </w:rPr>
              <w:t>Lancaster, PA</w:t>
            </w:r>
          </w:p>
        </w:tc>
        <w:tc>
          <w:tcPr>
            <w:tcW w:w="600" w:type="dxa"/>
            <w:vAlign w:val="bottom"/>
            <w:gridSpan w:val="3"/>
          </w:tcPr>
          <w:p>
            <w:pPr>
              <w:jc w:val="right"/>
              <w:ind w:right="20"/>
              <w:spacing w:after="0" w:line="141" w:lineRule="exact"/>
              <w:rPr>
                <w:sz w:val="20"/>
                <w:szCs w:val="20"/>
                <w:color w:val="auto"/>
              </w:rPr>
            </w:pPr>
            <w:r>
              <w:rPr>
                <w:rFonts w:ascii="Arial" w:cs="Arial" w:eastAsia="Arial" w:hAnsi="Arial"/>
                <w:sz w:val="13"/>
                <w:szCs w:val="13"/>
                <w:color w:val="auto"/>
              </w:rPr>
              <w:t>1980</w:t>
            </w:r>
          </w:p>
        </w:tc>
        <w:tc>
          <w:tcPr>
            <w:tcW w:w="8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10,852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4,907</w:t>
            </w:r>
          </w:p>
        </w:tc>
        <w:tc>
          <w:tcPr>
            <w:tcW w:w="6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107,000</w:t>
            </w:r>
          </w:p>
        </w:tc>
        <w:tc>
          <w:tcPr>
            <w:tcW w:w="60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100%</w:t>
            </w:r>
          </w:p>
        </w:tc>
        <w:tc>
          <w:tcPr>
            <w:tcW w:w="9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100%</w:t>
            </w:r>
          </w:p>
        </w:tc>
        <w:tc>
          <w:tcPr>
            <w:tcW w:w="50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13.07</w:t>
            </w:r>
          </w:p>
        </w:tc>
        <w:tc>
          <w:tcPr>
            <w:tcW w:w="50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39,000</w:t>
            </w:r>
          </w:p>
        </w:tc>
        <w:tc>
          <w:tcPr>
            <w:tcW w:w="820" w:type="dxa"/>
            <w:vAlign w:val="bottom"/>
          </w:tcPr>
          <w:p>
            <w:pPr>
              <w:spacing w:after="0" w:line="141" w:lineRule="exact"/>
              <w:rPr>
                <w:sz w:val="20"/>
                <w:szCs w:val="20"/>
                <w:color w:val="auto"/>
              </w:rPr>
            </w:pPr>
            <w:r>
              <w:rPr>
                <w:rFonts w:ascii="Arial" w:cs="Arial" w:eastAsia="Arial" w:hAnsi="Arial"/>
                <w:sz w:val="13"/>
                <w:szCs w:val="13"/>
                <w:color w:val="auto"/>
              </w:rPr>
              <w:t>Giant Food</w:t>
            </w:r>
          </w:p>
        </w:tc>
        <w:tc>
          <w:tcPr>
            <w:tcW w:w="40" w:type="dxa"/>
            <w:vAlign w:val="bottom"/>
          </w:tcPr>
          <w:p>
            <w:pPr>
              <w:spacing w:after="0"/>
              <w:rPr>
                <w:sz w:val="12"/>
                <w:szCs w:val="12"/>
                <w:color w:val="auto"/>
              </w:rPr>
            </w:pPr>
          </w:p>
        </w:tc>
        <w:tc>
          <w:tcPr>
            <w:tcW w:w="1700" w:type="dxa"/>
            <w:vAlign w:val="bottom"/>
          </w:tcPr>
          <w:p>
            <w:pPr>
              <w:spacing w:after="0" w:line="141" w:lineRule="exact"/>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32"/>
        </w:trPr>
        <w:tc>
          <w:tcPr>
            <w:tcW w:w="1260" w:type="dxa"/>
            <w:vAlign w:val="bottom"/>
            <w:gridSpan w:val="6"/>
            <w:shd w:val="clear" w:color="auto" w:fill="CCEEFF"/>
          </w:tcPr>
          <w:p>
            <w:pPr>
              <w:spacing w:after="0" w:line="133" w:lineRule="exact"/>
              <w:rPr>
                <w:sz w:val="20"/>
                <w:szCs w:val="20"/>
                <w:color w:val="auto"/>
              </w:rPr>
            </w:pPr>
            <w:r>
              <w:rPr>
                <w:rFonts w:ascii="Arial" w:cs="Arial" w:eastAsia="Arial" w:hAnsi="Arial"/>
                <w:sz w:val="13"/>
                <w:szCs w:val="13"/>
                <w:color w:val="auto"/>
              </w:rPr>
              <w:t>Perring Plaza</w:t>
            </w:r>
          </w:p>
        </w:tc>
        <w:tc>
          <w:tcPr>
            <w:tcW w:w="3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Baltimore, MD</w:t>
            </w:r>
          </w:p>
        </w:tc>
        <w:tc>
          <w:tcPr>
            <w:tcW w:w="60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1985</w:t>
            </w:r>
          </w:p>
        </w:tc>
        <w:tc>
          <w:tcPr>
            <w:tcW w:w="8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26,321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402,000</w:t>
            </w:r>
          </w:p>
        </w:tc>
        <w:tc>
          <w:tcPr>
            <w:tcW w:w="6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98%</w:t>
            </w:r>
          </w:p>
        </w:tc>
        <w:tc>
          <w:tcPr>
            <w:tcW w:w="9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98%</w:t>
            </w:r>
          </w:p>
        </w:tc>
        <w:tc>
          <w:tcPr>
            <w:tcW w:w="5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11.77</w:t>
            </w:r>
          </w:p>
        </w:tc>
        <w:tc>
          <w:tcPr>
            <w:tcW w:w="5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58,000</w:t>
            </w:r>
          </w:p>
        </w:tc>
        <w:tc>
          <w:tcPr>
            <w:tcW w:w="8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89"/>
              </w:rPr>
              <w:t>Shoppers Food</w:t>
            </w:r>
          </w:p>
        </w:tc>
        <w:tc>
          <w:tcPr>
            <w:tcW w:w="4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6"/>
              </w:rPr>
              <w:t>Home Depot / Burlington Coat</w:t>
            </w:r>
          </w:p>
        </w:tc>
        <w:tc>
          <w:tcPr>
            <w:tcW w:w="0" w:type="dxa"/>
            <w:vAlign w:val="bottom"/>
          </w:tcPr>
          <w:p>
            <w:pPr>
              <w:spacing w:after="0"/>
              <w:rPr>
                <w:sz w:val="1"/>
                <w:szCs w:val="1"/>
                <w:color w:val="auto"/>
              </w:rPr>
            </w:pPr>
          </w:p>
        </w:tc>
      </w:tr>
      <w:tr>
        <w:trPr>
          <w:trHeight w:val="15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3"/>
                <w:szCs w:val="13"/>
                <w:color w:val="auto"/>
              </w:rPr>
              <w:t>Warehouse</w:t>
            </w:r>
          </w:p>
        </w:tc>
        <w:tc>
          <w:tcPr>
            <w:tcW w:w="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Factory / Jo-Ann Stores</w:t>
            </w:r>
          </w:p>
        </w:tc>
        <w:tc>
          <w:tcPr>
            <w:tcW w:w="0" w:type="dxa"/>
            <w:vAlign w:val="bottom"/>
          </w:tcPr>
          <w:p>
            <w:pPr>
              <w:spacing w:after="0"/>
              <w:rPr>
                <w:sz w:val="1"/>
                <w:szCs w:val="1"/>
                <w:color w:val="auto"/>
              </w:rPr>
            </w:pPr>
          </w:p>
        </w:tc>
      </w:tr>
      <w:tr>
        <w:trPr>
          <w:trHeight w:val="141"/>
        </w:trPr>
        <w:tc>
          <w:tcPr>
            <w:tcW w:w="1260" w:type="dxa"/>
            <w:vAlign w:val="bottom"/>
            <w:gridSpan w:val="6"/>
          </w:tcPr>
          <w:p>
            <w:pPr>
              <w:spacing w:after="0" w:line="141" w:lineRule="exact"/>
              <w:rPr>
                <w:sz w:val="20"/>
                <w:szCs w:val="20"/>
                <w:color w:val="auto"/>
              </w:rPr>
            </w:pPr>
            <w:r>
              <w:rPr>
                <w:rFonts w:ascii="Arial" w:cs="Arial" w:eastAsia="Arial" w:hAnsi="Arial"/>
                <w:sz w:val="13"/>
                <w:szCs w:val="13"/>
                <w:color w:val="auto"/>
                <w:w w:val="97"/>
              </w:rPr>
              <w:t>Shops at Willow Lawn</w:t>
            </w:r>
          </w:p>
        </w:tc>
        <w:tc>
          <w:tcPr>
            <w:tcW w:w="320" w:type="dxa"/>
            <w:vAlign w:val="bottom"/>
          </w:tcPr>
          <w:p>
            <w:pPr>
              <w:spacing w:after="0"/>
              <w:rPr>
                <w:sz w:val="12"/>
                <w:szCs w:val="12"/>
                <w:color w:val="auto"/>
              </w:rPr>
            </w:pPr>
          </w:p>
        </w:tc>
        <w:tc>
          <w:tcPr>
            <w:tcW w:w="1900" w:type="dxa"/>
            <w:vAlign w:val="bottom"/>
          </w:tcPr>
          <w:p>
            <w:pPr>
              <w:spacing w:after="0" w:line="141" w:lineRule="exact"/>
              <w:rPr>
                <w:sz w:val="20"/>
                <w:szCs w:val="20"/>
                <w:color w:val="auto"/>
              </w:rPr>
            </w:pPr>
            <w:r>
              <w:rPr>
                <w:rFonts w:ascii="Arial" w:cs="Arial" w:eastAsia="Arial" w:hAnsi="Arial"/>
                <w:sz w:val="13"/>
                <w:szCs w:val="13"/>
                <w:color w:val="auto"/>
              </w:rPr>
              <w:t>Richmond-Petersburg, VA</w:t>
            </w:r>
          </w:p>
        </w:tc>
        <w:tc>
          <w:tcPr>
            <w:tcW w:w="600" w:type="dxa"/>
            <w:vAlign w:val="bottom"/>
            <w:gridSpan w:val="3"/>
          </w:tcPr>
          <w:p>
            <w:pPr>
              <w:jc w:val="right"/>
              <w:ind w:right="20"/>
              <w:spacing w:after="0" w:line="141" w:lineRule="exact"/>
              <w:rPr>
                <w:sz w:val="20"/>
                <w:szCs w:val="20"/>
                <w:color w:val="auto"/>
              </w:rPr>
            </w:pPr>
            <w:r>
              <w:rPr>
                <w:rFonts w:ascii="Arial" w:cs="Arial" w:eastAsia="Arial" w:hAnsi="Arial"/>
                <w:sz w:val="13"/>
                <w:szCs w:val="13"/>
                <w:color w:val="auto"/>
              </w:rPr>
              <w:t>1983</w:t>
            </w:r>
          </w:p>
        </w:tc>
        <w:tc>
          <w:tcPr>
            <w:tcW w:w="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73,794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auto"/>
              </w:rPr>
              <w:t>467,000</w:t>
            </w:r>
          </w:p>
        </w:tc>
        <w:tc>
          <w:tcPr>
            <w:tcW w:w="40" w:type="dxa"/>
            <w:vAlign w:val="bottom"/>
          </w:tcPr>
          <w:p>
            <w:pPr>
              <w:spacing w:after="0"/>
              <w:rPr>
                <w:sz w:val="12"/>
                <w:szCs w:val="12"/>
                <w:color w:val="auto"/>
              </w:rPr>
            </w:pPr>
          </w:p>
        </w:tc>
        <w:tc>
          <w:tcPr>
            <w:tcW w:w="5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89%</w:t>
            </w:r>
          </w:p>
        </w:tc>
        <w:tc>
          <w:tcPr>
            <w:tcW w:w="9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84%</w:t>
            </w:r>
          </w:p>
        </w:tc>
        <w:tc>
          <w:tcPr>
            <w:tcW w:w="50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15.73</w:t>
            </w:r>
          </w:p>
        </w:tc>
        <w:tc>
          <w:tcPr>
            <w:tcW w:w="50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60,000</w:t>
            </w:r>
          </w:p>
        </w:tc>
        <w:tc>
          <w:tcPr>
            <w:tcW w:w="820" w:type="dxa"/>
            <w:vAlign w:val="bottom"/>
          </w:tcPr>
          <w:p>
            <w:pPr>
              <w:spacing w:after="0" w:line="141" w:lineRule="exact"/>
              <w:rPr>
                <w:sz w:val="20"/>
                <w:szCs w:val="20"/>
                <w:color w:val="auto"/>
              </w:rPr>
            </w:pPr>
            <w:r>
              <w:rPr>
                <w:rFonts w:ascii="Arial" w:cs="Arial" w:eastAsia="Arial" w:hAnsi="Arial"/>
                <w:sz w:val="13"/>
                <w:szCs w:val="13"/>
                <w:color w:val="auto"/>
              </w:rPr>
              <w:t>Kroger</w:t>
            </w:r>
          </w:p>
        </w:tc>
        <w:tc>
          <w:tcPr>
            <w:tcW w:w="40" w:type="dxa"/>
            <w:vAlign w:val="bottom"/>
          </w:tcPr>
          <w:p>
            <w:pPr>
              <w:spacing w:after="0"/>
              <w:rPr>
                <w:sz w:val="12"/>
                <w:szCs w:val="12"/>
                <w:color w:val="auto"/>
              </w:rPr>
            </w:pPr>
          </w:p>
        </w:tc>
        <w:tc>
          <w:tcPr>
            <w:tcW w:w="1700" w:type="dxa"/>
            <w:vAlign w:val="bottom"/>
          </w:tcPr>
          <w:p>
            <w:pPr>
              <w:spacing w:after="0" w:line="141" w:lineRule="exact"/>
              <w:rPr>
                <w:sz w:val="20"/>
                <w:szCs w:val="20"/>
                <w:color w:val="auto"/>
              </w:rPr>
            </w:pPr>
            <w:r>
              <w:rPr>
                <w:rFonts w:ascii="Arial" w:cs="Arial" w:eastAsia="Arial" w:hAnsi="Arial"/>
                <w:sz w:val="13"/>
                <w:szCs w:val="13"/>
                <w:color w:val="auto"/>
              </w:rPr>
              <w:t>Old Navy / Staples</w:t>
            </w:r>
          </w:p>
        </w:tc>
        <w:tc>
          <w:tcPr>
            <w:tcW w:w="0" w:type="dxa"/>
            <w:vAlign w:val="bottom"/>
          </w:tcPr>
          <w:p>
            <w:pPr>
              <w:spacing w:after="0"/>
              <w:rPr>
                <w:sz w:val="1"/>
                <w:szCs w:val="1"/>
                <w:color w:val="auto"/>
              </w:rPr>
            </w:pPr>
          </w:p>
        </w:tc>
      </w:tr>
      <w:tr>
        <w:trPr>
          <w:trHeight w:val="26"/>
        </w:trPr>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Total East Region - Other</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250,240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6"/>
              </w:rPr>
              <w:t>2,426,000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96%</w:t>
            </w:r>
          </w:p>
        </w:tc>
        <w:tc>
          <w:tcPr>
            <w:tcW w:w="9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95%</w:t>
            </w:r>
          </w:p>
        </w:tc>
        <w:tc>
          <w:tcPr>
            <w:tcW w:w="50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14.79</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tcPr>
          <w:p>
            <w:pPr>
              <w:spacing w:after="0" w:line="141" w:lineRule="exact"/>
              <w:rPr>
                <w:sz w:val="20"/>
                <w:szCs w:val="20"/>
                <w:color w:val="auto"/>
              </w:rPr>
            </w:pPr>
            <w:r>
              <w:rPr>
                <w:rFonts w:ascii="Arial" w:cs="Arial" w:eastAsia="Arial" w:hAnsi="Arial"/>
                <w:sz w:val="13"/>
                <w:szCs w:val="13"/>
                <w:b w:val="1"/>
                <w:bCs w:val="1"/>
                <w:color w:val="auto"/>
              </w:rPr>
              <w:t>Total East Region</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2,260,357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spacing w:after="0" w:line="141" w:lineRule="exact"/>
              <w:rPr>
                <w:sz w:val="20"/>
                <w:szCs w:val="20"/>
                <w:color w:val="auto"/>
              </w:rPr>
            </w:pPr>
            <w:r>
              <w:rPr>
                <w:rFonts w:ascii="Arial" w:cs="Arial" w:eastAsia="Arial" w:hAnsi="Arial"/>
                <w:sz w:val="13"/>
                <w:szCs w:val="13"/>
                <w:color w:val="auto"/>
                <w:w w:val="95"/>
              </w:rPr>
              <w:t>16,195,000</w:t>
            </w:r>
          </w:p>
        </w:tc>
        <w:tc>
          <w:tcPr>
            <w:tcW w:w="60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97%</w:t>
            </w:r>
          </w:p>
        </w:tc>
        <w:tc>
          <w:tcPr>
            <w:tcW w:w="9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96%</w:t>
            </w:r>
          </w:p>
        </w:tc>
        <w:tc>
          <w:tcPr>
            <w:tcW w:w="50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17.69</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00" w:type="dxa"/>
            <w:vAlign w:val="bottom"/>
            <w:tcBorders>
              <w:bottom w:val="single" w:sz="8" w:color="auto"/>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6"/>
              </w:rPr>
              <w:t>West Region</w:t>
            </w:r>
          </w:p>
        </w:tc>
        <w:tc>
          <w:tcPr>
            <w:tcW w:w="560" w:type="dxa"/>
            <w:vAlign w:val="bottom"/>
            <w:tcBorders>
              <w:bottom w:val="single" w:sz="8" w:color="CCEEFF"/>
            </w:tcBorders>
            <w:gridSpan w:val="3"/>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7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60" w:type="dxa"/>
            <w:vAlign w:val="bottom"/>
            <w:gridSpan w:val="6"/>
          </w:tcPr>
          <w:p>
            <w:pPr>
              <w:spacing w:after="0" w:line="121" w:lineRule="exact"/>
              <w:rPr>
                <w:sz w:val="20"/>
                <w:szCs w:val="20"/>
                <w:color w:val="auto"/>
              </w:rPr>
            </w:pPr>
            <w:r>
              <w:rPr>
                <w:rFonts w:ascii="Arial" w:cs="Arial" w:eastAsia="Arial" w:hAnsi="Arial"/>
                <w:sz w:val="13"/>
                <w:szCs w:val="13"/>
                <w:b w:val="1"/>
                <w:bCs w:val="1"/>
                <w:color w:val="auto"/>
              </w:rPr>
              <w:t>California</w:t>
            </w:r>
          </w:p>
        </w:tc>
        <w:tc>
          <w:tcPr>
            <w:tcW w:w="3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60" w:type="dxa"/>
            <w:vAlign w:val="bottom"/>
            <w:gridSpan w:val="6"/>
            <w:shd w:val="clear" w:color="auto" w:fill="CCEEFF"/>
          </w:tcPr>
          <w:p>
            <w:pPr>
              <w:spacing w:after="0" w:line="126" w:lineRule="exact"/>
              <w:rPr>
                <w:sz w:val="20"/>
                <w:szCs w:val="20"/>
                <w:color w:val="auto"/>
              </w:rPr>
            </w:pPr>
            <w:r>
              <w:rPr>
                <w:rFonts w:ascii="Arial" w:cs="Arial" w:eastAsia="Arial" w:hAnsi="Arial"/>
                <w:sz w:val="13"/>
                <w:szCs w:val="13"/>
                <w:color w:val="auto"/>
              </w:rPr>
              <w:t>Colorado Blvd</w:t>
            </w:r>
          </w:p>
        </w:tc>
        <w:tc>
          <w:tcPr>
            <w:tcW w:w="32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line="126" w:lineRule="exact"/>
              <w:rPr>
                <w:sz w:val="20"/>
                <w:szCs w:val="20"/>
                <w:color w:val="auto"/>
              </w:rPr>
            </w:pPr>
            <w:r>
              <w:rPr>
                <w:rFonts w:ascii="Arial" w:cs="Arial" w:eastAsia="Arial" w:hAnsi="Arial"/>
                <w:sz w:val="13"/>
                <w:szCs w:val="13"/>
                <w:color w:val="auto"/>
              </w:rPr>
              <w:t>Los Angeles-Long Beach, CA</w:t>
            </w:r>
          </w:p>
        </w:tc>
        <w:tc>
          <w:tcPr>
            <w:tcW w:w="600" w:type="dxa"/>
            <w:vAlign w:val="bottom"/>
            <w:gridSpan w:val="3"/>
            <w:shd w:val="clear" w:color="auto" w:fill="CCEEFF"/>
          </w:tcPr>
          <w:p>
            <w:pPr>
              <w:jc w:val="right"/>
              <w:ind w:right="20"/>
              <w:spacing w:after="0" w:line="126" w:lineRule="exact"/>
              <w:rPr>
                <w:sz w:val="20"/>
                <w:szCs w:val="20"/>
                <w:color w:val="auto"/>
              </w:rPr>
            </w:pPr>
            <w:r>
              <w:rPr>
                <w:rFonts w:ascii="Arial" w:cs="Arial" w:eastAsia="Arial" w:hAnsi="Arial"/>
                <w:sz w:val="13"/>
                <w:szCs w:val="13"/>
                <w:color w:val="auto"/>
              </w:rPr>
              <w:t>1996-</w:t>
            </w:r>
          </w:p>
        </w:tc>
        <w:tc>
          <w:tcPr>
            <w:tcW w:w="80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3"/>
                <w:szCs w:val="13"/>
                <w:color w:val="auto"/>
              </w:rPr>
              <w:t>16,695</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3"/>
                <w:szCs w:val="13"/>
                <w:color w:val="auto"/>
              </w:rPr>
              <w:t>69,000</w:t>
            </w:r>
          </w:p>
        </w:tc>
        <w:tc>
          <w:tcPr>
            <w:tcW w:w="600" w:type="dxa"/>
            <w:vAlign w:val="bottom"/>
            <w:gridSpan w:val="3"/>
            <w:shd w:val="clear" w:color="auto" w:fill="CCEEFF"/>
          </w:tcPr>
          <w:p>
            <w:pPr>
              <w:jc w:val="right"/>
              <w:ind w:right="60"/>
              <w:spacing w:after="0" w:line="126" w:lineRule="exact"/>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80"/>
              <w:spacing w:after="0" w:line="126" w:lineRule="exact"/>
              <w:rPr>
                <w:sz w:val="20"/>
                <w:szCs w:val="20"/>
                <w:color w:val="auto"/>
              </w:rPr>
            </w:pPr>
            <w:r>
              <w:rPr>
                <w:rFonts w:ascii="Arial" w:cs="Arial" w:eastAsia="Arial" w:hAnsi="Arial"/>
                <w:sz w:val="13"/>
                <w:szCs w:val="13"/>
                <w:color w:val="auto"/>
              </w:rPr>
              <w:t>100%</w:t>
            </w:r>
          </w:p>
        </w:tc>
        <w:tc>
          <w:tcPr>
            <w:tcW w:w="500" w:type="dxa"/>
            <w:vAlign w:val="bottom"/>
            <w:gridSpan w:val="2"/>
            <w:shd w:val="clear" w:color="auto" w:fill="CCEEFF"/>
          </w:tcPr>
          <w:p>
            <w:pPr>
              <w:jc w:val="right"/>
              <w:ind w:right="60"/>
              <w:spacing w:after="0" w:line="126" w:lineRule="exact"/>
              <w:rPr>
                <w:sz w:val="20"/>
                <w:szCs w:val="20"/>
                <w:color w:val="auto"/>
              </w:rPr>
            </w:pPr>
            <w:r>
              <w:rPr>
                <w:rFonts w:ascii="Arial" w:cs="Arial" w:eastAsia="Arial" w:hAnsi="Arial"/>
                <w:sz w:val="13"/>
                <w:szCs w:val="13"/>
                <w:color w:val="auto"/>
              </w:rPr>
              <w:t>32.68</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6" w:lineRule="exact"/>
              <w:rPr>
                <w:sz w:val="20"/>
                <w:szCs w:val="20"/>
                <w:color w:val="auto"/>
              </w:rPr>
            </w:pPr>
            <w:r>
              <w:rPr>
                <w:rFonts w:ascii="Arial" w:cs="Arial" w:eastAsia="Arial" w:hAnsi="Arial"/>
                <w:sz w:val="13"/>
                <w:szCs w:val="13"/>
                <w:color w:val="auto"/>
                <w:w w:val="92"/>
              </w:rPr>
              <w:t>Pottery Barn / Banana Republic</w:t>
            </w:r>
          </w:p>
        </w:tc>
        <w:tc>
          <w:tcPr>
            <w:tcW w:w="0" w:type="dxa"/>
            <w:vAlign w:val="bottom"/>
          </w:tcPr>
          <w:p>
            <w:pPr>
              <w:spacing w:after="0"/>
              <w:rPr>
                <w:sz w:val="1"/>
                <w:szCs w:val="1"/>
                <w:color w:val="auto"/>
              </w:rPr>
            </w:pPr>
          </w:p>
        </w:tc>
      </w:tr>
      <w:tr>
        <w:trPr>
          <w:trHeight w:val="15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1998</w:t>
            </w: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260" w:type="dxa"/>
            <w:vAlign w:val="bottom"/>
            <w:gridSpan w:val="6"/>
          </w:tcPr>
          <w:p>
            <w:pPr>
              <w:spacing w:after="0" w:line="141" w:lineRule="exact"/>
              <w:rPr>
                <w:sz w:val="20"/>
                <w:szCs w:val="20"/>
                <w:color w:val="auto"/>
              </w:rPr>
            </w:pPr>
            <w:r>
              <w:rPr>
                <w:rFonts w:ascii="Arial" w:cs="Arial" w:eastAsia="Arial" w:hAnsi="Arial"/>
                <w:sz w:val="13"/>
                <w:szCs w:val="13"/>
                <w:color w:val="auto"/>
              </w:rPr>
              <w:t>Crow Canyon</w:t>
            </w:r>
          </w:p>
        </w:tc>
        <w:tc>
          <w:tcPr>
            <w:tcW w:w="320" w:type="dxa"/>
            <w:vAlign w:val="bottom"/>
          </w:tcPr>
          <w:p>
            <w:pPr>
              <w:spacing w:after="0"/>
              <w:rPr>
                <w:sz w:val="12"/>
                <w:szCs w:val="12"/>
                <w:color w:val="auto"/>
              </w:rPr>
            </w:pPr>
          </w:p>
        </w:tc>
        <w:tc>
          <w:tcPr>
            <w:tcW w:w="1900" w:type="dxa"/>
            <w:vAlign w:val="bottom"/>
          </w:tcPr>
          <w:p>
            <w:pPr>
              <w:spacing w:after="0" w:line="141" w:lineRule="exact"/>
              <w:rPr>
                <w:sz w:val="20"/>
                <w:szCs w:val="20"/>
                <w:color w:val="auto"/>
              </w:rPr>
            </w:pPr>
            <w:r>
              <w:rPr>
                <w:rFonts w:ascii="Arial" w:cs="Arial" w:eastAsia="Arial" w:hAnsi="Arial"/>
                <w:sz w:val="13"/>
                <w:szCs w:val="13"/>
                <w:color w:val="auto"/>
              </w:rPr>
              <w:t>San Ramon, CA</w:t>
            </w:r>
          </w:p>
        </w:tc>
        <w:tc>
          <w:tcPr>
            <w:tcW w:w="600" w:type="dxa"/>
            <w:vAlign w:val="bottom"/>
            <w:gridSpan w:val="3"/>
          </w:tcPr>
          <w:p>
            <w:pPr>
              <w:jc w:val="right"/>
              <w:ind w:right="20"/>
              <w:spacing w:after="0" w:line="141" w:lineRule="exact"/>
              <w:rPr>
                <w:sz w:val="20"/>
                <w:szCs w:val="20"/>
                <w:color w:val="auto"/>
              </w:rPr>
            </w:pPr>
            <w:r>
              <w:rPr>
                <w:rFonts w:ascii="Arial" w:cs="Arial" w:eastAsia="Arial" w:hAnsi="Arial"/>
                <w:sz w:val="13"/>
                <w:szCs w:val="13"/>
                <w:color w:val="auto"/>
              </w:rPr>
              <w:t>2005</w:t>
            </w:r>
          </w:p>
        </w:tc>
        <w:tc>
          <w:tcPr>
            <w:tcW w:w="8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51,305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21,945</w:t>
            </w:r>
          </w:p>
        </w:tc>
        <w:tc>
          <w:tcPr>
            <w:tcW w:w="6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225,000</w:t>
            </w:r>
          </w:p>
        </w:tc>
        <w:tc>
          <w:tcPr>
            <w:tcW w:w="60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96%</w:t>
            </w:r>
          </w:p>
        </w:tc>
        <w:tc>
          <w:tcPr>
            <w:tcW w:w="9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96%</w:t>
            </w:r>
          </w:p>
        </w:tc>
        <w:tc>
          <w:tcPr>
            <w:tcW w:w="50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17.08</w:t>
            </w:r>
          </w:p>
        </w:tc>
        <w:tc>
          <w:tcPr>
            <w:tcW w:w="50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58,000</w:t>
            </w:r>
          </w:p>
        </w:tc>
        <w:tc>
          <w:tcPr>
            <w:tcW w:w="820" w:type="dxa"/>
            <w:vAlign w:val="bottom"/>
          </w:tcPr>
          <w:p>
            <w:pPr>
              <w:spacing w:after="0" w:line="141" w:lineRule="exact"/>
              <w:rPr>
                <w:sz w:val="20"/>
                <w:szCs w:val="20"/>
                <w:color w:val="auto"/>
              </w:rPr>
            </w:pPr>
            <w:r>
              <w:rPr>
                <w:rFonts w:ascii="Arial" w:cs="Arial" w:eastAsia="Arial" w:hAnsi="Arial"/>
                <w:sz w:val="13"/>
                <w:szCs w:val="13"/>
                <w:color w:val="auto"/>
              </w:rPr>
              <w:t>Albertson’s</w:t>
            </w:r>
          </w:p>
        </w:tc>
        <w:tc>
          <w:tcPr>
            <w:tcW w:w="40" w:type="dxa"/>
            <w:vAlign w:val="bottom"/>
          </w:tcPr>
          <w:p>
            <w:pPr>
              <w:spacing w:after="0"/>
              <w:rPr>
                <w:sz w:val="12"/>
                <w:szCs w:val="12"/>
                <w:color w:val="auto"/>
              </w:rPr>
            </w:pPr>
          </w:p>
        </w:tc>
        <w:tc>
          <w:tcPr>
            <w:tcW w:w="1700" w:type="dxa"/>
            <w:vAlign w:val="bottom"/>
          </w:tcPr>
          <w:p>
            <w:pPr>
              <w:spacing w:after="0" w:line="141" w:lineRule="exact"/>
              <w:rPr>
                <w:sz w:val="20"/>
                <w:szCs w:val="20"/>
                <w:color w:val="auto"/>
              </w:rPr>
            </w:pPr>
            <w:r>
              <w:rPr>
                <w:rFonts w:ascii="Arial" w:cs="Arial" w:eastAsia="Arial" w:hAnsi="Arial"/>
                <w:sz w:val="13"/>
                <w:szCs w:val="13"/>
                <w:color w:val="auto"/>
              </w:rPr>
              <w:t>Loehmann’s / Rite Aid</w:t>
            </w:r>
          </w:p>
        </w:tc>
        <w:tc>
          <w:tcPr>
            <w:tcW w:w="0" w:type="dxa"/>
            <w:vAlign w:val="bottom"/>
          </w:tcPr>
          <w:p>
            <w:pPr>
              <w:spacing w:after="0"/>
              <w:rPr>
                <w:sz w:val="1"/>
                <w:szCs w:val="1"/>
                <w:color w:val="auto"/>
              </w:rPr>
            </w:pPr>
          </w:p>
        </w:tc>
      </w:tr>
      <w:tr>
        <w:trPr>
          <w:trHeight w:val="141"/>
        </w:trPr>
        <w:tc>
          <w:tcPr>
            <w:tcW w:w="1260" w:type="dxa"/>
            <w:vAlign w:val="bottom"/>
            <w:gridSpan w:val="6"/>
            <w:shd w:val="clear" w:color="auto" w:fill="CCEEFF"/>
          </w:tcPr>
          <w:p>
            <w:pPr>
              <w:spacing w:after="0" w:line="141" w:lineRule="exact"/>
              <w:rPr>
                <w:sz w:val="20"/>
                <w:szCs w:val="20"/>
                <w:color w:val="auto"/>
              </w:rPr>
            </w:pPr>
            <w:r>
              <w:rPr>
                <w:rFonts w:ascii="Arial" w:cs="Arial" w:eastAsia="Arial" w:hAnsi="Arial"/>
                <w:sz w:val="13"/>
                <w:szCs w:val="13"/>
                <w:color w:val="auto"/>
              </w:rPr>
              <w:t>Escondido</w:t>
            </w:r>
          </w:p>
        </w:tc>
        <w:tc>
          <w:tcPr>
            <w:tcW w:w="3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(12)</w:t>
            </w:r>
          </w:p>
        </w:tc>
        <w:tc>
          <w:tcPr>
            <w:tcW w:w="19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San Diego, CA</w:t>
            </w:r>
          </w:p>
        </w:tc>
        <w:tc>
          <w:tcPr>
            <w:tcW w:w="600" w:type="dxa"/>
            <w:vAlign w:val="bottom"/>
            <w:gridSpan w:val="3"/>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1996</w:t>
            </w:r>
          </w:p>
        </w:tc>
        <w:tc>
          <w:tcPr>
            <w:tcW w:w="8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26,480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222,000</w:t>
            </w:r>
          </w:p>
        </w:tc>
        <w:tc>
          <w:tcPr>
            <w:tcW w:w="60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98%</w:t>
            </w:r>
          </w:p>
        </w:tc>
        <w:tc>
          <w:tcPr>
            <w:tcW w:w="9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98%</w:t>
            </w:r>
          </w:p>
        </w:tc>
        <w:tc>
          <w:tcPr>
            <w:tcW w:w="50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20.85</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89"/>
              </w:rPr>
              <w:t>Cost Plus / TJ Maxx / Toys R Us</w:t>
            </w:r>
          </w:p>
        </w:tc>
        <w:tc>
          <w:tcPr>
            <w:tcW w:w="0" w:type="dxa"/>
            <w:vAlign w:val="bottom"/>
          </w:tcPr>
          <w:p>
            <w:pPr>
              <w:spacing w:after="0"/>
              <w:rPr>
                <w:sz w:val="1"/>
                <w:szCs w:val="1"/>
                <w:color w:val="auto"/>
              </w:rPr>
            </w:pPr>
          </w:p>
        </w:tc>
      </w:tr>
      <w:tr>
        <w:trPr>
          <w:trHeight w:val="132"/>
        </w:trPr>
        <w:tc>
          <w:tcPr>
            <w:tcW w:w="1260" w:type="dxa"/>
            <w:vAlign w:val="bottom"/>
            <w:gridSpan w:val="6"/>
          </w:tcPr>
          <w:p>
            <w:pPr>
              <w:spacing w:after="0" w:line="133" w:lineRule="exact"/>
              <w:rPr>
                <w:sz w:val="20"/>
                <w:szCs w:val="20"/>
                <w:color w:val="auto"/>
              </w:rPr>
            </w:pPr>
            <w:r>
              <w:rPr>
                <w:rFonts w:ascii="Arial" w:cs="Arial" w:eastAsia="Arial" w:hAnsi="Arial"/>
                <w:sz w:val="13"/>
                <w:szCs w:val="13"/>
                <w:color w:val="auto"/>
              </w:rPr>
              <w:t>Fifth Ave</w:t>
            </w:r>
          </w:p>
        </w:tc>
        <w:tc>
          <w:tcPr>
            <w:tcW w:w="320" w:type="dxa"/>
            <w:vAlign w:val="bottom"/>
          </w:tcPr>
          <w:p>
            <w:pPr>
              <w:jc w:val="right"/>
              <w:spacing w:after="0" w:line="133" w:lineRule="exact"/>
              <w:rPr>
                <w:sz w:val="20"/>
                <w:szCs w:val="20"/>
                <w:color w:val="auto"/>
              </w:rPr>
            </w:pPr>
            <w:r>
              <w:rPr>
                <w:rFonts w:ascii="Arial" w:cs="Arial" w:eastAsia="Arial" w:hAnsi="Arial"/>
                <w:sz w:val="13"/>
                <w:szCs w:val="13"/>
                <w:color w:val="auto"/>
              </w:rPr>
              <w:t>(13)</w:t>
            </w:r>
          </w:p>
        </w:tc>
        <w:tc>
          <w:tcPr>
            <w:tcW w:w="1900" w:type="dxa"/>
            <w:vAlign w:val="bottom"/>
          </w:tcPr>
          <w:p>
            <w:pPr>
              <w:spacing w:after="0" w:line="133" w:lineRule="exact"/>
              <w:rPr>
                <w:sz w:val="20"/>
                <w:szCs w:val="20"/>
                <w:color w:val="auto"/>
              </w:rPr>
            </w:pPr>
            <w:r>
              <w:rPr>
                <w:rFonts w:ascii="Arial" w:cs="Arial" w:eastAsia="Arial" w:hAnsi="Arial"/>
                <w:sz w:val="13"/>
                <w:szCs w:val="13"/>
                <w:color w:val="auto"/>
              </w:rPr>
              <w:t>San Diego, CA</w:t>
            </w:r>
          </w:p>
        </w:tc>
        <w:tc>
          <w:tcPr>
            <w:tcW w:w="600" w:type="dxa"/>
            <w:vAlign w:val="bottom"/>
            <w:gridSpan w:val="3"/>
          </w:tcPr>
          <w:p>
            <w:pPr>
              <w:jc w:val="right"/>
              <w:ind w:right="20"/>
              <w:spacing w:after="0" w:line="133" w:lineRule="exact"/>
              <w:rPr>
                <w:sz w:val="20"/>
                <w:szCs w:val="20"/>
                <w:color w:val="auto"/>
              </w:rPr>
            </w:pPr>
            <w:r>
              <w:rPr>
                <w:rFonts w:ascii="Arial" w:cs="Arial" w:eastAsia="Arial" w:hAnsi="Arial"/>
                <w:sz w:val="13"/>
                <w:szCs w:val="13"/>
                <w:color w:val="auto"/>
              </w:rPr>
              <w:t>1996-</w:t>
            </w:r>
          </w:p>
        </w:tc>
        <w:tc>
          <w:tcPr>
            <w:tcW w:w="80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12,698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51,000</w:t>
            </w:r>
          </w:p>
        </w:tc>
        <w:tc>
          <w:tcPr>
            <w:tcW w:w="60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82%</w:t>
            </w:r>
          </w:p>
        </w:tc>
        <w:tc>
          <w:tcPr>
            <w:tcW w:w="9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82%</w:t>
            </w:r>
          </w:p>
        </w:tc>
        <w:tc>
          <w:tcPr>
            <w:tcW w:w="50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28.13</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line="133" w:lineRule="exact"/>
              <w:rPr>
                <w:sz w:val="20"/>
                <w:szCs w:val="20"/>
                <w:color w:val="auto"/>
              </w:rPr>
            </w:pPr>
            <w:r>
              <w:rPr>
                <w:rFonts w:ascii="Arial" w:cs="Arial" w:eastAsia="Arial" w:hAnsi="Arial"/>
                <w:sz w:val="13"/>
                <w:szCs w:val="13"/>
                <w:color w:val="auto"/>
              </w:rPr>
              <w:t>Urban Outfitters</w:t>
            </w: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1997</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260" w:type="dxa"/>
            <w:vAlign w:val="bottom"/>
            <w:gridSpan w:val="6"/>
            <w:shd w:val="clear" w:color="auto" w:fill="CCEEFF"/>
          </w:tcPr>
          <w:p>
            <w:pPr>
              <w:spacing w:after="0" w:line="141" w:lineRule="exact"/>
              <w:rPr>
                <w:sz w:val="20"/>
                <w:szCs w:val="20"/>
                <w:color w:val="auto"/>
              </w:rPr>
            </w:pPr>
            <w:r>
              <w:rPr>
                <w:rFonts w:ascii="Arial" w:cs="Arial" w:eastAsia="Arial" w:hAnsi="Arial"/>
                <w:sz w:val="13"/>
                <w:szCs w:val="13"/>
                <w:color w:val="auto"/>
              </w:rPr>
              <w:t>Hermosa Ave</w:t>
            </w:r>
          </w:p>
        </w:tc>
        <w:tc>
          <w:tcPr>
            <w:tcW w:w="3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(14)</w:t>
            </w:r>
          </w:p>
        </w:tc>
        <w:tc>
          <w:tcPr>
            <w:tcW w:w="19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Los Angeles-Long Beach, CA</w:t>
            </w:r>
          </w:p>
        </w:tc>
        <w:tc>
          <w:tcPr>
            <w:tcW w:w="600" w:type="dxa"/>
            <w:vAlign w:val="bottom"/>
            <w:gridSpan w:val="3"/>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1997</w:t>
            </w:r>
          </w:p>
        </w:tc>
        <w:tc>
          <w:tcPr>
            <w:tcW w:w="8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4,721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23,000</w:t>
            </w:r>
          </w:p>
        </w:tc>
        <w:tc>
          <w:tcPr>
            <w:tcW w:w="60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78%</w:t>
            </w:r>
          </w:p>
        </w:tc>
        <w:tc>
          <w:tcPr>
            <w:tcW w:w="9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78%</w:t>
            </w:r>
          </w:p>
        </w:tc>
        <w:tc>
          <w:tcPr>
            <w:tcW w:w="50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31.57</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gridSpan w:val="6"/>
          </w:tcPr>
          <w:p>
            <w:pPr>
              <w:spacing w:after="0" w:line="141" w:lineRule="exact"/>
              <w:rPr>
                <w:sz w:val="20"/>
                <w:szCs w:val="20"/>
                <w:color w:val="auto"/>
              </w:rPr>
            </w:pPr>
            <w:r>
              <w:rPr>
                <w:rFonts w:ascii="Arial" w:cs="Arial" w:eastAsia="Arial" w:hAnsi="Arial"/>
                <w:sz w:val="13"/>
                <w:szCs w:val="13"/>
                <w:color w:val="auto"/>
              </w:rPr>
              <w:t>Hollywood Blvd</w:t>
            </w:r>
          </w:p>
        </w:tc>
        <w:tc>
          <w:tcPr>
            <w:tcW w:w="320" w:type="dxa"/>
            <w:vAlign w:val="bottom"/>
          </w:tcPr>
          <w:p>
            <w:pPr>
              <w:jc w:val="right"/>
              <w:spacing w:after="0" w:line="141" w:lineRule="exact"/>
              <w:rPr>
                <w:sz w:val="20"/>
                <w:szCs w:val="20"/>
                <w:color w:val="auto"/>
              </w:rPr>
            </w:pPr>
            <w:r>
              <w:rPr>
                <w:rFonts w:ascii="Arial" w:cs="Arial" w:eastAsia="Arial" w:hAnsi="Arial"/>
                <w:sz w:val="13"/>
                <w:szCs w:val="13"/>
                <w:color w:val="auto"/>
              </w:rPr>
              <w:t>(14)</w:t>
            </w:r>
          </w:p>
        </w:tc>
        <w:tc>
          <w:tcPr>
            <w:tcW w:w="1900" w:type="dxa"/>
            <w:vAlign w:val="bottom"/>
          </w:tcPr>
          <w:p>
            <w:pPr>
              <w:spacing w:after="0" w:line="141" w:lineRule="exact"/>
              <w:rPr>
                <w:sz w:val="20"/>
                <w:szCs w:val="20"/>
                <w:color w:val="auto"/>
              </w:rPr>
            </w:pPr>
            <w:r>
              <w:rPr>
                <w:rFonts w:ascii="Arial" w:cs="Arial" w:eastAsia="Arial" w:hAnsi="Arial"/>
                <w:sz w:val="13"/>
                <w:szCs w:val="13"/>
                <w:color w:val="auto"/>
              </w:rPr>
              <w:t>Los Angeles-Long Beach, CA</w:t>
            </w:r>
          </w:p>
        </w:tc>
        <w:tc>
          <w:tcPr>
            <w:tcW w:w="600" w:type="dxa"/>
            <w:vAlign w:val="bottom"/>
            <w:gridSpan w:val="3"/>
          </w:tcPr>
          <w:p>
            <w:pPr>
              <w:jc w:val="right"/>
              <w:ind w:right="20"/>
              <w:spacing w:after="0" w:line="141" w:lineRule="exact"/>
              <w:rPr>
                <w:sz w:val="20"/>
                <w:szCs w:val="20"/>
                <w:color w:val="auto"/>
              </w:rPr>
            </w:pPr>
            <w:r>
              <w:rPr>
                <w:rFonts w:ascii="Arial" w:cs="Arial" w:eastAsia="Arial" w:hAnsi="Arial"/>
                <w:sz w:val="13"/>
                <w:szCs w:val="13"/>
                <w:color w:val="auto"/>
              </w:rPr>
              <w:t>1999</w:t>
            </w:r>
          </w:p>
        </w:tc>
        <w:tc>
          <w:tcPr>
            <w:tcW w:w="8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34,270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149,000</w:t>
            </w:r>
          </w:p>
        </w:tc>
        <w:tc>
          <w:tcPr>
            <w:tcW w:w="600" w:type="dxa"/>
            <w:vAlign w:val="bottom"/>
            <w:gridSpan w:val="3"/>
          </w:tcPr>
          <w:p>
            <w:pPr>
              <w:jc w:val="right"/>
              <w:ind w:right="60"/>
              <w:spacing w:after="0" w:line="141" w:lineRule="exact"/>
              <w:rPr>
                <w:sz w:val="20"/>
                <w:szCs w:val="20"/>
                <w:color w:val="auto"/>
              </w:rPr>
            </w:pPr>
            <w:r>
              <w:rPr>
                <w:rFonts w:ascii="Arial" w:cs="Arial" w:eastAsia="Arial" w:hAnsi="Arial"/>
                <w:sz w:val="13"/>
                <w:szCs w:val="13"/>
                <w:color w:val="auto"/>
              </w:rPr>
              <w:t>72%</w:t>
            </w:r>
          </w:p>
        </w:tc>
        <w:tc>
          <w:tcPr>
            <w:tcW w:w="9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72%</w:t>
            </w:r>
          </w:p>
        </w:tc>
        <w:tc>
          <w:tcPr>
            <w:tcW w:w="50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22.86</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line="141" w:lineRule="exact"/>
              <w:rPr>
                <w:sz w:val="20"/>
                <w:szCs w:val="20"/>
                <w:color w:val="auto"/>
              </w:rPr>
            </w:pPr>
            <w:r>
              <w:rPr>
                <w:rFonts w:ascii="Arial" w:cs="Arial" w:eastAsia="Arial" w:hAnsi="Arial"/>
                <w:sz w:val="13"/>
                <w:szCs w:val="13"/>
                <w:color w:val="auto"/>
              </w:rPr>
              <w:t>L.A. Fitness</w:t>
            </w:r>
          </w:p>
        </w:tc>
        <w:tc>
          <w:tcPr>
            <w:tcW w:w="0" w:type="dxa"/>
            <w:vAlign w:val="bottom"/>
          </w:tcPr>
          <w:p>
            <w:pPr>
              <w:spacing w:after="0"/>
              <w:rPr>
                <w:sz w:val="1"/>
                <w:szCs w:val="1"/>
                <w:color w:val="auto"/>
              </w:rPr>
            </w:pPr>
          </w:p>
        </w:tc>
      </w:tr>
      <w:tr>
        <w:trPr>
          <w:trHeight w:val="132"/>
        </w:trPr>
        <w:tc>
          <w:tcPr>
            <w:tcW w:w="1260" w:type="dxa"/>
            <w:vAlign w:val="bottom"/>
            <w:gridSpan w:val="6"/>
            <w:shd w:val="clear" w:color="auto" w:fill="CCEEFF"/>
          </w:tcPr>
          <w:p>
            <w:pPr>
              <w:spacing w:after="0" w:line="133" w:lineRule="exact"/>
              <w:rPr>
                <w:sz w:val="20"/>
                <w:szCs w:val="20"/>
                <w:color w:val="auto"/>
              </w:rPr>
            </w:pPr>
            <w:r>
              <w:rPr>
                <w:rFonts w:ascii="Arial" w:cs="Arial" w:eastAsia="Arial" w:hAnsi="Arial"/>
                <w:sz w:val="13"/>
                <w:szCs w:val="13"/>
                <w:color w:val="auto"/>
              </w:rPr>
              <w:t>Kings Court</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(7)</w:t>
            </w:r>
          </w:p>
        </w:tc>
        <w:tc>
          <w:tcPr>
            <w:tcW w:w="19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San Jose, CA</w:t>
            </w:r>
          </w:p>
        </w:tc>
        <w:tc>
          <w:tcPr>
            <w:tcW w:w="60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1998</w:t>
            </w:r>
          </w:p>
        </w:tc>
        <w:tc>
          <w:tcPr>
            <w:tcW w:w="84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11,522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79,000</w:t>
            </w:r>
          </w:p>
        </w:tc>
        <w:tc>
          <w:tcPr>
            <w:tcW w:w="6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100%</w:t>
            </w:r>
          </w:p>
        </w:tc>
        <w:tc>
          <w:tcPr>
            <w:tcW w:w="5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24.55</w:t>
            </w:r>
          </w:p>
        </w:tc>
        <w:tc>
          <w:tcPr>
            <w:tcW w:w="5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25,000</w:t>
            </w:r>
          </w:p>
        </w:tc>
        <w:tc>
          <w:tcPr>
            <w:tcW w:w="8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Lunardi’s</w:t>
            </w:r>
          </w:p>
        </w:tc>
        <w:tc>
          <w:tcPr>
            <w:tcW w:w="4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Longs Drug Store</w:t>
            </w:r>
          </w:p>
        </w:tc>
        <w:tc>
          <w:tcPr>
            <w:tcW w:w="0" w:type="dxa"/>
            <w:vAlign w:val="bottom"/>
          </w:tcPr>
          <w:p>
            <w:pPr>
              <w:spacing w:after="0"/>
              <w:rPr>
                <w:sz w:val="1"/>
                <w:szCs w:val="1"/>
                <w:color w:val="auto"/>
              </w:rPr>
            </w:pPr>
          </w:p>
        </w:tc>
      </w:tr>
      <w:tr>
        <w:trPr>
          <w:trHeight w:val="15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3"/>
                <w:szCs w:val="13"/>
                <w:color w:val="auto"/>
              </w:rPr>
              <w:t>Super Market</w:t>
            </w:r>
          </w:p>
        </w:tc>
        <w:tc>
          <w:tcPr>
            <w:tcW w:w="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260" w:type="dxa"/>
            <w:vAlign w:val="bottom"/>
            <w:gridSpan w:val="6"/>
          </w:tcPr>
          <w:p>
            <w:pPr>
              <w:spacing w:after="0" w:line="133" w:lineRule="exact"/>
              <w:rPr>
                <w:sz w:val="20"/>
                <w:szCs w:val="20"/>
                <w:color w:val="auto"/>
              </w:rPr>
            </w:pPr>
            <w:r>
              <w:rPr>
                <w:rFonts w:ascii="Arial" w:cs="Arial" w:eastAsia="Arial" w:hAnsi="Arial"/>
                <w:sz w:val="13"/>
                <w:szCs w:val="13"/>
                <w:color w:val="auto"/>
              </w:rPr>
              <w:t>Old Town Center</w:t>
            </w:r>
          </w:p>
        </w:tc>
        <w:tc>
          <w:tcPr>
            <w:tcW w:w="320" w:type="dxa"/>
            <w:vAlign w:val="bottom"/>
          </w:tcPr>
          <w:p>
            <w:pPr>
              <w:spacing w:after="0"/>
              <w:rPr>
                <w:sz w:val="11"/>
                <w:szCs w:val="11"/>
                <w:color w:val="auto"/>
              </w:rPr>
            </w:pPr>
          </w:p>
        </w:tc>
        <w:tc>
          <w:tcPr>
            <w:tcW w:w="1900" w:type="dxa"/>
            <w:vAlign w:val="bottom"/>
          </w:tcPr>
          <w:p>
            <w:pPr>
              <w:spacing w:after="0" w:line="133" w:lineRule="exact"/>
              <w:rPr>
                <w:sz w:val="20"/>
                <w:szCs w:val="20"/>
                <w:color w:val="auto"/>
              </w:rPr>
            </w:pPr>
            <w:r>
              <w:rPr>
                <w:rFonts w:ascii="Arial" w:cs="Arial" w:eastAsia="Arial" w:hAnsi="Arial"/>
                <w:sz w:val="13"/>
                <w:szCs w:val="13"/>
                <w:color w:val="auto"/>
              </w:rPr>
              <w:t>San Jose, CA</w:t>
            </w:r>
          </w:p>
        </w:tc>
        <w:tc>
          <w:tcPr>
            <w:tcW w:w="600" w:type="dxa"/>
            <w:vAlign w:val="bottom"/>
            <w:gridSpan w:val="3"/>
          </w:tcPr>
          <w:p>
            <w:pPr>
              <w:jc w:val="right"/>
              <w:ind w:right="20"/>
              <w:spacing w:after="0" w:line="133" w:lineRule="exact"/>
              <w:rPr>
                <w:sz w:val="20"/>
                <w:szCs w:val="20"/>
                <w:color w:val="auto"/>
              </w:rPr>
            </w:pPr>
            <w:r>
              <w:rPr>
                <w:rFonts w:ascii="Arial" w:cs="Arial" w:eastAsia="Arial" w:hAnsi="Arial"/>
                <w:sz w:val="13"/>
                <w:szCs w:val="13"/>
                <w:color w:val="auto"/>
              </w:rPr>
              <w:t>1997</w:t>
            </w:r>
          </w:p>
        </w:tc>
        <w:tc>
          <w:tcPr>
            <w:tcW w:w="80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33,376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94,000</w:t>
            </w:r>
          </w:p>
        </w:tc>
        <w:tc>
          <w:tcPr>
            <w:tcW w:w="60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97%</w:t>
            </w:r>
          </w:p>
        </w:tc>
        <w:tc>
          <w:tcPr>
            <w:tcW w:w="9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97%</w:t>
            </w:r>
          </w:p>
        </w:tc>
        <w:tc>
          <w:tcPr>
            <w:tcW w:w="50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27.59</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line="133" w:lineRule="exact"/>
              <w:rPr>
                <w:sz w:val="20"/>
                <w:szCs w:val="20"/>
                <w:color w:val="auto"/>
              </w:rPr>
            </w:pPr>
            <w:r>
              <w:rPr>
                <w:rFonts w:ascii="Arial" w:cs="Arial" w:eastAsia="Arial" w:hAnsi="Arial"/>
                <w:sz w:val="13"/>
                <w:szCs w:val="13"/>
                <w:color w:val="auto"/>
              </w:rPr>
              <w:t>Borders / Gap Kids / Banana</w:t>
            </w: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20"/>
                <w:szCs w:val="20"/>
                <w:color w:val="auto"/>
              </w:rPr>
            </w:pPr>
            <w:r>
              <w:rPr>
                <w:rFonts w:ascii="Arial" w:cs="Arial" w:eastAsia="Arial" w:hAnsi="Arial"/>
                <w:sz w:val="13"/>
                <w:szCs w:val="13"/>
                <w:color w:val="auto"/>
              </w:rPr>
              <w:t>Republic</w:t>
            </w:r>
          </w:p>
        </w:tc>
        <w:tc>
          <w:tcPr>
            <w:tcW w:w="0" w:type="dxa"/>
            <w:vAlign w:val="bottom"/>
          </w:tcPr>
          <w:p>
            <w:pPr>
              <w:spacing w:after="0"/>
              <w:rPr>
                <w:sz w:val="1"/>
                <w:szCs w:val="1"/>
                <w:color w:val="auto"/>
              </w:rPr>
            </w:pPr>
          </w:p>
        </w:tc>
      </w:tr>
      <w:tr>
        <w:trPr>
          <w:trHeight w:val="132"/>
        </w:trPr>
        <w:tc>
          <w:tcPr>
            <w:tcW w:w="1260" w:type="dxa"/>
            <w:vAlign w:val="bottom"/>
            <w:gridSpan w:val="6"/>
            <w:shd w:val="clear" w:color="auto" w:fill="CCEEFF"/>
          </w:tcPr>
          <w:p>
            <w:pPr>
              <w:spacing w:after="0" w:line="133" w:lineRule="exact"/>
              <w:rPr>
                <w:sz w:val="20"/>
                <w:szCs w:val="20"/>
                <w:color w:val="auto"/>
              </w:rPr>
            </w:pPr>
            <w:r>
              <w:rPr>
                <w:rFonts w:ascii="Arial" w:cs="Arial" w:eastAsia="Arial" w:hAnsi="Arial"/>
                <w:sz w:val="13"/>
                <w:szCs w:val="13"/>
                <w:color w:val="auto"/>
              </w:rPr>
              <w:t>Santana Row</w:t>
            </w:r>
          </w:p>
        </w:tc>
        <w:tc>
          <w:tcPr>
            <w:tcW w:w="3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San Jose, CA</w:t>
            </w:r>
          </w:p>
        </w:tc>
        <w:tc>
          <w:tcPr>
            <w:tcW w:w="60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1997</w:t>
            </w:r>
          </w:p>
        </w:tc>
        <w:tc>
          <w:tcPr>
            <w:tcW w:w="8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463,042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563,000</w:t>
            </w:r>
          </w:p>
        </w:tc>
        <w:tc>
          <w:tcPr>
            <w:tcW w:w="6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97%</w:t>
            </w:r>
          </w:p>
        </w:tc>
        <w:tc>
          <w:tcPr>
            <w:tcW w:w="9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97%</w:t>
            </w:r>
          </w:p>
        </w:tc>
        <w:tc>
          <w:tcPr>
            <w:tcW w:w="5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41.71</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1"/>
              </w:rPr>
              <w:t>Crate &amp; Barrel / Container Store</w:t>
            </w:r>
          </w:p>
        </w:tc>
        <w:tc>
          <w:tcPr>
            <w:tcW w:w="0" w:type="dxa"/>
            <w:vAlign w:val="bottom"/>
          </w:tcPr>
          <w:p>
            <w:pPr>
              <w:spacing w:after="0"/>
              <w:rPr>
                <w:sz w:val="1"/>
                <w:szCs w:val="1"/>
                <w:color w:val="auto"/>
              </w:rPr>
            </w:pPr>
          </w:p>
        </w:tc>
      </w:tr>
      <w:tr>
        <w:trPr>
          <w:trHeight w:val="141"/>
        </w:trPr>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95"/>
              </w:rPr>
              <w:t>/ Best Buy / Borders / CineArts</w:t>
            </w:r>
          </w:p>
        </w:tc>
        <w:tc>
          <w:tcPr>
            <w:tcW w:w="0" w:type="dxa"/>
            <w:vAlign w:val="bottom"/>
          </w:tcPr>
          <w:p>
            <w:pPr>
              <w:spacing w:after="0"/>
              <w:rPr>
                <w:sz w:val="1"/>
                <w:szCs w:val="1"/>
                <w:color w:val="auto"/>
              </w:rPr>
            </w:pPr>
          </w:p>
        </w:tc>
      </w:tr>
      <w:tr>
        <w:trPr>
          <w:trHeight w:val="15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Theatre</w:t>
            </w:r>
          </w:p>
        </w:tc>
        <w:tc>
          <w:tcPr>
            <w:tcW w:w="0" w:type="dxa"/>
            <w:vAlign w:val="bottom"/>
          </w:tcPr>
          <w:p>
            <w:pPr>
              <w:spacing w:after="0"/>
              <w:rPr>
                <w:sz w:val="1"/>
                <w:szCs w:val="1"/>
                <w:color w:val="auto"/>
              </w:rPr>
            </w:pPr>
          </w:p>
        </w:tc>
      </w:tr>
      <w:tr>
        <w:trPr>
          <w:trHeight w:val="132"/>
        </w:trPr>
        <w:tc>
          <w:tcPr>
            <w:tcW w:w="1260" w:type="dxa"/>
            <w:vAlign w:val="bottom"/>
            <w:gridSpan w:val="6"/>
          </w:tcPr>
          <w:p>
            <w:pPr>
              <w:spacing w:after="0" w:line="133" w:lineRule="exact"/>
              <w:rPr>
                <w:sz w:val="20"/>
                <w:szCs w:val="20"/>
                <w:color w:val="auto"/>
              </w:rPr>
            </w:pPr>
            <w:r>
              <w:rPr>
                <w:rFonts w:ascii="Arial" w:cs="Arial" w:eastAsia="Arial" w:hAnsi="Arial"/>
                <w:sz w:val="13"/>
                <w:szCs w:val="13"/>
                <w:color w:val="auto"/>
              </w:rPr>
              <w:t>Third St Promenade</w:t>
            </w:r>
          </w:p>
        </w:tc>
        <w:tc>
          <w:tcPr>
            <w:tcW w:w="320" w:type="dxa"/>
            <w:vAlign w:val="bottom"/>
          </w:tcPr>
          <w:p>
            <w:pPr>
              <w:jc w:val="right"/>
              <w:spacing w:after="0" w:line="133" w:lineRule="exact"/>
              <w:rPr>
                <w:sz w:val="20"/>
                <w:szCs w:val="20"/>
                <w:color w:val="auto"/>
              </w:rPr>
            </w:pPr>
            <w:r>
              <w:rPr>
                <w:rFonts w:ascii="Arial" w:cs="Arial" w:eastAsia="Arial" w:hAnsi="Arial"/>
                <w:sz w:val="13"/>
                <w:szCs w:val="13"/>
                <w:color w:val="auto"/>
              </w:rPr>
              <w:t>(15)</w:t>
            </w:r>
          </w:p>
        </w:tc>
        <w:tc>
          <w:tcPr>
            <w:tcW w:w="1900" w:type="dxa"/>
            <w:vAlign w:val="bottom"/>
          </w:tcPr>
          <w:p>
            <w:pPr>
              <w:spacing w:after="0" w:line="133" w:lineRule="exact"/>
              <w:rPr>
                <w:sz w:val="20"/>
                <w:szCs w:val="20"/>
                <w:color w:val="auto"/>
              </w:rPr>
            </w:pPr>
            <w:r>
              <w:rPr>
                <w:rFonts w:ascii="Arial" w:cs="Arial" w:eastAsia="Arial" w:hAnsi="Arial"/>
                <w:sz w:val="13"/>
                <w:szCs w:val="13"/>
                <w:color w:val="auto"/>
              </w:rPr>
              <w:t>Los Angeles-Long Beach, CA</w:t>
            </w:r>
          </w:p>
        </w:tc>
        <w:tc>
          <w:tcPr>
            <w:tcW w:w="600" w:type="dxa"/>
            <w:vAlign w:val="bottom"/>
            <w:gridSpan w:val="3"/>
          </w:tcPr>
          <w:p>
            <w:pPr>
              <w:jc w:val="right"/>
              <w:ind w:right="20"/>
              <w:spacing w:after="0" w:line="133" w:lineRule="exact"/>
              <w:rPr>
                <w:sz w:val="20"/>
                <w:szCs w:val="20"/>
                <w:color w:val="auto"/>
              </w:rPr>
            </w:pPr>
            <w:r>
              <w:rPr>
                <w:rFonts w:ascii="Arial" w:cs="Arial" w:eastAsia="Arial" w:hAnsi="Arial"/>
                <w:sz w:val="13"/>
                <w:szCs w:val="13"/>
                <w:color w:val="auto"/>
              </w:rPr>
              <w:t>1996-</w:t>
            </w:r>
          </w:p>
        </w:tc>
        <w:tc>
          <w:tcPr>
            <w:tcW w:w="80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75,546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211,000</w:t>
            </w:r>
          </w:p>
        </w:tc>
        <w:tc>
          <w:tcPr>
            <w:tcW w:w="600" w:type="dxa"/>
            <w:vAlign w:val="bottom"/>
            <w:gridSpan w:val="3"/>
          </w:tcPr>
          <w:p>
            <w:pPr>
              <w:jc w:val="right"/>
              <w:ind w:right="60"/>
              <w:spacing w:after="0" w:line="133" w:lineRule="exact"/>
              <w:rPr>
                <w:sz w:val="20"/>
                <w:szCs w:val="20"/>
                <w:color w:val="auto"/>
              </w:rPr>
            </w:pPr>
            <w:r>
              <w:rPr>
                <w:rFonts w:ascii="Arial" w:cs="Arial" w:eastAsia="Arial" w:hAnsi="Arial"/>
                <w:sz w:val="13"/>
                <w:szCs w:val="13"/>
                <w:color w:val="auto"/>
              </w:rPr>
              <w:t>97%</w:t>
            </w:r>
          </w:p>
        </w:tc>
        <w:tc>
          <w:tcPr>
            <w:tcW w:w="900" w:type="dxa"/>
            <w:vAlign w:val="bottom"/>
            <w:gridSpan w:val="2"/>
          </w:tcPr>
          <w:p>
            <w:pPr>
              <w:jc w:val="right"/>
              <w:ind w:right="80"/>
              <w:spacing w:after="0" w:line="133" w:lineRule="exact"/>
              <w:rPr>
                <w:sz w:val="20"/>
                <w:szCs w:val="20"/>
                <w:color w:val="auto"/>
              </w:rPr>
            </w:pPr>
            <w:r>
              <w:rPr>
                <w:rFonts w:ascii="Arial" w:cs="Arial" w:eastAsia="Arial" w:hAnsi="Arial"/>
                <w:sz w:val="13"/>
                <w:szCs w:val="13"/>
                <w:color w:val="auto"/>
              </w:rPr>
              <w:t>97%</w:t>
            </w:r>
          </w:p>
        </w:tc>
        <w:tc>
          <w:tcPr>
            <w:tcW w:w="50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53.39</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line="133" w:lineRule="exact"/>
              <w:rPr>
                <w:sz w:val="20"/>
                <w:szCs w:val="20"/>
                <w:color w:val="auto"/>
              </w:rPr>
            </w:pPr>
            <w:r>
              <w:rPr>
                <w:rFonts w:ascii="Arial" w:cs="Arial" w:eastAsia="Arial" w:hAnsi="Arial"/>
                <w:sz w:val="13"/>
                <w:szCs w:val="13"/>
                <w:color w:val="auto"/>
                <w:w w:val="90"/>
              </w:rPr>
              <w:t>J. Crew / Banana Republic / Old</w:t>
            </w: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2000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20"/>
                <w:szCs w:val="20"/>
                <w:color w:val="auto"/>
              </w:rPr>
            </w:pPr>
            <w:r>
              <w:rPr>
                <w:rFonts w:ascii="Arial" w:cs="Arial" w:eastAsia="Arial" w:hAnsi="Arial"/>
                <w:sz w:val="13"/>
                <w:szCs w:val="13"/>
                <w:color w:val="auto"/>
              </w:rPr>
              <w:t>Navy / Abercrombie &amp; Fitch</w:t>
            </w:r>
          </w:p>
        </w:tc>
        <w:tc>
          <w:tcPr>
            <w:tcW w:w="0" w:type="dxa"/>
            <w:vAlign w:val="bottom"/>
          </w:tcPr>
          <w:p>
            <w:pPr>
              <w:spacing w:after="0"/>
              <w:rPr>
                <w:sz w:val="1"/>
                <w:szCs w:val="1"/>
                <w:color w:val="auto"/>
              </w:rPr>
            </w:pPr>
          </w:p>
        </w:tc>
      </w:tr>
      <w:tr>
        <w:trPr>
          <w:trHeight w:val="132"/>
        </w:trPr>
        <w:tc>
          <w:tcPr>
            <w:tcW w:w="1260" w:type="dxa"/>
            <w:vAlign w:val="bottom"/>
            <w:gridSpan w:val="6"/>
            <w:shd w:val="clear" w:color="auto" w:fill="CCEEFF"/>
          </w:tcPr>
          <w:p>
            <w:pPr>
              <w:spacing w:after="0" w:line="133" w:lineRule="exact"/>
              <w:rPr>
                <w:sz w:val="20"/>
                <w:szCs w:val="20"/>
                <w:color w:val="auto"/>
              </w:rPr>
            </w:pPr>
            <w:r>
              <w:rPr>
                <w:rFonts w:ascii="Arial" w:cs="Arial" w:eastAsia="Arial" w:hAnsi="Arial"/>
                <w:sz w:val="13"/>
                <w:szCs w:val="13"/>
                <w:color w:val="auto"/>
              </w:rPr>
              <w:t>Westgate</w:t>
            </w:r>
          </w:p>
        </w:tc>
        <w:tc>
          <w:tcPr>
            <w:tcW w:w="3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San Jose, CA</w:t>
            </w:r>
          </w:p>
        </w:tc>
        <w:tc>
          <w:tcPr>
            <w:tcW w:w="60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3"/>
                <w:szCs w:val="13"/>
                <w:color w:val="auto"/>
              </w:rPr>
              <w:t>2004</w:t>
            </w:r>
          </w:p>
        </w:tc>
        <w:tc>
          <w:tcPr>
            <w:tcW w:w="840" w:type="dxa"/>
            <w:vAlign w:val="bottom"/>
            <w:gridSpan w:val="3"/>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115,552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645,000</w:t>
            </w:r>
          </w:p>
        </w:tc>
        <w:tc>
          <w:tcPr>
            <w:tcW w:w="60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99%</w:t>
            </w:r>
          </w:p>
        </w:tc>
        <w:tc>
          <w:tcPr>
            <w:tcW w:w="9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3"/>
                <w:szCs w:val="13"/>
                <w:color w:val="auto"/>
              </w:rPr>
              <w:t>99%</w:t>
            </w:r>
          </w:p>
        </w:tc>
        <w:tc>
          <w:tcPr>
            <w:tcW w:w="5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12.20</w:t>
            </w:r>
          </w:p>
        </w:tc>
        <w:tc>
          <w:tcPr>
            <w:tcW w:w="5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3"/>
                <w:szCs w:val="13"/>
                <w:color w:val="auto"/>
              </w:rPr>
              <w:t>38,000</w:t>
            </w:r>
          </w:p>
        </w:tc>
        <w:tc>
          <w:tcPr>
            <w:tcW w:w="8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Safeway</w:t>
            </w:r>
          </w:p>
        </w:tc>
        <w:tc>
          <w:tcPr>
            <w:tcW w:w="4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0"/>
              </w:rPr>
              <w:t>Target / Burlington Coat Factory</w:t>
            </w:r>
          </w:p>
        </w:tc>
        <w:tc>
          <w:tcPr>
            <w:tcW w:w="0" w:type="dxa"/>
            <w:vAlign w:val="bottom"/>
          </w:tcPr>
          <w:p>
            <w:pPr>
              <w:spacing w:after="0"/>
              <w:rPr>
                <w:sz w:val="1"/>
                <w:szCs w:val="1"/>
                <w:color w:val="auto"/>
              </w:rPr>
            </w:pPr>
          </w:p>
        </w:tc>
      </w:tr>
      <w:tr>
        <w:trPr>
          <w:trHeight w:val="150"/>
        </w:trPr>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 Barnes &amp; Noble / Ross</w:t>
            </w:r>
          </w:p>
        </w:tc>
        <w:tc>
          <w:tcPr>
            <w:tcW w:w="0" w:type="dxa"/>
            <w:vAlign w:val="bottom"/>
          </w:tcPr>
          <w:p>
            <w:pPr>
              <w:spacing w:after="0"/>
              <w:rPr>
                <w:sz w:val="1"/>
                <w:szCs w:val="1"/>
                <w:color w:val="auto"/>
              </w:rPr>
            </w:pPr>
          </w:p>
        </w:tc>
      </w:tr>
      <w:tr>
        <w:trPr>
          <w:trHeight w:val="141"/>
        </w:trPr>
        <w:tc>
          <w:tcPr>
            <w:tcW w:w="1260" w:type="dxa"/>
            <w:vAlign w:val="bottom"/>
            <w:gridSpan w:val="6"/>
          </w:tcPr>
          <w:p>
            <w:pPr>
              <w:spacing w:after="0" w:line="141" w:lineRule="exact"/>
              <w:rPr>
                <w:sz w:val="20"/>
                <w:szCs w:val="20"/>
                <w:color w:val="auto"/>
              </w:rPr>
            </w:pPr>
            <w:r>
              <w:rPr>
                <w:rFonts w:ascii="Arial" w:cs="Arial" w:eastAsia="Arial" w:hAnsi="Arial"/>
                <w:sz w:val="13"/>
                <w:szCs w:val="13"/>
                <w:color w:val="auto"/>
              </w:rPr>
              <w:t>150 Post Street</w:t>
            </w:r>
          </w:p>
        </w:tc>
        <w:tc>
          <w:tcPr>
            <w:tcW w:w="320" w:type="dxa"/>
            <w:vAlign w:val="bottom"/>
          </w:tcPr>
          <w:p>
            <w:pPr>
              <w:spacing w:after="0"/>
              <w:rPr>
                <w:sz w:val="12"/>
                <w:szCs w:val="12"/>
                <w:color w:val="auto"/>
              </w:rPr>
            </w:pPr>
          </w:p>
        </w:tc>
        <w:tc>
          <w:tcPr>
            <w:tcW w:w="1900" w:type="dxa"/>
            <w:vAlign w:val="bottom"/>
          </w:tcPr>
          <w:p>
            <w:pPr>
              <w:spacing w:after="0" w:line="141" w:lineRule="exact"/>
              <w:rPr>
                <w:sz w:val="20"/>
                <w:szCs w:val="20"/>
                <w:color w:val="auto"/>
              </w:rPr>
            </w:pPr>
            <w:r>
              <w:rPr>
                <w:rFonts w:ascii="Arial" w:cs="Arial" w:eastAsia="Arial" w:hAnsi="Arial"/>
                <w:sz w:val="13"/>
                <w:szCs w:val="13"/>
                <w:color w:val="auto"/>
              </w:rPr>
              <w:t>San Francisco, CA</w:t>
            </w:r>
          </w:p>
        </w:tc>
        <w:tc>
          <w:tcPr>
            <w:tcW w:w="600" w:type="dxa"/>
            <w:vAlign w:val="bottom"/>
            <w:gridSpan w:val="3"/>
          </w:tcPr>
          <w:p>
            <w:pPr>
              <w:jc w:val="right"/>
              <w:ind w:right="20"/>
              <w:spacing w:after="0" w:line="141" w:lineRule="exact"/>
              <w:rPr>
                <w:sz w:val="20"/>
                <w:szCs w:val="20"/>
                <w:color w:val="auto"/>
              </w:rPr>
            </w:pPr>
            <w:r>
              <w:rPr>
                <w:rFonts w:ascii="Arial" w:cs="Arial" w:eastAsia="Arial" w:hAnsi="Arial"/>
                <w:sz w:val="13"/>
                <w:szCs w:val="13"/>
                <w:color w:val="auto"/>
              </w:rPr>
              <w:t>1997</w:t>
            </w:r>
          </w:p>
        </w:tc>
        <w:tc>
          <w:tcPr>
            <w:tcW w:w="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36,222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auto"/>
              </w:rPr>
              <w:t>103,000</w:t>
            </w:r>
          </w:p>
        </w:tc>
        <w:tc>
          <w:tcPr>
            <w:tcW w:w="40" w:type="dxa"/>
            <w:vAlign w:val="bottom"/>
          </w:tcPr>
          <w:p>
            <w:pPr>
              <w:spacing w:after="0"/>
              <w:rPr>
                <w:sz w:val="12"/>
                <w:szCs w:val="12"/>
                <w:color w:val="auto"/>
              </w:rPr>
            </w:pPr>
          </w:p>
        </w:tc>
        <w:tc>
          <w:tcPr>
            <w:tcW w:w="5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92%</w:t>
            </w:r>
          </w:p>
        </w:tc>
        <w:tc>
          <w:tcPr>
            <w:tcW w:w="9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92%</w:t>
            </w:r>
          </w:p>
        </w:tc>
        <w:tc>
          <w:tcPr>
            <w:tcW w:w="50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38.23</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line="141" w:lineRule="exact"/>
              <w:rPr>
                <w:sz w:val="20"/>
                <w:szCs w:val="20"/>
                <w:color w:val="auto"/>
              </w:rPr>
            </w:pPr>
            <w:r>
              <w:rPr>
                <w:rFonts w:ascii="Arial" w:cs="Arial" w:eastAsia="Arial" w:hAnsi="Arial"/>
                <w:sz w:val="13"/>
                <w:szCs w:val="13"/>
                <w:color w:val="auto"/>
              </w:rPr>
              <w:t>Brooks Brothers</w:t>
            </w:r>
          </w:p>
        </w:tc>
        <w:tc>
          <w:tcPr>
            <w:tcW w:w="0" w:type="dxa"/>
            <w:vAlign w:val="bottom"/>
          </w:tcPr>
          <w:p>
            <w:pPr>
              <w:spacing w:after="0"/>
              <w:rPr>
                <w:sz w:val="1"/>
                <w:szCs w:val="1"/>
                <w:color w:val="auto"/>
              </w:rPr>
            </w:pPr>
          </w:p>
        </w:tc>
      </w:tr>
      <w:tr>
        <w:trPr>
          <w:trHeight w:val="26"/>
        </w:trPr>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Total California</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881,429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6"/>
              </w:rPr>
              <w:t>2,434,000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95%</w:t>
            </w:r>
          </w:p>
        </w:tc>
        <w:tc>
          <w:tcPr>
            <w:tcW w:w="9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95%</w:t>
            </w:r>
          </w:p>
        </w:tc>
        <w:tc>
          <w:tcPr>
            <w:tcW w:w="50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27.57</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gridSpan w:val="6"/>
          </w:tcPr>
          <w:p>
            <w:pPr>
              <w:spacing w:after="0" w:line="129" w:lineRule="exact"/>
              <w:rPr>
                <w:sz w:val="20"/>
                <w:szCs w:val="20"/>
                <w:color w:val="auto"/>
              </w:rPr>
            </w:pPr>
            <w:r>
              <w:rPr>
                <w:rFonts w:ascii="Arial" w:cs="Arial" w:eastAsia="Arial" w:hAnsi="Arial"/>
                <w:sz w:val="13"/>
                <w:szCs w:val="13"/>
                <w:b w:val="1"/>
                <w:bCs w:val="1"/>
                <w:color w:val="auto"/>
                <w:w w:val="99"/>
              </w:rPr>
              <w:t>West Region - Other</w:t>
            </w:r>
          </w:p>
        </w:tc>
        <w:tc>
          <w:tcPr>
            <w:tcW w:w="3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20" w:type="dxa"/>
            <w:vAlign w:val="bottom"/>
            <w:tcBorders>
              <w:top w:val="single" w:sz="8" w:color="auto"/>
            </w:tcBorders>
            <w:gridSpan w:val="5"/>
            <w:shd w:val="clear" w:color="auto" w:fill="CCEEFF"/>
          </w:tcPr>
          <w:p>
            <w:pPr>
              <w:spacing w:after="0" w:line="134" w:lineRule="exact"/>
              <w:rPr>
                <w:sz w:val="20"/>
                <w:szCs w:val="20"/>
                <w:color w:val="auto"/>
              </w:rPr>
            </w:pPr>
            <w:r>
              <w:rPr>
                <w:rFonts w:ascii="Arial" w:cs="Arial" w:eastAsia="Arial" w:hAnsi="Arial"/>
                <w:sz w:val="13"/>
                <w:szCs w:val="13"/>
                <w:color w:val="auto"/>
              </w:rPr>
              <w:t>Houston St</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San Antonio, TX</w:t>
            </w:r>
          </w:p>
        </w:tc>
        <w:tc>
          <w:tcPr>
            <w:tcW w:w="60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3"/>
                <w:szCs w:val="13"/>
                <w:color w:val="auto"/>
              </w:rPr>
              <w:t>1998</w:t>
            </w:r>
          </w:p>
        </w:tc>
        <w:tc>
          <w:tcPr>
            <w:tcW w:w="8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3"/>
                <w:szCs w:val="13"/>
                <w:color w:val="auto"/>
              </w:rPr>
              <w:t>62,472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97</w:t>
            </w:r>
          </w:p>
        </w:tc>
        <w:tc>
          <w:tcPr>
            <w:tcW w:w="6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3"/>
                <w:szCs w:val="13"/>
                <w:color w:val="auto"/>
              </w:rPr>
              <w:t>171,000</w:t>
            </w:r>
          </w:p>
        </w:tc>
        <w:tc>
          <w:tcPr>
            <w:tcW w:w="600" w:type="dxa"/>
            <w:vAlign w:val="bottom"/>
            <w:gridSpan w:val="3"/>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72%</w:t>
            </w:r>
          </w:p>
        </w:tc>
        <w:tc>
          <w:tcPr>
            <w:tcW w:w="90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rPr>
              <w:t>72%</w:t>
            </w:r>
          </w:p>
        </w:tc>
        <w:tc>
          <w:tcPr>
            <w:tcW w:w="5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17.87</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Hotel Valencia</w:t>
            </w:r>
          </w:p>
        </w:tc>
        <w:tc>
          <w:tcPr>
            <w:tcW w:w="0" w:type="dxa"/>
            <w:vAlign w:val="bottom"/>
          </w:tcPr>
          <w:p>
            <w:pPr>
              <w:spacing w:after="0"/>
              <w:rPr>
                <w:sz w:val="1"/>
                <w:szCs w:val="1"/>
                <w:color w:val="auto"/>
              </w:rPr>
            </w:pPr>
          </w:p>
        </w:tc>
      </w:tr>
      <w:tr>
        <w:trPr>
          <w:trHeight w:val="141"/>
        </w:trPr>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tcPr>
          <w:p>
            <w:pPr>
              <w:spacing w:after="0" w:line="141" w:lineRule="exact"/>
              <w:rPr>
                <w:sz w:val="20"/>
                <w:szCs w:val="20"/>
                <w:color w:val="auto"/>
              </w:rPr>
            </w:pPr>
            <w:r>
              <w:rPr>
                <w:rFonts w:ascii="Arial" w:cs="Arial" w:eastAsia="Arial" w:hAnsi="Arial"/>
                <w:sz w:val="13"/>
                <w:szCs w:val="13"/>
                <w:b w:val="1"/>
                <w:bCs w:val="1"/>
                <w:color w:val="auto"/>
              </w:rPr>
              <w:t>Total West Region</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943,901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auto"/>
                <w:w w:val="96"/>
              </w:rPr>
              <w:t>2,605,000</w:t>
            </w:r>
          </w:p>
        </w:tc>
        <w:tc>
          <w:tcPr>
            <w:tcW w:w="40" w:type="dxa"/>
            <w:vAlign w:val="bottom"/>
          </w:tcPr>
          <w:p>
            <w:pPr>
              <w:spacing w:after="0"/>
              <w:rPr>
                <w:sz w:val="12"/>
                <w:szCs w:val="12"/>
                <w:color w:val="auto"/>
              </w:rPr>
            </w:pPr>
          </w:p>
        </w:tc>
        <w:tc>
          <w:tcPr>
            <w:tcW w:w="5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94%</w:t>
            </w:r>
          </w:p>
        </w:tc>
        <w:tc>
          <w:tcPr>
            <w:tcW w:w="9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94%</w:t>
            </w:r>
          </w:p>
        </w:tc>
        <w:tc>
          <w:tcPr>
            <w:tcW w:w="50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27.09</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1260" w:type="dxa"/>
            <w:vAlign w:val="bottom"/>
            <w:gridSpan w:val="6"/>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Grand Total</w:t>
            </w:r>
          </w:p>
        </w:tc>
        <w:tc>
          <w:tcPr>
            <w:tcW w:w="3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   3,204,258</w:t>
            </w:r>
          </w:p>
        </w:tc>
        <w:tc>
          <w:tcPr>
            <w:tcW w:w="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82"/>
              </w:rPr>
              <w:t>$</w:t>
            </w:r>
          </w:p>
        </w:tc>
        <w:tc>
          <w:tcPr>
            <w:tcW w:w="134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460,434 18,800,000</w:t>
            </w:r>
          </w:p>
        </w:tc>
        <w:tc>
          <w:tcPr>
            <w:tcW w:w="6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b w:val="1"/>
                <w:bCs w:val="1"/>
                <w:color w:val="auto"/>
              </w:rPr>
              <w:t>97%</w:t>
            </w:r>
          </w:p>
        </w:tc>
        <w:tc>
          <w:tcPr>
            <w:tcW w:w="1400" w:type="dxa"/>
            <w:vAlign w:val="bottom"/>
            <w:gridSpan w:val="4"/>
            <w:shd w:val="clear" w:color="auto" w:fill="CCEEFF"/>
          </w:tcPr>
          <w:p>
            <w:pPr>
              <w:jc w:val="right"/>
              <w:ind w:right="60"/>
              <w:spacing w:after="0" w:line="141" w:lineRule="exact"/>
              <w:rPr>
                <w:sz w:val="20"/>
                <w:szCs w:val="20"/>
                <w:color w:val="auto"/>
              </w:rPr>
            </w:pPr>
            <w:r>
              <w:rPr>
                <w:rFonts w:ascii="Arial" w:cs="Arial" w:eastAsia="Arial" w:hAnsi="Arial"/>
                <w:sz w:val="13"/>
                <w:szCs w:val="13"/>
                <w:b w:val="1"/>
                <w:bCs w:val="1"/>
                <w:color w:val="auto"/>
              </w:rPr>
              <w:t>95% $  18.97</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7" w:lineRule="exact"/>
        <w:rPr>
          <w:sz w:val="20"/>
          <w:szCs w:val="20"/>
          <w:color w:val="auto"/>
        </w:rPr>
      </w:pPr>
    </w:p>
    <w:p>
      <w:pPr>
        <w:ind w:left="460" w:hanging="457"/>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Excludes newly created redevelopment square footage not yet in service, as well as residential and hotel square footage.</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 purposes of this schedule, “occupied” refers to spaces where the lease term and obligation to pay rent have commenced.</w:t>
      </w:r>
    </w:p>
    <w:p>
      <w:pPr>
        <w:spacing w:after="0" w:line="10" w:lineRule="exact"/>
        <w:rPr>
          <w:rFonts w:ascii="Arial" w:cs="Arial" w:eastAsia="Arial" w:hAnsi="Arial"/>
          <w:sz w:val="17"/>
          <w:szCs w:val="17"/>
          <w:color w:val="auto"/>
        </w:rPr>
      </w:pPr>
    </w:p>
    <w:p>
      <w:pPr>
        <w:ind w:left="460" w:right="480" w:hanging="457"/>
        <w:spacing w:after="0" w:line="252"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Calculated as the aggregate, annualized in-place contractual (cash basis) minimum rent for all occupied spaces divided by the aggregate GLA of all occupied spaces.</w:t>
      </w:r>
    </w:p>
    <w:p>
      <w:pPr>
        <w:ind w:left="460" w:hanging="457"/>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Portion of property subject to capital lease obligation.</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investment includes dollars associated with the 146 units of The Crest at Congressional. The Trust has a 64.1% ownership interest in the property.</w:t>
      </w:r>
    </w:p>
    <w:p>
      <w:pPr>
        <w:spacing w:after="0" w:line="21" w:lineRule="exact"/>
        <w:rPr>
          <w:rFonts w:ascii="Arial" w:cs="Arial" w:eastAsia="Arial" w:hAnsi="Arial"/>
          <w:sz w:val="16"/>
          <w:szCs w:val="16"/>
          <w:color w:val="auto"/>
        </w:rPr>
      </w:pPr>
    </w:p>
    <w:p>
      <w:pPr>
        <w:ind w:left="460" w:right="40" w:hanging="457"/>
        <w:spacing w:after="0" w:line="252"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Property owned in a “downreit” partnership, of which a wholly owned subsidiary of the Trust is the sole general partner, with third party partners holding operating partnership units.</w:t>
      </w:r>
    </w:p>
    <w:p>
      <w:pPr>
        <w:ind w:left="460" w:hanging="457"/>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Property subject to capital lease obligation.</w:t>
      </w:r>
    </w:p>
    <w:p>
      <w:pPr>
        <w:spacing w:after="0" w:line="10" w:lineRule="exact"/>
        <w:rPr>
          <w:rFonts w:ascii="Arial" w:cs="Arial" w:eastAsia="Arial" w:hAnsi="Arial"/>
          <w:sz w:val="17"/>
          <w:szCs w:val="17"/>
          <w:color w:val="auto"/>
        </w:rPr>
      </w:pPr>
    </w:p>
    <w:p>
      <w:pPr>
        <w:ind w:left="460" w:right="820" w:hanging="457"/>
        <w:spacing w:after="0" w:line="286"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Trust acquired three retail condominium units with approximately 143,000 square feet of gross floor area, and we intend to acquire additional retail condominium units totaling approximately 32,000 square feet of gross floor area. No square footage has been placed in service.</w:t>
      </w:r>
    </w:p>
    <w:p>
      <w:pPr>
        <w:ind w:left="460" w:hanging="457"/>
        <w:spacing w:after="0" w:line="252"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ind w:left="460" w:right="20" w:hanging="457"/>
        <w:spacing w:after="0" w:line="252"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At 12/31/2006 all or a portion of the property was parked with a Section 1031 exchange agent for a potential “reverse” exchange. These exchanges were terminated in January 2007.</w:t>
      </w:r>
    </w:p>
    <w:p>
      <w:pPr>
        <w:ind w:left="460" w:hanging="457"/>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Trust has a 70% ownership interest in the property.</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of four properties, three owned 100% by the Trust and one in which the Trust has a 90% ownership interest.</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Trust has a 90% ownership interest in the property.</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of nine properties, eight owned 100% by the Trust and one in which the Trust has a 90% ownership interest.</w:t>
      </w:r>
    </w:p>
    <w:p>
      <w:pPr>
        <w:sectPr>
          <w:pgSz w:w="11900" w:h="16838" w:orient="portrait"/>
          <w:cols w:equalWidth="0" w:num="1">
            <w:col w:w="11420"/>
          </w:cols>
          <w:pgMar w:left="240" w:top="268" w:right="239" w:bottom="984"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Renewal Lease Summary - Comparable (2) (7)</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w w:val="88"/>
              </w:rPr>
              <w:t>Weighted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2"/>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28"/>
        </w:trPr>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jc w:val="center"/>
              <w:spacing w:after="0" w:line="129" w:lineRule="exact"/>
              <w:rPr>
                <w:sz w:val="20"/>
                <w:szCs w:val="20"/>
                <w:color w:val="auto"/>
              </w:rPr>
            </w:pPr>
            <w:r>
              <w:rPr>
                <w:rFonts w:ascii="Arial" w:cs="Arial" w:eastAsia="Arial" w:hAnsi="Arial"/>
                <w:sz w:val="13"/>
                <w:szCs w:val="13"/>
                <w:b w:val="1"/>
                <w:bCs w:val="1"/>
                <w:color w:val="auto"/>
                <w:w w:val="91"/>
              </w:rPr>
              <w:t>Contractual</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2"/>
          </w:tcPr>
          <w:p>
            <w:pPr>
              <w:ind w:left="160"/>
              <w:spacing w:after="0" w:line="129" w:lineRule="exact"/>
              <w:rPr>
                <w:sz w:val="20"/>
                <w:szCs w:val="20"/>
                <w:color w:val="auto"/>
              </w:rPr>
            </w:pPr>
            <w:r>
              <w:rPr>
                <w:rFonts w:ascii="Arial" w:cs="Arial" w:eastAsia="Arial" w:hAnsi="Arial"/>
                <w:sz w:val="13"/>
                <w:szCs w:val="13"/>
                <w:b w:val="1"/>
                <w:bCs w:val="1"/>
                <w:color w:val="auto"/>
              </w:rPr>
              <w:t>Cash Basis</w:t>
            </w:r>
          </w:p>
        </w:tc>
        <w:tc>
          <w:tcPr>
            <w:tcW w:w="114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0"/>
              </w:rPr>
              <w:t>Straight-lined</w:t>
            </w:r>
          </w:p>
        </w:tc>
        <w:tc>
          <w:tcPr>
            <w:tcW w:w="8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89"/>
              </w:rPr>
              <w:t>Tenant</w:t>
            </w:r>
          </w:p>
        </w:tc>
        <w:tc>
          <w:tcPr>
            <w:tcW w:w="8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7"/>
              </w:rPr>
              <w:t>Improvements</w:t>
            </w:r>
          </w:p>
        </w:tc>
        <w:tc>
          <w:tcPr>
            <w:tcW w:w="0" w:type="dxa"/>
            <w:vAlign w:val="bottom"/>
          </w:tcPr>
          <w:p>
            <w:pPr>
              <w:spacing w:after="0"/>
              <w:rPr>
                <w:sz w:val="1"/>
                <w:szCs w:val="1"/>
                <w:color w:val="auto"/>
              </w:rPr>
            </w:pPr>
          </w:p>
        </w:tc>
      </w:tr>
      <w:tr>
        <w:trPr>
          <w:trHeight w:val="141"/>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89"/>
              </w:rPr>
              <w:t>Number of</w:t>
            </w:r>
          </w:p>
        </w:tc>
        <w:tc>
          <w:tcPr>
            <w:tcW w:w="1140" w:type="dxa"/>
            <w:vAlign w:val="bottom"/>
            <w:gridSpan w:val="4"/>
          </w:tcPr>
          <w:p>
            <w:pPr>
              <w:jc w:val="center"/>
              <w:ind w:right="160"/>
              <w:spacing w:after="0" w:line="141" w:lineRule="exact"/>
              <w:rPr>
                <w:sz w:val="20"/>
                <w:szCs w:val="20"/>
                <w:color w:val="auto"/>
              </w:rPr>
            </w:pPr>
            <w:r>
              <w:rPr>
                <w:rFonts w:ascii="Arial" w:cs="Arial" w:eastAsia="Arial" w:hAnsi="Arial"/>
                <w:sz w:val="13"/>
                <w:szCs w:val="13"/>
                <w:b w:val="1"/>
                <w:bCs w:val="1"/>
                <w:color w:val="auto"/>
                <w:w w:val="92"/>
              </w:rPr>
              <w:t>% of Comparable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spacing w:after="0" w:line="141" w:lineRule="exact"/>
              <w:rPr>
                <w:sz w:val="20"/>
                <w:szCs w:val="20"/>
                <w:color w:val="auto"/>
              </w:rPr>
            </w:pPr>
            <w:r>
              <w:rPr>
                <w:rFonts w:ascii="Arial" w:cs="Arial" w:eastAsia="Arial" w:hAnsi="Arial"/>
                <w:sz w:val="13"/>
                <w:szCs w:val="13"/>
                <w:b w:val="1"/>
                <w:bCs w:val="1"/>
                <w:color w:val="auto"/>
                <w:w w:val="90"/>
              </w:rPr>
              <w:t>Rent (3) Per</w:t>
            </w:r>
          </w:p>
        </w:tc>
        <w:tc>
          <w:tcPr>
            <w:tcW w:w="40" w:type="dxa"/>
            <w:vAlign w:val="bottom"/>
          </w:tcPr>
          <w:p>
            <w:pPr>
              <w:spacing w:after="0"/>
              <w:rPr>
                <w:sz w:val="12"/>
                <w:szCs w:val="12"/>
                <w:color w:val="auto"/>
              </w:rPr>
            </w:pPr>
          </w:p>
        </w:tc>
        <w:tc>
          <w:tcPr>
            <w:tcW w:w="900" w:type="dxa"/>
            <w:vAlign w:val="bottom"/>
            <w:gridSpan w:val="3"/>
          </w:tcPr>
          <w:p>
            <w:pPr>
              <w:jc w:val="center"/>
              <w:ind w:right="20"/>
              <w:spacing w:after="0" w:line="141" w:lineRule="exact"/>
              <w:rPr>
                <w:sz w:val="20"/>
                <w:szCs w:val="20"/>
                <w:color w:val="auto"/>
              </w:rPr>
            </w:pPr>
            <w:r>
              <w:rPr>
                <w:rFonts w:ascii="Arial" w:cs="Arial" w:eastAsia="Arial" w:hAnsi="Arial"/>
                <w:sz w:val="13"/>
                <w:szCs w:val="13"/>
                <w:b w:val="1"/>
                <w:bCs w:val="1"/>
                <w:color w:val="auto"/>
                <w:w w:val="92"/>
              </w:rPr>
              <w:t>Prior Rent (4)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
              <w:spacing w:after="0" w:line="141" w:lineRule="exact"/>
              <w:rPr>
                <w:sz w:val="20"/>
                <w:szCs w:val="20"/>
                <w:color w:val="auto"/>
              </w:rPr>
            </w:pPr>
            <w:r>
              <w:rPr>
                <w:rFonts w:ascii="Arial" w:cs="Arial" w:eastAsia="Arial" w:hAnsi="Arial"/>
                <w:sz w:val="13"/>
                <w:szCs w:val="13"/>
                <w:b w:val="1"/>
                <w:bCs w:val="1"/>
                <w:color w:val="auto"/>
                <w:w w:val="90"/>
              </w:rPr>
              <w:t>Annual</w:t>
            </w:r>
          </w:p>
        </w:tc>
        <w:tc>
          <w:tcPr>
            <w:tcW w:w="40" w:type="dxa"/>
            <w:vAlign w:val="bottom"/>
          </w:tcPr>
          <w:p>
            <w:pPr>
              <w:spacing w:after="0"/>
              <w:rPr>
                <w:sz w:val="12"/>
                <w:szCs w:val="12"/>
                <w:color w:val="auto"/>
              </w:rPr>
            </w:pPr>
          </w:p>
        </w:tc>
        <w:tc>
          <w:tcPr>
            <w:tcW w:w="1080" w:type="dxa"/>
            <w:vAlign w:val="bottom"/>
            <w:gridSpan w:val="2"/>
          </w:tcPr>
          <w:p>
            <w:pPr>
              <w:ind w:left="140"/>
              <w:spacing w:after="0" w:line="141" w:lineRule="exact"/>
              <w:rPr>
                <w:sz w:val="20"/>
                <w:szCs w:val="20"/>
                <w:color w:val="auto"/>
              </w:rPr>
            </w:pPr>
            <w:r>
              <w:rPr>
                <w:rFonts w:ascii="Arial" w:cs="Arial" w:eastAsia="Arial" w:hAnsi="Arial"/>
                <w:sz w:val="13"/>
                <w:szCs w:val="13"/>
                <w:b w:val="1"/>
                <w:bCs w:val="1"/>
                <w:color w:val="auto"/>
              </w:rPr>
              <w:t>% Increase</w:t>
            </w:r>
          </w:p>
        </w:tc>
        <w:tc>
          <w:tcPr>
            <w:tcW w:w="114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88"/>
              </w:rPr>
              <w:t>Basis % Increase</w:t>
            </w:r>
          </w:p>
        </w:tc>
        <w:tc>
          <w:tcPr>
            <w:tcW w:w="84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85"/>
              </w:rPr>
              <w:t>Average</w:t>
            </w:r>
          </w:p>
        </w:tc>
        <w:tc>
          <w:tcPr>
            <w:tcW w:w="20" w:type="dxa"/>
            <w:vAlign w:val="bottom"/>
          </w:tcPr>
          <w:p>
            <w:pPr>
              <w:spacing w:after="0"/>
              <w:rPr>
                <w:sz w:val="12"/>
                <w:szCs w:val="12"/>
                <w:color w:val="auto"/>
              </w:rPr>
            </w:pPr>
          </w:p>
        </w:tc>
        <w:tc>
          <w:tcPr>
            <w:tcW w:w="920" w:type="dxa"/>
            <w:vAlign w:val="bottom"/>
            <w:gridSpan w:val="3"/>
          </w:tcPr>
          <w:p>
            <w:pPr>
              <w:jc w:val="center"/>
              <w:ind w:right="40"/>
              <w:spacing w:after="0" w:line="141" w:lineRule="exact"/>
              <w:rPr>
                <w:sz w:val="20"/>
                <w:szCs w:val="20"/>
                <w:color w:val="auto"/>
              </w:rPr>
            </w:pPr>
            <w:r>
              <w:rPr>
                <w:rFonts w:ascii="Arial" w:cs="Arial" w:eastAsia="Arial" w:hAnsi="Arial"/>
                <w:sz w:val="13"/>
                <w:szCs w:val="13"/>
                <w:b w:val="1"/>
                <w:bCs w:val="1"/>
                <w:color w:val="auto"/>
                <w:w w:val="89"/>
              </w:rPr>
              <w:t>Improvements</w:t>
            </w:r>
          </w:p>
        </w:tc>
        <w:tc>
          <w:tcPr>
            <w:tcW w:w="80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1"/>
              </w:rPr>
              <w:t>&amp; Incentives</w:t>
            </w:r>
          </w:p>
        </w:tc>
        <w:tc>
          <w:tcPr>
            <w:tcW w:w="0" w:type="dxa"/>
            <w:vAlign w:val="bottom"/>
          </w:tcPr>
          <w:p>
            <w:pPr>
              <w:spacing w:after="0"/>
              <w:rPr>
                <w:sz w:val="1"/>
                <w:szCs w:val="1"/>
                <w:color w:val="auto"/>
              </w:rPr>
            </w:pPr>
          </w:p>
        </w:tc>
      </w:tr>
      <w:tr>
        <w:trPr>
          <w:trHeight w:val="154"/>
        </w:trPr>
        <w:tc>
          <w:tcPr>
            <w:tcW w:w="118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5"/>
              </w:rPr>
              <w:t>Leases Signed</w:t>
            </w:r>
          </w:p>
        </w:tc>
        <w:tc>
          <w:tcPr>
            <w:tcW w:w="40" w:type="dxa"/>
            <w:vAlign w:val="bottom"/>
          </w:tcPr>
          <w:p>
            <w:pPr>
              <w:spacing w:after="0"/>
              <w:rPr>
                <w:sz w:val="13"/>
                <w:szCs w:val="13"/>
                <w:color w:val="auto"/>
              </w:rPr>
            </w:pPr>
          </w:p>
        </w:tc>
        <w:tc>
          <w:tcPr>
            <w:tcW w:w="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Leases Signed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GLA Signed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Sq. Ft.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20"/>
              <w:spacing w:after="0"/>
              <w:rPr>
                <w:sz w:val="20"/>
                <w:szCs w:val="20"/>
                <w:color w:val="auto"/>
              </w:rPr>
            </w:pPr>
            <w:r>
              <w:rPr>
                <w:rFonts w:ascii="Arial" w:cs="Arial" w:eastAsia="Arial" w:hAnsi="Arial"/>
                <w:sz w:val="13"/>
                <w:szCs w:val="13"/>
                <w:b w:val="1"/>
                <w:bCs w:val="1"/>
                <w:color w:val="auto"/>
                <w:w w:val="90"/>
              </w:rPr>
              <w:t>Per Sq. Ft.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gridSpan w:val="5"/>
          </w:tcPr>
          <w:p>
            <w:pPr>
              <w:spacing w:after="0"/>
              <w:rPr>
                <w:sz w:val="20"/>
                <w:szCs w:val="20"/>
                <w:color w:val="auto"/>
              </w:rPr>
            </w:pPr>
            <w:r>
              <w:rPr>
                <w:rFonts w:ascii="Arial" w:cs="Arial" w:eastAsia="Arial" w:hAnsi="Arial"/>
                <w:sz w:val="13"/>
                <w:szCs w:val="13"/>
                <w:b w:val="1"/>
                <w:bCs w:val="1"/>
                <w:color w:val="auto"/>
                <w:w w:val="99"/>
              </w:rPr>
              <w:t>Increase in Rent Over Prior Rent</w:t>
            </w: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Over Prior Rent</w:t>
            </w:r>
          </w:p>
        </w:tc>
        <w:tc>
          <w:tcPr>
            <w:tcW w:w="1780" w:type="dxa"/>
            <w:vAlign w:val="bottom"/>
            <w:gridSpan w:val="6"/>
          </w:tcPr>
          <w:p>
            <w:pPr>
              <w:jc w:val="right"/>
              <w:ind w:right="40"/>
              <w:spacing w:after="0"/>
              <w:rPr>
                <w:sz w:val="20"/>
                <w:szCs w:val="20"/>
                <w:color w:val="auto"/>
              </w:rPr>
            </w:pPr>
            <w:r>
              <w:rPr>
                <w:rFonts w:ascii="Arial" w:cs="Arial" w:eastAsia="Arial" w:hAnsi="Arial"/>
                <w:sz w:val="13"/>
                <w:szCs w:val="13"/>
                <w:b w:val="1"/>
                <w:bCs w:val="1"/>
                <w:color w:val="auto"/>
                <w:w w:val="89"/>
              </w:rPr>
              <w:t>Lease Term (5) &amp; Incentives (6)</w:t>
            </w:r>
          </w:p>
        </w:tc>
        <w:tc>
          <w:tcPr>
            <w:tcW w:w="100" w:type="dxa"/>
            <w:vAlign w:val="bottom"/>
          </w:tcPr>
          <w:p>
            <w:pPr>
              <w:spacing w:after="0"/>
              <w:rPr>
                <w:sz w:val="13"/>
                <w:szCs w:val="13"/>
                <w:color w:val="auto"/>
              </w:rPr>
            </w:pPr>
          </w:p>
        </w:tc>
        <w:tc>
          <w:tcPr>
            <w:tcW w:w="700" w:type="dxa"/>
            <w:vAlign w:val="bottom"/>
          </w:tcPr>
          <w:p>
            <w:pPr>
              <w:jc w:val="center"/>
              <w:ind w:right="2"/>
              <w:spacing w:after="0"/>
              <w:rPr>
                <w:sz w:val="20"/>
                <w:szCs w:val="20"/>
                <w:color w:val="auto"/>
              </w:rPr>
            </w:pPr>
            <w:r>
              <w:rPr>
                <w:rFonts w:ascii="Arial" w:cs="Arial" w:eastAsia="Arial" w:hAnsi="Arial"/>
                <w:sz w:val="13"/>
                <w:szCs w:val="13"/>
                <w:b w:val="1"/>
                <w:bCs w:val="1"/>
                <w:color w:val="auto"/>
                <w:w w:val="90"/>
              </w:rPr>
              <w:t>Per Sq. Ft.</w:t>
            </w:r>
          </w:p>
        </w:tc>
        <w:tc>
          <w:tcPr>
            <w:tcW w:w="0" w:type="dxa"/>
            <w:vAlign w:val="bottom"/>
          </w:tcPr>
          <w:p>
            <w:pPr>
              <w:spacing w:after="0"/>
              <w:rPr>
                <w:sz w:val="1"/>
                <w:szCs w:val="1"/>
                <w:color w:val="auto"/>
              </w:rPr>
            </w:pPr>
          </w:p>
        </w:tc>
      </w:tr>
      <w:tr>
        <w:trPr>
          <w:trHeight w:val="26"/>
        </w:trPr>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0"/>
              </w:rPr>
              <w:t>4th Quarter 2006</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204,249</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27.28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23.33</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808,606</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17%</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11,900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6"/>
        </w:trPr>
        <w:tc>
          <w:tcPr>
            <w:tcW w:w="1180" w:type="dxa"/>
            <w:vAlign w:val="bottom"/>
            <w:gridSpan w:val="2"/>
          </w:tcPr>
          <w:p>
            <w:pPr>
              <w:spacing w:after="0"/>
              <w:rPr>
                <w:sz w:val="20"/>
                <w:szCs w:val="20"/>
                <w:color w:val="auto"/>
              </w:rPr>
            </w:pPr>
            <w:r>
              <w:rPr>
                <w:rFonts w:ascii="Arial" w:cs="Arial" w:eastAsia="Arial" w:hAnsi="Arial"/>
                <w:sz w:val="17"/>
                <w:szCs w:val="17"/>
                <w:color w:val="auto"/>
                <w:w w:val="89"/>
              </w:rPr>
              <w:t>3rd Quarter 2006</w:t>
            </w:r>
          </w:p>
        </w:tc>
        <w:tc>
          <w:tcPr>
            <w:tcW w:w="860" w:type="dxa"/>
            <w:vAlign w:val="bottom"/>
            <w:gridSpan w:val="3"/>
          </w:tcPr>
          <w:p>
            <w:pPr>
              <w:jc w:val="right"/>
              <w:ind w:right="40"/>
              <w:spacing w:after="0"/>
              <w:rPr>
                <w:sz w:val="20"/>
                <w:szCs w:val="20"/>
                <w:color w:val="auto"/>
              </w:rPr>
            </w:pPr>
            <w:r>
              <w:rPr>
                <w:rFonts w:ascii="Arial" w:cs="Arial" w:eastAsia="Arial" w:hAnsi="Arial"/>
                <w:sz w:val="17"/>
                <w:szCs w:val="17"/>
                <w:color w:val="auto"/>
              </w:rPr>
              <w:t>28</w:t>
            </w:r>
          </w:p>
        </w:tc>
        <w:tc>
          <w:tcPr>
            <w:tcW w:w="1140" w:type="dxa"/>
            <w:vAlign w:val="bottom"/>
            <w:gridSpan w:val="4"/>
          </w:tcPr>
          <w:p>
            <w:pPr>
              <w:jc w:val="right"/>
              <w:ind w:right="20"/>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99,355</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21.92</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19.56</w:t>
            </w: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234,341</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12%</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c>
          <w:tcPr>
            <w:tcW w:w="820" w:type="dxa"/>
            <w:vAlign w:val="bottom"/>
          </w:tcPr>
          <w:p>
            <w:pPr>
              <w:jc w:val="right"/>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7"/>
              </w:rPr>
              <w:t>2nd Quarter 2006</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33</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55%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152,112</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23.03</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483,141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100,000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0.66</w:t>
            </w:r>
          </w:p>
        </w:tc>
        <w:tc>
          <w:tcPr>
            <w:tcW w:w="0" w:type="dxa"/>
            <w:vAlign w:val="bottom"/>
          </w:tcPr>
          <w:p>
            <w:pPr>
              <w:spacing w:after="0"/>
              <w:rPr>
                <w:sz w:val="1"/>
                <w:szCs w:val="1"/>
                <w:color w:val="auto"/>
              </w:rPr>
            </w:pPr>
          </w:p>
        </w:tc>
      </w:tr>
      <w:tr>
        <w:trPr>
          <w:trHeight w:val="206"/>
        </w:trPr>
        <w:tc>
          <w:tcPr>
            <w:tcW w:w="1180" w:type="dxa"/>
            <w:vAlign w:val="bottom"/>
            <w:gridSpan w:val="2"/>
          </w:tcPr>
          <w:p>
            <w:pPr>
              <w:spacing w:after="0"/>
              <w:rPr>
                <w:sz w:val="20"/>
                <w:szCs w:val="20"/>
                <w:color w:val="auto"/>
              </w:rPr>
            </w:pPr>
            <w:r>
              <w:rPr>
                <w:rFonts w:ascii="Arial" w:cs="Arial" w:eastAsia="Arial" w:hAnsi="Arial"/>
                <w:sz w:val="17"/>
                <w:szCs w:val="17"/>
                <w:color w:val="auto"/>
                <w:w w:val="90"/>
              </w:rPr>
              <w:t>1st Quarter 2006</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48</w:t>
            </w:r>
          </w:p>
        </w:tc>
        <w:tc>
          <w:tcPr>
            <w:tcW w:w="40" w:type="dxa"/>
            <w:vAlign w:val="bottom"/>
          </w:tcPr>
          <w:p>
            <w:pPr>
              <w:spacing w:after="0"/>
              <w:rPr>
                <w:sz w:val="17"/>
                <w:szCs w:val="17"/>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208,579</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24.28</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21.72</w:t>
            </w: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533,573</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12%</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c>
          <w:tcPr>
            <w:tcW w:w="820" w:type="dxa"/>
            <w:vAlign w:val="bottom"/>
          </w:tcPr>
          <w:p>
            <w:pPr>
              <w:jc w:val="right"/>
              <w:spacing w:after="0"/>
              <w:rPr>
                <w:sz w:val="20"/>
                <w:szCs w:val="20"/>
                <w:color w:val="auto"/>
              </w:rPr>
            </w:pPr>
            <w:r>
              <w:rPr>
                <w:rFonts w:ascii="Arial" w:cs="Arial" w:eastAsia="Arial" w:hAnsi="Arial"/>
                <w:sz w:val="17"/>
                <w:szCs w:val="17"/>
                <w:color w:val="auto"/>
              </w:rPr>
              <w:t>5.4</w:t>
            </w: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462,906</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6"/>
        </w:trPr>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0"/>
              </w:rPr>
              <w:t>Total -12 months</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63%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664,295</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25.29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22.19</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2,059,661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574,806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180" w:type="dxa"/>
            <w:vAlign w:val="bottom"/>
            <w:gridSpan w:val="9"/>
          </w:tcPr>
          <w:p>
            <w:pPr>
              <w:spacing w:after="0"/>
              <w:rPr>
                <w:sz w:val="20"/>
                <w:szCs w:val="20"/>
                <w:color w:val="auto"/>
              </w:rPr>
            </w:pPr>
            <w:r>
              <w:rPr>
                <w:rFonts w:ascii="Arial" w:cs="Arial" w:eastAsia="Arial" w:hAnsi="Arial"/>
                <w:sz w:val="17"/>
                <w:szCs w:val="17"/>
                <w:b w:val="1"/>
                <w:bCs w:val="1"/>
                <w:color w:val="auto"/>
              </w:rPr>
              <w:t>New Lease Summary - Comparable (2)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Tenant</w:t>
            </w:r>
          </w:p>
        </w:tc>
        <w:tc>
          <w:tcPr>
            <w:tcW w:w="100" w:type="dxa"/>
            <w:vAlign w:val="bottom"/>
          </w:tcPr>
          <w:p>
            <w:pPr>
              <w:spacing w:after="0"/>
              <w:rPr>
                <w:sz w:val="24"/>
                <w:szCs w:val="24"/>
                <w:color w:val="auto"/>
              </w:rPr>
            </w:pPr>
          </w:p>
        </w:tc>
        <w:tc>
          <w:tcPr>
            <w:tcW w:w="700" w:type="dxa"/>
            <w:vAlign w:val="bottom"/>
          </w:tcPr>
          <w:p>
            <w:pPr>
              <w:jc w:val="center"/>
              <w:ind w:right="2"/>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28"/>
        </w:trPr>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jc w:val="center"/>
              <w:spacing w:after="0" w:line="129" w:lineRule="exact"/>
              <w:rPr>
                <w:sz w:val="20"/>
                <w:szCs w:val="20"/>
                <w:color w:val="auto"/>
              </w:rPr>
            </w:pPr>
            <w:r>
              <w:rPr>
                <w:rFonts w:ascii="Arial" w:cs="Arial" w:eastAsia="Arial" w:hAnsi="Arial"/>
                <w:sz w:val="13"/>
                <w:szCs w:val="13"/>
                <w:b w:val="1"/>
                <w:bCs w:val="1"/>
                <w:color w:val="auto"/>
                <w:w w:val="91"/>
              </w:rPr>
              <w:t>Contractual</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2"/>
          </w:tcPr>
          <w:p>
            <w:pPr>
              <w:ind w:left="160"/>
              <w:spacing w:after="0" w:line="129" w:lineRule="exact"/>
              <w:rPr>
                <w:sz w:val="20"/>
                <w:szCs w:val="20"/>
                <w:color w:val="auto"/>
              </w:rPr>
            </w:pPr>
            <w:r>
              <w:rPr>
                <w:rFonts w:ascii="Arial" w:cs="Arial" w:eastAsia="Arial" w:hAnsi="Arial"/>
                <w:sz w:val="13"/>
                <w:szCs w:val="13"/>
                <w:b w:val="1"/>
                <w:bCs w:val="1"/>
                <w:color w:val="auto"/>
              </w:rPr>
              <w:t>Cash Basis</w:t>
            </w:r>
          </w:p>
        </w:tc>
        <w:tc>
          <w:tcPr>
            <w:tcW w:w="114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0"/>
              </w:rPr>
              <w:t>Straight-lined</w:t>
            </w:r>
          </w:p>
        </w:tc>
        <w:tc>
          <w:tcPr>
            <w:tcW w:w="840" w:type="dxa"/>
            <w:vAlign w:val="bottom"/>
            <w:gridSpan w:val="2"/>
          </w:tcPr>
          <w:p>
            <w:pPr>
              <w:jc w:val="center"/>
              <w:ind w:right="40"/>
              <w:spacing w:after="0" w:line="129" w:lineRule="exact"/>
              <w:rPr>
                <w:sz w:val="20"/>
                <w:szCs w:val="20"/>
                <w:color w:val="auto"/>
              </w:rPr>
            </w:pPr>
            <w:r>
              <w:rPr>
                <w:rFonts w:ascii="Arial" w:cs="Arial" w:eastAsia="Arial" w:hAnsi="Arial"/>
                <w:sz w:val="13"/>
                <w:szCs w:val="13"/>
                <w:b w:val="1"/>
                <w:bCs w:val="1"/>
                <w:color w:val="auto"/>
                <w:w w:val="88"/>
              </w:rPr>
              <w:t>Weighted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7"/>
              </w:rPr>
              <w:t>Improvements</w:t>
            </w:r>
          </w:p>
        </w:tc>
        <w:tc>
          <w:tcPr>
            <w:tcW w:w="0" w:type="dxa"/>
            <w:vAlign w:val="bottom"/>
          </w:tcPr>
          <w:p>
            <w:pPr>
              <w:spacing w:after="0"/>
              <w:rPr>
                <w:sz w:val="1"/>
                <w:szCs w:val="1"/>
                <w:color w:val="auto"/>
              </w:rPr>
            </w:pPr>
          </w:p>
        </w:tc>
      </w:tr>
      <w:tr>
        <w:trPr>
          <w:trHeight w:val="141"/>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89"/>
              </w:rPr>
              <w:t>Number of</w:t>
            </w:r>
          </w:p>
        </w:tc>
        <w:tc>
          <w:tcPr>
            <w:tcW w:w="1140" w:type="dxa"/>
            <w:vAlign w:val="bottom"/>
            <w:gridSpan w:val="4"/>
          </w:tcPr>
          <w:p>
            <w:pPr>
              <w:jc w:val="center"/>
              <w:ind w:right="160"/>
              <w:spacing w:after="0" w:line="141" w:lineRule="exact"/>
              <w:rPr>
                <w:sz w:val="20"/>
                <w:szCs w:val="20"/>
                <w:color w:val="auto"/>
              </w:rPr>
            </w:pPr>
            <w:r>
              <w:rPr>
                <w:rFonts w:ascii="Arial" w:cs="Arial" w:eastAsia="Arial" w:hAnsi="Arial"/>
                <w:sz w:val="13"/>
                <w:szCs w:val="13"/>
                <w:b w:val="1"/>
                <w:bCs w:val="1"/>
                <w:color w:val="auto"/>
                <w:w w:val="92"/>
              </w:rPr>
              <w:t>% of Comparable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spacing w:after="0" w:line="141" w:lineRule="exact"/>
              <w:rPr>
                <w:sz w:val="20"/>
                <w:szCs w:val="20"/>
                <w:color w:val="auto"/>
              </w:rPr>
            </w:pPr>
            <w:r>
              <w:rPr>
                <w:rFonts w:ascii="Arial" w:cs="Arial" w:eastAsia="Arial" w:hAnsi="Arial"/>
                <w:sz w:val="13"/>
                <w:szCs w:val="13"/>
                <w:b w:val="1"/>
                <w:bCs w:val="1"/>
                <w:color w:val="auto"/>
                <w:w w:val="90"/>
              </w:rPr>
              <w:t>Rent (3) Per</w:t>
            </w:r>
          </w:p>
        </w:tc>
        <w:tc>
          <w:tcPr>
            <w:tcW w:w="40" w:type="dxa"/>
            <w:vAlign w:val="bottom"/>
          </w:tcPr>
          <w:p>
            <w:pPr>
              <w:spacing w:after="0"/>
              <w:rPr>
                <w:sz w:val="12"/>
                <w:szCs w:val="12"/>
                <w:color w:val="auto"/>
              </w:rPr>
            </w:pPr>
          </w:p>
        </w:tc>
        <w:tc>
          <w:tcPr>
            <w:tcW w:w="900" w:type="dxa"/>
            <w:vAlign w:val="bottom"/>
            <w:gridSpan w:val="3"/>
          </w:tcPr>
          <w:p>
            <w:pPr>
              <w:jc w:val="center"/>
              <w:ind w:right="20"/>
              <w:spacing w:after="0" w:line="141" w:lineRule="exact"/>
              <w:rPr>
                <w:sz w:val="20"/>
                <w:szCs w:val="20"/>
                <w:color w:val="auto"/>
              </w:rPr>
            </w:pPr>
            <w:r>
              <w:rPr>
                <w:rFonts w:ascii="Arial" w:cs="Arial" w:eastAsia="Arial" w:hAnsi="Arial"/>
                <w:sz w:val="13"/>
                <w:szCs w:val="13"/>
                <w:b w:val="1"/>
                <w:bCs w:val="1"/>
                <w:color w:val="auto"/>
                <w:w w:val="92"/>
              </w:rPr>
              <w:t>Prior Rent (4)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
              <w:spacing w:after="0" w:line="141" w:lineRule="exact"/>
              <w:rPr>
                <w:sz w:val="20"/>
                <w:szCs w:val="20"/>
                <w:color w:val="auto"/>
              </w:rPr>
            </w:pPr>
            <w:r>
              <w:rPr>
                <w:rFonts w:ascii="Arial" w:cs="Arial" w:eastAsia="Arial" w:hAnsi="Arial"/>
                <w:sz w:val="13"/>
                <w:szCs w:val="13"/>
                <w:b w:val="1"/>
                <w:bCs w:val="1"/>
                <w:color w:val="auto"/>
                <w:w w:val="90"/>
              </w:rPr>
              <w:t>Annual</w:t>
            </w:r>
          </w:p>
        </w:tc>
        <w:tc>
          <w:tcPr>
            <w:tcW w:w="40" w:type="dxa"/>
            <w:vAlign w:val="bottom"/>
          </w:tcPr>
          <w:p>
            <w:pPr>
              <w:spacing w:after="0"/>
              <w:rPr>
                <w:sz w:val="12"/>
                <w:szCs w:val="12"/>
                <w:color w:val="auto"/>
              </w:rPr>
            </w:pPr>
          </w:p>
        </w:tc>
        <w:tc>
          <w:tcPr>
            <w:tcW w:w="1080" w:type="dxa"/>
            <w:vAlign w:val="bottom"/>
            <w:gridSpan w:val="2"/>
          </w:tcPr>
          <w:p>
            <w:pPr>
              <w:ind w:left="140"/>
              <w:spacing w:after="0" w:line="141" w:lineRule="exact"/>
              <w:rPr>
                <w:sz w:val="20"/>
                <w:szCs w:val="20"/>
                <w:color w:val="auto"/>
              </w:rPr>
            </w:pPr>
            <w:r>
              <w:rPr>
                <w:rFonts w:ascii="Arial" w:cs="Arial" w:eastAsia="Arial" w:hAnsi="Arial"/>
                <w:sz w:val="13"/>
                <w:szCs w:val="13"/>
                <w:b w:val="1"/>
                <w:bCs w:val="1"/>
                <w:color w:val="auto"/>
              </w:rPr>
              <w:t>% Increase</w:t>
            </w:r>
          </w:p>
        </w:tc>
        <w:tc>
          <w:tcPr>
            <w:tcW w:w="114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88"/>
              </w:rPr>
              <w:t>Basis % Increase</w:t>
            </w:r>
          </w:p>
        </w:tc>
        <w:tc>
          <w:tcPr>
            <w:tcW w:w="84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85"/>
              </w:rPr>
              <w:t>Average</w:t>
            </w:r>
          </w:p>
        </w:tc>
        <w:tc>
          <w:tcPr>
            <w:tcW w:w="20" w:type="dxa"/>
            <w:vAlign w:val="bottom"/>
          </w:tcPr>
          <w:p>
            <w:pPr>
              <w:spacing w:after="0"/>
              <w:rPr>
                <w:sz w:val="12"/>
                <w:szCs w:val="12"/>
                <w:color w:val="auto"/>
              </w:rPr>
            </w:pPr>
          </w:p>
        </w:tc>
        <w:tc>
          <w:tcPr>
            <w:tcW w:w="920" w:type="dxa"/>
            <w:vAlign w:val="bottom"/>
            <w:gridSpan w:val="3"/>
          </w:tcPr>
          <w:p>
            <w:pPr>
              <w:jc w:val="center"/>
              <w:ind w:right="40"/>
              <w:spacing w:after="0" w:line="141" w:lineRule="exact"/>
              <w:rPr>
                <w:sz w:val="20"/>
                <w:szCs w:val="20"/>
                <w:color w:val="auto"/>
              </w:rPr>
            </w:pPr>
            <w:r>
              <w:rPr>
                <w:rFonts w:ascii="Arial" w:cs="Arial" w:eastAsia="Arial" w:hAnsi="Arial"/>
                <w:sz w:val="13"/>
                <w:szCs w:val="13"/>
                <w:b w:val="1"/>
                <w:bCs w:val="1"/>
                <w:color w:val="auto"/>
                <w:w w:val="89"/>
              </w:rPr>
              <w:t>Improvements</w:t>
            </w:r>
          </w:p>
        </w:tc>
        <w:tc>
          <w:tcPr>
            <w:tcW w:w="80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1"/>
              </w:rPr>
              <w:t>&amp; Incentives</w:t>
            </w:r>
          </w:p>
        </w:tc>
        <w:tc>
          <w:tcPr>
            <w:tcW w:w="0" w:type="dxa"/>
            <w:vAlign w:val="bottom"/>
          </w:tcPr>
          <w:p>
            <w:pPr>
              <w:spacing w:after="0"/>
              <w:rPr>
                <w:sz w:val="1"/>
                <w:szCs w:val="1"/>
                <w:color w:val="auto"/>
              </w:rPr>
            </w:pPr>
          </w:p>
        </w:tc>
      </w:tr>
      <w:tr>
        <w:trPr>
          <w:trHeight w:val="154"/>
        </w:trPr>
        <w:tc>
          <w:tcPr>
            <w:tcW w:w="118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5"/>
              </w:rPr>
              <w:t>Leases Signed</w:t>
            </w:r>
          </w:p>
        </w:tc>
        <w:tc>
          <w:tcPr>
            <w:tcW w:w="40" w:type="dxa"/>
            <w:vAlign w:val="bottom"/>
          </w:tcPr>
          <w:p>
            <w:pPr>
              <w:spacing w:after="0"/>
              <w:rPr>
                <w:sz w:val="13"/>
                <w:szCs w:val="13"/>
                <w:color w:val="auto"/>
              </w:rPr>
            </w:pPr>
          </w:p>
        </w:tc>
        <w:tc>
          <w:tcPr>
            <w:tcW w:w="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Leases Signed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GLA Signed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Sq. Ft.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20"/>
              <w:spacing w:after="0"/>
              <w:rPr>
                <w:sz w:val="20"/>
                <w:szCs w:val="20"/>
                <w:color w:val="auto"/>
              </w:rPr>
            </w:pPr>
            <w:r>
              <w:rPr>
                <w:rFonts w:ascii="Arial" w:cs="Arial" w:eastAsia="Arial" w:hAnsi="Arial"/>
                <w:sz w:val="13"/>
                <w:szCs w:val="13"/>
                <w:b w:val="1"/>
                <w:bCs w:val="1"/>
                <w:color w:val="auto"/>
                <w:w w:val="90"/>
              </w:rPr>
              <w:t>Per Sq. Ft.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gridSpan w:val="5"/>
          </w:tcPr>
          <w:p>
            <w:pPr>
              <w:spacing w:after="0"/>
              <w:rPr>
                <w:sz w:val="20"/>
                <w:szCs w:val="20"/>
                <w:color w:val="auto"/>
              </w:rPr>
            </w:pPr>
            <w:r>
              <w:rPr>
                <w:rFonts w:ascii="Arial" w:cs="Arial" w:eastAsia="Arial" w:hAnsi="Arial"/>
                <w:sz w:val="13"/>
                <w:szCs w:val="13"/>
                <w:b w:val="1"/>
                <w:bCs w:val="1"/>
                <w:color w:val="auto"/>
                <w:w w:val="99"/>
              </w:rPr>
              <w:t>Increase in Rent Over Prior Rent</w:t>
            </w: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Over Prior Rent</w:t>
            </w:r>
          </w:p>
        </w:tc>
        <w:tc>
          <w:tcPr>
            <w:tcW w:w="1780" w:type="dxa"/>
            <w:vAlign w:val="bottom"/>
            <w:gridSpan w:val="6"/>
          </w:tcPr>
          <w:p>
            <w:pPr>
              <w:jc w:val="right"/>
              <w:ind w:right="40"/>
              <w:spacing w:after="0"/>
              <w:rPr>
                <w:sz w:val="20"/>
                <w:szCs w:val="20"/>
                <w:color w:val="auto"/>
              </w:rPr>
            </w:pPr>
            <w:r>
              <w:rPr>
                <w:rFonts w:ascii="Arial" w:cs="Arial" w:eastAsia="Arial" w:hAnsi="Arial"/>
                <w:sz w:val="13"/>
                <w:szCs w:val="13"/>
                <w:b w:val="1"/>
                <w:bCs w:val="1"/>
                <w:color w:val="auto"/>
                <w:w w:val="89"/>
              </w:rPr>
              <w:t>Lease Term (5) &amp; Incentives (6)</w:t>
            </w:r>
          </w:p>
        </w:tc>
        <w:tc>
          <w:tcPr>
            <w:tcW w:w="100" w:type="dxa"/>
            <w:vAlign w:val="bottom"/>
          </w:tcPr>
          <w:p>
            <w:pPr>
              <w:spacing w:after="0"/>
              <w:rPr>
                <w:sz w:val="13"/>
                <w:szCs w:val="13"/>
                <w:color w:val="auto"/>
              </w:rPr>
            </w:pPr>
          </w:p>
        </w:tc>
        <w:tc>
          <w:tcPr>
            <w:tcW w:w="700" w:type="dxa"/>
            <w:vAlign w:val="bottom"/>
          </w:tcPr>
          <w:p>
            <w:pPr>
              <w:jc w:val="center"/>
              <w:ind w:right="2"/>
              <w:spacing w:after="0"/>
              <w:rPr>
                <w:sz w:val="20"/>
                <w:szCs w:val="20"/>
                <w:color w:val="auto"/>
              </w:rPr>
            </w:pPr>
            <w:r>
              <w:rPr>
                <w:rFonts w:ascii="Arial" w:cs="Arial" w:eastAsia="Arial" w:hAnsi="Arial"/>
                <w:sz w:val="13"/>
                <w:szCs w:val="13"/>
                <w:b w:val="1"/>
                <w:bCs w:val="1"/>
                <w:color w:val="auto"/>
                <w:w w:val="90"/>
              </w:rPr>
              <w:t>Per Sq. Ft.</w:t>
            </w:r>
          </w:p>
        </w:tc>
        <w:tc>
          <w:tcPr>
            <w:tcW w:w="0" w:type="dxa"/>
            <w:vAlign w:val="bottom"/>
          </w:tcPr>
          <w:p>
            <w:pPr>
              <w:spacing w:after="0"/>
              <w:rPr>
                <w:sz w:val="1"/>
                <w:szCs w:val="1"/>
                <w:color w:val="auto"/>
              </w:rPr>
            </w:pPr>
          </w:p>
        </w:tc>
      </w:tr>
      <w:tr>
        <w:trPr>
          <w:trHeight w:val="26"/>
        </w:trPr>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0"/>
              </w:rPr>
              <w:t>4th Quarter 2006</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99,787</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25.58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21.73</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383,822</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18%</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973,406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w:t>
            </w:r>
          </w:p>
        </w:tc>
        <w:tc>
          <w:tcPr>
            <w:tcW w:w="0" w:type="dxa"/>
            <w:vAlign w:val="bottom"/>
          </w:tcPr>
          <w:p>
            <w:pPr>
              <w:spacing w:after="0"/>
              <w:rPr>
                <w:sz w:val="1"/>
                <w:szCs w:val="1"/>
                <w:color w:val="auto"/>
              </w:rPr>
            </w:pPr>
          </w:p>
        </w:tc>
      </w:tr>
      <w:tr>
        <w:trPr>
          <w:trHeight w:val="206"/>
        </w:trPr>
        <w:tc>
          <w:tcPr>
            <w:tcW w:w="1180" w:type="dxa"/>
            <w:vAlign w:val="bottom"/>
            <w:gridSpan w:val="2"/>
          </w:tcPr>
          <w:p>
            <w:pPr>
              <w:spacing w:after="0"/>
              <w:rPr>
                <w:sz w:val="20"/>
                <w:szCs w:val="20"/>
                <w:color w:val="auto"/>
              </w:rPr>
            </w:pPr>
            <w:r>
              <w:rPr>
                <w:rFonts w:ascii="Arial" w:cs="Arial" w:eastAsia="Arial" w:hAnsi="Arial"/>
                <w:sz w:val="17"/>
                <w:szCs w:val="17"/>
                <w:color w:val="auto"/>
                <w:w w:val="89"/>
              </w:rPr>
              <w:t>3rd Quarter 2006</w:t>
            </w:r>
          </w:p>
        </w:tc>
        <w:tc>
          <w:tcPr>
            <w:tcW w:w="860" w:type="dxa"/>
            <w:vAlign w:val="bottom"/>
            <w:gridSpan w:val="3"/>
          </w:tcPr>
          <w:p>
            <w:pPr>
              <w:jc w:val="right"/>
              <w:ind w:right="40"/>
              <w:spacing w:after="0"/>
              <w:rPr>
                <w:sz w:val="20"/>
                <w:szCs w:val="20"/>
                <w:color w:val="auto"/>
              </w:rPr>
            </w:pPr>
            <w:r>
              <w:rPr>
                <w:rFonts w:ascii="Arial" w:cs="Arial" w:eastAsia="Arial" w:hAnsi="Arial"/>
                <w:sz w:val="17"/>
                <w:szCs w:val="17"/>
                <w:color w:val="auto"/>
              </w:rPr>
              <w:t>30</w:t>
            </w:r>
          </w:p>
        </w:tc>
        <w:tc>
          <w:tcPr>
            <w:tcW w:w="1140" w:type="dxa"/>
            <w:vAlign w:val="bottom"/>
            <w:gridSpan w:val="4"/>
          </w:tcPr>
          <w:p>
            <w:pPr>
              <w:jc w:val="right"/>
              <w:ind w:right="20"/>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232,845</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19.21</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14.84</w:t>
            </w: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1,016,796</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29%</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11.9</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w w:val="95"/>
              </w:rPr>
              <w:t>4,182,700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17.96</w:t>
            </w:r>
          </w:p>
        </w:tc>
        <w:tc>
          <w:tcPr>
            <w:tcW w:w="0" w:type="dxa"/>
            <w:vAlign w:val="bottom"/>
          </w:tcPr>
          <w:p>
            <w:pPr>
              <w:spacing w:after="0"/>
              <w:rPr>
                <w:sz w:val="1"/>
                <w:szCs w:val="1"/>
                <w:color w:val="auto"/>
              </w:rPr>
            </w:pPr>
          </w:p>
        </w:tc>
      </w:tr>
      <w:tr>
        <w:trPr>
          <w:trHeight w:val="206"/>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7"/>
              </w:rPr>
              <w:t>2nd Quarter 2006</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27</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123,652</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18.28</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483,059</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5"/>
              </w:rPr>
              <w:t>2,089,643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w:t>
            </w:r>
          </w:p>
        </w:tc>
        <w:tc>
          <w:tcPr>
            <w:tcW w:w="0" w:type="dxa"/>
            <w:vAlign w:val="bottom"/>
          </w:tcPr>
          <w:p>
            <w:pPr>
              <w:spacing w:after="0"/>
              <w:rPr>
                <w:sz w:val="1"/>
                <w:szCs w:val="1"/>
                <w:color w:val="auto"/>
              </w:rPr>
            </w:pPr>
          </w:p>
        </w:tc>
      </w:tr>
      <w:tr>
        <w:trPr>
          <w:trHeight w:val="206"/>
        </w:trPr>
        <w:tc>
          <w:tcPr>
            <w:tcW w:w="1180" w:type="dxa"/>
            <w:vAlign w:val="bottom"/>
            <w:gridSpan w:val="2"/>
          </w:tcPr>
          <w:p>
            <w:pPr>
              <w:spacing w:after="0"/>
              <w:rPr>
                <w:sz w:val="20"/>
                <w:szCs w:val="20"/>
                <w:color w:val="auto"/>
              </w:rPr>
            </w:pPr>
            <w:r>
              <w:rPr>
                <w:rFonts w:ascii="Arial" w:cs="Arial" w:eastAsia="Arial" w:hAnsi="Arial"/>
                <w:sz w:val="17"/>
                <w:szCs w:val="17"/>
                <w:color w:val="auto"/>
                <w:w w:val="90"/>
              </w:rPr>
              <w:t>1st Quarter 2006</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w:t>
            </w:r>
          </w:p>
        </w:tc>
        <w:tc>
          <w:tcPr>
            <w:tcW w:w="40" w:type="dxa"/>
            <w:vAlign w:val="bottom"/>
          </w:tcPr>
          <w:p>
            <w:pPr>
              <w:spacing w:after="0"/>
              <w:rPr>
                <w:sz w:val="17"/>
                <w:szCs w:val="17"/>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77,625</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19.76</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14.85</w:t>
            </w: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380,698</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33%</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43%</w:t>
            </w:r>
          </w:p>
        </w:tc>
        <w:tc>
          <w:tcPr>
            <w:tcW w:w="820" w:type="dxa"/>
            <w:vAlign w:val="bottom"/>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w w:val="95"/>
              </w:rPr>
              <w:t>1,084,565</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13.97</w:t>
            </w:r>
          </w:p>
        </w:tc>
        <w:tc>
          <w:tcPr>
            <w:tcW w:w="0" w:type="dxa"/>
            <w:vAlign w:val="bottom"/>
          </w:tcPr>
          <w:p>
            <w:pPr>
              <w:spacing w:after="0"/>
              <w:rPr>
                <w:sz w:val="1"/>
                <w:szCs w:val="1"/>
                <w:color w:val="auto"/>
              </w:rPr>
            </w:pPr>
          </w:p>
        </w:tc>
      </w:tr>
      <w:tr>
        <w:trPr>
          <w:trHeight w:val="26"/>
        </w:trPr>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0"/>
              </w:rPr>
              <w:t>Total -12 months</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533,909</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16.92</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2,264,375</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25%</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5"/>
              </w:rPr>
              <w:t>8,330,314</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180" w:type="dxa"/>
            <w:vAlign w:val="bottom"/>
            <w:gridSpan w:val="9"/>
          </w:tcPr>
          <w:p>
            <w:pPr>
              <w:spacing w:after="0"/>
              <w:rPr>
                <w:sz w:val="20"/>
                <w:szCs w:val="20"/>
                <w:color w:val="auto"/>
              </w:rPr>
            </w:pPr>
            <w:r>
              <w:rPr>
                <w:rFonts w:ascii="Arial" w:cs="Arial" w:eastAsia="Arial" w:hAnsi="Arial"/>
                <w:sz w:val="17"/>
                <w:szCs w:val="17"/>
                <w:b w:val="1"/>
                <w:bCs w:val="1"/>
                <w:color w:val="auto"/>
              </w:rPr>
              <w:t>Total Lease Summary - Comparable (2)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Cash Basis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ind w:right="2"/>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28"/>
        </w:trPr>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jc w:val="center"/>
              <w:spacing w:after="0" w:line="129" w:lineRule="exact"/>
              <w:rPr>
                <w:sz w:val="20"/>
                <w:szCs w:val="20"/>
                <w:color w:val="auto"/>
              </w:rPr>
            </w:pPr>
            <w:r>
              <w:rPr>
                <w:rFonts w:ascii="Arial" w:cs="Arial" w:eastAsia="Arial" w:hAnsi="Arial"/>
                <w:sz w:val="13"/>
                <w:szCs w:val="13"/>
                <w:b w:val="1"/>
                <w:bCs w:val="1"/>
                <w:color w:val="auto"/>
                <w:w w:val="91"/>
              </w:rPr>
              <w:t>Contractual</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4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0"/>
              </w:rPr>
              <w:t>Straight-lined</w:t>
            </w:r>
          </w:p>
        </w:tc>
        <w:tc>
          <w:tcPr>
            <w:tcW w:w="840" w:type="dxa"/>
            <w:vAlign w:val="bottom"/>
            <w:gridSpan w:val="2"/>
          </w:tcPr>
          <w:p>
            <w:pPr>
              <w:jc w:val="center"/>
              <w:ind w:right="40"/>
              <w:spacing w:after="0" w:line="129" w:lineRule="exact"/>
              <w:rPr>
                <w:sz w:val="20"/>
                <w:szCs w:val="20"/>
                <w:color w:val="auto"/>
              </w:rPr>
            </w:pPr>
            <w:r>
              <w:rPr>
                <w:rFonts w:ascii="Arial" w:cs="Arial" w:eastAsia="Arial" w:hAnsi="Arial"/>
                <w:sz w:val="13"/>
                <w:szCs w:val="13"/>
                <w:b w:val="1"/>
                <w:bCs w:val="1"/>
                <w:color w:val="auto"/>
                <w:w w:val="88"/>
              </w:rPr>
              <w:t>Weighted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89"/>
              </w:rPr>
              <w:t>Tenant</w:t>
            </w:r>
          </w:p>
        </w:tc>
        <w:tc>
          <w:tcPr>
            <w:tcW w:w="8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7"/>
              </w:rPr>
              <w:t>Improvements</w:t>
            </w:r>
          </w:p>
        </w:tc>
        <w:tc>
          <w:tcPr>
            <w:tcW w:w="0" w:type="dxa"/>
            <w:vAlign w:val="bottom"/>
          </w:tcPr>
          <w:p>
            <w:pPr>
              <w:spacing w:after="0"/>
              <w:rPr>
                <w:sz w:val="1"/>
                <w:szCs w:val="1"/>
                <w:color w:val="auto"/>
              </w:rPr>
            </w:pPr>
          </w:p>
        </w:tc>
      </w:tr>
      <w:tr>
        <w:trPr>
          <w:trHeight w:val="141"/>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89"/>
              </w:rPr>
              <w:t>Number of</w:t>
            </w:r>
          </w:p>
        </w:tc>
        <w:tc>
          <w:tcPr>
            <w:tcW w:w="1140" w:type="dxa"/>
            <w:vAlign w:val="bottom"/>
            <w:gridSpan w:val="4"/>
          </w:tcPr>
          <w:p>
            <w:pPr>
              <w:jc w:val="center"/>
              <w:ind w:right="160"/>
              <w:spacing w:after="0" w:line="141" w:lineRule="exact"/>
              <w:rPr>
                <w:sz w:val="20"/>
                <w:szCs w:val="20"/>
                <w:color w:val="auto"/>
              </w:rPr>
            </w:pPr>
            <w:r>
              <w:rPr>
                <w:rFonts w:ascii="Arial" w:cs="Arial" w:eastAsia="Arial" w:hAnsi="Arial"/>
                <w:sz w:val="13"/>
                <w:szCs w:val="13"/>
                <w:b w:val="1"/>
                <w:bCs w:val="1"/>
                <w:color w:val="auto"/>
                <w:w w:val="92"/>
              </w:rPr>
              <w:t>% of Comparable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spacing w:after="0" w:line="141" w:lineRule="exact"/>
              <w:rPr>
                <w:sz w:val="20"/>
                <w:szCs w:val="20"/>
                <w:color w:val="auto"/>
              </w:rPr>
            </w:pPr>
            <w:r>
              <w:rPr>
                <w:rFonts w:ascii="Arial" w:cs="Arial" w:eastAsia="Arial" w:hAnsi="Arial"/>
                <w:sz w:val="13"/>
                <w:szCs w:val="13"/>
                <w:b w:val="1"/>
                <w:bCs w:val="1"/>
                <w:color w:val="auto"/>
                <w:w w:val="90"/>
              </w:rPr>
              <w:t>Rent (3) Per</w:t>
            </w:r>
          </w:p>
        </w:tc>
        <w:tc>
          <w:tcPr>
            <w:tcW w:w="40" w:type="dxa"/>
            <w:vAlign w:val="bottom"/>
          </w:tcPr>
          <w:p>
            <w:pPr>
              <w:spacing w:after="0"/>
              <w:rPr>
                <w:sz w:val="12"/>
                <w:szCs w:val="12"/>
                <w:color w:val="auto"/>
              </w:rPr>
            </w:pPr>
          </w:p>
        </w:tc>
        <w:tc>
          <w:tcPr>
            <w:tcW w:w="900" w:type="dxa"/>
            <w:vAlign w:val="bottom"/>
            <w:gridSpan w:val="3"/>
          </w:tcPr>
          <w:p>
            <w:pPr>
              <w:jc w:val="center"/>
              <w:ind w:right="20"/>
              <w:spacing w:after="0" w:line="141" w:lineRule="exact"/>
              <w:rPr>
                <w:sz w:val="20"/>
                <w:szCs w:val="20"/>
                <w:color w:val="auto"/>
              </w:rPr>
            </w:pPr>
            <w:r>
              <w:rPr>
                <w:rFonts w:ascii="Arial" w:cs="Arial" w:eastAsia="Arial" w:hAnsi="Arial"/>
                <w:sz w:val="13"/>
                <w:szCs w:val="13"/>
                <w:b w:val="1"/>
                <w:bCs w:val="1"/>
                <w:color w:val="auto"/>
                <w:w w:val="92"/>
              </w:rPr>
              <w:t>Prior Rent (4)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
              <w:spacing w:after="0" w:line="141" w:lineRule="exact"/>
              <w:rPr>
                <w:sz w:val="20"/>
                <w:szCs w:val="20"/>
                <w:color w:val="auto"/>
              </w:rPr>
            </w:pPr>
            <w:r>
              <w:rPr>
                <w:rFonts w:ascii="Arial" w:cs="Arial" w:eastAsia="Arial" w:hAnsi="Arial"/>
                <w:sz w:val="13"/>
                <w:szCs w:val="13"/>
                <w:b w:val="1"/>
                <w:bCs w:val="1"/>
                <w:color w:val="auto"/>
                <w:w w:val="90"/>
              </w:rPr>
              <w:t>Annual</w:t>
            </w:r>
          </w:p>
        </w:tc>
        <w:tc>
          <w:tcPr>
            <w:tcW w:w="40" w:type="dxa"/>
            <w:vAlign w:val="bottom"/>
          </w:tcPr>
          <w:p>
            <w:pPr>
              <w:spacing w:after="0"/>
              <w:rPr>
                <w:sz w:val="12"/>
                <w:szCs w:val="12"/>
                <w:color w:val="auto"/>
              </w:rPr>
            </w:pPr>
          </w:p>
        </w:tc>
        <w:tc>
          <w:tcPr>
            <w:tcW w:w="1080" w:type="dxa"/>
            <w:vAlign w:val="bottom"/>
            <w:gridSpan w:val="2"/>
          </w:tcPr>
          <w:p>
            <w:pPr>
              <w:ind w:left="140"/>
              <w:spacing w:after="0" w:line="141" w:lineRule="exact"/>
              <w:rPr>
                <w:sz w:val="20"/>
                <w:szCs w:val="20"/>
                <w:color w:val="auto"/>
              </w:rPr>
            </w:pPr>
            <w:r>
              <w:rPr>
                <w:rFonts w:ascii="Arial" w:cs="Arial" w:eastAsia="Arial" w:hAnsi="Arial"/>
                <w:sz w:val="13"/>
                <w:szCs w:val="13"/>
                <w:b w:val="1"/>
                <w:bCs w:val="1"/>
                <w:color w:val="auto"/>
              </w:rPr>
              <w:t>% Increase</w:t>
            </w:r>
          </w:p>
        </w:tc>
        <w:tc>
          <w:tcPr>
            <w:tcW w:w="114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88"/>
              </w:rPr>
              <w:t>Basis % Increase</w:t>
            </w:r>
          </w:p>
        </w:tc>
        <w:tc>
          <w:tcPr>
            <w:tcW w:w="84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85"/>
              </w:rPr>
              <w:t>Average</w:t>
            </w:r>
          </w:p>
        </w:tc>
        <w:tc>
          <w:tcPr>
            <w:tcW w:w="20" w:type="dxa"/>
            <w:vAlign w:val="bottom"/>
          </w:tcPr>
          <w:p>
            <w:pPr>
              <w:spacing w:after="0"/>
              <w:rPr>
                <w:sz w:val="12"/>
                <w:szCs w:val="12"/>
                <w:color w:val="auto"/>
              </w:rPr>
            </w:pPr>
          </w:p>
        </w:tc>
        <w:tc>
          <w:tcPr>
            <w:tcW w:w="920" w:type="dxa"/>
            <w:vAlign w:val="bottom"/>
            <w:gridSpan w:val="3"/>
          </w:tcPr>
          <w:p>
            <w:pPr>
              <w:jc w:val="center"/>
              <w:ind w:right="40"/>
              <w:spacing w:after="0" w:line="141" w:lineRule="exact"/>
              <w:rPr>
                <w:sz w:val="20"/>
                <w:szCs w:val="20"/>
                <w:color w:val="auto"/>
              </w:rPr>
            </w:pPr>
            <w:r>
              <w:rPr>
                <w:rFonts w:ascii="Arial" w:cs="Arial" w:eastAsia="Arial" w:hAnsi="Arial"/>
                <w:sz w:val="13"/>
                <w:szCs w:val="13"/>
                <w:b w:val="1"/>
                <w:bCs w:val="1"/>
                <w:color w:val="auto"/>
                <w:w w:val="89"/>
              </w:rPr>
              <w:t>Improvements</w:t>
            </w:r>
          </w:p>
        </w:tc>
        <w:tc>
          <w:tcPr>
            <w:tcW w:w="80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1"/>
              </w:rPr>
              <w:t>&amp; Incentives</w:t>
            </w:r>
          </w:p>
        </w:tc>
        <w:tc>
          <w:tcPr>
            <w:tcW w:w="0" w:type="dxa"/>
            <w:vAlign w:val="bottom"/>
          </w:tcPr>
          <w:p>
            <w:pPr>
              <w:spacing w:after="0"/>
              <w:rPr>
                <w:sz w:val="1"/>
                <w:szCs w:val="1"/>
                <w:color w:val="auto"/>
              </w:rPr>
            </w:pPr>
          </w:p>
        </w:tc>
      </w:tr>
      <w:tr>
        <w:trPr>
          <w:trHeight w:val="154"/>
        </w:trPr>
        <w:tc>
          <w:tcPr>
            <w:tcW w:w="118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5"/>
              </w:rPr>
              <w:t>Leases Signed</w:t>
            </w:r>
          </w:p>
        </w:tc>
        <w:tc>
          <w:tcPr>
            <w:tcW w:w="40" w:type="dxa"/>
            <w:vAlign w:val="bottom"/>
          </w:tcPr>
          <w:p>
            <w:pPr>
              <w:spacing w:after="0"/>
              <w:rPr>
                <w:sz w:val="13"/>
                <w:szCs w:val="13"/>
                <w:color w:val="auto"/>
              </w:rPr>
            </w:pPr>
          </w:p>
        </w:tc>
        <w:tc>
          <w:tcPr>
            <w:tcW w:w="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Leases Signed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GLA Signed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Sq. Ft.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20"/>
              <w:spacing w:after="0"/>
              <w:rPr>
                <w:sz w:val="20"/>
                <w:szCs w:val="20"/>
                <w:color w:val="auto"/>
              </w:rPr>
            </w:pPr>
            <w:r>
              <w:rPr>
                <w:rFonts w:ascii="Arial" w:cs="Arial" w:eastAsia="Arial" w:hAnsi="Arial"/>
                <w:sz w:val="13"/>
                <w:szCs w:val="13"/>
                <w:b w:val="1"/>
                <w:bCs w:val="1"/>
                <w:color w:val="auto"/>
                <w:w w:val="90"/>
              </w:rPr>
              <w:t>Per Sq. Ft.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gridSpan w:val="5"/>
          </w:tcPr>
          <w:p>
            <w:pPr>
              <w:spacing w:after="0"/>
              <w:rPr>
                <w:sz w:val="20"/>
                <w:szCs w:val="20"/>
                <w:color w:val="auto"/>
              </w:rPr>
            </w:pPr>
            <w:r>
              <w:rPr>
                <w:rFonts w:ascii="Arial" w:cs="Arial" w:eastAsia="Arial" w:hAnsi="Arial"/>
                <w:sz w:val="13"/>
                <w:szCs w:val="13"/>
                <w:b w:val="1"/>
                <w:bCs w:val="1"/>
                <w:color w:val="auto"/>
                <w:w w:val="99"/>
              </w:rPr>
              <w:t>Increase in Rent Over Prior Rent</w:t>
            </w: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Over Prior Rent</w:t>
            </w:r>
          </w:p>
        </w:tc>
        <w:tc>
          <w:tcPr>
            <w:tcW w:w="1780" w:type="dxa"/>
            <w:vAlign w:val="bottom"/>
            <w:gridSpan w:val="6"/>
          </w:tcPr>
          <w:p>
            <w:pPr>
              <w:jc w:val="right"/>
              <w:ind w:right="40"/>
              <w:spacing w:after="0"/>
              <w:rPr>
                <w:sz w:val="20"/>
                <w:szCs w:val="20"/>
                <w:color w:val="auto"/>
              </w:rPr>
            </w:pPr>
            <w:r>
              <w:rPr>
                <w:rFonts w:ascii="Arial" w:cs="Arial" w:eastAsia="Arial" w:hAnsi="Arial"/>
                <w:sz w:val="13"/>
                <w:szCs w:val="13"/>
                <w:b w:val="1"/>
                <w:bCs w:val="1"/>
                <w:color w:val="auto"/>
                <w:w w:val="89"/>
              </w:rPr>
              <w:t>Lease Term (5) &amp; Incentives (6)</w:t>
            </w:r>
          </w:p>
        </w:tc>
        <w:tc>
          <w:tcPr>
            <w:tcW w:w="100" w:type="dxa"/>
            <w:vAlign w:val="bottom"/>
          </w:tcPr>
          <w:p>
            <w:pPr>
              <w:spacing w:after="0"/>
              <w:rPr>
                <w:sz w:val="13"/>
                <w:szCs w:val="13"/>
                <w:color w:val="auto"/>
              </w:rPr>
            </w:pPr>
          </w:p>
        </w:tc>
        <w:tc>
          <w:tcPr>
            <w:tcW w:w="700" w:type="dxa"/>
            <w:vAlign w:val="bottom"/>
          </w:tcPr>
          <w:p>
            <w:pPr>
              <w:jc w:val="center"/>
              <w:ind w:right="2"/>
              <w:spacing w:after="0"/>
              <w:rPr>
                <w:sz w:val="20"/>
                <w:szCs w:val="20"/>
                <w:color w:val="auto"/>
              </w:rPr>
            </w:pPr>
            <w:r>
              <w:rPr>
                <w:rFonts w:ascii="Arial" w:cs="Arial" w:eastAsia="Arial" w:hAnsi="Arial"/>
                <w:sz w:val="13"/>
                <w:szCs w:val="13"/>
                <w:b w:val="1"/>
                <w:bCs w:val="1"/>
                <w:color w:val="auto"/>
                <w:w w:val="90"/>
              </w:rPr>
              <w:t>Per Sq. Ft.</w:t>
            </w:r>
          </w:p>
        </w:tc>
        <w:tc>
          <w:tcPr>
            <w:tcW w:w="0" w:type="dxa"/>
            <w:vAlign w:val="bottom"/>
          </w:tcPr>
          <w:p>
            <w:pPr>
              <w:spacing w:after="0"/>
              <w:rPr>
                <w:sz w:val="1"/>
                <w:szCs w:val="1"/>
                <w:color w:val="auto"/>
              </w:rPr>
            </w:pPr>
          </w:p>
        </w:tc>
      </w:tr>
      <w:tr>
        <w:trPr>
          <w:trHeight w:val="26"/>
        </w:trPr>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0"/>
              </w:rPr>
              <w:t>4th Quarter 2006</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304,036</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26.72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22.80</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1,192,428</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17%</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985,306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06"/>
        </w:trPr>
        <w:tc>
          <w:tcPr>
            <w:tcW w:w="1180" w:type="dxa"/>
            <w:vAlign w:val="bottom"/>
            <w:gridSpan w:val="2"/>
          </w:tcPr>
          <w:p>
            <w:pPr>
              <w:spacing w:after="0"/>
              <w:rPr>
                <w:sz w:val="20"/>
                <w:szCs w:val="20"/>
                <w:color w:val="auto"/>
              </w:rPr>
            </w:pPr>
            <w:r>
              <w:rPr>
                <w:rFonts w:ascii="Arial" w:cs="Arial" w:eastAsia="Arial" w:hAnsi="Arial"/>
                <w:sz w:val="17"/>
                <w:szCs w:val="17"/>
                <w:color w:val="auto"/>
                <w:w w:val="89"/>
              </w:rPr>
              <w:t>3rd Quarter 2006</w:t>
            </w:r>
          </w:p>
        </w:tc>
        <w:tc>
          <w:tcPr>
            <w:tcW w:w="860" w:type="dxa"/>
            <w:vAlign w:val="bottom"/>
            <w:gridSpan w:val="3"/>
          </w:tcPr>
          <w:p>
            <w:pPr>
              <w:jc w:val="right"/>
              <w:ind w:right="40"/>
              <w:spacing w:after="0"/>
              <w:rPr>
                <w:sz w:val="20"/>
                <w:szCs w:val="20"/>
                <w:color w:val="auto"/>
              </w:rPr>
            </w:pPr>
            <w:r>
              <w:rPr>
                <w:rFonts w:ascii="Arial" w:cs="Arial" w:eastAsia="Arial" w:hAnsi="Arial"/>
                <w:sz w:val="17"/>
                <w:szCs w:val="17"/>
                <w:color w:val="auto"/>
              </w:rPr>
              <w:t>58</w:t>
            </w:r>
          </w:p>
        </w:tc>
        <w:tc>
          <w:tcPr>
            <w:tcW w:w="1140" w:type="dxa"/>
            <w:vAlign w:val="bottom"/>
            <w:gridSpan w:val="4"/>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332,200</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20.02</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16.25</w:t>
            </w: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1,251,137</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23%</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c>
          <w:tcPr>
            <w:tcW w:w="820" w:type="dxa"/>
            <w:vAlign w:val="bottom"/>
          </w:tcPr>
          <w:p>
            <w:pPr>
              <w:jc w:val="right"/>
              <w:spacing w:after="0"/>
              <w:rPr>
                <w:sz w:val="20"/>
                <w:szCs w:val="20"/>
                <w:color w:val="auto"/>
              </w:rPr>
            </w:pPr>
            <w:r>
              <w:rPr>
                <w:rFonts w:ascii="Arial" w:cs="Arial" w:eastAsia="Arial" w:hAnsi="Arial"/>
                <w:sz w:val="17"/>
                <w:szCs w:val="17"/>
                <w:color w:val="auto"/>
              </w:rPr>
              <w:t>9.7</w:t>
            </w: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w w:val="95"/>
              </w:rPr>
              <w:t>4,182,700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12.59</w:t>
            </w:r>
          </w:p>
        </w:tc>
        <w:tc>
          <w:tcPr>
            <w:tcW w:w="0" w:type="dxa"/>
            <w:vAlign w:val="bottom"/>
          </w:tcPr>
          <w:p>
            <w:pPr>
              <w:spacing w:after="0"/>
              <w:rPr>
                <w:sz w:val="1"/>
                <w:szCs w:val="1"/>
                <w:color w:val="auto"/>
              </w:rPr>
            </w:pPr>
          </w:p>
        </w:tc>
      </w:tr>
      <w:tr>
        <w:trPr>
          <w:trHeight w:val="206"/>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7"/>
              </w:rPr>
              <w:t>2nd Quarter 2006</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60</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275,764</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24.40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20.90</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966,200</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17%</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5"/>
              </w:rPr>
              <w:t>2,189,643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w:t>
            </w:r>
          </w:p>
        </w:tc>
        <w:tc>
          <w:tcPr>
            <w:tcW w:w="0" w:type="dxa"/>
            <w:vAlign w:val="bottom"/>
          </w:tcPr>
          <w:p>
            <w:pPr>
              <w:spacing w:after="0"/>
              <w:rPr>
                <w:sz w:val="1"/>
                <w:szCs w:val="1"/>
                <w:color w:val="auto"/>
              </w:rPr>
            </w:pPr>
          </w:p>
        </w:tc>
      </w:tr>
      <w:tr>
        <w:trPr>
          <w:trHeight w:val="206"/>
        </w:trPr>
        <w:tc>
          <w:tcPr>
            <w:tcW w:w="1180" w:type="dxa"/>
            <w:vAlign w:val="bottom"/>
            <w:gridSpan w:val="2"/>
          </w:tcPr>
          <w:p>
            <w:pPr>
              <w:spacing w:after="0"/>
              <w:rPr>
                <w:sz w:val="20"/>
                <w:szCs w:val="20"/>
                <w:color w:val="auto"/>
              </w:rPr>
            </w:pPr>
            <w:r>
              <w:rPr>
                <w:rFonts w:ascii="Arial" w:cs="Arial" w:eastAsia="Arial" w:hAnsi="Arial"/>
                <w:sz w:val="17"/>
                <w:szCs w:val="17"/>
                <w:color w:val="auto"/>
                <w:w w:val="90"/>
              </w:rPr>
              <w:t>1st Quarter 2006</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w:t>
            </w:r>
          </w:p>
        </w:tc>
        <w:tc>
          <w:tcPr>
            <w:tcW w:w="40" w:type="dxa"/>
            <w:vAlign w:val="bottom"/>
          </w:tcPr>
          <w:p>
            <w:pPr>
              <w:spacing w:after="0"/>
              <w:rPr>
                <w:sz w:val="17"/>
                <w:szCs w:val="17"/>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286,204</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23.05</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19.85</w:t>
            </w: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914,271</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16%</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c>
          <w:tcPr>
            <w:tcW w:w="820" w:type="dxa"/>
            <w:vAlign w:val="bottom"/>
          </w:tcPr>
          <w:p>
            <w:pPr>
              <w:jc w:val="right"/>
              <w:spacing w:after="0"/>
              <w:rPr>
                <w:sz w:val="20"/>
                <w:szCs w:val="20"/>
                <w:color w:val="auto"/>
              </w:rPr>
            </w:pPr>
            <w:r>
              <w:rPr>
                <w:rFonts w:ascii="Arial" w:cs="Arial" w:eastAsia="Arial" w:hAnsi="Arial"/>
                <w:sz w:val="17"/>
                <w:szCs w:val="17"/>
                <w:color w:val="auto"/>
              </w:rPr>
              <w:t>5.8</w:t>
            </w: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w w:val="95"/>
              </w:rPr>
              <w:t>1,547,471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6"/>
        </w:trPr>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0"/>
              </w:rPr>
              <w:t>Total -12 months</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4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7"/>
              </w:rPr>
              <w:t>1,198,204</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23.45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19.84</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4,324,036</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18%</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5"/>
              </w:rPr>
              <w:t>8,905,120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4820" w:type="dxa"/>
            <w:vAlign w:val="bottom"/>
            <w:gridSpan w:val="16"/>
          </w:tcPr>
          <w:p>
            <w:pPr>
              <w:spacing w:after="0"/>
              <w:rPr>
                <w:sz w:val="20"/>
                <w:szCs w:val="20"/>
                <w:color w:val="auto"/>
              </w:rPr>
            </w:pPr>
            <w:r>
              <w:rPr>
                <w:rFonts w:ascii="Arial" w:cs="Arial" w:eastAsia="Arial" w:hAnsi="Arial"/>
                <w:sz w:val="17"/>
                <w:szCs w:val="17"/>
                <w:b w:val="1"/>
                <w:bCs w:val="1"/>
                <w:color w:val="auto"/>
                <w:w w:val="98"/>
              </w:rPr>
              <w:t>Total Lease Summary - Comparable and Non-comparable (2)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21"/>
              <w:spacing w:after="0"/>
              <w:rPr>
                <w:sz w:val="20"/>
                <w:szCs w:val="20"/>
                <w:color w:val="auto"/>
              </w:rPr>
            </w:pPr>
            <w:r>
              <w:rPr>
                <w:rFonts w:ascii="Arial" w:cs="Arial" w:eastAsia="Arial" w:hAnsi="Arial"/>
                <w:sz w:val="13"/>
                <w:szCs w:val="13"/>
                <w:b w:val="1"/>
                <w:bCs w:val="1"/>
                <w:color w:val="auto"/>
                <w:w w:val="89"/>
              </w:rPr>
              <w:t>Tenant</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ind w:right="40"/>
              <w:spacing w:after="0" w:line="141" w:lineRule="exact"/>
              <w:rPr>
                <w:sz w:val="20"/>
                <w:szCs w:val="20"/>
                <w:color w:val="auto"/>
              </w:rPr>
            </w:pPr>
            <w:r>
              <w:rPr>
                <w:rFonts w:ascii="Arial" w:cs="Arial" w:eastAsia="Arial" w:hAnsi="Arial"/>
                <w:sz w:val="13"/>
                <w:szCs w:val="13"/>
                <w:b w:val="1"/>
                <w:bCs w:val="1"/>
                <w:color w:val="auto"/>
                <w:w w:val="94"/>
              </w:rPr>
              <w:t>Contractual</w:t>
            </w:r>
          </w:p>
        </w:tc>
        <w:tc>
          <w:tcPr>
            <w:tcW w:w="120" w:type="dxa"/>
            <w:vAlign w:val="bottom"/>
          </w:tcPr>
          <w:p>
            <w:pPr>
              <w:spacing w:after="0"/>
              <w:rPr>
                <w:sz w:val="12"/>
                <w:szCs w:val="12"/>
                <w:color w:val="auto"/>
              </w:rPr>
            </w:pPr>
          </w:p>
        </w:tc>
        <w:tc>
          <w:tcPr>
            <w:tcW w:w="70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2"/>
              </w:rPr>
              <w:t>Weighted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89"/>
              </w:rPr>
              <w:t>Tenant</w:t>
            </w:r>
          </w:p>
        </w:tc>
        <w:tc>
          <w:tcPr>
            <w:tcW w:w="20" w:type="dxa"/>
            <w:vAlign w:val="bottom"/>
          </w:tcPr>
          <w:p>
            <w:pPr>
              <w:spacing w:after="0"/>
              <w:rPr>
                <w:sz w:val="12"/>
                <w:szCs w:val="12"/>
                <w:color w:val="auto"/>
              </w:rPr>
            </w:pPr>
          </w:p>
        </w:tc>
        <w:tc>
          <w:tcPr>
            <w:tcW w:w="90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89"/>
              </w:rPr>
              <w:t>Improvements</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Quarter</w:t>
            </w:r>
          </w:p>
        </w:tc>
        <w:tc>
          <w:tcPr>
            <w:tcW w:w="40" w:type="dxa"/>
            <w:vAlign w:val="bottom"/>
          </w:tcPr>
          <w:p>
            <w:pPr>
              <w:spacing w:after="0"/>
              <w:rPr>
                <w:sz w:val="12"/>
                <w:szCs w:val="12"/>
                <w:color w:val="auto"/>
              </w:rPr>
            </w:pPr>
          </w:p>
        </w:tc>
        <w:tc>
          <w:tcPr>
            <w:tcW w:w="82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89"/>
              </w:rPr>
              <w:t>Number of</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0"/>
              </w:rPr>
              <w:t>Rent (3)</w:t>
            </w:r>
          </w:p>
        </w:tc>
        <w:tc>
          <w:tcPr>
            <w:tcW w:w="120" w:type="dxa"/>
            <w:vAlign w:val="bottom"/>
          </w:tcPr>
          <w:p>
            <w:pPr>
              <w:spacing w:after="0"/>
              <w:rPr>
                <w:sz w:val="12"/>
                <w:szCs w:val="12"/>
                <w:color w:val="auto"/>
              </w:rPr>
            </w:pPr>
          </w:p>
        </w:tc>
        <w:tc>
          <w:tcPr>
            <w:tcW w:w="70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89"/>
              </w:rPr>
              <w:t>Average</w:t>
            </w:r>
          </w:p>
        </w:tc>
        <w:tc>
          <w:tcPr>
            <w:tcW w:w="40" w:type="dxa"/>
            <w:vAlign w:val="bottom"/>
          </w:tcPr>
          <w:p>
            <w:pPr>
              <w:spacing w:after="0"/>
              <w:rPr>
                <w:sz w:val="12"/>
                <w:szCs w:val="12"/>
                <w:color w:val="auto"/>
              </w:rPr>
            </w:pPr>
          </w:p>
        </w:tc>
        <w:tc>
          <w:tcPr>
            <w:tcW w:w="900" w:type="dxa"/>
            <w:vAlign w:val="bottom"/>
            <w:gridSpan w:val="3"/>
          </w:tcPr>
          <w:p>
            <w:pPr>
              <w:jc w:val="center"/>
              <w:ind w:right="20"/>
              <w:spacing w:after="0" w:line="141" w:lineRule="exact"/>
              <w:rPr>
                <w:sz w:val="20"/>
                <w:szCs w:val="20"/>
                <w:color w:val="auto"/>
              </w:rPr>
            </w:pPr>
            <w:r>
              <w:rPr>
                <w:rFonts w:ascii="Arial" w:cs="Arial" w:eastAsia="Arial" w:hAnsi="Arial"/>
                <w:sz w:val="13"/>
                <w:szCs w:val="13"/>
                <w:b w:val="1"/>
                <w:bCs w:val="1"/>
                <w:color w:val="auto"/>
                <w:w w:val="89"/>
              </w:rPr>
              <w:t>Improvements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1" w:lineRule="exact"/>
              <w:rPr>
                <w:sz w:val="20"/>
                <w:szCs w:val="20"/>
                <w:color w:val="auto"/>
              </w:rPr>
            </w:pPr>
            <w:r>
              <w:rPr>
                <w:rFonts w:ascii="Arial" w:cs="Arial" w:eastAsia="Arial" w:hAnsi="Arial"/>
                <w:sz w:val="13"/>
                <w:szCs w:val="13"/>
                <w:b w:val="1"/>
                <w:bCs w:val="1"/>
                <w:color w:val="auto"/>
                <w:w w:val="91"/>
              </w:rPr>
              <w:t>&amp; Incentives</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5"/>
              </w:rPr>
              <w:t>Leases Signed</w:t>
            </w:r>
          </w:p>
        </w:tc>
        <w:tc>
          <w:tcPr>
            <w:tcW w:w="40" w:type="dxa"/>
            <w:vAlign w:val="bottom"/>
          </w:tcPr>
          <w:p>
            <w:pPr>
              <w:spacing w:after="0"/>
              <w:rPr>
                <w:sz w:val="12"/>
                <w:szCs w:val="12"/>
                <w:color w:val="auto"/>
              </w:rPr>
            </w:pPr>
          </w:p>
        </w:tc>
        <w:tc>
          <w:tcPr>
            <w:tcW w:w="980" w:type="dxa"/>
            <w:vAlign w:val="bottom"/>
            <w:gridSpan w:val="3"/>
          </w:tcPr>
          <w:p>
            <w:pPr>
              <w:jc w:val="center"/>
              <w:spacing w:after="0" w:line="141" w:lineRule="exact"/>
              <w:rPr>
                <w:sz w:val="20"/>
                <w:szCs w:val="20"/>
                <w:color w:val="auto"/>
              </w:rPr>
            </w:pPr>
            <w:r>
              <w:rPr>
                <w:rFonts w:ascii="Arial" w:cs="Arial" w:eastAsia="Arial" w:hAnsi="Arial"/>
                <w:sz w:val="13"/>
                <w:szCs w:val="13"/>
                <w:b w:val="1"/>
                <w:bCs w:val="1"/>
                <w:color w:val="auto"/>
                <w:w w:val="88"/>
              </w:rPr>
              <w:t>GLA Signed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3"/>
              </w:rPr>
              <w:t>Per Sq. Ft.</w:t>
            </w:r>
          </w:p>
        </w:tc>
        <w:tc>
          <w:tcPr>
            <w:tcW w:w="40" w:type="dxa"/>
            <w:vAlign w:val="bottom"/>
          </w:tcPr>
          <w:p>
            <w:pPr>
              <w:spacing w:after="0"/>
              <w:rPr>
                <w:sz w:val="12"/>
                <w:szCs w:val="12"/>
                <w:color w:val="auto"/>
              </w:rPr>
            </w:pPr>
          </w:p>
        </w:tc>
        <w:tc>
          <w:tcPr>
            <w:tcW w:w="1760" w:type="dxa"/>
            <w:vAlign w:val="bottom"/>
            <w:gridSpan w:val="7"/>
          </w:tcPr>
          <w:p>
            <w:pPr>
              <w:spacing w:after="0" w:line="141" w:lineRule="exact"/>
              <w:rPr>
                <w:sz w:val="20"/>
                <w:szCs w:val="20"/>
                <w:color w:val="auto"/>
              </w:rPr>
            </w:pPr>
            <w:r>
              <w:rPr>
                <w:rFonts w:ascii="Arial" w:cs="Arial" w:eastAsia="Arial" w:hAnsi="Arial"/>
                <w:sz w:val="13"/>
                <w:szCs w:val="13"/>
                <w:b w:val="1"/>
                <w:bCs w:val="1"/>
                <w:color w:val="auto"/>
                <w:w w:val="90"/>
              </w:rPr>
              <w:t>Lease Term (5) &amp; Incentives (6)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1" w:lineRule="exact"/>
              <w:rPr>
                <w:sz w:val="20"/>
                <w:szCs w:val="20"/>
                <w:color w:val="auto"/>
              </w:rPr>
            </w:pPr>
            <w:r>
              <w:rPr>
                <w:rFonts w:ascii="Arial" w:cs="Arial" w:eastAsia="Arial" w:hAnsi="Arial"/>
                <w:sz w:val="13"/>
                <w:szCs w:val="13"/>
                <w:b w:val="1"/>
                <w:bCs w:val="1"/>
                <w:color w:val="auto"/>
                <w:w w:val="90"/>
              </w:rPr>
              <w:t>Per Sq. Ft.</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0"/>
              </w:rPr>
              <w:t>4th Quarter 2006</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320,655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27.36</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2,198,145</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80" w:type="dxa"/>
            <w:vAlign w:val="bottom"/>
            <w:gridSpan w:val="2"/>
          </w:tcPr>
          <w:p>
            <w:pPr>
              <w:spacing w:after="0"/>
              <w:rPr>
                <w:sz w:val="20"/>
                <w:szCs w:val="20"/>
                <w:color w:val="auto"/>
              </w:rPr>
            </w:pPr>
            <w:r>
              <w:rPr>
                <w:rFonts w:ascii="Arial" w:cs="Arial" w:eastAsia="Arial" w:hAnsi="Arial"/>
                <w:sz w:val="17"/>
                <w:szCs w:val="17"/>
                <w:color w:val="auto"/>
                <w:w w:val="89"/>
              </w:rPr>
              <w:t>3rd Quarter 2006</w:t>
            </w:r>
          </w:p>
        </w:tc>
        <w:tc>
          <w:tcPr>
            <w:tcW w:w="860" w:type="dxa"/>
            <w:vAlign w:val="bottom"/>
            <w:gridSpan w:val="3"/>
          </w:tcPr>
          <w:p>
            <w:pPr>
              <w:jc w:val="right"/>
              <w:ind w:right="40"/>
              <w:spacing w:after="0"/>
              <w:rPr>
                <w:sz w:val="20"/>
                <w:szCs w:val="20"/>
                <w:color w:val="auto"/>
              </w:rPr>
            </w:pPr>
            <w:r>
              <w:rPr>
                <w:rFonts w:ascii="Arial" w:cs="Arial" w:eastAsia="Arial" w:hAnsi="Arial"/>
                <w:sz w:val="17"/>
                <w:szCs w:val="17"/>
                <w:color w:val="auto"/>
              </w:rPr>
              <w:t>75</w:t>
            </w: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394,331</w:t>
            </w:r>
          </w:p>
        </w:tc>
        <w:tc>
          <w:tcPr>
            <w:tcW w:w="16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22.98</w:t>
            </w:r>
          </w:p>
        </w:tc>
        <w:tc>
          <w:tcPr>
            <w:tcW w:w="1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9.8</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8,992,951</w:t>
            </w: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22.81</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7"/>
              </w:rPr>
              <w:t>2nd Quarter 2006</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76</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324,367</w:t>
            </w:r>
          </w:p>
        </w:tc>
        <w:tc>
          <w:tcPr>
            <w:tcW w:w="1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24.82</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4,582,028</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14.13</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80" w:type="dxa"/>
            <w:vAlign w:val="bottom"/>
            <w:gridSpan w:val="2"/>
          </w:tcPr>
          <w:p>
            <w:pPr>
              <w:spacing w:after="0"/>
              <w:rPr>
                <w:sz w:val="20"/>
                <w:szCs w:val="20"/>
                <w:color w:val="auto"/>
              </w:rPr>
            </w:pPr>
            <w:r>
              <w:rPr>
                <w:rFonts w:ascii="Arial" w:cs="Arial" w:eastAsia="Arial" w:hAnsi="Arial"/>
                <w:sz w:val="17"/>
                <w:szCs w:val="17"/>
                <w:color w:val="auto"/>
                <w:w w:val="90"/>
              </w:rPr>
              <w:t>1st Quarter 2006</w:t>
            </w:r>
          </w:p>
        </w:tc>
        <w:tc>
          <w:tcPr>
            <w:tcW w:w="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82</w:t>
            </w:r>
          </w:p>
        </w:tc>
        <w:tc>
          <w:tcPr>
            <w:tcW w:w="4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349,369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25.08</w:t>
            </w:r>
          </w:p>
        </w:tc>
        <w:tc>
          <w:tcPr>
            <w:tcW w:w="1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5,204,611</w:t>
            </w: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14.90</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0"/>
              </w:rPr>
              <w:t>Total -12 months</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1,388,722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24.95</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w w:val="90"/>
              </w:rPr>
              <w:t>$ 20,977,735</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9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7" w:lineRule="exact"/>
        <w:rPr>
          <w:sz w:val="20"/>
          <w:szCs w:val="20"/>
          <w:color w:val="auto"/>
        </w:rPr>
      </w:pPr>
    </w:p>
    <w:p>
      <w:pPr>
        <w:ind w:left="460" w:hanging="457"/>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10" w:lineRule="exact"/>
        <w:rPr>
          <w:rFonts w:ascii="Arial" w:cs="Arial" w:eastAsia="Arial" w:hAnsi="Arial"/>
          <w:sz w:val="17"/>
          <w:szCs w:val="17"/>
          <w:color w:val="auto"/>
        </w:rPr>
      </w:pPr>
    </w:p>
    <w:p>
      <w:pPr>
        <w:ind w:left="460" w:right="200" w:hanging="457"/>
        <w:spacing w:after="0" w:line="268"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Comparable leases represent those leases signed on spaces for which there was a former tenant. Non-comparable leases represent those leases signed on spaces for which there was no former tenant, or expansion square footage for leases rolling over for which there was no former tenant.</w:t>
      </w:r>
    </w:p>
    <w:p>
      <w:pPr>
        <w:ind w:left="460" w:hanging="457"/>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Prior rent represents minimum rent and percentage rent, if any, paid by the prior tenant in the final 12 months of the term.</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Renewal leases represent expiring leases rolling over with the same tenant in the same location. All other leases are categorized as new.</w:t>
      </w:r>
    </w:p>
    <w:p>
      <w:pPr>
        <w:sectPr>
          <w:pgSz w:w="11900" w:h="16838" w:orient="portrait"/>
          <w:cols w:equalWidth="0" w:num="1">
            <w:col w:w="11520"/>
          </w:cols>
          <w:pgMar w:left="240" w:top="268" w:right="1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Expirations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Assumes no exercise of lease options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rPr>
              <w:t>Anchor Tenants (1)</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w w:val="98"/>
              </w:rPr>
              <w:t>Small Shop Tenants</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gridSpan w:val="2"/>
          </w:tcPr>
          <w:p>
            <w:pPr>
              <w:jc w:val="center"/>
              <w:ind w:right="540"/>
              <w:spacing w:after="0" w:line="121" w:lineRule="exact"/>
              <w:rPr>
                <w:sz w:val="20"/>
                <w:szCs w:val="20"/>
                <w:color w:val="auto"/>
              </w:rPr>
            </w:pPr>
            <w:r>
              <w:rPr>
                <w:rFonts w:ascii="Arial" w:cs="Arial" w:eastAsia="Arial" w:hAnsi="Arial"/>
                <w:sz w:val="13"/>
                <w:szCs w:val="13"/>
                <w:b w:val="1"/>
                <w:bCs w:val="1"/>
                <w:color w:val="auto"/>
                <w:w w:val="93"/>
              </w:rPr>
              <w:t>% of Anchor</w:t>
            </w:r>
          </w:p>
        </w:tc>
        <w:tc>
          <w:tcPr>
            <w:tcW w:w="84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w w:val="91"/>
              </w:rPr>
              <w:t>Minimum Rent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right"/>
              <w:ind w:right="480"/>
              <w:spacing w:after="0" w:line="121" w:lineRule="exact"/>
              <w:rPr>
                <w:sz w:val="20"/>
                <w:szCs w:val="20"/>
                <w:color w:val="auto"/>
              </w:rPr>
            </w:pPr>
            <w:r>
              <w:rPr>
                <w:rFonts w:ascii="Arial" w:cs="Arial" w:eastAsia="Arial" w:hAnsi="Arial"/>
                <w:sz w:val="13"/>
                <w:szCs w:val="13"/>
                <w:b w:val="1"/>
                <w:bCs w:val="1"/>
                <w:color w:val="auto"/>
                <w:w w:val="91"/>
              </w:rPr>
              <w:t>% of Small</w:t>
            </w:r>
          </w:p>
        </w:tc>
        <w:tc>
          <w:tcPr>
            <w:tcW w:w="60" w:type="dxa"/>
            <w:vAlign w:val="bottom"/>
          </w:tcPr>
          <w:p>
            <w:pPr>
              <w:spacing w:after="0"/>
              <w:rPr>
                <w:sz w:val="10"/>
                <w:szCs w:val="10"/>
                <w:color w:val="auto"/>
              </w:rPr>
            </w:pPr>
          </w:p>
        </w:tc>
        <w:tc>
          <w:tcPr>
            <w:tcW w:w="86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w w:val="93"/>
              </w:rPr>
              <w:t>Minimum Rent</w:t>
            </w: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tcPr>
          <w:p>
            <w:pPr>
              <w:jc w:val="right"/>
              <w:ind w:right="340"/>
              <w:spacing w:after="0" w:line="121" w:lineRule="exact"/>
              <w:rPr>
                <w:sz w:val="20"/>
                <w:szCs w:val="20"/>
                <w:color w:val="auto"/>
              </w:rPr>
            </w:pPr>
            <w:r>
              <w:rPr>
                <w:rFonts w:ascii="Arial" w:cs="Arial" w:eastAsia="Arial" w:hAnsi="Arial"/>
                <w:sz w:val="13"/>
                <w:szCs w:val="13"/>
                <w:b w:val="1"/>
                <w:bCs w:val="1"/>
                <w:color w:val="auto"/>
                <w:w w:val="93"/>
              </w:rPr>
              <w:t>% of Total</w:t>
            </w:r>
          </w:p>
        </w:tc>
        <w:tc>
          <w:tcPr>
            <w:tcW w:w="200" w:type="dxa"/>
            <w:vAlign w:val="bottom"/>
          </w:tcPr>
          <w:p>
            <w:pPr>
              <w:spacing w:after="0"/>
              <w:rPr>
                <w:sz w:val="10"/>
                <w:szCs w:val="10"/>
                <w:color w:val="auto"/>
              </w:rPr>
            </w:pPr>
          </w:p>
        </w:tc>
        <w:tc>
          <w:tcPr>
            <w:tcW w:w="84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w w:val="91"/>
              </w:rPr>
              <w:t>Minimum Rent</w:t>
            </w:r>
          </w:p>
        </w:tc>
        <w:tc>
          <w:tcPr>
            <w:tcW w:w="0" w:type="dxa"/>
            <w:vAlign w:val="bottom"/>
          </w:tcPr>
          <w:p>
            <w:pPr>
              <w:spacing w:after="0"/>
              <w:rPr>
                <w:sz w:val="1"/>
                <w:szCs w:val="1"/>
                <w:color w:val="auto"/>
              </w:rPr>
            </w:pPr>
          </w:p>
        </w:tc>
      </w:tr>
      <w:tr>
        <w:trPr>
          <w:trHeight w:val="154"/>
        </w:trPr>
        <w:tc>
          <w:tcPr>
            <w:tcW w:w="780" w:type="dxa"/>
            <w:vAlign w:val="bottom"/>
          </w:tcPr>
          <w:p>
            <w:pPr>
              <w:jc w:val="right"/>
              <w:ind w:right="178"/>
              <w:spacing w:after="0"/>
              <w:rPr>
                <w:sz w:val="20"/>
                <w:szCs w:val="20"/>
                <w:color w:val="auto"/>
              </w:rPr>
            </w:pPr>
            <w:r>
              <w:rPr>
                <w:rFonts w:ascii="Arial" w:cs="Arial" w:eastAsia="Arial" w:hAnsi="Arial"/>
                <w:sz w:val="13"/>
                <w:szCs w:val="13"/>
                <w:b w:val="1"/>
                <w:bCs w:val="1"/>
                <w:color w:val="auto"/>
              </w:rPr>
              <w:t>Year</w:t>
            </w: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w w:val="94"/>
              </w:rPr>
              <w:t>Expiring SF</w:t>
            </w:r>
          </w:p>
        </w:tc>
        <w:tc>
          <w:tcPr>
            <w:tcW w:w="3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SF</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3"/>
                <w:szCs w:val="13"/>
                <w:b w:val="1"/>
                <w:bCs w:val="1"/>
                <w:color w:val="auto"/>
              </w:rPr>
              <w:t>PSF (2)</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8"/>
              </w:rPr>
              <w:t>Expiring SF</w:t>
            </w:r>
          </w:p>
        </w:tc>
        <w:tc>
          <w:tcPr>
            <w:tcW w:w="220" w:type="dxa"/>
            <w:vAlign w:val="bottom"/>
          </w:tcPr>
          <w:p>
            <w:pPr>
              <w:spacing w:after="0"/>
              <w:rPr>
                <w:sz w:val="13"/>
                <w:szCs w:val="13"/>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8"/>
              </w:rPr>
              <w:t>Shop SF</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38"/>
              <w:spacing w:after="0"/>
              <w:rPr>
                <w:sz w:val="20"/>
                <w:szCs w:val="20"/>
                <w:color w:val="auto"/>
              </w:rPr>
            </w:pPr>
            <w:r>
              <w:rPr>
                <w:rFonts w:ascii="Arial" w:cs="Arial" w:eastAsia="Arial" w:hAnsi="Arial"/>
                <w:sz w:val="13"/>
                <w:szCs w:val="13"/>
                <w:b w:val="1"/>
                <w:bCs w:val="1"/>
                <w:color w:val="auto"/>
              </w:rPr>
              <w:t>PSF (2)</w:t>
            </w:r>
          </w:p>
        </w:tc>
        <w:tc>
          <w:tcPr>
            <w:tcW w:w="4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4"/>
              </w:rPr>
              <w:t>Expiring SF</w:t>
            </w:r>
          </w:p>
        </w:tc>
        <w:tc>
          <w:tcPr>
            <w:tcW w:w="400" w:type="dxa"/>
            <w:vAlign w:val="bottom"/>
          </w:tcPr>
          <w:p>
            <w:pPr>
              <w:spacing w:after="0"/>
              <w:rPr>
                <w:sz w:val="13"/>
                <w:szCs w:val="13"/>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SF</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38"/>
              <w:spacing w:after="0"/>
              <w:rPr>
                <w:sz w:val="20"/>
                <w:szCs w:val="20"/>
                <w:color w:val="auto"/>
              </w:rPr>
            </w:pPr>
            <w:r>
              <w:rPr>
                <w:rFonts w:ascii="Arial" w:cs="Arial" w:eastAsia="Arial" w:hAnsi="Arial"/>
                <w:sz w:val="13"/>
                <w:szCs w:val="13"/>
                <w:b w:val="1"/>
                <w:bCs w:val="1"/>
                <w:color w:val="auto"/>
              </w:rPr>
              <w:t>PSF (2)</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2007</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451,000</w:t>
            </w:r>
          </w:p>
        </w:tc>
        <w:tc>
          <w:tcPr>
            <w:tcW w:w="3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10.73</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768,000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1,219,000</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19.13</w:t>
            </w:r>
          </w:p>
        </w:tc>
        <w:tc>
          <w:tcPr>
            <w:tcW w:w="0" w:type="dxa"/>
            <w:vAlign w:val="bottom"/>
          </w:tcPr>
          <w:p>
            <w:pPr>
              <w:spacing w:after="0"/>
              <w:rPr>
                <w:sz w:val="1"/>
                <w:szCs w:val="1"/>
                <w:color w:val="auto"/>
              </w:rPr>
            </w:pPr>
          </w:p>
        </w:tc>
      </w:tr>
      <w:tr>
        <w:trPr>
          <w:trHeight w:val="206"/>
        </w:trPr>
        <w:tc>
          <w:tcPr>
            <w:tcW w:w="11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2008</w:t>
            </w:r>
          </w:p>
        </w:tc>
        <w:tc>
          <w:tcPr>
            <w:tcW w:w="760" w:type="dxa"/>
            <w:vAlign w:val="bottom"/>
          </w:tcPr>
          <w:p>
            <w:pPr>
              <w:jc w:val="right"/>
              <w:spacing w:after="0"/>
              <w:rPr>
                <w:sz w:val="20"/>
                <w:szCs w:val="20"/>
                <w:color w:val="auto"/>
              </w:rPr>
            </w:pPr>
            <w:r>
              <w:rPr>
                <w:rFonts w:ascii="Arial" w:cs="Arial" w:eastAsia="Arial" w:hAnsi="Arial"/>
                <w:sz w:val="17"/>
                <w:szCs w:val="17"/>
                <w:color w:val="auto"/>
              </w:rPr>
              <w:t>932,000</w:t>
            </w:r>
          </w:p>
        </w:tc>
        <w:tc>
          <w:tcPr>
            <w:tcW w:w="1640" w:type="dxa"/>
            <w:vAlign w:val="bottom"/>
            <w:gridSpan w:val="3"/>
          </w:tcPr>
          <w:p>
            <w:pPr>
              <w:jc w:val="right"/>
              <w:ind w:right="400"/>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8.96</w:t>
            </w:r>
          </w:p>
        </w:tc>
        <w:tc>
          <w:tcPr>
            <w:tcW w:w="1040" w:type="dxa"/>
            <w:vAlign w:val="bottom"/>
            <w:gridSpan w:val="3"/>
          </w:tcPr>
          <w:p>
            <w:pPr>
              <w:jc w:val="right"/>
              <w:ind w:right="180"/>
              <w:spacing w:after="0"/>
              <w:rPr>
                <w:sz w:val="20"/>
                <w:szCs w:val="20"/>
                <w:color w:val="auto"/>
              </w:rPr>
            </w:pPr>
            <w:r>
              <w:rPr>
                <w:rFonts w:ascii="Arial" w:cs="Arial" w:eastAsia="Arial" w:hAnsi="Arial"/>
                <w:sz w:val="17"/>
                <w:szCs w:val="17"/>
                <w:color w:val="auto"/>
              </w:rPr>
              <w:t>978,000</w:t>
            </w:r>
          </w:p>
        </w:tc>
        <w:tc>
          <w:tcPr>
            <w:tcW w:w="1320" w:type="dxa"/>
            <w:vAlign w:val="bottom"/>
            <w:gridSpan w:val="3"/>
          </w:tcPr>
          <w:p>
            <w:pPr>
              <w:jc w:val="right"/>
              <w:ind w:right="340"/>
              <w:spacing w:after="0"/>
              <w:rPr>
                <w:sz w:val="20"/>
                <w:szCs w:val="20"/>
                <w:color w:val="auto"/>
              </w:rPr>
            </w:pPr>
            <w:r>
              <w:rPr>
                <w:rFonts w:ascii="Arial" w:cs="Arial" w:eastAsia="Arial" w:hAnsi="Arial"/>
                <w:sz w:val="17"/>
                <w:szCs w:val="17"/>
                <w:color w:val="auto"/>
              </w:rPr>
              <w:t>14%</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22.85</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1,910,000</w:t>
            </w:r>
          </w:p>
        </w:tc>
        <w:tc>
          <w:tcPr>
            <w:tcW w:w="1340" w:type="dxa"/>
            <w:vAlign w:val="bottom"/>
            <w:gridSpan w:val="3"/>
          </w:tcPr>
          <w:p>
            <w:pPr>
              <w:jc w:val="right"/>
              <w:ind w:right="200"/>
              <w:spacing w:after="0"/>
              <w:rPr>
                <w:sz w:val="20"/>
                <w:szCs w:val="20"/>
                <w:color w:val="auto"/>
              </w:rPr>
            </w:pPr>
            <w:r>
              <w:rPr>
                <w:rFonts w:ascii="Arial" w:cs="Arial" w:eastAsia="Arial" w:hAnsi="Arial"/>
                <w:sz w:val="17"/>
                <w:szCs w:val="17"/>
                <w:color w:val="auto"/>
              </w:rPr>
              <w:t>11%</w:t>
            </w:r>
          </w:p>
        </w:tc>
        <w:tc>
          <w:tcPr>
            <w:tcW w:w="3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16.07</w:t>
            </w:r>
          </w:p>
        </w:tc>
        <w:tc>
          <w:tcPr>
            <w:tcW w:w="0" w:type="dxa"/>
            <w:vAlign w:val="bottom"/>
          </w:tcPr>
          <w:p>
            <w:pPr>
              <w:spacing w:after="0"/>
              <w:rPr>
                <w:sz w:val="1"/>
                <w:szCs w:val="1"/>
                <w:color w:val="auto"/>
              </w:rPr>
            </w:pPr>
          </w:p>
        </w:tc>
      </w:tr>
      <w:tr>
        <w:trPr>
          <w:trHeight w:val="206"/>
        </w:trPr>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b w:val="1"/>
                <w:bCs w:val="1"/>
                <w:color w:val="auto"/>
              </w:rPr>
              <w:t>2009</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1,233,000</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11.55</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1,037,000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2,270,000</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13%</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18.06</w:t>
            </w:r>
          </w:p>
        </w:tc>
        <w:tc>
          <w:tcPr>
            <w:tcW w:w="0" w:type="dxa"/>
            <w:vAlign w:val="bottom"/>
          </w:tcPr>
          <w:p>
            <w:pPr>
              <w:spacing w:after="0"/>
              <w:rPr>
                <w:sz w:val="1"/>
                <w:szCs w:val="1"/>
                <w:color w:val="auto"/>
              </w:rPr>
            </w:pPr>
          </w:p>
        </w:tc>
      </w:tr>
      <w:tr>
        <w:trPr>
          <w:trHeight w:val="206"/>
        </w:trPr>
        <w:tc>
          <w:tcPr>
            <w:tcW w:w="11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2010</w:t>
            </w:r>
          </w:p>
        </w:tc>
        <w:tc>
          <w:tcPr>
            <w:tcW w:w="760" w:type="dxa"/>
            <w:vAlign w:val="bottom"/>
          </w:tcPr>
          <w:p>
            <w:pPr>
              <w:jc w:val="right"/>
              <w:spacing w:after="0"/>
              <w:rPr>
                <w:sz w:val="20"/>
                <w:szCs w:val="20"/>
                <w:color w:val="auto"/>
              </w:rPr>
            </w:pPr>
            <w:r>
              <w:rPr>
                <w:rFonts w:ascii="Arial" w:cs="Arial" w:eastAsia="Arial" w:hAnsi="Arial"/>
                <w:sz w:val="17"/>
                <w:szCs w:val="17"/>
                <w:color w:val="auto"/>
              </w:rPr>
              <w:t>671,000</w:t>
            </w:r>
          </w:p>
        </w:tc>
        <w:tc>
          <w:tcPr>
            <w:tcW w:w="1640" w:type="dxa"/>
            <w:vAlign w:val="bottom"/>
            <w:gridSpan w:val="3"/>
          </w:tcPr>
          <w:p>
            <w:pPr>
              <w:jc w:val="right"/>
              <w:ind w:right="40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12.19</w:t>
            </w:r>
          </w:p>
        </w:tc>
        <w:tc>
          <w:tcPr>
            <w:tcW w:w="1040" w:type="dxa"/>
            <w:vAlign w:val="bottom"/>
            <w:gridSpan w:val="3"/>
          </w:tcPr>
          <w:p>
            <w:pPr>
              <w:jc w:val="right"/>
              <w:ind w:right="180"/>
              <w:spacing w:after="0"/>
              <w:rPr>
                <w:sz w:val="20"/>
                <w:szCs w:val="20"/>
                <w:color w:val="auto"/>
              </w:rPr>
            </w:pPr>
            <w:r>
              <w:rPr>
                <w:rFonts w:ascii="Arial" w:cs="Arial" w:eastAsia="Arial" w:hAnsi="Arial"/>
                <w:sz w:val="17"/>
                <w:szCs w:val="17"/>
                <w:color w:val="auto"/>
              </w:rPr>
              <w:t>915,000</w:t>
            </w:r>
          </w:p>
        </w:tc>
        <w:tc>
          <w:tcPr>
            <w:tcW w:w="1320" w:type="dxa"/>
            <w:vAlign w:val="bottom"/>
            <w:gridSpan w:val="3"/>
          </w:tcPr>
          <w:p>
            <w:pPr>
              <w:jc w:val="right"/>
              <w:ind w:right="340"/>
              <w:spacing w:after="0"/>
              <w:rPr>
                <w:sz w:val="20"/>
                <w:szCs w:val="20"/>
                <w:color w:val="auto"/>
              </w:rPr>
            </w:pPr>
            <w:r>
              <w:rPr>
                <w:rFonts w:ascii="Arial" w:cs="Arial" w:eastAsia="Arial" w:hAnsi="Arial"/>
                <w:sz w:val="17"/>
                <w:szCs w:val="17"/>
                <w:color w:val="auto"/>
              </w:rPr>
              <w:t>13%</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26.15</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1,586,000</w:t>
            </w:r>
          </w:p>
        </w:tc>
        <w:tc>
          <w:tcPr>
            <w:tcW w:w="1340" w:type="dxa"/>
            <w:vAlign w:val="bottom"/>
            <w:gridSpan w:val="3"/>
          </w:tcPr>
          <w:p>
            <w:pPr>
              <w:jc w:val="right"/>
              <w:ind w:right="200"/>
              <w:spacing w:after="0"/>
              <w:rPr>
                <w:sz w:val="20"/>
                <w:szCs w:val="20"/>
                <w:color w:val="auto"/>
              </w:rPr>
            </w:pPr>
            <w:r>
              <w:rPr>
                <w:rFonts w:ascii="Arial" w:cs="Arial" w:eastAsia="Arial" w:hAnsi="Arial"/>
                <w:sz w:val="17"/>
                <w:szCs w:val="17"/>
                <w:color w:val="auto"/>
              </w:rPr>
              <w:t>9%</w:t>
            </w:r>
          </w:p>
        </w:tc>
        <w:tc>
          <w:tcPr>
            <w:tcW w:w="3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06"/>
        </w:trPr>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b w:val="1"/>
                <w:bCs w:val="1"/>
                <w:color w:val="auto"/>
              </w:rPr>
              <w:t>2011</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693,000</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16.74</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1,068,000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1,761,000</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24.36</w:t>
            </w:r>
          </w:p>
        </w:tc>
        <w:tc>
          <w:tcPr>
            <w:tcW w:w="0" w:type="dxa"/>
            <w:vAlign w:val="bottom"/>
          </w:tcPr>
          <w:p>
            <w:pPr>
              <w:spacing w:after="0"/>
              <w:rPr>
                <w:sz w:val="1"/>
                <w:szCs w:val="1"/>
                <w:color w:val="auto"/>
              </w:rPr>
            </w:pPr>
          </w:p>
        </w:tc>
      </w:tr>
      <w:tr>
        <w:trPr>
          <w:trHeight w:val="206"/>
        </w:trPr>
        <w:tc>
          <w:tcPr>
            <w:tcW w:w="11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2012</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1,058,000</w:t>
            </w:r>
          </w:p>
        </w:tc>
        <w:tc>
          <w:tcPr>
            <w:tcW w:w="1640" w:type="dxa"/>
            <w:vAlign w:val="bottom"/>
            <w:gridSpan w:val="3"/>
          </w:tcPr>
          <w:p>
            <w:pPr>
              <w:jc w:val="right"/>
              <w:ind w:right="400"/>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9.71</w:t>
            </w:r>
          </w:p>
        </w:tc>
        <w:tc>
          <w:tcPr>
            <w:tcW w:w="1040" w:type="dxa"/>
            <w:vAlign w:val="bottom"/>
            <w:gridSpan w:val="3"/>
          </w:tcPr>
          <w:p>
            <w:pPr>
              <w:jc w:val="right"/>
              <w:ind w:right="180"/>
              <w:spacing w:after="0"/>
              <w:rPr>
                <w:sz w:val="20"/>
                <w:szCs w:val="20"/>
                <w:color w:val="auto"/>
              </w:rPr>
            </w:pPr>
            <w:r>
              <w:rPr>
                <w:rFonts w:ascii="Arial" w:cs="Arial" w:eastAsia="Arial" w:hAnsi="Arial"/>
                <w:sz w:val="17"/>
                <w:szCs w:val="17"/>
                <w:color w:val="auto"/>
              </w:rPr>
              <w:t>676,000</w:t>
            </w:r>
          </w:p>
        </w:tc>
        <w:tc>
          <w:tcPr>
            <w:tcW w:w="1320" w:type="dxa"/>
            <w:vAlign w:val="bottom"/>
            <w:gridSpan w:val="3"/>
          </w:tcPr>
          <w:p>
            <w:pPr>
              <w:jc w:val="right"/>
              <w:ind w:right="340"/>
              <w:spacing w:after="0"/>
              <w:rPr>
                <w:sz w:val="20"/>
                <w:szCs w:val="20"/>
                <w:color w:val="auto"/>
              </w:rPr>
            </w:pPr>
            <w:r>
              <w:rPr>
                <w:rFonts w:ascii="Arial" w:cs="Arial" w:eastAsia="Arial" w:hAnsi="Arial"/>
                <w:sz w:val="17"/>
                <w:szCs w:val="17"/>
                <w:color w:val="auto"/>
              </w:rPr>
              <w:t>9%</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29.13</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1,734,000</w:t>
            </w:r>
          </w:p>
        </w:tc>
        <w:tc>
          <w:tcPr>
            <w:tcW w:w="1340" w:type="dxa"/>
            <w:vAlign w:val="bottom"/>
            <w:gridSpan w:val="3"/>
          </w:tcPr>
          <w:p>
            <w:pPr>
              <w:jc w:val="right"/>
              <w:ind w:right="200"/>
              <w:spacing w:after="0"/>
              <w:rPr>
                <w:sz w:val="20"/>
                <w:szCs w:val="20"/>
                <w:color w:val="auto"/>
              </w:rPr>
            </w:pPr>
            <w:r>
              <w:rPr>
                <w:rFonts w:ascii="Arial" w:cs="Arial" w:eastAsia="Arial" w:hAnsi="Arial"/>
                <w:sz w:val="17"/>
                <w:szCs w:val="17"/>
                <w:color w:val="auto"/>
              </w:rPr>
              <w:t>10%</w:t>
            </w:r>
          </w:p>
        </w:tc>
        <w:tc>
          <w:tcPr>
            <w:tcW w:w="3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17.28</w:t>
            </w:r>
          </w:p>
        </w:tc>
        <w:tc>
          <w:tcPr>
            <w:tcW w:w="0" w:type="dxa"/>
            <w:vAlign w:val="bottom"/>
          </w:tcPr>
          <w:p>
            <w:pPr>
              <w:spacing w:after="0"/>
              <w:rPr>
                <w:sz w:val="1"/>
                <w:szCs w:val="1"/>
                <w:color w:val="auto"/>
              </w:rPr>
            </w:pPr>
          </w:p>
        </w:tc>
      </w:tr>
      <w:tr>
        <w:trPr>
          <w:trHeight w:val="206"/>
        </w:trPr>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b w:val="1"/>
                <w:bCs w:val="1"/>
                <w:color w:val="auto"/>
              </w:rPr>
              <w:t>2013</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675,000</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13.65</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320,000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995,000</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w:t>
            </w:r>
          </w:p>
        </w:tc>
        <w:tc>
          <w:tcPr>
            <w:tcW w:w="0" w:type="dxa"/>
            <w:vAlign w:val="bottom"/>
          </w:tcPr>
          <w:p>
            <w:pPr>
              <w:spacing w:after="0"/>
              <w:rPr>
                <w:sz w:val="1"/>
                <w:szCs w:val="1"/>
                <w:color w:val="auto"/>
              </w:rPr>
            </w:pPr>
          </w:p>
        </w:tc>
      </w:tr>
      <w:tr>
        <w:trPr>
          <w:trHeight w:val="206"/>
        </w:trPr>
        <w:tc>
          <w:tcPr>
            <w:tcW w:w="11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2014</w:t>
            </w:r>
          </w:p>
        </w:tc>
        <w:tc>
          <w:tcPr>
            <w:tcW w:w="760" w:type="dxa"/>
            <w:vAlign w:val="bottom"/>
          </w:tcPr>
          <w:p>
            <w:pPr>
              <w:jc w:val="right"/>
              <w:spacing w:after="0"/>
              <w:rPr>
                <w:sz w:val="20"/>
                <w:szCs w:val="20"/>
                <w:color w:val="auto"/>
              </w:rPr>
            </w:pPr>
            <w:r>
              <w:rPr>
                <w:rFonts w:ascii="Arial" w:cs="Arial" w:eastAsia="Arial" w:hAnsi="Arial"/>
                <w:sz w:val="17"/>
                <w:szCs w:val="17"/>
                <w:color w:val="auto"/>
              </w:rPr>
              <w:t>832,000</w:t>
            </w:r>
          </w:p>
        </w:tc>
        <w:tc>
          <w:tcPr>
            <w:tcW w:w="1640" w:type="dxa"/>
            <w:vAlign w:val="bottom"/>
            <w:gridSpan w:val="3"/>
          </w:tcPr>
          <w:p>
            <w:pPr>
              <w:jc w:val="right"/>
              <w:ind w:right="400"/>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17.52</w:t>
            </w:r>
          </w:p>
        </w:tc>
        <w:tc>
          <w:tcPr>
            <w:tcW w:w="1040" w:type="dxa"/>
            <w:vAlign w:val="bottom"/>
            <w:gridSpan w:val="3"/>
          </w:tcPr>
          <w:p>
            <w:pPr>
              <w:jc w:val="right"/>
              <w:ind w:right="180"/>
              <w:spacing w:after="0"/>
              <w:rPr>
                <w:sz w:val="20"/>
                <w:szCs w:val="20"/>
                <w:color w:val="auto"/>
              </w:rPr>
            </w:pPr>
            <w:r>
              <w:rPr>
                <w:rFonts w:ascii="Arial" w:cs="Arial" w:eastAsia="Arial" w:hAnsi="Arial"/>
                <w:sz w:val="17"/>
                <w:szCs w:val="17"/>
                <w:color w:val="auto"/>
              </w:rPr>
              <w:t>280,000</w:t>
            </w:r>
          </w:p>
        </w:tc>
        <w:tc>
          <w:tcPr>
            <w:tcW w:w="1320" w:type="dxa"/>
            <w:vAlign w:val="bottom"/>
            <w:gridSpan w:val="3"/>
          </w:tcPr>
          <w:p>
            <w:pPr>
              <w:jc w:val="right"/>
              <w:ind w:right="340"/>
              <w:spacing w:after="0"/>
              <w:rPr>
                <w:sz w:val="20"/>
                <w:szCs w:val="20"/>
                <w:color w:val="auto"/>
              </w:rPr>
            </w:pPr>
            <w:r>
              <w:rPr>
                <w:rFonts w:ascii="Arial" w:cs="Arial" w:eastAsia="Arial" w:hAnsi="Arial"/>
                <w:sz w:val="17"/>
                <w:szCs w:val="17"/>
                <w:color w:val="auto"/>
              </w:rPr>
              <w:t>4%</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36.85</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1,112,000</w:t>
            </w:r>
          </w:p>
        </w:tc>
        <w:tc>
          <w:tcPr>
            <w:tcW w:w="1340" w:type="dxa"/>
            <w:vAlign w:val="bottom"/>
            <w:gridSpan w:val="3"/>
          </w:tcPr>
          <w:p>
            <w:pPr>
              <w:jc w:val="right"/>
              <w:ind w:right="200"/>
              <w:spacing w:after="0"/>
              <w:rPr>
                <w:sz w:val="20"/>
                <w:szCs w:val="20"/>
                <w:color w:val="auto"/>
              </w:rPr>
            </w:pPr>
            <w:r>
              <w:rPr>
                <w:rFonts w:ascii="Arial" w:cs="Arial" w:eastAsia="Arial" w:hAnsi="Arial"/>
                <w:sz w:val="17"/>
                <w:szCs w:val="17"/>
                <w:color w:val="auto"/>
              </w:rPr>
              <w:t>6%</w:t>
            </w:r>
          </w:p>
        </w:tc>
        <w:tc>
          <w:tcPr>
            <w:tcW w:w="3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22.39</w:t>
            </w:r>
          </w:p>
        </w:tc>
        <w:tc>
          <w:tcPr>
            <w:tcW w:w="0" w:type="dxa"/>
            <w:vAlign w:val="bottom"/>
          </w:tcPr>
          <w:p>
            <w:pPr>
              <w:spacing w:after="0"/>
              <w:rPr>
                <w:sz w:val="1"/>
                <w:szCs w:val="1"/>
                <w:color w:val="auto"/>
              </w:rPr>
            </w:pPr>
          </w:p>
        </w:tc>
      </w:tr>
      <w:tr>
        <w:trPr>
          <w:trHeight w:val="206"/>
        </w:trPr>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b w:val="1"/>
                <w:bCs w:val="1"/>
                <w:color w:val="auto"/>
              </w:rPr>
              <w:t>2015</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509,000</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14.11</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331,000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840,000</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19.48</w:t>
            </w:r>
          </w:p>
        </w:tc>
        <w:tc>
          <w:tcPr>
            <w:tcW w:w="0" w:type="dxa"/>
            <w:vAlign w:val="bottom"/>
          </w:tcPr>
          <w:p>
            <w:pPr>
              <w:spacing w:after="0"/>
              <w:rPr>
                <w:sz w:val="1"/>
                <w:szCs w:val="1"/>
                <w:color w:val="auto"/>
              </w:rPr>
            </w:pPr>
          </w:p>
        </w:tc>
      </w:tr>
      <w:tr>
        <w:trPr>
          <w:trHeight w:val="206"/>
        </w:trPr>
        <w:tc>
          <w:tcPr>
            <w:tcW w:w="11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2016</w:t>
            </w:r>
          </w:p>
        </w:tc>
        <w:tc>
          <w:tcPr>
            <w:tcW w:w="760" w:type="dxa"/>
            <w:vAlign w:val="bottom"/>
          </w:tcPr>
          <w:p>
            <w:pPr>
              <w:jc w:val="right"/>
              <w:spacing w:after="0"/>
              <w:rPr>
                <w:sz w:val="20"/>
                <w:szCs w:val="20"/>
                <w:color w:val="auto"/>
              </w:rPr>
            </w:pPr>
            <w:r>
              <w:rPr>
                <w:rFonts w:ascii="Arial" w:cs="Arial" w:eastAsia="Arial" w:hAnsi="Arial"/>
                <w:sz w:val="17"/>
                <w:szCs w:val="17"/>
                <w:color w:val="auto"/>
              </w:rPr>
              <w:t>493,000</w:t>
            </w:r>
          </w:p>
        </w:tc>
        <w:tc>
          <w:tcPr>
            <w:tcW w:w="1640" w:type="dxa"/>
            <w:vAlign w:val="bottom"/>
            <w:gridSpan w:val="3"/>
          </w:tcPr>
          <w:p>
            <w:pPr>
              <w:jc w:val="right"/>
              <w:ind w:right="400"/>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16.33</w:t>
            </w:r>
          </w:p>
        </w:tc>
        <w:tc>
          <w:tcPr>
            <w:tcW w:w="1040" w:type="dxa"/>
            <w:vAlign w:val="bottom"/>
            <w:gridSpan w:val="3"/>
          </w:tcPr>
          <w:p>
            <w:pPr>
              <w:jc w:val="right"/>
              <w:ind w:right="180"/>
              <w:spacing w:after="0"/>
              <w:rPr>
                <w:sz w:val="20"/>
                <w:szCs w:val="20"/>
                <w:color w:val="auto"/>
              </w:rPr>
            </w:pPr>
            <w:r>
              <w:rPr>
                <w:rFonts w:ascii="Arial" w:cs="Arial" w:eastAsia="Arial" w:hAnsi="Arial"/>
                <w:sz w:val="17"/>
                <w:szCs w:val="17"/>
                <w:color w:val="auto"/>
              </w:rPr>
              <w:t>429,000</w:t>
            </w:r>
          </w:p>
        </w:tc>
        <w:tc>
          <w:tcPr>
            <w:tcW w:w="1320" w:type="dxa"/>
            <w:vAlign w:val="bottom"/>
            <w:gridSpan w:val="3"/>
          </w:tcPr>
          <w:p>
            <w:pPr>
              <w:jc w:val="right"/>
              <w:ind w:right="340"/>
              <w:spacing w:after="0"/>
              <w:rPr>
                <w:sz w:val="20"/>
                <w:szCs w:val="20"/>
                <w:color w:val="auto"/>
              </w:rPr>
            </w:pPr>
            <w:r>
              <w:rPr>
                <w:rFonts w:ascii="Arial" w:cs="Arial" w:eastAsia="Arial" w:hAnsi="Arial"/>
                <w:sz w:val="17"/>
                <w:szCs w:val="17"/>
                <w:color w:val="auto"/>
              </w:rPr>
              <w:t>6%</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26.96</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922,000</w:t>
            </w:r>
          </w:p>
        </w:tc>
        <w:tc>
          <w:tcPr>
            <w:tcW w:w="1340" w:type="dxa"/>
            <w:vAlign w:val="bottom"/>
            <w:gridSpan w:val="3"/>
          </w:tcPr>
          <w:p>
            <w:pPr>
              <w:jc w:val="right"/>
              <w:ind w:right="200"/>
              <w:spacing w:after="0"/>
              <w:rPr>
                <w:sz w:val="20"/>
                <w:szCs w:val="20"/>
                <w:color w:val="auto"/>
              </w:rPr>
            </w:pPr>
            <w:r>
              <w:rPr>
                <w:rFonts w:ascii="Arial" w:cs="Arial" w:eastAsia="Arial" w:hAnsi="Arial"/>
                <w:sz w:val="17"/>
                <w:szCs w:val="17"/>
                <w:color w:val="auto"/>
              </w:rPr>
              <w:t>5%</w:t>
            </w:r>
          </w:p>
        </w:tc>
        <w:tc>
          <w:tcPr>
            <w:tcW w:w="3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21.28</w:t>
            </w:r>
          </w:p>
        </w:tc>
        <w:tc>
          <w:tcPr>
            <w:tcW w:w="0" w:type="dxa"/>
            <w:vAlign w:val="bottom"/>
          </w:tcPr>
          <w:p>
            <w:pPr>
              <w:spacing w:after="0"/>
              <w:rPr>
                <w:sz w:val="1"/>
                <w:szCs w:val="1"/>
                <w:color w:val="auto"/>
              </w:rPr>
            </w:pPr>
          </w:p>
        </w:tc>
      </w:tr>
      <w:tr>
        <w:trPr>
          <w:trHeight w:val="206"/>
        </w:trPr>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b w:val="1"/>
                <w:bCs w:val="1"/>
                <w:color w:val="auto"/>
                <w:w w:val="91"/>
              </w:rPr>
              <w:t>Thereafter</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3,158,000</w:t>
            </w:r>
          </w:p>
        </w:tc>
        <w:tc>
          <w:tcPr>
            <w:tcW w:w="3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29%</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15.00</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360,000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3,518,000</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w:t>
            </w: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jc w:val="right"/>
              <w:ind w:right="400"/>
              <w:spacing w:after="0"/>
              <w:rPr>
                <w:sz w:val="20"/>
                <w:szCs w:val="20"/>
                <w:color w:val="auto"/>
              </w:rPr>
            </w:pPr>
            <w:r>
              <w:rPr>
                <w:rFonts w:ascii="Arial" w:cs="Arial" w:eastAsia="Arial" w:hAnsi="Arial"/>
                <w:sz w:val="17"/>
                <w:szCs w:val="17"/>
                <w:b w:val="1"/>
                <w:bCs w:val="1"/>
                <w:color w:val="auto"/>
              </w:rPr>
              <w:t>Total (3)</w:t>
            </w: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8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6"/>
              </w:rPr>
              <w:t>10,705,000</w:t>
            </w:r>
          </w:p>
        </w:tc>
        <w:tc>
          <w:tcPr>
            <w:tcW w:w="3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7"/>
                <w:szCs w:val="17"/>
                <w:color w:val="auto"/>
              </w:rPr>
              <w:t>100%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13.44</w:t>
            </w:r>
          </w:p>
        </w:tc>
        <w:tc>
          <w:tcPr>
            <w:tcW w:w="1040" w:type="dxa"/>
            <w:vAlign w:val="bottom"/>
            <w:gridSpan w:val="3"/>
          </w:tcPr>
          <w:p>
            <w:pPr>
              <w:jc w:val="right"/>
              <w:ind w:right="180"/>
              <w:spacing w:after="0"/>
              <w:rPr>
                <w:sz w:val="20"/>
                <w:szCs w:val="20"/>
                <w:color w:val="auto"/>
              </w:rPr>
            </w:pPr>
            <w:r>
              <w:rPr>
                <w:rFonts w:ascii="Arial" w:cs="Arial" w:eastAsia="Arial" w:hAnsi="Arial"/>
                <w:sz w:val="17"/>
                <w:szCs w:val="17"/>
                <w:color w:val="auto"/>
              </w:rPr>
              <w:t>7,162,000</w:t>
            </w:r>
          </w:p>
        </w:tc>
        <w:tc>
          <w:tcPr>
            <w:tcW w:w="1320" w:type="dxa"/>
            <w:vAlign w:val="bottom"/>
            <w:gridSpan w:val="3"/>
          </w:tcPr>
          <w:p>
            <w:pPr>
              <w:jc w:val="right"/>
              <w:ind w:right="340"/>
              <w:spacing w:after="0"/>
              <w:rPr>
                <w:sz w:val="20"/>
                <w:szCs w:val="20"/>
                <w:color w:val="auto"/>
              </w:rPr>
            </w:pPr>
            <w:r>
              <w:rPr>
                <w:rFonts w:ascii="Arial" w:cs="Arial" w:eastAsia="Arial" w:hAnsi="Arial"/>
                <w:sz w:val="17"/>
                <w:szCs w:val="17"/>
                <w:color w:val="auto"/>
              </w:rPr>
              <w:t>100%</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27.22</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17,867,000</w:t>
            </w:r>
          </w:p>
        </w:tc>
        <w:tc>
          <w:tcPr>
            <w:tcW w:w="1340" w:type="dxa"/>
            <w:vAlign w:val="bottom"/>
            <w:gridSpan w:val="3"/>
          </w:tcPr>
          <w:p>
            <w:pPr>
              <w:jc w:val="right"/>
              <w:ind w:right="200"/>
              <w:spacing w:after="0"/>
              <w:rPr>
                <w:sz w:val="20"/>
                <w:szCs w:val="20"/>
                <w:color w:val="auto"/>
              </w:rPr>
            </w:pPr>
            <w:r>
              <w:rPr>
                <w:rFonts w:ascii="Arial" w:cs="Arial" w:eastAsia="Arial" w:hAnsi="Arial"/>
                <w:sz w:val="17"/>
                <w:szCs w:val="17"/>
                <w:color w:val="auto"/>
              </w:rPr>
              <w:t>100%</w:t>
            </w:r>
          </w:p>
        </w:tc>
        <w:tc>
          <w:tcPr>
            <w:tcW w:w="3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18.97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Assumes lease options are exercised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rPr>
              <w:t>Anchor Tenants (1)</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94"/>
              </w:rPr>
              <w:t>Small Shop Tenants</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500" w:type="dxa"/>
            <w:vAlign w:val="bottom"/>
            <w:gridSpan w:val="2"/>
            <w:vMerge w:val="restart"/>
          </w:tcPr>
          <w:p>
            <w:pPr>
              <w:jc w:val="right"/>
              <w:ind w:right="620"/>
              <w:spacing w:after="0"/>
              <w:rPr>
                <w:sz w:val="20"/>
                <w:szCs w:val="20"/>
                <w:color w:val="auto"/>
              </w:rPr>
            </w:pPr>
            <w:r>
              <w:rPr>
                <w:rFonts w:ascii="Arial" w:cs="Arial" w:eastAsia="Arial" w:hAnsi="Arial"/>
                <w:sz w:val="13"/>
                <w:szCs w:val="13"/>
                <w:b w:val="1"/>
                <w:bCs w:val="1"/>
                <w:color w:val="auto"/>
              </w:rPr>
              <w:t>Year</w:t>
            </w:r>
          </w:p>
        </w:tc>
        <w:tc>
          <w:tcPr>
            <w:tcW w:w="320" w:type="dxa"/>
            <w:vAlign w:val="bottom"/>
            <w:vMerge w:val="restart"/>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gridSpan w:val="2"/>
          </w:tcPr>
          <w:p>
            <w:pPr>
              <w:jc w:val="center"/>
              <w:ind w:right="440"/>
              <w:spacing w:after="0" w:line="121" w:lineRule="exact"/>
              <w:rPr>
                <w:sz w:val="20"/>
                <w:szCs w:val="20"/>
                <w:color w:val="auto"/>
              </w:rPr>
            </w:pPr>
            <w:r>
              <w:rPr>
                <w:rFonts w:ascii="Arial" w:cs="Arial" w:eastAsia="Arial" w:hAnsi="Arial"/>
                <w:sz w:val="13"/>
                <w:szCs w:val="13"/>
                <w:b w:val="1"/>
                <w:bCs w:val="1"/>
                <w:color w:val="auto"/>
                <w:w w:val="93"/>
              </w:rPr>
              <w:t>% of Anchor</w:t>
            </w:r>
          </w:p>
        </w:tc>
        <w:tc>
          <w:tcPr>
            <w:tcW w:w="86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w w:val="93"/>
              </w:rPr>
              <w:t>Minimum Rent</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440"/>
              <w:spacing w:after="0" w:line="121" w:lineRule="exact"/>
              <w:rPr>
                <w:sz w:val="20"/>
                <w:szCs w:val="20"/>
                <w:color w:val="auto"/>
              </w:rPr>
            </w:pPr>
            <w:r>
              <w:rPr>
                <w:rFonts w:ascii="Arial" w:cs="Arial" w:eastAsia="Arial" w:hAnsi="Arial"/>
                <w:sz w:val="13"/>
                <w:szCs w:val="13"/>
                <w:b w:val="1"/>
                <w:bCs w:val="1"/>
                <w:color w:val="auto"/>
                <w:w w:val="94"/>
              </w:rPr>
              <w:t>% of Small</w:t>
            </w:r>
          </w:p>
        </w:tc>
        <w:tc>
          <w:tcPr>
            <w:tcW w:w="86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w w:val="93"/>
              </w:rPr>
              <w:t>Minimum Rent</w:t>
            </w: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gridSpan w:val="2"/>
          </w:tcPr>
          <w:p>
            <w:pPr>
              <w:jc w:val="right"/>
              <w:ind w:right="300"/>
              <w:spacing w:after="0" w:line="121" w:lineRule="exact"/>
              <w:rPr>
                <w:sz w:val="20"/>
                <w:szCs w:val="20"/>
                <w:color w:val="auto"/>
              </w:rPr>
            </w:pPr>
            <w:r>
              <w:rPr>
                <w:rFonts w:ascii="Arial" w:cs="Arial" w:eastAsia="Arial" w:hAnsi="Arial"/>
                <w:sz w:val="13"/>
                <w:szCs w:val="13"/>
                <w:b w:val="1"/>
                <w:bCs w:val="1"/>
                <w:color w:val="auto"/>
                <w:w w:val="90"/>
              </w:rPr>
              <w:t>% of Total</w:t>
            </w:r>
          </w:p>
        </w:tc>
        <w:tc>
          <w:tcPr>
            <w:tcW w:w="160" w:type="dxa"/>
            <w:vAlign w:val="bottom"/>
          </w:tcPr>
          <w:p>
            <w:pPr>
              <w:spacing w:after="0"/>
              <w:rPr>
                <w:sz w:val="10"/>
                <w:szCs w:val="10"/>
                <w:color w:val="auto"/>
              </w:rPr>
            </w:pPr>
          </w:p>
        </w:tc>
        <w:tc>
          <w:tcPr>
            <w:tcW w:w="84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w w:val="91"/>
              </w:rPr>
              <w:t>Minimum Rent</w:t>
            </w:r>
          </w:p>
        </w:tc>
        <w:tc>
          <w:tcPr>
            <w:tcW w:w="0" w:type="dxa"/>
            <w:vAlign w:val="bottom"/>
          </w:tcPr>
          <w:p>
            <w:pPr>
              <w:spacing w:after="0"/>
              <w:rPr>
                <w:sz w:val="1"/>
                <w:szCs w:val="1"/>
                <w:color w:val="auto"/>
              </w:rPr>
            </w:pPr>
          </w:p>
        </w:tc>
      </w:tr>
      <w:tr>
        <w:trPr>
          <w:trHeight w:val="147"/>
        </w:trPr>
        <w:tc>
          <w:tcPr>
            <w:tcW w:w="1500" w:type="dxa"/>
            <w:vAlign w:val="bottom"/>
            <w:tcBorders>
              <w:bottom w:val="single" w:sz="8" w:color="auto"/>
            </w:tcBorders>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7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w w:val="96"/>
              </w:rPr>
              <w:t>Expiring SF</w:t>
            </w:r>
          </w:p>
        </w:tc>
        <w:tc>
          <w:tcPr>
            <w:tcW w:w="32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96"/>
              </w:rPr>
              <w:t>SF</w:t>
            </w:r>
          </w:p>
        </w:tc>
        <w:tc>
          <w:tcPr>
            <w:tcW w:w="4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8"/>
              <w:spacing w:after="0" w:line="141" w:lineRule="exact"/>
              <w:rPr>
                <w:sz w:val="20"/>
                <w:szCs w:val="20"/>
                <w:color w:val="auto"/>
              </w:rPr>
            </w:pPr>
            <w:r>
              <w:rPr>
                <w:rFonts w:ascii="Arial" w:cs="Arial" w:eastAsia="Arial" w:hAnsi="Arial"/>
                <w:sz w:val="13"/>
                <w:szCs w:val="13"/>
                <w:b w:val="1"/>
                <w:bCs w:val="1"/>
                <w:color w:val="auto"/>
              </w:rPr>
              <w:t>PSF (2)</w:t>
            </w:r>
          </w:p>
        </w:tc>
        <w:tc>
          <w:tcPr>
            <w:tcW w:w="320" w:type="dxa"/>
            <w:vAlign w:val="bottom"/>
          </w:tcPr>
          <w:p>
            <w:pPr>
              <w:spacing w:after="0"/>
              <w:rPr>
                <w:sz w:val="12"/>
                <w:szCs w:val="12"/>
                <w:color w:val="auto"/>
              </w:rPr>
            </w:pPr>
          </w:p>
        </w:tc>
        <w:tc>
          <w:tcPr>
            <w:tcW w:w="66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b w:val="1"/>
                <w:bCs w:val="1"/>
                <w:color w:val="auto"/>
                <w:w w:val="88"/>
              </w:rPr>
              <w:t>Expiring SF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87"/>
              </w:rPr>
              <w:t>Shop SF</w:t>
            </w:r>
          </w:p>
        </w:tc>
        <w:tc>
          <w:tcPr>
            <w:tcW w:w="4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8"/>
              <w:spacing w:after="0" w:line="141" w:lineRule="exact"/>
              <w:rPr>
                <w:sz w:val="20"/>
                <w:szCs w:val="20"/>
                <w:color w:val="auto"/>
              </w:rPr>
            </w:pPr>
            <w:r>
              <w:rPr>
                <w:rFonts w:ascii="Arial" w:cs="Arial" w:eastAsia="Arial" w:hAnsi="Arial"/>
                <w:sz w:val="13"/>
                <w:szCs w:val="13"/>
                <w:b w:val="1"/>
                <w:bCs w:val="1"/>
                <w:color w:val="auto"/>
              </w:rPr>
              <w:t>PSF (2)</w:t>
            </w:r>
          </w:p>
        </w:tc>
        <w:tc>
          <w:tcPr>
            <w:tcW w:w="3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w w:val="96"/>
              </w:rPr>
              <w:t>Expiring SF</w:t>
            </w:r>
          </w:p>
        </w:tc>
        <w:tc>
          <w:tcPr>
            <w:tcW w:w="320" w:type="dxa"/>
            <w:vAlign w:val="bottom"/>
          </w:tcPr>
          <w:p>
            <w:pPr>
              <w:spacing w:after="0"/>
              <w:rPr>
                <w:sz w:val="12"/>
                <w:szCs w:val="12"/>
                <w:color w:val="auto"/>
              </w:rPr>
            </w:pPr>
          </w:p>
        </w:tc>
        <w:tc>
          <w:tcPr>
            <w:tcW w:w="580" w:type="dxa"/>
            <w:vAlign w:val="bottom"/>
            <w:tcBorders>
              <w:bottom w:val="single" w:sz="8" w:color="auto"/>
            </w:tcBorders>
          </w:tcPr>
          <w:p>
            <w:pPr>
              <w:jc w:val="right"/>
              <w:ind w:right="156"/>
              <w:spacing w:after="0" w:line="141" w:lineRule="exact"/>
              <w:rPr>
                <w:sz w:val="20"/>
                <w:szCs w:val="20"/>
                <w:color w:val="auto"/>
              </w:rPr>
            </w:pPr>
            <w:r>
              <w:rPr>
                <w:rFonts w:ascii="Arial" w:cs="Arial" w:eastAsia="Arial" w:hAnsi="Arial"/>
                <w:sz w:val="13"/>
                <w:szCs w:val="13"/>
                <w:b w:val="1"/>
                <w:bCs w:val="1"/>
                <w:color w:val="auto"/>
              </w:rPr>
              <w:t>SF</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8"/>
              <w:spacing w:after="0" w:line="141" w:lineRule="exact"/>
              <w:rPr>
                <w:sz w:val="20"/>
                <w:szCs w:val="20"/>
                <w:color w:val="auto"/>
              </w:rPr>
            </w:pPr>
            <w:r>
              <w:rPr>
                <w:rFonts w:ascii="Arial" w:cs="Arial" w:eastAsia="Arial" w:hAnsi="Arial"/>
                <w:sz w:val="13"/>
                <w:szCs w:val="13"/>
                <w:b w:val="1"/>
                <w:bCs w:val="1"/>
                <w:color w:val="auto"/>
              </w:rPr>
              <w:t>PSF (2)</w:t>
            </w:r>
          </w:p>
        </w:tc>
        <w:tc>
          <w:tcPr>
            <w:tcW w:w="0" w:type="dxa"/>
            <w:vAlign w:val="bottom"/>
          </w:tcPr>
          <w:p>
            <w:pPr>
              <w:spacing w:after="0"/>
              <w:rPr>
                <w:sz w:val="1"/>
                <w:szCs w:val="1"/>
                <w:color w:val="auto"/>
              </w:rPr>
            </w:pPr>
          </w:p>
        </w:tc>
      </w:tr>
      <w:tr>
        <w:trPr>
          <w:trHeight w:val="206"/>
        </w:trPr>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2007</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147,000</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6.48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527,000</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23.79</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675,000</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19.99</w:t>
            </w:r>
          </w:p>
        </w:tc>
        <w:tc>
          <w:tcPr>
            <w:tcW w:w="0" w:type="dxa"/>
            <w:vAlign w:val="bottom"/>
          </w:tcPr>
          <w:p>
            <w:pPr>
              <w:spacing w:after="0"/>
              <w:rPr>
                <w:sz w:val="1"/>
                <w:szCs w:val="1"/>
                <w:color w:val="auto"/>
              </w:rPr>
            </w:pPr>
          </w:p>
        </w:tc>
      </w:tr>
      <w:tr>
        <w:trPr>
          <w:trHeight w:val="206"/>
        </w:trPr>
        <w:tc>
          <w:tcPr>
            <w:tcW w:w="1500" w:type="dxa"/>
            <w:vAlign w:val="bottom"/>
            <w:gridSpan w:val="2"/>
          </w:tcPr>
          <w:p>
            <w:pPr>
              <w:jc w:val="right"/>
              <w:spacing w:after="0"/>
              <w:rPr>
                <w:sz w:val="20"/>
                <w:szCs w:val="20"/>
                <w:color w:val="auto"/>
              </w:rPr>
            </w:pPr>
            <w:r>
              <w:rPr>
                <w:rFonts w:ascii="Arial" w:cs="Arial" w:eastAsia="Arial" w:hAnsi="Arial"/>
                <w:sz w:val="17"/>
                <w:szCs w:val="17"/>
                <w:b w:val="1"/>
                <w:bCs w:val="1"/>
                <w:color w:val="auto"/>
              </w:rPr>
              <w:t>2008</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368,000</w:t>
            </w:r>
          </w:p>
        </w:tc>
        <w:tc>
          <w:tcPr>
            <w:tcW w:w="1480" w:type="dxa"/>
            <w:vAlign w:val="bottom"/>
            <w:gridSpan w:val="3"/>
          </w:tcPr>
          <w:p>
            <w:pPr>
              <w:jc w:val="right"/>
              <w:ind w:right="30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6.52</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609,000</w:t>
            </w:r>
          </w:p>
        </w:tc>
        <w:tc>
          <w:tcPr>
            <w:tcW w:w="1260" w:type="dxa"/>
            <w:vAlign w:val="bottom"/>
            <w:gridSpan w:val="3"/>
          </w:tcPr>
          <w:p>
            <w:pPr>
              <w:jc w:val="right"/>
              <w:ind w:right="30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23.02</w:t>
            </w:r>
          </w:p>
        </w:tc>
        <w:tc>
          <w:tcPr>
            <w:tcW w:w="760" w:type="dxa"/>
            <w:vAlign w:val="bottom"/>
          </w:tcPr>
          <w:p>
            <w:pPr>
              <w:jc w:val="right"/>
              <w:spacing w:after="0"/>
              <w:rPr>
                <w:sz w:val="20"/>
                <w:szCs w:val="20"/>
                <w:color w:val="auto"/>
              </w:rPr>
            </w:pPr>
            <w:r>
              <w:rPr>
                <w:rFonts w:ascii="Arial" w:cs="Arial" w:eastAsia="Arial" w:hAnsi="Arial"/>
                <w:sz w:val="17"/>
                <w:szCs w:val="17"/>
                <w:color w:val="auto"/>
              </w:rPr>
              <w:t>977,000</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5%</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16.81</w:t>
            </w:r>
          </w:p>
        </w:tc>
        <w:tc>
          <w:tcPr>
            <w:tcW w:w="0" w:type="dxa"/>
            <w:vAlign w:val="bottom"/>
          </w:tcPr>
          <w:p>
            <w:pPr>
              <w:spacing w:after="0"/>
              <w:rPr>
                <w:sz w:val="1"/>
                <w:szCs w:val="1"/>
                <w:color w:val="auto"/>
              </w:rPr>
            </w:pPr>
          </w:p>
        </w:tc>
      </w:tr>
      <w:tr>
        <w:trPr>
          <w:trHeight w:val="206"/>
        </w:trPr>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2009</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258,000</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11.26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571,000</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26.96</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829,000</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22.08</w:t>
            </w:r>
          </w:p>
        </w:tc>
        <w:tc>
          <w:tcPr>
            <w:tcW w:w="0" w:type="dxa"/>
            <w:vAlign w:val="bottom"/>
          </w:tcPr>
          <w:p>
            <w:pPr>
              <w:spacing w:after="0"/>
              <w:rPr>
                <w:sz w:val="1"/>
                <w:szCs w:val="1"/>
                <w:color w:val="auto"/>
              </w:rPr>
            </w:pPr>
          </w:p>
        </w:tc>
      </w:tr>
      <w:tr>
        <w:trPr>
          <w:trHeight w:val="206"/>
        </w:trPr>
        <w:tc>
          <w:tcPr>
            <w:tcW w:w="150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2010</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119,000</w:t>
            </w:r>
          </w:p>
        </w:tc>
        <w:tc>
          <w:tcPr>
            <w:tcW w:w="1480" w:type="dxa"/>
            <w:vAlign w:val="bottom"/>
            <w:gridSpan w:val="3"/>
          </w:tcPr>
          <w:p>
            <w:pPr>
              <w:jc w:val="right"/>
              <w:ind w:right="30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8.63</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503,000</w:t>
            </w:r>
          </w:p>
        </w:tc>
        <w:tc>
          <w:tcPr>
            <w:tcW w:w="1260" w:type="dxa"/>
            <w:vAlign w:val="bottom"/>
            <w:gridSpan w:val="3"/>
          </w:tcPr>
          <w:p>
            <w:pPr>
              <w:jc w:val="right"/>
              <w:ind w:right="30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27.61</w:t>
            </w:r>
          </w:p>
        </w:tc>
        <w:tc>
          <w:tcPr>
            <w:tcW w:w="760" w:type="dxa"/>
            <w:vAlign w:val="bottom"/>
          </w:tcPr>
          <w:p>
            <w:pPr>
              <w:jc w:val="right"/>
              <w:spacing w:after="0"/>
              <w:rPr>
                <w:sz w:val="20"/>
                <w:szCs w:val="20"/>
                <w:color w:val="auto"/>
              </w:rPr>
            </w:pPr>
            <w:r>
              <w:rPr>
                <w:rFonts w:ascii="Arial" w:cs="Arial" w:eastAsia="Arial" w:hAnsi="Arial"/>
                <w:sz w:val="17"/>
                <w:szCs w:val="17"/>
                <w:color w:val="auto"/>
              </w:rPr>
              <w:t>623,000</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3%</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23.94</w:t>
            </w:r>
          </w:p>
        </w:tc>
        <w:tc>
          <w:tcPr>
            <w:tcW w:w="0" w:type="dxa"/>
            <w:vAlign w:val="bottom"/>
          </w:tcPr>
          <w:p>
            <w:pPr>
              <w:spacing w:after="0"/>
              <w:rPr>
                <w:sz w:val="1"/>
                <w:szCs w:val="1"/>
                <w:color w:val="auto"/>
              </w:rPr>
            </w:pPr>
          </w:p>
        </w:tc>
      </w:tr>
      <w:tr>
        <w:trPr>
          <w:trHeight w:val="206"/>
        </w:trPr>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2011</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24.63</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624,000</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27.91</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655,000</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27.72</w:t>
            </w:r>
          </w:p>
        </w:tc>
        <w:tc>
          <w:tcPr>
            <w:tcW w:w="0" w:type="dxa"/>
            <w:vAlign w:val="bottom"/>
          </w:tcPr>
          <w:p>
            <w:pPr>
              <w:spacing w:after="0"/>
              <w:rPr>
                <w:sz w:val="1"/>
                <w:szCs w:val="1"/>
                <w:color w:val="auto"/>
              </w:rPr>
            </w:pPr>
          </w:p>
        </w:tc>
      </w:tr>
      <w:tr>
        <w:trPr>
          <w:trHeight w:val="206"/>
        </w:trPr>
        <w:tc>
          <w:tcPr>
            <w:tcW w:w="150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2012</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255,000</w:t>
            </w:r>
          </w:p>
        </w:tc>
        <w:tc>
          <w:tcPr>
            <w:tcW w:w="1480" w:type="dxa"/>
            <w:vAlign w:val="bottom"/>
            <w:gridSpan w:val="3"/>
          </w:tcPr>
          <w:p>
            <w:pPr>
              <w:jc w:val="right"/>
              <w:ind w:right="300"/>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13.47</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537,000</w:t>
            </w:r>
          </w:p>
        </w:tc>
        <w:tc>
          <w:tcPr>
            <w:tcW w:w="1260" w:type="dxa"/>
            <w:vAlign w:val="bottom"/>
            <w:gridSpan w:val="3"/>
          </w:tcPr>
          <w:p>
            <w:pPr>
              <w:jc w:val="right"/>
              <w:ind w:right="30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28.57</w:t>
            </w:r>
          </w:p>
        </w:tc>
        <w:tc>
          <w:tcPr>
            <w:tcW w:w="760" w:type="dxa"/>
            <w:vAlign w:val="bottom"/>
          </w:tcPr>
          <w:p>
            <w:pPr>
              <w:jc w:val="right"/>
              <w:spacing w:after="0"/>
              <w:rPr>
                <w:sz w:val="20"/>
                <w:szCs w:val="20"/>
                <w:color w:val="auto"/>
              </w:rPr>
            </w:pPr>
            <w:r>
              <w:rPr>
                <w:rFonts w:ascii="Arial" w:cs="Arial" w:eastAsia="Arial" w:hAnsi="Arial"/>
                <w:sz w:val="17"/>
                <w:szCs w:val="17"/>
                <w:color w:val="auto"/>
              </w:rPr>
              <w:t>792,000</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4%</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23.71</w:t>
            </w:r>
          </w:p>
        </w:tc>
        <w:tc>
          <w:tcPr>
            <w:tcW w:w="0" w:type="dxa"/>
            <w:vAlign w:val="bottom"/>
          </w:tcPr>
          <w:p>
            <w:pPr>
              <w:spacing w:after="0"/>
              <w:rPr>
                <w:sz w:val="1"/>
                <w:szCs w:val="1"/>
                <w:color w:val="auto"/>
              </w:rPr>
            </w:pPr>
          </w:p>
        </w:tc>
      </w:tr>
      <w:tr>
        <w:trPr>
          <w:trHeight w:val="206"/>
        </w:trPr>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2013</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155,000</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13.05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338,000</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27.66</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493,000</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23.07</w:t>
            </w:r>
          </w:p>
        </w:tc>
        <w:tc>
          <w:tcPr>
            <w:tcW w:w="0" w:type="dxa"/>
            <w:vAlign w:val="bottom"/>
          </w:tcPr>
          <w:p>
            <w:pPr>
              <w:spacing w:after="0"/>
              <w:rPr>
                <w:sz w:val="1"/>
                <w:szCs w:val="1"/>
                <w:color w:val="auto"/>
              </w:rPr>
            </w:pPr>
          </w:p>
        </w:tc>
      </w:tr>
      <w:tr>
        <w:trPr>
          <w:trHeight w:val="206"/>
        </w:trPr>
        <w:tc>
          <w:tcPr>
            <w:tcW w:w="150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2014</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304,000</w:t>
            </w:r>
          </w:p>
        </w:tc>
        <w:tc>
          <w:tcPr>
            <w:tcW w:w="1480" w:type="dxa"/>
            <w:vAlign w:val="bottom"/>
            <w:gridSpan w:val="3"/>
          </w:tcPr>
          <w:p>
            <w:pPr>
              <w:jc w:val="right"/>
              <w:ind w:right="30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13.12</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417,000</w:t>
            </w:r>
          </w:p>
        </w:tc>
        <w:tc>
          <w:tcPr>
            <w:tcW w:w="1260" w:type="dxa"/>
            <w:vAlign w:val="bottom"/>
            <w:gridSpan w:val="3"/>
          </w:tcPr>
          <w:p>
            <w:pPr>
              <w:jc w:val="right"/>
              <w:ind w:right="30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30.74</w:t>
            </w:r>
          </w:p>
        </w:tc>
        <w:tc>
          <w:tcPr>
            <w:tcW w:w="760" w:type="dxa"/>
            <w:vAlign w:val="bottom"/>
          </w:tcPr>
          <w:p>
            <w:pPr>
              <w:jc w:val="right"/>
              <w:spacing w:after="0"/>
              <w:rPr>
                <w:sz w:val="20"/>
                <w:szCs w:val="20"/>
                <w:color w:val="auto"/>
              </w:rPr>
            </w:pPr>
            <w:r>
              <w:rPr>
                <w:rFonts w:ascii="Arial" w:cs="Arial" w:eastAsia="Arial" w:hAnsi="Arial"/>
                <w:sz w:val="17"/>
                <w:szCs w:val="17"/>
                <w:color w:val="auto"/>
              </w:rPr>
              <w:t>722,000</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4%</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23.28</w:t>
            </w:r>
          </w:p>
        </w:tc>
        <w:tc>
          <w:tcPr>
            <w:tcW w:w="0" w:type="dxa"/>
            <w:vAlign w:val="bottom"/>
          </w:tcPr>
          <w:p>
            <w:pPr>
              <w:spacing w:after="0"/>
              <w:rPr>
                <w:sz w:val="1"/>
                <w:szCs w:val="1"/>
                <w:color w:val="auto"/>
              </w:rPr>
            </w:pPr>
          </w:p>
        </w:tc>
      </w:tr>
      <w:tr>
        <w:trPr>
          <w:trHeight w:val="206"/>
        </w:trPr>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2015</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216,000</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16.04</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435,000</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24.26</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651,000</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21.53</w:t>
            </w:r>
          </w:p>
        </w:tc>
        <w:tc>
          <w:tcPr>
            <w:tcW w:w="0" w:type="dxa"/>
            <w:vAlign w:val="bottom"/>
          </w:tcPr>
          <w:p>
            <w:pPr>
              <w:spacing w:after="0"/>
              <w:rPr>
                <w:sz w:val="1"/>
                <w:szCs w:val="1"/>
                <w:color w:val="auto"/>
              </w:rPr>
            </w:pPr>
          </w:p>
        </w:tc>
      </w:tr>
      <w:tr>
        <w:trPr>
          <w:trHeight w:val="206"/>
        </w:trPr>
        <w:tc>
          <w:tcPr>
            <w:tcW w:w="150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2016</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146,000</w:t>
            </w:r>
          </w:p>
        </w:tc>
        <w:tc>
          <w:tcPr>
            <w:tcW w:w="1480" w:type="dxa"/>
            <w:vAlign w:val="bottom"/>
            <w:gridSpan w:val="3"/>
          </w:tcPr>
          <w:p>
            <w:pPr>
              <w:jc w:val="right"/>
              <w:ind w:right="30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19.76</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451,000</w:t>
            </w:r>
          </w:p>
        </w:tc>
        <w:tc>
          <w:tcPr>
            <w:tcW w:w="1260" w:type="dxa"/>
            <w:vAlign w:val="bottom"/>
            <w:gridSpan w:val="3"/>
          </w:tcPr>
          <w:p>
            <w:pPr>
              <w:jc w:val="right"/>
              <w:ind w:right="30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28.94</w:t>
            </w:r>
          </w:p>
        </w:tc>
        <w:tc>
          <w:tcPr>
            <w:tcW w:w="760" w:type="dxa"/>
            <w:vAlign w:val="bottom"/>
          </w:tcPr>
          <w:p>
            <w:pPr>
              <w:jc w:val="right"/>
              <w:spacing w:after="0"/>
              <w:rPr>
                <w:sz w:val="20"/>
                <w:szCs w:val="20"/>
                <w:color w:val="auto"/>
              </w:rPr>
            </w:pPr>
            <w:r>
              <w:rPr>
                <w:rFonts w:ascii="Arial" w:cs="Arial" w:eastAsia="Arial" w:hAnsi="Arial"/>
                <w:sz w:val="17"/>
                <w:szCs w:val="17"/>
                <w:color w:val="auto"/>
              </w:rPr>
              <w:t>597,000</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3%</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26.69</w:t>
            </w:r>
          </w:p>
        </w:tc>
        <w:tc>
          <w:tcPr>
            <w:tcW w:w="0" w:type="dxa"/>
            <w:vAlign w:val="bottom"/>
          </w:tcPr>
          <w:p>
            <w:pPr>
              <w:spacing w:after="0"/>
              <w:rPr>
                <w:sz w:val="1"/>
                <w:szCs w:val="1"/>
                <w:color w:val="auto"/>
              </w:rPr>
            </w:pPr>
          </w:p>
        </w:tc>
      </w:tr>
      <w:tr>
        <w:trPr>
          <w:trHeight w:val="206"/>
        </w:trPr>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Thereafter</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8,707,000</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13.79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2,150,000</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30%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28.18</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10,853,000</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w:t>
            </w:r>
          </w:p>
        </w:tc>
        <w:tc>
          <w:tcPr>
            <w:tcW w:w="0" w:type="dxa"/>
            <w:vAlign w:val="bottom"/>
          </w:tcPr>
          <w:p>
            <w:pPr>
              <w:spacing w:after="0"/>
              <w:rPr>
                <w:sz w:val="1"/>
                <w:szCs w:val="1"/>
                <w:color w:val="auto"/>
              </w:rPr>
            </w:pPr>
          </w:p>
        </w:tc>
      </w:tr>
      <w:tr>
        <w:trPr>
          <w:trHeight w:val="20"/>
        </w:trPr>
        <w:tc>
          <w:tcPr>
            <w:tcW w:w="1820" w:type="dxa"/>
            <w:vAlign w:val="bottom"/>
            <w:gridSpan w:val="3"/>
            <w:vMerge w:val="restart"/>
          </w:tcPr>
          <w:p>
            <w:pPr>
              <w:jc w:val="right"/>
              <w:ind w:right="320"/>
              <w:spacing w:after="0"/>
              <w:rPr>
                <w:sz w:val="20"/>
                <w:szCs w:val="20"/>
                <w:color w:val="auto"/>
              </w:rPr>
            </w:pPr>
            <w:r>
              <w:rPr>
                <w:rFonts w:ascii="Arial" w:cs="Arial" w:eastAsia="Arial" w:hAnsi="Arial"/>
                <w:sz w:val="17"/>
                <w:szCs w:val="17"/>
                <w:b w:val="1"/>
                <w:bCs w:val="1"/>
                <w:color w:val="auto"/>
              </w:rPr>
              <w:t>Total (3)</w:t>
            </w: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820" w:type="dxa"/>
            <w:vAlign w:val="bottom"/>
            <w:gridSpan w:val="3"/>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6"/>
              </w:rPr>
              <w:t>10,705,000</w:t>
            </w:r>
          </w:p>
        </w:tc>
        <w:tc>
          <w:tcPr>
            <w:tcW w:w="3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13.44</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7,162,000</w:t>
            </w:r>
          </w:p>
        </w:tc>
        <w:tc>
          <w:tcPr>
            <w:tcW w:w="1260" w:type="dxa"/>
            <w:vAlign w:val="bottom"/>
            <w:gridSpan w:val="3"/>
          </w:tcPr>
          <w:p>
            <w:pPr>
              <w:jc w:val="right"/>
              <w:ind w:right="30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27.22</w:t>
            </w:r>
          </w:p>
        </w:tc>
        <w:tc>
          <w:tcPr>
            <w:tcW w:w="760" w:type="dxa"/>
            <w:vAlign w:val="bottom"/>
          </w:tcPr>
          <w:p>
            <w:pPr>
              <w:jc w:val="right"/>
              <w:spacing w:after="0"/>
              <w:rPr>
                <w:sz w:val="20"/>
                <w:szCs w:val="20"/>
                <w:color w:val="auto"/>
              </w:rPr>
            </w:pPr>
            <w:r>
              <w:rPr>
                <w:rFonts w:ascii="Arial" w:cs="Arial" w:eastAsia="Arial" w:hAnsi="Arial"/>
                <w:sz w:val="17"/>
                <w:szCs w:val="17"/>
                <w:color w:val="auto"/>
                <w:w w:val="86"/>
              </w:rPr>
              <w:t>17,867,000</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100%</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18.97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9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7" w:lineRule="exact"/>
        <w:rPr>
          <w:sz w:val="20"/>
          <w:szCs w:val="20"/>
          <w:color w:val="auto"/>
        </w:rPr>
      </w:pPr>
    </w:p>
    <w:p>
      <w:pPr>
        <w:ind w:left="460" w:hanging="457"/>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Anchor is defined as a tenant leasing 15,000 square feet or more.</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Minimum Rent reflects in-place contractual (cash-basis) rent as of December 31, 2006.</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occupied square footage as of December 31, 2006.</w:t>
      </w:r>
    </w:p>
    <w:p>
      <w:pPr>
        <w:sectPr>
          <w:pgSz w:w="11900" w:h="16838" w:orient="portrait"/>
          <w:cols w:equalWidth="0" w:num="1">
            <w:col w:w="11420"/>
          </w:cols>
          <w:pgMar w:left="240" w:top="268"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Leased Statistics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Overall Portfolio Statistics (1)</w:t>
            </w:r>
          </w:p>
        </w:tc>
        <w:tc>
          <w:tcPr>
            <w:tcW w:w="39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Type</w:t>
            </w:r>
          </w:p>
        </w:tc>
        <w:tc>
          <w:tcPr>
            <w:tcW w:w="220" w:type="dxa"/>
            <w:vAlign w:val="bottom"/>
            <w:vMerge w:val="restart"/>
          </w:tcPr>
          <w:p>
            <w:pPr>
              <w:spacing w:after="0"/>
              <w:rPr>
                <w:sz w:val="12"/>
                <w:szCs w:val="12"/>
                <w:color w:val="auto"/>
              </w:rPr>
            </w:pPr>
          </w:p>
        </w:tc>
        <w:tc>
          <w:tcPr>
            <w:tcW w:w="1940" w:type="dxa"/>
            <w:vAlign w:val="bottom"/>
            <w:tcBorders>
              <w:bottom w:val="single" w:sz="8" w:color="auto"/>
            </w:tcBorders>
            <w:gridSpan w:val="4"/>
          </w:tcPr>
          <w:p>
            <w:pPr>
              <w:jc w:val="right"/>
              <w:ind w:right="100"/>
              <w:spacing w:after="0" w:line="148" w:lineRule="exact"/>
              <w:rPr>
                <w:sz w:val="20"/>
                <w:szCs w:val="20"/>
                <w:color w:val="auto"/>
              </w:rPr>
            </w:pPr>
            <w:r>
              <w:rPr>
                <w:rFonts w:ascii="Arial" w:cs="Arial" w:eastAsia="Arial" w:hAnsi="Arial"/>
                <w:sz w:val="13"/>
                <w:szCs w:val="13"/>
                <w:b w:val="1"/>
                <w:bCs w:val="1"/>
                <w:color w:val="auto"/>
              </w:rPr>
              <w:t>At December 31, 2006</w:t>
            </w:r>
          </w:p>
        </w:tc>
        <w:tc>
          <w:tcPr>
            <w:tcW w:w="5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Borders>
              <w:bottom w:val="single" w:sz="8" w:color="auto"/>
            </w:tcBorders>
            <w:gridSpan w:val="4"/>
          </w:tcPr>
          <w:p>
            <w:pPr>
              <w:ind w:left="640"/>
              <w:spacing w:after="0" w:line="148" w:lineRule="exact"/>
              <w:rPr>
                <w:sz w:val="20"/>
                <w:szCs w:val="20"/>
                <w:color w:val="auto"/>
              </w:rPr>
            </w:pPr>
            <w:r>
              <w:rPr>
                <w:rFonts w:ascii="Arial" w:cs="Arial" w:eastAsia="Arial" w:hAnsi="Arial"/>
                <w:sz w:val="13"/>
                <w:szCs w:val="13"/>
                <w:b w:val="1"/>
                <w:bCs w:val="1"/>
                <w:color w:val="auto"/>
                <w:w w:val="96"/>
              </w:rPr>
              <w:t>At December 31, 2005</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70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760" w:type="dxa"/>
            <w:vAlign w:val="bottom"/>
          </w:tcPr>
          <w:p>
            <w:pPr>
              <w:jc w:val="right"/>
              <w:ind w:right="206"/>
              <w:spacing w:after="0" w:line="134" w:lineRule="exact"/>
              <w:rPr>
                <w:sz w:val="20"/>
                <w:szCs w:val="20"/>
                <w:color w:val="auto"/>
              </w:rPr>
            </w:pPr>
            <w:r>
              <w:rPr>
                <w:rFonts w:ascii="Arial" w:cs="Arial" w:eastAsia="Arial" w:hAnsi="Arial"/>
                <w:sz w:val="13"/>
                <w:szCs w:val="13"/>
                <w:b w:val="1"/>
                <w:bCs w:val="1"/>
                <w:color w:val="auto"/>
              </w:rPr>
              <w:t>Size</w:t>
            </w:r>
          </w:p>
        </w:tc>
        <w:tc>
          <w:tcPr>
            <w:tcW w:w="200" w:type="dxa"/>
            <w:vAlign w:val="bottom"/>
          </w:tcPr>
          <w:p>
            <w:pPr>
              <w:spacing w:after="0"/>
              <w:rPr>
                <w:sz w:val="11"/>
                <w:szCs w:val="11"/>
                <w:color w:val="auto"/>
              </w:rPr>
            </w:pPr>
          </w:p>
        </w:tc>
        <w:tc>
          <w:tcPr>
            <w:tcW w:w="760" w:type="dxa"/>
            <w:vAlign w:val="bottom"/>
          </w:tcPr>
          <w:p>
            <w:pPr>
              <w:ind w:left="200"/>
              <w:spacing w:after="0" w:line="134" w:lineRule="exact"/>
              <w:rPr>
                <w:sz w:val="20"/>
                <w:szCs w:val="20"/>
                <w:color w:val="auto"/>
              </w:rPr>
            </w:pPr>
            <w:r>
              <w:rPr>
                <w:rFonts w:ascii="Arial" w:cs="Arial" w:eastAsia="Arial" w:hAnsi="Arial"/>
                <w:sz w:val="13"/>
                <w:szCs w:val="13"/>
                <w:b w:val="1"/>
                <w:bCs w:val="1"/>
                <w:color w:val="auto"/>
              </w:rPr>
              <w:t>Leased</w:t>
            </w:r>
          </w:p>
        </w:tc>
        <w:tc>
          <w:tcPr>
            <w:tcW w:w="2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3"/>
                <w:szCs w:val="13"/>
                <w:b w:val="1"/>
                <w:bCs w:val="1"/>
                <w:color w:val="auto"/>
                <w:w w:val="89"/>
              </w:rPr>
              <w:t>Leased %</w:t>
            </w:r>
          </w:p>
        </w:tc>
        <w:tc>
          <w:tcPr>
            <w:tcW w:w="360" w:type="dxa"/>
            <w:vAlign w:val="bottom"/>
          </w:tcPr>
          <w:p>
            <w:pPr>
              <w:spacing w:after="0"/>
              <w:rPr>
                <w:sz w:val="11"/>
                <w:szCs w:val="11"/>
                <w:color w:val="auto"/>
              </w:rPr>
            </w:pPr>
          </w:p>
        </w:tc>
        <w:tc>
          <w:tcPr>
            <w:tcW w:w="760" w:type="dxa"/>
            <w:vAlign w:val="bottom"/>
          </w:tcPr>
          <w:p>
            <w:pPr>
              <w:jc w:val="right"/>
              <w:ind w:right="206"/>
              <w:spacing w:after="0" w:line="134"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1"/>
                <w:szCs w:val="11"/>
                <w:color w:val="auto"/>
              </w:rPr>
            </w:pPr>
          </w:p>
        </w:tc>
        <w:tc>
          <w:tcPr>
            <w:tcW w:w="760" w:type="dxa"/>
            <w:vAlign w:val="bottom"/>
          </w:tcPr>
          <w:p>
            <w:pPr>
              <w:jc w:val="right"/>
              <w:ind w:right="136"/>
              <w:spacing w:after="0" w:line="134" w:lineRule="exact"/>
              <w:rPr>
                <w:sz w:val="20"/>
                <w:szCs w:val="20"/>
                <w:color w:val="auto"/>
              </w:rPr>
            </w:pPr>
            <w:r>
              <w:rPr>
                <w:rFonts w:ascii="Arial" w:cs="Arial" w:eastAsia="Arial" w:hAnsi="Arial"/>
                <w:sz w:val="13"/>
                <w:szCs w:val="13"/>
                <w:b w:val="1"/>
                <w:bCs w:val="1"/>
                <w:color w:val="auto"/>
              </w:rPr>
              <w:t>Leased</w:t>
            </w:r>
          </w:p>
        </w:tc>
        <w:tc>
          <w:tcPr>
            <w:tcW w:w="220" w:type="dxa"/>
            <w:vAlign w:val="bottom"/>
          </w:tcPr>
          <w:p>
            <w:pPr>
              <w:spacing w:after="0"/>
              <w:rPr>
                <w:sz w:val="11"/>
                <w:szCs w:val="11"/>
                <w:color w:val="auto"/>
              </w:rPr>
            </w:pPr>
          </w:p>
        </w:tc>
        <w:tc>
          <w:tcPr>
            <w:tcW w:w="680" w:type="dxa"/>
            <w:vAlign w:val="bottom"/>
            <w:gridSpan w:val="2"/>
          </w:tcPr>
          <w:p>
            <w:pPr>
              <w:jc w:val="right"/>
              <w:ind w:right="140"/>
              <w:spacing w:after="0" w:line="134" w:lineRule="exact"/>
              <w:rPr>
                <w:sz w:val="20"/>
                <w:szCs w:val="20"/>
                <w:color w:val="auto"/>
              </w:rPr>
            </w:pPr>
            <w:r>
              <w:rPr>
                <w:rFonts w:ascii="Arial" w:cs="Arial" w:eastAsia="Arial" w:hAnsi="Arial"/>
                <w:sz w:val="13"/>
                <w:szCs w:val="13"/>
                <w:b w:val="1"/>
                <w:bCs w:val="1"/>
                <w:color w:val="auto"/>
                <w:w w:val="86"/>
              </w:rPr>
              <w:t>Leased %</w:t>
            </w:r>
          </w:p>
        </w:tc>
        <w:tc>
          <w:tcPr>
            <w:tcW w:w="0" w:type="dxa"/>
            <w:vAlign w:val="bottom"/>
          </w:tcPr>
          <w:p>
            <w:pPr>
              <w:spacing w:after="0"/>
              <w:rPr>
                <w:sz w:val="1"/>
                <w:szCs w:val="1"/>
                <w:color w:val="auto"/>
              </w:rPr>
            </w:pPr>
          </w:p>
        </w:tc>
      </w:tr>
      <w:tr>
        <w:trPr>
          <w:trHeight w:val="26"/>
        </w:trPr>
        <w:tc>
          <w:tcPr>
            <w:tcW w:w="2020" w:type="dxa"/>
            <w:vAlign w:val="bottom"/>
            <w:shd w:val="clear" w:color="auto" w:fill="000000"/>
          </w:tcPr>
          <w:p>
            <w:pPr>
              <w:spacing w:after="0"/>
              <w:rPr>
                <w:sz w:val="2"/>
                <w:szCs w:val="2"/>
                <w:color w:val="auto"/>
              </w:rPr>
            </w:pPr>
          </w:p>
        </w:tc>
        <w:tc>
          <w:tcPr>
            <w:tcW w:w="3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 Properties (2) (sf)</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18,800,000</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6"/>
              </w:rPr>
              <w:t>18,141,000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96.5%</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17,551,000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16,900,000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0" w:type="dxa"/>
            <w:vAlign w:val="bottom"/>
          </w:tcPr>
          <w:p>
            <w:pPr>
              <w:spacing w:after="0"/>
              <w:rPr>
                <w:sz w:val="1"/>
                <w:szCs w:val="1"/>
                <w:color w:val="auto"/>
              </w:rPr>
            </w:pPr>
          </w:p>
        </w:tc>
      </w:tr>
      <w:tr>
        <w:trPr>
          <w:trHeight w:val="307"/>
        </w:trPr>
        <w:tc>
          <w:tcPr>
            <w:tcW w:w="5920" w:type="dxa"/>
            <w:vAlign w:val="bottom"/>
            <w:gridSpan w:val="3"/>
          </w:tcPr>
          <w:p>
            <w:pPr>
              <w:spacing w:after="0"/>
              <w:rPr>
                <w:sz w:val="20"/>
                <w:szCs w:val="20"/>
                <w:color w:val="auto"/>
              </w:rPr>
            </w:pPr>
            <w:r>
              <w:rPr>
                <w:rFonts w:ascii="Arial" w:cs="Arial" w:eastAsia="Arial" w:hAnsi="Arial"/>
                <w:sz w:val="17"/>
                <w:szCs w:val="17"/>
                <w:color w:val="auto"/>
              </w:rPr>
              <w:t>Residential Properties (3) (units)</w:t>
            </w:r>
          </w:p>
        </w:tc>
        <w:tc>
          <w:tcPr>
            <w:tcW w:w="760" w:type="dxa"/>
            <w:vAlign w:val="bottom"/>
          </w:tcPr>
          <w:p>
            <w:pPr>
              <w:jc w:val="right"/>
              <w:spacing w:after="0"/>
              <w:rPr>
                <w:sz w:val="20"/>
                <w:szCs w:val="20"/>
                <w:color w:val="auto"/>
              </w:rPr>
            </w:pPr>
            <w:r>
              <w:rPr>
                <w:rFonts w:ascii="Arial" w:cs="Arial" w:eastAsia="Arial" w:hAnsi="Arial"/>
                <w:sz w:val="17"/>
                <w:szCs w:val="17"/>
                <w:color w:val="auto"/>
              </w:rPr>
              <w:t>723</w:t>
            </w:r>
          </w:p>
        </w:tc>
        <w:tc>
          <w:tcPr>
            <w:tcW w:w="1180" w:type="dxa"/>
            <w:vAlign w:val="bottom"/>
            <w:gridSpan w:val="3"/>
          </w:tcPr>
          <w:p>
            <w:pPr>
              <w:jc w:val="right"/>
              <w:ind w:right="220"/>
              <w:spacing w:after="0"/>
              <w:rPr>
                <w:sz w:val="20"/>
                <w:szCs w:val="20"/>
                <w:color w:val="auto"/>
              </w:rPr>
            </w:pPr>
            <w:r>
              <w:rPr>
                <w:rFonts w:ascii="Arial" w:cs="Arial" w:eastAsia="Arial" w:hAnsi="Arial"/>
                <w:sz w:val="17"/>
                <w:szCs w:val="17"/>
                <w:color w:val="auto"/>
              </w:rPr>
              <w:t>689</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95.3%</w:t>
            </w:r>
          </w:p>
        </w:tc>
        <w:tc>
          <w:tcPr>
            <w:tcW w:w="760" w:type="dxa"/>
            <w:vAlign w:val="bottom"/>
          </w:tcPr>
          <w:p>
            <w:pPr>
              <w:jc w:val="right"/>
              <w:spacing w:after="0"/>
              <w:rPr>
                <w:sz w:val="20"/>
                <w:szCs w:val="20"/>
                <w:color w:val="auto"/>
              </w:rPr>
            </w:pPr>
            <w:r>
              <w:rPr>
                <w:rFonts w:ascii="Arial" w:cs="Arial" w:eastAsia="Arial" w:hAnsi="Arial"/>
                <w:sz w:val="17"/>
                <w:szCs w:val="17"/>
                <w:color w:val="auto"/>
              </w:rPr>
              <w:t>464</w:t>
            </w: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auto"/>
              </w:rPr>
              <w:t>436</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94.0%</w:t>
            </w:r>
          </w:p>
        </w:tc>
        <w:tc>
          <w:tcPr>
            <w:tcW w:w="0" w:type="dxa"/>
            <w:vAlign w:val="bottom"/>
          </w:tcPr>
          <w:p>
            <w:pPr>
              <w:spacing w:after="0"/>
              <w:rPr>
                <w:sz w:val="1"/>
                <w:szCs w:val="1"/>
                <w:color w:val="auto"/>
              </w:rPr>
            </w:pPr>
          </w:p>
        </w:tc>
      </w:tr>
      <w:tr>
        <w:trPr>
          <w:trHeight w:val="413"/>
        </w:trPr>
        <w:tc>
          <w:tcPr>
            <w:tcW w:w="2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Same Center Statistics (1)</w:t>
            </w:r>
          </w:p>
        </w:tc>
        <w:tc>
          <w:tcPr>
            <w:tcW w:w="390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Type</w:t>
            </w:r>
          </w:p>
        </w:tc>
        <w:tc>
          <w:tcPr>
            <w:tcW w:w="220" w:type="dxa"/>
            <w:vAlign w:val="bottom"/>
            <w:vMerge w:val="restart"/>
          </w:tcPr>
          <w:p>
            <w:pPr>
              <w:spacing w:after="0"/>
              <w:rPr>
                <w:sz w:val="12"/>
                <w:szCs w:val="12"/>
                <w:color w:val="auto"/>
              </w:rPr>
            </w:pPr>
          </w:p>
        </w:tc>
        <w:tc>
          <w:tcPr>
            <w:tcW w:w="1940" w:type="dxa"/>
            <w:vAlign w:val="bottom"/>
            <w:tcBorders>
              <w:bottom w:val="single" w:sz="8" w:color="auto"/>
            </w:tcBorders>
            <w:gridSpan w:val="4"/>
          </w:tcPr>
          <w:p>
            <w:pPr>
              <w:jc w:val="right"/>
              <w:ind w:right="100"/>
              <w:spacing w:after="0" w:line="148" w:lineRule="exact"/>
              <w:rPr>
                <w:sz w:val="20"/>
                <w:szCs w:val="20"/>
                <w:color w:val="auto"/>
              </w:rPr>
            </w:pPr>
            <w:r>
              <w:rPr>
                <w:rFonts w:ascii="Arial" w:cs="Arial" w:eastAsia="Arial" w:hAnsi="Arial"/>
                <w:sz w:val="13"/>
                <w:szCs w:val="13"/>
                <w:b w:val="1"/>
                <w:bCs w:val="1"/>
                <w:color w:val="auto"/>
              </w:rPr>
              <w:t>At December 31, 2006</w:t>
            </w:r>
          </w:p>
        </w:tc>
        <w:tc>
          <w:tcPr>
            <w:tcW w:w="5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Borders>
              <w:bottom w:val="single" w:sz="8" w:color="auto"/>
            </w:tcBorders>
            <w:gridSpan w:val="4"/>
          </w:tcPr>
          <w:p>
            <w:pPr>
              <w:ind w:left="640"/>
              <w:spacing w:after="0" w:line="148" w:lineRule="exact"/>
              <w:rPr>
                <w:sz w:val="20"/>
                <w:szCs w:val="20"/>
                <w:color w:val="auto"/>
              </w:rPr>
            </w:pPr>
            <w:r>
              <w:rPr>
                <w:rFonts w:ascii="Arial" w:cs="Arial" w:eastAsia="Arial" w:hAnsi="Arial"/>
                <w:sz w:val="13"/>
                <w:szCs w:val="13"/>
                <w:b w:val="1"/>
                <w:bCs w:val="1"/>
                <w:color w:val="auto"/>
                <w:w w:val="96"/>
              </w:rPr>
              <w:t>At December 31, 2005</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70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760" w:type="dxa"/>
            <w:vAlign w:val="bottom"/>
          </w:tcPr>
          <w:p>
            <w:pPr>
              <w:jc w:val="right"/>
              <w:ind w:right="206"/>
              <w:spacing w:after="0" w:line="134" w:lineRule="exact"/>
              <w:rPr>
                <w:sz w:val="20"/>
                <w:szCs w:val="20"/>
                <w:color w:val="auto"/>
              </w:rPr>
            </w:pPr>
            <w:r>
              <w:rPr>
                <w:rFonts w:ascii="Arial" w:cs="Arial" w:eastAsia="Arial" w:hAnsi="Arial"/>
                <w:sz w:val="13"/>
                <w:szCs w:val="13"/>
                <w:b w:val="1"/>
                <w:bCs w:val="1"/>
                <w:color w:val="auto"/>
              </w:rPr>
              <w:t>Size</w:t>
            </w:r>
          </w:p>
        </w:tc>
        <w:tc>
          <w:tcPr>
            <w:tcW w:w="200" w:type="dxa"/>
            <w:vAlign w:val="bottom"/>
          </w:tcPr>
          <w:p>
            <w:pPr>
              <w:spacing w:after="0"/>
              <w:rPr>
                <w:sz w:val="11"/>
                <w:szCs w:val="11"/>
                <w:color w:val="auto"/>
              </w:rPr>
            </w:pPr>
          </w:p>
        </w:tc>
        <w:tc>
          <w:tcPr>
            <w:tcW w:w="760" w:type="dxa"/>
            <w:vAlign w:val="bottom"/>
          </w:tcPr>
          <w:p>
            <w:pPr>
              <w:ind w:left="200"/>
              <w:spacing w:after="0" w:line="134" w:lineRule="exact"/>
              <w:rPr>
                <w:sz w:val="20"/>
                <w:szCs w:val="20"/>
                <w:color w:val="auto"/>
              </w:rPr>
            </w:pPr>
            <w:r>
              <w:rPr>
                <w:rFonts w:ascii="Arial" w:cs="Arial" w:eastAsia="Arial" w:hAnsi="Arial"/>
                <w:sz w:val="13"/>
                <w:szCs w:val="13"/>
                <w:b w:val="1"/>
                <w:bCs w:val="1"/>
                <w:color w:val="auto"/>
              </w:rPr>
              <w:t>Leased</w:t>
            </w:r>
          </w:p>
        </w:tc>
        <w:tc>
          <w:tcPr>
            <w:tcW w:w="2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3"/>
                <w:szCs w:val="13"/>
                <w:b w:val="1"/>
                <w:bCs w:val="1"/>
                <w:color w:val="auto"/>
                <w:w w:val="89"/>
              </w:rPr>
              <w:t>Leased %</w:t>
            </w:r>
          </w:p>
        </w:tc>
        <w:tc>
          <w:tcPr>
            <w:tcW w:w="360" w:type="dxa"/>
            <w:vAlign w:val="bottom"/>
          </w:tcPr>
          <w:p>
            <w:pPr>
              <w:spacing w:after="0"/>
              <w:rPr>
                <w:sz w:val="11"/>
                <w:szCs w:val="11"/>
                <w:color w:val="auto"/>
              </w:rPr>
            </w:pPr>
          </w:p>
        </w:tc>
        <w:tc>
          <w:tcPr>
            <w:tcW w:w="760" w:type="dxa"/>
            <w:vAlign w:val="bottom"/>
          </w:tcPr>
          <w:p>
            <w:pPr>
              <w:jc w:val="right"/>
              <w:ind w:right="206"/>
              <w:spacing w:after="0" w:line="134"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1"/>
                <w:szCs w:val="11"/>
                <w:color w:val="auto"/>
              </w:rPr>
            </w:pPr>
          </w:p>
        </w:tc>
        <w:tc>
          <w:tcPr>
            <w:tcW w:w="760" w:type="dxa"/>
            <w:vAlign w:val="bottom"/>
          </w:tcPr>
          <w:p>
            <w:pPr>
              <w:jc w:val="right"/>
              <w:ind w:right="136"/>
              <w:spacing w:after="0" w:line="134" w:lineRule="exact"/>
              <w:rPr>
                <w:sz w:val="20"/>
                <w:szCs w:val="20"/>
                <w:color w:val="auto"/>
              </w:rPr>
            </w:pPr>
            <w:r>
              <w:rPr>
                <w:rFonts w:ascii="Arial" w:cs="Arial" w:eastAsia="Arial" w:hAnsi="Arial"/>
                <w:sz w:val="13"/>
                <w:szCs w:val="13"/>
                <w:b w:val="1"/>
                <w:bCs w:val="1"/>
                <w:color w:val="auto"/>
              </w:rPr>
              <w:t>Leased</w:t>
            </w:r>
          </w:p>
        </w:tc>
        <w:tc>
          <w:tcPr>
            <w:tcW w:w="220" w:type="dxa"/>
            <w:vAlign w:val="bottom"/>
          </w:tcPr>
          <w:p>
            <w:pPr>
              <w:spacing w:after="0"/>
              <w:rPr>
                <w:sz w:val="11"/>
                <w:szCs w:val="11"/>
                <w:color w:val="auto"/>
              </w:rPr>
            </w:pPr>
          </w:p>
        </w:tc>
        <w:tc>
          <w:tcPr>
            <w:tcW w:w="680" w:type="dxa"/>
            <w:vAlign w:val="bottom"/>
            <w:gridSpan w:val="2"/>
          </w:tcPr>
          <w:p>
            <w:pPr>
              <w:jc w:val="right"/>
              <w:ind w:right="140"/>
              <w:spacing w:after="0" w:line="134" w:lineRule="exact"/>
              <w:rPr>
                <w:sz w:val="20"/>
                <w:szCs w:val="20"/>
                <w:color w:val="auto"/>
              </w:rPr>
            </w:pPr>
            <w:r>
              <w:rPr>
                <w:rFonts w:ascii="Arial" w:cs="Arial" w:eastAsia="Arial" w:hAnsi="Arial"/>
                <w:sz w:val="13"/>
                <w:szCs w:val="13"/>
                <w:b w:val="1"/>
                <w:bCs w:val="1"/>
                <w:color w:val="auto"/>
                <w:w w:val="86"/>
              </w:rPr>
              <w:t>Leased %</w:t>
            </w:r>
          </w:p>
        </w:tc>
        <w:tc>
          <w:tcPr>
            <w:tcW w:w="0" w:type="dxa"/>
            <w:vAlign w:val="bottom"/>
          </w:tcPr>
          <w:p>
            <w:pPr>
              <w:spacing w:after="0"/>
              <w:rPr>
                <w:sz w:val="1"/>
                <w:szCs w:val="1"/>
                <w:color w:val="auto"/>
              </w:rPr>
            </w:pPr>
          </w:p>
        </w:tc>
      </w:tr>
      <w:tr>
        <w:trPr>
          <w:trHeight w:val="26"/>
        </w:trPr>
        <w:tc>
          <w:tcPr>
            <w:tcW w:w="2020" w:type="dxa"/>
            <w:vAlign w:val="bottom"/>
            <w:shd w:val="clear" w:color="auto" w:fill="000000"/>
          </w:tcPr>
          <w:p>
            <w:pPr>
              <w:spacing w:after="0"/>
              <w:rPr>
                <w:sz w:val="2"/>
                <w:szCs w:val="2"/>
                <w:color w:val="auto"/>
              </w:rPr>
            </w:pPr>
          </w:p>
        </w:tc>
        <w:tc>
          <w:tcPr>
            <w:tcW w:w="3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 Properties (2) (4) (sf)</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14,115,000</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6"/>
              </w:rPr>
              <w:t>13,657,000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96.8%</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14,195,000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13,801,000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307"/>
        </w:trPr>
        <w:tc>
          <w:tcPr>
            <w:tcW w:w="5920" w:type="dxa"/>
            <w:vAlign w:val="bottom"/>
            <w:gridSpan w:val="3"/>
          </w:tcPr>
          <w:p>
            <w:pPr>
              <w:spacing w:after="0"/>
              <w:rPr>
                <w:sz w:val="20"/>
                <w:szCs w:val="20"/>
                <w:color w:val="auto"/>
              </w:rPr>
            </w:pPr>
            <w:r>
              <w:rPr>
                <w:rFonts w:ascii="Arial" w:cs="Arial" w:eastAsia="Arial" w:hAnsi="Arial"/>
                <w:sz w:val="17"/>
                <w:szCs w:val="17"/>
                <w:color w:val="auto"/>
              </w:rPr>
              <w:t>Residential Properties (3) (units)</w:t>
            </w:r>
          </w:p>
        </w:tc>
        <w:tc>
          <w:tcPr>
            <w:tcW w:w="760" w:type="dxa"/>
            <w:vAlign w:val="bottom"/>
          </w:tcPr>
          <w:p>
            <w:pPr>
              <w:jc w:val="right"/>
              <w:spacing w:after="0"/>
              <w:rPr>
                <w:sz w:val="20"/>
                <w:szCs w:val="20"/>
                <w:color w:val="auto"/>
              </w:rPr>
            </w:pPr>
            <w:r>
              <w:rPr>
                <w:rFonts w:ascii="Arial" w:cs="Arial" w:eastAsia="Arial" w:hAnsi="Arial"/>
                <w:sz w:val="17"/>
                <w:szCs w:val="17"/>
                <w:color w:val="auto"/>
              </w:rPr>
              <w:t>428</w:t>
            </w:r>
          </w:p>
        </w:tc>
        <w:tc>
          <w:tcPr>
            <w:tcW w:w="1180" w:type="dxa"/>
            <w:vAlign w:val="bottom"/>
            <w:gridSpan w:val="3"/>
          </w:tcPr>
          <w:p>
            <w:pPr>
              <w:jc w:val="right"/>
              <w:ind w:right="220"/>
              <w:spacing w:after="0"/>
              <w:rPr>
                <w:sz w:val="20"/>
                <w:szCs w:val="20"/>
                <w:color w:val="auto"/>
              </w:rPr>
            </w:pPr>
            <w:r>
              <w:rPr>
                <w:rFonts w:ascii="Arial" w:cs="Arial" w:eastAsia="Arial" w:hAnsi="Arial"/>
                <w:sz w:val="17"/>
                <w:szCs w:val="17"/>
                <w:color w:val="auto"/>
              </w:rPr>
              <w:t>408</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95.3%</w:t>
            </w:r>
          </w:p>
        </w:tc>
        <w:tc>
          <w:tcPr>
            <w:tcW w:w="760" w:type="dxa"/>
            <w:vAlign w:val="bottom"/>
          </w:tcPr>
          <w:p>
            <w:pPr>
              <w:jc w:val="right"/>
              <w:spacing w:after="0"/>
              <w:rPr>
                <w:sz w:val="20"/>
                <w:szCs w:val="20"/>
                <w:color w:val="auto"/>
              </w:rPr>
            </w:pPr>
            <w:r>
              <w:rPr>
                <w:rFonts w:ascii="Arial" w:cs="Arial" w:eastAsia="Arial" w:hAnsi="Arial"/>
                <w:sz w:val="17"/>
                <w:szCs w:val="17"/>
                <w:color w:val="auto"/>
              </w:rPr>
              <w:t>428</w:t>
            </w: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auto"/>
              </w:rPr>
              <w:t>402</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93.9%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956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563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7" w:lineRule="exact"/>
        <w:rPr>
          <w:sz w:val="20"/>
          <w:szCs w:val="20"/>
          <w:color w:val="auto"/>
        </w:rPr>
      </w:pPr>
    </w:p>
    <w:p>
      <w:pPr>
        <w:ind w:left="460" w:hanging="457"/>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Leasable square feet; excludes redevelopment square footage not yet placed in service.</w:t>
      </w:r>
    </w:p>
    <w:p>
      <w:pPr>
        <w:spacing w:after="0" w:line="10" w:lineRule="exact"/>
        <w:rPr>
          <w:rFonts w:ascii="Arial" w:cs="Arial" w:eastAsia="Arial" w:hAnsi="Arial"/>
          <w:sz w:val="17"/>
          <w:szCs w:val="17"/>
          <w:color w:val="auto"/>
        </w:rPr>
      </w:pPr>
    </w:p>
    <w:p>
      <w:pPr>
        <w:ind w:left="460" w:right="40" w:hanging="457"/>
        <w:spacing w:after="0" w:line="252"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Overall portfolio statistics at December 31, 2006 include Rollingwood, The Crest at Congressional and the residential units in Buildings Eight (36 units) and Seven (259 units) at Santana Row. Residential units in Buildings Three, Four and Six at Santana Row are excluded from overall portfolio statistics as we have completed closing sales of the units (Buildings Three, Four and Six - 219 units). Overall portfolio statistics at December 31, 2005 included Rollingwood, The Crest at Congressional and the residential units in Building Eight (36 units) at Santana Row. Same center statistics at December 31, 2006 and 2005 include Rollingwood and The Crest at Congressional.</w:t>
      </w:r>
    </w:p>
    <w:p>
      <w:pPr>
        <w:spacing w:after="0" w:line="1" w:lineRule="exact"/>
        <w:rPr>
          <w:rFonts w:ascii="Arial" w:cs="Arial" w:eastAsia="Arial" w:hAnsi="Arial"/>
          <w:sz w:val="17"/>
          <w:szCs w:val="17"/>
          <w:color w:val="auto"/>
        </w:rPr>
      </w:pPr>
    </w:p>
    <w:p>
      <w:pPr>
        <w:ind w:left="460" w:hanging="457"/>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Excludes properties purchased, sold or under redevelopment.</w:t>
      </w:r>
    </w:p>
    <w:p>
      <w:pPr>
        <w:sectPr>
          <w:pgSz w:w="11900" w:h="16838" w:orient="portrait"/>
          <w:cols w:equalWidth="0" w:num="1">
            <w:col w:w="11420"/>
          </w:cols>
          <w:pgMar w:left="240" w:top="268"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Top 25 Tenants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gridSpan w:val="3"/>
          </w:tcPr>
          <w:p>
            <w:pPr>
              <w:spacing w:after="0"/>
              <w:rPr>
                <w:sz w:val="20"/>
                <w:szCs w:val="20"/>
                <w:color w:val="auto"/>
              </w:rPr>
            </w:pPr>
            <w:r>
              <w:rPr>
                <w:rFonts w:ascii="Arial" w:cs="Arial" w:eastAsia="Arial" w:hAnsi="Arial"/>
                <w:sz w:val="13"/>
                <w:szCs w:val="13"/>
                <w:b w:val="1"/>
                <w:bCs w:val="1"/>
                <w:color w:val="auto"/>
              </w:rPr>
              <w:t>Annualized Base</w:t>
            </w:r>
          </w:p>
        </w:tc>
        <w:tc>
          <w:tcPr>
            <w:tcW w:w="14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8"/>
              </w:rPr>
              <w:t>Percentage of</w:t>
            </w: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r>
      <w:tr>
        <w:trPr>
          <w:trHeight w:val="141"/>
        </w:trPr>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940"/>
              <w:spacing w:after="0" w:line="141" w:lineRule="exact"/>
              <w:rPr>
                <w:sz w:val="20"/>
                <w:szCs w:val="20"/>
                <w:color w:val="auto"/>
              </w:rPr>
            </w:pPr>
            <w:r>
              <w:rPr>
                <w:rFonts w:ascii="Arial" w:cs="Arial" w:eastAsia="Arial" w:hAnsi="Arial"/>
                <w:sz w:val="13"/>
                <w:szCs w:val="13"/>
                <w:b w:val="1"/>
                <w:bCs w:val="1"/>
                <w:color w:val="auto"/>
              </w:rPr>
              <w:t>Rent</w:t>
            </w:r>
          </w:p>
        </w:tc>
        <w:tc>
          <w:tcPr>
            <w:tcW w:w="1460" w:type="dxa"/>
            <w:vAlign w:val="bottom"/>
            <w:gridSpan w:val="2"/>
          </w:tcPr>
          <w:p>
            <w:pPr>
              <w:jc w:val="center"/>
              <w:ind w:right="540"/>
              <w:spacing w:after="0" w:line="141" w:lineRule="exact"/>
              <w:rPr>
                <w:sz w:val="20"/>
                <w:szCs w:val="20"/>
                <w:color w:val="auto"/>
              </w:rPr>
            </w:pPr>
            <w:r>
              <w:rPr>
                <w:rFonts w:ascii="Arial" w:cs="Arial" w:eastAsia="Arial" w:hAnsi="Arial"/>
                <w:sz w:val="13"/>
                <w:szCs w:val="13"/>
                <w:b w:val="1"/>
                <w:bCs w:val="1"/>
                <w:color w:val="auto"/>
                <w:w w:val="88"/>
              </w:rPr>
              <w:t>Total Annualized</w:t>
            </w:r>
          </w:p>
        </w:tc>
        <w:tc>
          <w:tcPr>
            <w:tcW w:w="1400" w:type="dxa"/>
            <w:vAlign w:val="bottom"/>
            <w:gridSpan w:val="2"/>
          </w:tcPr>
          <w:p>
            <w:pPr>
              <w:ind w:left="60"/>
              <w:spacing w:after="0" w:line="141" w:lineRule="exact"/>
              <w:rPr>
                <w:sz w:val="20"/>
                <w:szCs w:val="20"/>
                <w:color w:val="auto"/>
              </w:rPr>
            </w:pPr>
            <w:r>
              <w:rPr>
                <w:rFonts w:ascii="Arial" w:cs="Arial" w:eastAsia="Arial" w:hAnsi="Arial"/>
                <w:sz w:val="13"/>
                <w:szCs w:val="13"/>
                <w:b w:val="1"/>
                <w:bCs w:val="1"/>
                <w:color w:val="auto"/>
              </w:rPr>
              <w:t>Tenant GLA</w:t>
            </w:r>
          </w:p>
        </w:tc>
        <w:tc>
          <w:tcPr>
            <w:tcW w:w="1280" w:type="dxa"/>
            <w:vAlign w:val="bottom"/>
            <w:gridSpan w:val="2"/>
          </w:tcPr>
          <w:p>
            <w:pPr>
              <w:jc w:val="right"/>
              <w:ind w:right="540"/>
              <w:spacing w:after="0" w:line="141" w:lineRule="exact"/>
              <w:rPr>
                <w:sz w:val="20"/>
                <w:szCs w:val="20"/>
                <w:color w:val="auto"/>
              </w:rPr>
            </w:pPr>
            <w:r>
              <w:rPr>
                <w:rFonts w:ascii="Arial" w:cs="Arial" w:eastAsia="Arial" w:hAnsi="Arial"/>
                <w:sz w:val="13"/>
                <w:szCs w:val="13"/>
                <w:b w:val="1"/>
                <w:bCs w:val="1"/>
                <w:color w:val="auto"/>
                <w:w w:val="83"/>
              </w:rPr>
              <w:t>Percentage of</w:t>
            </w:r>
          </w:p>
        </w:tc>
        <w:tc>
          <w:tcPr>
            <w:tcW w:w="6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3"/>
              </w:rPr>
              <w:t>Stores</w:t>
            </w:r>
          </w:p>
        </w:tc>
      </w:tr>
      <w:tr>
        <w:trPr>
          <w:trHeight w:val="167"/>
        </w:trPr>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7"/>
              </w:rPr>
              <w:t>Rank</w:t>
            </w:r>
          </w:p>
        </w:tc>
        <w:tc>
          <w:tcPr>
            <w:tcW w:w="180" w:type="dxa"/>
            <w:vAlign w:val="bottom"/>
          </w:tcPr>
          <w:p>
            <w:pPr>
              <w:spacing w:after="0"/>
              <w:rPr>
                <w:sz w:val="14"/>
                <w:szCs w:val="14"/>
                <w:color w:val="auto"/>
              </w:rPr>
            </w:pPr>
          </w:p>
        </w:tc>
        <w:tc>
          <w:tcPr>
            <w:tcW w:w="4240" w:type="dxa"/>
            <w:vAlign w:val="bottom"/>
            <w:gridSpan w:val="2"/>
          </w:tcPr>
          <w:p>
            <w:pPr>
              <w:ind w:left="200"/>
              <w:spacing w:after="0"/>
              <w:rPr>
                <w:sz w:val="20"/>
                <w:szCs w:val="20"/>
                <w:color w:val="auto"/>
              </w:rPr>
            </w:pPr>
            <w:r>
              <w:rPr>
                <w:rFonts w:ascii="Arial" w:cs="Arial" w:eastAsia="Arial" w:hAnsi="Arial"/>
                <w:sz w:val="13"/>
                <w:szCs w:val="13"/>
                <w:b w:val="1"/>
                <w:bCs w:val="1"/>
                <w:color w:val="auto"/>
              </w:rPr>
              <w:t>Tenant Name</w:t>
            </w:r>
          </w:p>
        </w:tc>
        <w:tc>
          <w:tcPr>
            <w:tcW w:w="400" w:type="dxa"/>
            <w:vAlign w:val="bottom"/>
          </w:tcPr>
          <w:p>
            <w:pPr>
              <w:spacing w:after="0"/>
              <w:rPr>
                <w:sz w:val="14"/>
                <w:szCs w:val="14"/>
                <w:color w:val="auto"/>
              </w:rPr>
            </w:pPr>
          </w:p>
        </w:tc>
        <w:tc>
          <w:tcPr>
            <w:tcW w:w="1540" w:type="dxa"/>
            <w:vAlign w:val="bottom"/>
            <w:gridSpan w:val="3"/>
          </w:tcPr>
          <w:p>
            <w:pPr>
              <w:jc w:val="right"/>
              <w:ind w:right="680"/>
              <w:spacing w:after="0"/>
              <w:rPr>
                <w:sz w:val="20"/>
                <w:szCs w:val="20"/>
                <w:color w:val="auto"/>
              </w:rPr>
            </w:pPr>
            <w:r>
              <w:rPr>
                <w:rFonts w:ascii="Arial" w:cs="Arial" w:eastAsia="Arial" w:hAnsi="Arial"/>
                <w:sz w:val="13"/>
                <w:szCs w:val="13"/>
                <w:b w:val="1"/>
                <w:bCs w:val="1"/>
                <w:color w:val="auto"/>
                <w:w w:val="93"/>
              </w:rPr>
              <w:t>(in thousands)</w:t>
            </w:r>
          </w:p>
        </w:tc>
        <w:tc>
          <w:tcPr>
            <w:tcW w:w="14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8"/>
              </w:rPr>
              <w:t>Base Rent</w:t>
            </w:r>
          </w:p>
        </w:tc>
        <w:tc>
          <w:tcPr>
            <w:tcW w:w="14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w w:val="87"/>
              </w:rPr>
              <w:t>(in thousands)</w:t>
            </w:r>
          </w:p>
        </w:tc>
        <w:tc>
          <w:tcPr>
            <w:tcW w:w="128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Total GLA</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4"/>
              </w:rPr>
              <w:t>Leased</w:t>
            </w: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98"/>
        </w:trPr>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7"/>
                <w:szCs w:val="17"/>
                <w:color w:val="auto"/>
              </w:rPr>
            </w:pPr>
          </w:p>
        </w:tc>
        <w:tc>
          <w:tcPr>
            <w:tcW w:w="42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Ahold USA, Inc.</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8,376</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2.47%</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685</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3.64%</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06"/>
        </w:trPr>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4240" w:type="dxa"/>
            <w:vAlign w:val="bottom"/>
            <w:gridSpan w:val="2"/>
          </w:tcPr>
          <w:p>
            <w:pPr>
              <w:ind w:left="200"/>
              <w:spacing w:after="0"/>
              <w:rPr>
                <w:sz w:val="20"/>
                <w:szCs w:val="20"/>
                <w:color w:val="auto"/>
              </w:rPr>
            </w:pPr>
            <w:r>
              <w:rPr>
                <w:rFonts w:ascii="Arial" w:cs="Arial" w:eastAsia="Arial" w:hAnsi="Arial"/>
                <w:sz w:val="17"/>
                <w:szCs w:val="17"/>
                <w:color w:val="auto"/>
              </w:rPr>
              <w:t>Bed, Bath &amp; Beyond, Inc.</w:t>
            </w:r>
          </w:p>
        </w:tc>
        <w:tc>
          <w:tcPr>
            <w:tcW w:w="60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7"/>
                <w:szCs w:val="17"/>
                <w:color w:val="auto"/>
              </w:rPr>
              <w:t>7,681</w:t>
            </w: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2.27%</w:t>
            </w:r>
          </w:p>
        </w:tc>
        <w:tc>
          <w:tcPr>
            <w:tcW w:w="1400" w:type="dxa"/>
            <w:vAlign w:val="bottom"/>
            <w:gridSpan w:val="2"/>
          </w:tcPr>
          <w:p>
            <w:pPr>
              <w:jc w:val="right"/>
              <w:ind w:right="600"/>
              <w:spacing w:after="0"/>
              <w:rPr>
                <w:sz w:val="20"/>
                <w:szCs w:val="20"/>
                <w:color w:val="auto"/>
              </w:rPr>
            </w:pPr>
            <w:r>
              <w:rPr>
                <w:rFonts w:ascii="Arial" w:cs="Arial" w:eastAsia="Arial" w:hAnsi="Arial"/>
                <w:sz w:val="17"/>
                <w:szCs w:val="17"/>
                <w:color w:val="auto"/>
              </w:rPr>
              <w:t>481</w:t>
            </w:r>
          </w:p>
        </w:tc>
        <w:tc>
          <w:tcPr>
            <w:tcW w:w="1280" w:type="dxa"/>
            <w:vAlign w:val="bottom"/>
            <w:gridSpan w:val="2"/>
          </w:tcPr>
          <w:p>
            <w:pPr>
              <w:jc w:val="right"/>
              <w:ind w:right="400"/>
              <w:spacing w:after="0"/>
              <w:rPr>
                <w:sz w:val="20"/>
                <w:szCs w:val="20"/>
                <w:color w:val="auto"/>
              </w:rPr>
            </w:pPr>
            <w:r>
              <w:rPr>
                <w:rFonts w:ascii="Arial" w:cs="Arial" w:eastAsia="Arial" w:hAnsi="Arial"/>
                <w:sz w:val="17"/>
                <w:szCs w:val="17"/>
                <w:color w:val="auto"/>
              </w:rPr>
              <w:t>2.56%</w:t>
            </w:r>
          </w:p>
        </w:tc>
        <w:tc>
          <w:tcPr>
            <w:tcW w:w="6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6"/>
        </w:trPr>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w:t>
            </w:r>
          </w:p>
        </w:tc>
        <w:tc>
          <w:tcPr>
            <w:tcW w:w="42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Gap, Inc.</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6,821</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2.01%</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224</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1.19%</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06"/>
        </w:trPr>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4240" w:type="dxa"/>
            <w:vAlign w:val="bottom"/>
            <w:gridSpan w:val="2"/>
          </w:tcPr>
          <w:p>
            <w:pPr>
              <w:ind w:left="200"/>
              <w:spacing w:after="0"/>
              <w:rPr>
                <w:sz w:val="20"/>
                <w:szCs w:val="20"/>
                <w:color w:val="auto"/>
              </w:rPr>
            </w:pPr>
            <w:r>
              <w:rPr>
                <w:rFonts w:ascii="Arial" w:cs="Arial" w:eastAsia="Arial" w:hAnsi="Arial"/>
                <w:sz w:val="17"/>
                <w:szCs w:val="17"/>
                <w:color w:val="auto"/>
              </w:rPr>
              <w:t>TJX Companies</w:t>
            </w:r>
          </w:p>
        </w:tc>
        <w:tc>
          <w:tcPr>
            <w:tcW w:w="60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7"/>
                <w:szCs w:val="17"/>
                <w:color w:val="auto"/>
              </w:rPr>
              <w:t>6,788</w:t>
            </w: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2.00%</w:t>
            </w:r>
          </w:p>
        </w:tc>
        <w:tc>
          <w:tcPr>
            <w:tcW w:w="1400" w:type="dxa"/>
            <w:vAlign w:val="bottom"/>
            <w:gridSpan w:val="2"/>
          </w:tcPr>
          <w:p>
            <w:pPr>
              <w:jc w:val="right"/>
              <w:ind w:right="600"/>
              <w:spacing w:after="0"/>
              <w:rPr>
                <w:sz w:val="20"/>
                <w:szCs w:val="20"/>
                <w:color w:val="auto"/>
              </w:rPr>
            </w:pPr>
            <w:r>
              <w:rPr>
                <w:rFonts w:ascii="Arial" w:cs="Arial" w:eastAsia="Arial" w:hAnsi="Arial"/>
                <w:sz w:val="17"/>
                <w:szCs w:val="17"/>
                <w:color w:val="auto"/>
              </w:rPr>
              <w:t>589</w:t>
            </w:r>
          </w:p>
        </w:tc>
        <w:tc>
          <w:tcPr>
            <w:tcW w:w="1280" w:type="dxa"/>
            <w:vAlign w:val="bottom"/>
            <w:gridSpan w:val="2"/>
          </w:tcPr>
          <w:p>
            <w:pPr>
              <w:jc w:val="right"/>
              <w:ind w:right="400"/>
              <w:spacing w:after="0"/>
              <w:rPr>
                <w:sz w:val="20"/>
                <w:szCs w:val="20"/>
                <w:color w:val="auto"/>
              </w:rPr>
            </w:pPr>
            <w:r>
              <w:rPr>
                <w:rFonts w:ascii="Arial" w:cs="Arial" w:eastAsia="Arial" w:hAnsi="Arial"/>
                <w:sz w:val="17"/>
                <w:szCs w:val="17"/>
                <w:color w:val="auto"/>
              </w:rPr>
              <w:t>3.13%</w:t>
            </w:r>
          </w:p>
        </w:tc>
        <w:tc>
          <w:tcPr>
            <w:tcW w:w="6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6"/>
        </w:trPr>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42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Safeway, Inc.</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6,639</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1.96%</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481</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2.56%</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bl>
    <w:p>
      <w:pPr>
        <w:ind w:left="700" w:hanging="472"/>
        <w:spacing w:after="0"/>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Supervalu (Acme/Albertson’s/Star Mkt/Shaw’s/Shoppers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3500" w:type="dxa"/>
            <w:vAlign w:val="bottom"/>
            <w:gridSpan w:val="2"/>
          </w:tcPr>
          <w:p>
            <w:pPr>
              <w:ind w:left="200"/>
              <w:spacing w:after="0"/>
              <w:rPr>
                <w:sz w:val="20"/>
                <w:szCs w:val="20"/>
                <w:color w:val="auto"/>
              </w:rPr>
            </w:pPr>
            <w:r>
              <w:rPr>
                <w:rFonts w:ascii="Arial" w:cs="Arial" w:eastAsia="Arial" w:hAnsi="Arial"/>
                <w:sz w:val="17"/>
                <w:szCs w:val="17"/>
                <w:color w:val="auto"/>
              </w:rPr>
              <w:t>Food)</w:t>
            </w:r>
          </w:p>
        </w:tc>
        <w:tc>
          <w:tcPr>
            <w:tcW w:w="138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7"/>
                <w:szCs w:val="17"/>
                <w:color w:val="auto"/>
              </w:rPr>
              <w:t>5,100</w:t>
            </w: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1.51%</w:t>
            </w:r>
          </w:p>
        </w:tc>
        <w:tc>
          <w:tcPr>
            <w:tcW w:w="1400" w:type="dxa"/>
            <w:vAlign w:val="bottom"/>
            <w:gridSpan w:val="2"/>
          </w:tcPr>
          <w:p>
            <w:pPr>
              <w:jc w:val="right"/>
              <w:ind w:right="600"/>
              <w:spacing w:after="0"/>
              <w:rPr>
                <w:sz w:val="20"/>
                <w:szCs w:val="20"/>
                <w:color w:val="auto"/>
              </w:rPr>
            </w:pPr>
            <w:r>
              <w:rPr>
                <w:rFonts w:ascii="Arial" w:cs="Arial" w:eastAsia="Arial" w:hAnsi="Arial"/>
                <w:sz w:val="17"/>
                <w:szCs w:val="17"/>
                <w:color w:val="auto"/>
              </w:rPr>
              <w:t>513</w:t>
            </w:r>
          </w:p>
        </w:tc>
        <w:tc>
          <w:tcPr>
            <w:tcW w:w="1280" w:type="dxa"/>
            <w:vAlign w:val="bottom"/>
            <w:gridSpan w:val="2"/>
          </w:tcPr>
          <w:p>
            <w:pPr>
              <w:jc w:val="right"/>
              <w:ind w:right="400"/>
              <w:spacing w:after="0"/>
              <w:rPr>
                <w:sz w:val="20"/>
                <w:szCs w:val="20"/>
                <w:color w:val="auto"/>
              </w:rPr>
            </w:pPr>
            <w:r>
              <w:rPr>
                <w:rFonts w:ascii="Arial" w:cs="Arial" w:eastAsia="Arial" w:hAnsi="Arial"/>
                <w:sz w:val="17"/>
                <w:szCs w:val="17"/>
                <w:color w:val="auto"/>
              </w:rPr>
              <w:t>2.73%</w:t>
            </w:r>
          </w:p>
        </w:tc>
        <w:tc>
          <w:tcPr>
            <w:tcW w:w="60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6"/>
        </w:trPr>
        <w:tc>
          <w:tcPr>
            <w:tcW w:w="5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7</w:t>
            </w: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Barnes &amp; Noble, Inc.</w:t>
            </w:r>
          </w:p>
        </w:tc>
        <w:tc>
          <w:tcPr>
            <w:tcW w:w="138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3,996</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1.18%</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174</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0.93%</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6"/>
        </w:trPr>
        <w:tc>
          <w:tcPr>
            <w:tcW w:w="500" w:type="dxa"/>
            <w:vAlign w:val="bottom"/>
          </w:tcPr>
          <w:p>
            <w:pPr>
              <w:jc w:val="right"/>
              <w:ind w:right="96"/>
              <w:spacing w:after="0"/>
              <w:rPr>
                <w:sz w:val="20"/>
                <w:szCs w:val="20"/>
                <w:color w:val="auto"/>
              </w:rPr>
            </w:pPr>
            <w:r>
              <w:rPr>
                <w:rFonts w:ascii="Arial" w:cs="Arial" w:eastAsia="Arial" w:hAnsi="Arial"/>
                <w:sz w:val="17"/>
                <w:szCs w:val="17"/>
                <w:color w:val="auto"/>
              </w:rPr>
              <w:t>8</w:t>
            </w:r>
          </w:p>
        </w:tc>
        <w:tc>
          <w:tcPr>
            <w:tcW w:w="3500" w:type="dxa"/>
            <w:vAlign w:val="bottom"/>
            <w:gridSpan w:val="2"/>
          </w:tcPr>
          <w:p>
            <w:pPr>
              <w:ind w:left="200"/>
              <w:spacing w:after="0"/>
              <w:rPr>
                <w:sz w:val="20"/>
                <w:szCs w:val="20"/>
                <w:color w:val="auto"/>
              </w:rPr>
            </w:pPr>
            <w:r>
              <w:rPr>
                <w:rFonts w:ascii="Arial" w:cs="Arial" w:eastAsia="Arial" w:hAnsi="Arial"/>
                <w:sz w:val="17"/>
                <w:szCs w:val="17"/>
                <w:color w:val="auto"/>
              </w:rPr>
              <w:t>CVS Corporation</w:t>
            </w:r>
          </w:p>
        </w:tc>
        <w:tc>
          <w:tcPr>
            <w:tcW w:w="138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7"/>
                <w:szCs w:val="17"/>
                <w:color w:val="auto"/>
              </w:rPr>
              <w:t>3,976</w:t>
            </w: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1.17%</w:t>
            </w:r>
          </w:p>
        </w:tc>
        <w:tc>
          <w:tcPr>
            <w:tcW w:w="1400" w:type="dxa"/>
            <w:vAlign w:val="bottom"/>
            <w:gridSpan w:val="2"/>
          </w:tcPr>
          <w:p>
            <w:pPr>
              <w:jc w:val="right"/>
              <w:ind w:right="600"/>
              <w:spacing w:after="0"/>
              <w:rPr>
                <w:sz w:val="20"/>
                <w:szCs w:val="20"/>
                <w:color w:val="auto"/>
              </w:rPr>
            </w:pPr>
            <w:r>
              <w:rPr>
                <w:rFonts w:ascii="Arial" w:cs="Arial" w:eastAsia="Arial" w:hAnsi="Arial"/>
                <w:sz w:val="17"/>
                <w:szCs w:val="17"/>
                <w:color w:val="auto"/>
              </w:rPr>
              <w:t>151</w:t>
            </w:r>
          </w:p>
        </w:tc>
        <w:tc>
          <w:tcPr>
            <w:tcW w:w="1280" w:type="dxa"/>
            <w:vAlign w:val="bottom"/>
            <w:gridSpan w:val="2"/>
          </w:tcPr>
          <w:p>
            <w:pPr>
              <w:jc w:val="right"/>
              <w:ind w:right="400"/>
              <w:spacing w:after="0"/>
              <w:rPr>
                <w:sz w:val="20"/>
                <w:szCs w:val="20"/>
                <w:color w:val="auto"/>
              </w:rPr>
            </w:pPr>
            <w:r>
              <w:rPr>
                <w:rFonts w:ascii="Arial" w:cs="Arial" w:eastAsia="Arial" w:hAnsi="Arial"/>
                <w:sz w:val="17"/>
                <w:szCs w:val="17"/>
                <w:color w:val="auto"/>
              </w:rPr>
              <w:t>0.80%</w:t>
            </w:r>
          </w:p>
        </w:tc>
        <w:tc>
          <w:tcPr>
            <w:tcW w:w="60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6"/>
        </w:trPr>
        <w:tc>
          <w:tcPr>
            <w:tcW w:w="5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9</w:t>
            </w: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OPNET Technologies, Inc.</w:t>
            </w:r>
          </w:p>
        </w:tc>
        <w:tc>
          <w:tcPr>
            <w:tcW w:w="138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3,460</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1.02%</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83</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0.44%</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6"/>
        </w:trPr>
        <w:tc>
          <w:tcPr>
            <w:tcW w:w="500" w:type="dxa"/>
            <w:vAlign w:val="bottom"/>
          </w:tcPr>
          <w:p>
            <w:pPr>
              <w:jc w:val="right"/>
              <w:ind w:right="96"/>
              <w:spacing w:after="0"/>
              <w:rPr>
                <w:sz w:val="20"/>
                <w:szCs w:val="20"/>
                <w:color w:val="auto"/>
              </w:rPr>
            </w:pPr>
            <w:r>
              <w:rPr>
                <w:rFonts w:ascii="Arial" w:cs="Arial" w:eastAsia="Arial" w:hAnsi="Arial"/>
                <w:sz w:val="17"/>
                <w:szCs w:val="17"/>
                <w:color w:val="auto"/>
              </w:rPr>
              <w:t>10</w:t>
            </w:r>
          </w:p>
        </w:tc>
        <w:tc>
          <w:tcPr>
            <w:tcW w:w="3500" w:type="dxa"/>
            <w:vAlign w:val="bottom"/>
            <w:gridSpan w:val="2"/>
          </w:tcPr>
          <w:p>
            <w:pPr>
              <w:ind w:left="200"/>
              <w:spacing w:after="0"/>
              <w:rPr>
                <w:sz w:val="20"/>
                <w:szCs w:val="20"/>
                <w:color w:val="auto"/>
              </w:rPr>
            </w:pPr>
            <w:r>
              <w:rPr>
                <w:rFonts w:ascii="Arial" w:cs="Arial" w:eastAsia="Arial" w:hAnsi="Arial"/>
                <w:sz w:val="17"/>
                <w:szCs w:val="17"/>
                <w:color w:val="auto"/>
              </w:rPr>
              <w:t>Best Buy Stores, L.P.</w:t>
            </w:r>
          </w:p>
        </w:tc>
        <w:tc>
          <w:tcPr>
            <w:tcW w:w="138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7"/>
                <w:szCs w:val="17"/>
                <w:color w:val="auto"/>
              </w:rPr>
              <w:t>3,394</w:t>
            </w: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1.00%</w:t>
            </w:r>
          </w:p>
        </w:tc>
        <w:tc>
          <w:tcPr>
            <w:tcW w:w="1400" w:type="dxa"/>
            <w:vAlign w:val="bottom"/>
            <w:gridSpan w:val="2"/>
          </w:tcPr>
          <w:p>
            <w:pPr>
              <w:jc w:val="right"/>
              <w:ind w:right="600"/>
              <w:spacing w:after="0"/>
              <w:rPr>
                <w:sz w:val="20"/>
                <w:szCs w:val="20"/>
                <w:color w:val="auto"/>
              </w:rPr>
            </w:pPr>
            <w:r>
              <w:rPr>
                <w:rFonts w:ascii="Arial" w:cs="Arial" w:eastAsia="Arial" w:hAnsi="Arial"/>
                <w:sz w:val="17"/>
                <w:szCs w:val="17"/>
                <w:color w:val="auto"/>
              </w:rPr>
              <w:t>97</w:t>
            </w:r>
          </w:p>
        </w:tc>
        <w:tc>
          <w:tcPr>
            <w:tcW w:w="1280" w:type="dxa"/>
            <w:vAlign w:val="bottom"/>
            <w:gridSpan w:val="2"/>
          </w:tcPr>
          <w:p>
            <w:pPr>
              <w:jc w:val="right"/>
              <w:ind w:right="400"/>
              <w:spacing w:after="0"/>
              <w:rPr>
                <w:sz w:val="20"/>
                <w:szCs w:val="20"/>
                <w:color w:val="auto"/>
              </w:rPr>
            </w:pPr>
            <w:r>
              <w:rPr>
                <w:rFonts w:ascii="Arial" w:cs="Arial" w:eastAsia="Arial" w:hAnsi="Arial"/>
                <w:sz w:val="17"/>
                <w:szCs w:val="17"/>
                <w:color w:val="auto"/>
              </w:rPr>
              <w:t>0.52%</w:t>
            </w:r>
          </w:p>
        </w:tc>
        <w:tc>
          <w:tcPr>
            <w:tcW w:w="60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6"/>
        </w:trPr>
        <w:tc>
          <w:tcPr>
            <w:tcW w:w="5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11</w:t>
            </w: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Kohl’s Corporation</w:t>
            </w:r>
          </w:p>
        </w:tc>
        <w:tc>
          <w:tcPr>
            <w:tcW w:w="138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3,297</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0.97%</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448</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2.38%</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6"/>
        </w:trPr>
        <w:tc>
          <w:tcPr>
            <w:tcW w:w="500" w:type="dxa"/>
            <w:vAlign w:val="bottom"/>
          </w:tcPr>
          <w:p>
            <w:pPr>
              <w:jc w:val="right"/>
              <w:ind w:right="96"/>
              <w:spacing w:after="0"/>
              <w:rPr>
                <w:sz w:val="20"/>
                <w:szCs w:val="20"/>
                <w:color w:val="auto"/>
              </w:rPr>
            </w:pPr>
            <w:r>
              <w:rPr>
                <w:rFonts w:ascii="Arial" w:cs="Arial" w:eastAsia="Arial" w:hAnsi="Arial"/>
                <w:sz w:val="17"/>
                <w:szCs w:val="17"/>
                <w:color w:val="auto"/>
              </w:rPr>
              <w:t>12</w:t>
            </w:r>
          </w:p>
        </w:tc>
        <w:tc>
          <w:tcPr>
            <w:tcW w:w="3500" w:type="dxa"/>
            <w:vAlign w:val="bottom"/>
            <w:gridSpan w:val="2"/>
          </w:tcPr>
          <w:p>
            <w:pPr>
              <w:ind w:left="200"/>
              <w:spacing w:after="0"/>
              <w:rPr>
                <w:sz w:val="20"/>
                <w:szCs w:val="20"/>
                <w:color w:val="auto"/>
              </w:rPr>
            </w:pPr>
            <w:r>
              <w:rPr>
                <w:rFonts w:ascii="Arial" w:cs="Arial" w:eastAsia="Arial" w:hAnsi="Arial"/>
                <w:sz w:val="17"/>
                <w:szCs w:val="17"/>
                <w:color w:val="auto"/>
              </w:rPr>
              <w:t>L.A. Fitness International LLC</w:t>
            </w:r>
          </w:p>
        </w:tc>
        <w:tc>
          <w:tcPr>
            <w:tcW w:w="138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7"/>
                <w:szCs w:val="17"/>
                <w:color w:val="auto"/>
              </w:rPr>
              <w:t>3,212</w:t>
            </w: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0.95%</w:t>
            </w:r>
          </w:p>
        </w:tc>
        <w:tc>
          <w:tcPr>
            <w:tcW w:w="1400" w:type="dxa"/>
            <w:vAlign w:val="bottom"/>
            <w:gridSpan w:val="2"/>
          </w:tcPr>
          <w:p>
            <w:pPr>
              <w:jc w:val="right"/>
              <w:ind w:right="600"/>
              <w:spacing w:after="0"/>
              <w:rPr>
                <w:sz w:val="20"/>
                <w:szCs w:val="20"/>
                <w:color w:val="auto"/>
              </w:rPr>
            </w:pPr>
            <w:r>
              <w:rPr>
                <w:rFonts w:ascii="Arial" w:cs="Arial" w:eastAsia="Arial" w:hAnsi="Arial"/>
                <w:sz w:val="17"/>
                <w:szCs w:val="17"/>
                <w:color w:val="auto"/>
              </w:rPr>
              <w:t>191</w:t>
            </w:r>
          </w:p>
        </w:tc>
        <w:tc>
          <w:tcPr>
            <w:tcW w:w="1280" w:type="dxa"/>
            <w:vAlign w:val="bottom"/>
            <w:gridSpan w:val="2"/>
          </w:tcPr>
          <w:p>
            <w:pPr>
              <w:jc w:val="right"/>
              <w:ind w:right="400"/>
              <w:spacing w:after="0"/>
              <w:rPr>
                <w:sz w:val="20"/>
                <w:szCs w:val="20"/>
                <w:color w:val="auto"/>
              </w:rPr>
            </w:pPr>
            <w:r>
              <w:rPr>
                <w:rFonts w:ascii="Arial" w:cs="Arial" w:eastAsia="Arial" w:hAnsi="Arial"/>
                <w:sz w:val="17"/>
                <w:szCs w:val="17"/>
                <w:color w:val="auto"/>
              </w:rPr>
              <w:t>1.02%</w:t>
            </w:r>
          </w:p>
        </w:tc>
        <w:tc>
          <w:tcPr>
            <w:tcW w:w="60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6"/>
        </w:trPr>
        <w:tc>
          <w:tcPr>
            <w:tcW w:w="5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13</w:t>
            </w: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Wakefern Food Corporation</w:t>
            </w:r>
          </w:p>
        </w:tc>
        <w:tc>
          <w:tcPr>
            <w:tcW w:w="138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3,077</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0.91%</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232</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1.23%</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6"/>
        </w:trPr>
        <w:tc>
          <w:tcPr>
            <w:tcW w:w="500" w:type="dxa"/>
            <w:vAlign w:val="bottom"/>
          </w:tcPr>
          <w:p>
            <w:pPr>
              <w:jc w:val="right"/>
              <w:ind w:right="96"/>
              <w:spacing w:after="0"/>
              <w:rPr>
                <w:sz w:val="20"/>
                <w:szCs w:val="20"/>
                <w:color w:val="auto"/>
              </w:rPr>
            </w:pPr>
            <w:r>
              <w:rPr>
                <w:rFonts w:ascii="Arial" w:cs="Arial" w:eastAsia="Arial" w:hAnsi="Arial"/>
                <w:sz w:val="17"/>
                <w:szCs w:val="17"/>
                <w:color w:val="auto"/>
              </w:rPr>
              <w:t>14</w:t>
            </w:r>
          </w:p>
        </w:tc>
        <w:tc>
          <w:tcPr>
            <w:tcW w:w="3500" w:type="dxa"/>
            <w:vAlign w:val="bottom"/>
            <w:gridSpan w:val="2"/>
          </w:tcPr>
          <w:p>
            <w:pPr>
              <w:ind w:left="200"/>
              <w:spacing w:after="0"/>
              <w:rPr>
                <w:sz w:val="20"/>
                <w:szCs w:val="20"/>
                <w:color w:val="auto"/>
              </w:rPr>
            </w:pPr>
            <w:r>
              <w:rPr>
                <w:rFonts w:ascii="Arial" w:cs="Arial" w:eastAsia="Arial" w:hAnsi="Arial"/>
                <w:sz w:val="17"/>
                <w:szCs w:val="17"/>
                <w:color w:val="auto"/>
              </w:rPr>
              <w:t>Michaels Stores, Inc.</w:t>
            </w:r>
          </w:p>
        </w:tc>
        <w:tc>
          <w:tcPr>
            <w:tcW w:w="138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7"/>
                <w:szCs w:val="17"/>
                <w:color w:val="auto"/>
              </w:rPr>
              <w:t>2,861</w:t>
            </w: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0.84%</w:t>
            </w:r>
          </w:p>
        </w:tc>
        <w:tc>
          <w:tcPr>
            <w:tcW w:w="1400" w:type="dxa"/>
            <w:vAlign w:val="bottom"/>
            <w:gridSpan w:val="2"/>
          </w:tcPr>
          <w:p>
            <w:pPr>
              <w:jc w:val="right"/>
              <w:ind w:right="600"/>
              <w:spacing w:after="0"/>
              <w:rPr>
                <w:sz w:val="20"/>
                <w:szCs w:val="20"/>
                <w:color w:val="auto"/>
              </w:rPr>
            </w:pPr>
            <w:r>
              <w:rPr>
                <w:rFonts w:ascii="Arial" w:cs="Arial" w:eastAsia="Arial" w:hAnsi="Arial"/>
                <w:sz w:val="17"/>
                <w:szCs w:val="17"/>
                <w:color w:val="auto"/>
              </w:rPr>
              <w:t>189</w:t>
            </w:r>
          </w:p>
        </w:tc>
        <w:tc>
          <w:tcPr>
            <w:tcW w:w="1280" w:type="dxa"/>
            <w:vAlign w:val="bottom"/>
            <w:gridSpan w:val="2"/>
          </w:tcPr>
          <w:p>
            <w:pPr>
              <w:jc w:val="right"/>
              <w:ind w:right="400"/>
              <w:spacing w:after="0"/>
              <w:rPr>
                <w:sz w:val="20"/>
                <w:szCs w:val="20"/>
                <w:color w:val="auto"/>
              </w:rPr>
            </w:pPr>
            <w:r>
              <w:rPr>
                <w:rFonts w:ascii="Arial" w:cs="Arial" w:eastAsia="Arial" w:hAnsi="Arial"/>
                <w:sz w:val="17"/>
                <w:szCs w:val="17"/>
                <w:color w:val="auto"/>
              </w:rPr>
              <w:t>1.00%</w:t>
            </w:r>
          </w:p>
        </w:tc>
        <w:tc>
          <w:tcPr>
            <w:tcW w:w="60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6"/>
        </w:trPr>
        <w:tc>
          <w:tcPr>
            <w:tcW w:w="5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15</w:t>
            </w: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Staples, Inc.</w:t>
            </w:r>
          </w:p>
        </w:tc>
        <w:tc>
          <w:tcPr>
            <w:tcW w:w="138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2,836</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0.84%</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148</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0.79%</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6"/>
        </w:trPr>
        <w:tc>
          <w:tcPr>
            <w:tcW w:w="500" w:type="dxa"/>
            <w:vAlign w:val="bottom"/>
          </w:tcPr>
          <w:p>
            <w:pPr>
              <w:jc w:val="right"/>
              <w:ind w:right="96"/>
              <w:spacing w:after="0"/>
              <w:rPr>
                <w:sz w:val="20"/>
                <w:szCs w:val="20"/>
                <w:color w:val="auto"/>
              </w:rPr>
            </w:pPr>
            <w:r>
              <w:rPr>
                <w:rFonts w:ascii="Arial" w:cs="Arial" w:eastAsia="Arial" w:hAnsi="Arial"/>
                <w:sz w:val="17"/>
                <w:szCs w:val="17"/>
                <w:color w:val="auto"/>
              </w:rPr>
              <w:t>16</w:t>
            </w:r>
          </w:p>
        </w:tc>
        <w:tc>
          <w:tcPr>
            <w:tcW w:w="3500" w:type="dxa"/>
            <w:vAlign w:val="bottom"/>
            <w:gridSpan w:val="2"/>
          </w:tcPr>
          <w:p>
            <w:pPr>
              <w:ind w:left="200"/>
              <w:spacing w:after="0"/>
              <w:rPr>
                <w:sz w:val="20"/>
                <w:szCs w:val="20"/>
                <w:color w:val="auto"/>
              </w:rPr>
            </w:pPr>
            <w:r>
              <w:rPr>
                <w:rFonts w:ascii="Arial" w:cs="Arial" w:eastAsia="Arial" w:hAnsi="Arial"/>
                <w:sz w:val="17"/>
                <w:szCs w:val="17"/>
                <w:color w:val="auto"/>
              </w:rPr>
              <w:t>Home Depot, Inc.</w:t>
            </w:r>
          </w:p>
        </w:tc>
        <w:tc>
          <w:tcPr>
            <w:tcW w:w="138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7"/>
                <w:szCs w:val="17"/>
                <w:color w:val="auto"/>
              </w:rPr>
              <w:t>2,832</w:t>
            </w: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0.84%</w:t>
            </w:r>
          </w:p>
        </w:tc>
        <w:tc>
          <w:tcPr>
            <w:tcW w:w="1400" w:type="dxa"/>
            <w:vAlign w:val="bottom"/>
            <w:gridSpan w:val="2"/>
          </w:tcPr>
          <w:p>
            <w:pPr>
              <w:jc w:val="right"/>
              <w:ind w:right="600"/>
              <w:spacing w:after="0"/>
              <w:rPr>
                <w:sz w:val="20"/>
                <w:szCs w:val="20"/>
                <w:color w:val="auto"/>
              </w:rPr>
            </w:pPr>
            <w:r>
              <w:rPr>
                <w:rFonts w:ascii="Arial" w:cs="Arial" w:eastAsia="Arial" w:hAnsi="Arial"/>
                <w:sz w:val="17"/>
                <w:szCs w:val="17"/>
                <w:color w:val="auto"/>
              </w:rPr>
              <w:t>335</w:t>
            </w:r>
          </w:p>
        </w:tc>
        <w:tc>
          <w:tcPr>
            <w:tcW w:w="1280" w:type="dxa"/>
            <w:vAlign w:val="bottom"/>
            <w:gridSpan w:val="2"/>
          </w:tcPr>
          <w:p>
            <w:pPr>
              <w:jc w:val="right"/>
              <w:ind w:right="400"/>
              <w:spacing w:after="0"/>
              <w:rPr>
                <w:sz w:val="20"/>
                <w:szCs w:val="20"/>
                <w:color w:val="auto"/>
              </w:rPr>
            </w:pPr>
            <w:r>
              <w:rPr>
                <w:rFonts w:ascii="Arial" w:cs="Arial" w:eastAsia="Arial" w:hAnsi="Arial"/>
                <w:sz w:val="17"/>
                <w:szCs w:val="17"/>
                <w:color w:val="auto"/>
              </w:rPr>
              <w:t>1.78%</w:t>
            </w:r>
          </w:p>
        </w:tc>
        <w:tc>
          <w:tcPr>
            <w:tcW w:w="60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6"/>
        </w:trPr>
        <w:tc>
          <w:tcPr>
            <w:tcW w:w="5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17</w:t>
            </w: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Borders Group, Inc.</w:t>
            </w:r>
          </w:p>
        </w:tc>
        <w:tc>
          <w:tcPr>
            <w:tcW w:w="138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2,759</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0.81%</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129</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0.69%</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6"/>
        </w:trPr>
        <w:tc>
          <w:tcPr>
            <w:tcW w:w="500" w:type="dxa"/>
            <w:vAlign w:val="bottom"/>
          </w:tcPr>
          <w:p>
            <w:pPr>
              <w:jc w:val="right"/>
              <w:ind w:right="96"/>
              <w:spacing w:after="0"/>
              <w:rPr>
                <w:sz w:val="20"/>
                <w:szCs w:val="20"/>
                <w:color w:val="auto"/>
              </w:rPr>
            </w:pPr>
            <w:r>
              <w:rPr>
                <w:rFonts w:ascii="Arial" w:cs="Arial" w:eastAsia="Arial" w:hAnsi="Arial"/>
                <w:sz w:val="17"/>
                <w:szCs w:val="17"/>
                <w:color w:val="auto"/>
              </w:rPr>
              <w:t>18</w:t>
            </w:r>
          </w:p>
        </w:tc>
        <w:tc>
          <w:tcPr>
            <w:tcW w:w="3500" w:type="dxa"/>
            <w:vAlign w:val="bottom"/>
            <w:gridSpan w:val="2"/>
          </w:tcPr>
          <w:p>
            <w:pPr>
              <w:ind w:left="200"/>
              <w:spacing w:after="0"/>
              <w:rPr>
                <w:sz w:val="20"/>
                <w:szCs w:val="20"/>
                <w:color w:val="auto"/>
              </w:rPr>
            </w:pPr>
            <w:r>
              <w:rPr>
                <w:rFonts w:ascii="Arial" w:cs="Arial" w:eastAsia="Arial" w:hAnsi="Arial"/>
                <w:sz w:val="17"/>
                <w:szCs w:val="17"/>
                <w:color w:val="auto"/>
              </w:rPr>
              <w:t>DSW</w:t>
            </w:r>
          </w:p>
        </w:tc>
        <w:tc>
          <w:tcPr>
            <w:tcW w:w="138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7"/>
                <w:szCs w:val="17"/>
                <w:color w:val="auto"/>
              </w:rPr>
              <w:t>2,626</w:t>
            </w: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0.77%</w:t>
            </w:r>
          </w:p>
        </w:tc>
        <w:tc>
          <w:tcPr>
            <w:tcW w:w="1400" w:type="dxa"/>
            <w:vAlign w:val="bottom"/>
            <w:gridSpan w:val="2"/>
          </w:tcPr>
          <w:p>
            <w:pPr>
              <w:jc w:val="right"/>
              <w:ind w:right="600"/>
              <w:spacing w:after="0"/>
              <w:rPr>
                <w:sz w:val="20"/>
                <w:szCs w:val="20"/>
                <w:color w:val="auto"/>
              </w:rPr>
            </w:pPr>
            <w:r>
              <w:rPr>
                <w:rFonts w:ascii="Arial" w:cs="Arial" w:eastAsia="Arial" w:hAnsi="Arial"/>
                <w:sz w:val="17"/>
                <w:szCs w:val="17"/>
                <w:color w:val="auto"/>
              </w:rPr>
              <w:t>109</w:t>
            </w:r>
          </w:p>
        </w:tc>
        <w:tc>
          <w:tcPr>
            <w:tcW w:w="1280" w:type="dxa"/>
            <w:vAlign w:val="bottom"/>
            <w:gridSpan w:val="2"/>
          </w:tcPr>
          <w:p>
            <w:pPr>
              <w:jc w:val="right"/>
              <w:ind w:right="400"/>
              <w:spacing w:after="0"/>
              <w:rPr>
                <w:sz w:val="20"/>
                <w:szCs w:val="20"/>
                <w:color w:val="auto"/>
              </w:rPr>
            </w:pPr>
            <w:r>
              <w:rPr>
                <w:rFonts w:ascii="Arial" w:cs="Arial" w:eastAsia="Arial" w:hAnsi="Arial"/>
                <w:sz w:val="17"/>
                <w:szCs w:val="17"/>
                <w:color w:val="auto"/>
              </w:rPr>
              <w:t>0.58%</w:t>
            </w:r>
          </w:p>
        </w:tc>
        <w:tc>
          <w:tcPr>
            <w:tcW w:w="60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6"/>
        </w:trPr>
        <w:tc>
          <w:tcPr>
            <w:tcW w:w="5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19</w:t>
            </w: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Dollar Tree Stores, Inc.</w:t>
            </w:r>
          </w:p>
        </w:tc>
        <w:tc>
          <w:tcPr>
            <w:tcW w:w="138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2,624</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0.77%</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197</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1.05%</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6"/>
        </w:trPr>
        <w:tc>
          <w:tcPr>
            <w:tcW w:w="500" w:type="dxa"/>
            <w:vAlign w:val="bottom"/>
          </w:tcPr>
          <w:p>
            <w:pPr>
              <w:jc w:val="right"/>
              <w:ind w:right="96"/>
              <w:spacing w:after="0"/>
              <w:rPr>
                <w:sz w:val="20"/>
                <w:szCs w:val="20"/>
                <w:color w:val="auto"/>
              </w:rPr>
            </w:pPr>
            <w:r>
              <w:rPr>
                <w:rFonts w:ascii="Arial" w:cs="Arial" w:eastAsia="Arial" w:hAnsi="Arial"/>
                <w:sz w:val="17"/>
                <w:szCs w:val="17"/>
                <w:color w:val="auto"/>
              </w:rPr>
              <w:t>20</w:t>
            </w:r>
          </w:p>
        </w:tc>
        <w:tc>
          <w:tcPr>
            <w:tcW w:w="3500" w:type="dxa"/>
            <w:vAlign w:val="bottom"/>
            <w:gridSpan w:val="2"/>
          </w:tcPr>
          <w:p>
            <w:pPr>
              <w:ind w:left="200"/>
              <w:spacing w:after="0"/>
              <w:rPr>
                <w:sz w:val="20"/>
                <w:szCs w:val="20"/>
                <w:color w:val="auto"/>
              </w:rPr>
            </w:pPr>
            <w:r>
              <w:rPr>
                <w:rFonts w:ascii="Arial" w:cs="Arial" w:eastAsia="Arial" w:hAnsi="Arial"/>
                <w:sz w:val="17"/>
                <w:szCs w:val="17"/>
                <w:color w:val="auto"/>
              </w:rPr>
              <w:t>CompUSA, Inc.</w:t>
            </w:r>
          </w:p>
        </w:tc>
        <w:tc>
          <w:tcPr>
            <w:tcW w:w="138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7"/>
                <w:szCs w:val="17"/>
                <w:color w:val="auto"/>
              </w:rPr>
              <w:t>2,499</w:t>
            </w: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0.74%</w:t>
            </w:r>
          </w:p>
        </w:tc>
        <w:tc>
          <w:tcPr>
            <w:tcW w:w="1400" w:type="dxa"/>
            <w:vAlign w:val="bottom"/>
            <w:gridSpan w:val="2"/>
          </w:tcPr>
          <w:p>
            <w:pPr>
              <w:jc w:val="right"/>
              <w:ind w:right="600"/>
              <w:spacing w:after="0"/>
              <w:rPr>
                <w:sz w:val="20"/>
                <w:szCs w:val="20"/>
                <w:color w:val="auto"/>
              </w:rPr>
            </w:pPr>
            <w:r>
              <w:rPr>
                <w:rFonts w:ascii="Arial" w:cs="Arial" w:eastAsia="Arial" w:hAnsi="Arial"/>
                <w:sz w:val="17"/>
                <w:szCs w:val="17"/>
                <w:color w:val="auto"/>
              </w:rPr>
              <w:t>134</w:t>
            </w:r>
          </w:p>
        </w:tc>
        <w:tc>
          <w:tcPr>
            <w:tcW w:w="1280" w:type="dxa"/>
            <w:vAlign w:val="bottom"/>
            <w:gridSpan w:val="2"/>
          </w:tcPr>
          <w:p>
            <w:pPr>
              <w:jc w:val="right"/>
              <w:ind w:right="400"/>
              <w:spacing w:after="0"/>
              <w:rPr>
                <w:sz w:val="20"/>
                <w:szCs w:val="20"/>
                <w:color w:val="auto"/>
              </w:rPr>
            </w:pPr>
            <w:r>
              <w:rPr>
                <w:rFonts w:ascii="Arial" w:cs="Arial" w:eastAsia="Arial" w:hAnsi="Arial"/>
                <w:sz w:val="17"/>
                <w:szCs w:val="17"/>
                <w:color w:val="auto"/>
              </w:rPr>
              <w:t>0.71%</w:t>
            </w:r>
          </w:p>
        </w:tc>
        <w:tc>
          <w:tcPr>
            <w:tcW w:w="60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6"/>
        </w:trPr>
        <w:tc>
          <w:tcPr>
            <w:tcW w:w="5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21</w:t>
            </w: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Great Atlantic &amp; Pacific Tea Co</w:t>
            </w:r>
          </w:p>
        </w:tc>
        <w:tc>
          <w:tcPr>
            <w:tcW w:w="138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2,467</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0.73%</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244</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1.30%</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6"/>
        </w:trPr>
        <w:tc>
          <w:tcPr>
            <w:tcW w:w="500" w:type="dxa"/>
            <w:vAlign w:val="bottom"/>
          </w:tcPr>
          <w:p>
            <w:pPr>
              <w:jc w:val="right"/>
              <w:ind w:right="96"/>
              <w:spacing w:after="0"/>
              <w:rPr>
                <w:sz w:val="20"/>
                <w:szCs w:val="20"/>
                <w:color w:val="auto"/>
              </w:rPr>
            </w:pPr>
            <w:r>
              <w:rPr>
                <w:rFonts w:ascii="Arial" w:cs="Arial" w:eastAsia="Arial" w:hAnsi="Arial"/>
                <w:sz w:val="17"/>
                <w:szCs w:val="17"/>
                <w:color w:val="auto"/>
              </w:rPr>
              <w:t>22</w:t>
            </w:r>
          </w:p>
        </w:tc>
        <w:tc>
          <w:tcPr>
            <w:tcW w:w="3500" w:type="dxa"/>
            <w:vAlign w:val="bottom"/>
            <w:gridSpan w:val="2"/>
          </w:tcPr>
          <w:p>
            <w:pPr>
              <w:ind w:left="200"/>
              <w:spacing w:after="0"/>
              <w:rPr>
                <w:sz w:val="20"/>
                <w:szCs w:val="20"/>
                <w:color w:val="auto"/>
              </w:rPr>
            </w:pPr>
            <w:r>
              <w:rPr>
                <w:rFonts w:ascii="Arial" w:cs="Arial" w:eastAsia="Arial" w:hAnsi="Arial"/>
                <w:sz w:val="17"/>
                <w:szCs w:val="17"/>
                <w:color w:val="auto"/>
              </w:rPr>
              <w:t>Ross Stores, Inc.</w:t>
            </w:r>
          </w:p>
        </w:tc>
        <w:tc>
          <w:tcPr>
            <w:tcW w:w="138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7"/>
                <w:szCs w:val="17"/>
                <w:color w:val="auto"/>
              </w:rPr>
              <w:t>2,432</w:t>
            </w: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0.72%</w:t>
            </w:r>
          </w:p>
        </w:tc>
        <w:tc>
          <w:tcPr>
            <w:tcW w:w="1400" w:type="dxa"/>
            <w:vAlign w:val="bottom"/>
            <w:gridSpan w:val="2"/>
          </w:tcPr>
          <w:p>
            <w:pPr>
              <w:jc w:val="right"/>
              <w:ind w:right="600"/>
              <w:spacing w:after="0"/>
              <w:rPr>
                <w:sz w:val="20"/>
                <w:szCs w:val="20"/>
                <w:color w:val="auto"/>
              </w:rPr>
            </w:pPr>
            <w:r>
              <w:rPr>
                <w:rFonts w:ascii="Arial" w:cs="Arial" w:eastAsia="Arial" w:hAnsi="Arial"/>
                <w:sz w:val="17"/>
                <w:szCs w:val="17"/>
                <w:color w:val="auto"/>
              </w:rPr>
              <w:t>149</w:t>
            </w:r>
          </w:p>
        </w:tc>
        <w:tc>
          <w:tcPr>
            <w:tcW w:w="1280" w:type="dxa"/>
            <w:vAlign w:val="bottom"/>
            <w:gridSpan w:val="2"/>
          </w:tcPr>
          <w:p>
            <w:pPr>
              <w:jc w:val="right"/>
              <w:ind w:right="400"/>
              <w:spacing w:after="0"/>
              <w:rPr>
                <w:sz w:val="20"/>
                <w:szCs w:val="20"/>
                <w:color w:val="auto"/>
              </w:rPr>
            </w:pPr>
            <w:r>
              <w:rPr>
                <w:rFonts w:ascii="Arial" w:cs="Arial" w:eastAsia="Arial" w:hAnsi="Arial"/>
                <w:sz w:val="17"/>
                <w:szCs w:val="17"/>
                <w:color w:val="auto"/>
              </w:rPr>
              <w:t>0.79%</w:t>
            </w:r>
          </w:p>
        </w:tc>
        <w:tc>
          <w:tcPr>
            <w:tcW w:w="60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6"/>
        </w:trPr>
        <w:tc>
          <w:tcPr>
            <w:tcW w:w="5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23</w:t>
            </w: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Office Depot, Inc.</w:t>
            </w:r>
          </w:p>
        </w:tc>
        <w:tc>
          <w:tcPr>
            <w:tcW w:w="138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2,421</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0.71%</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163</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0.87%</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6"/>
        </w:trPr>
        <w:tc>
          <w:tcPr>
            <w:tcW w:w="500" w:type="dxa"/>
            <w:vAlign w:val="bottom"/>
          </w:tcPr>
          <w:p>
            <w:pPr>
              <w:jc w:val="right"/>
              <w:ind w:right="96"/>
              <w:spacing w:after="0"/>
              <w:rPr>
                <w:sz w:val="20"/>
                <w:szCs w:val="20"/>
                <w:color w:val="auto"/>
              </w:rPr>
            </w:pPr>
            <w:r>
              <w:rPr>
                <w:rFonts w:ascii="Arial" w:cs="Arial" w:eastAsia="Arial" w:hAnsi="Arial"/>
                <w:sz w:val="17"/>
                <w:szCs w:val="17"/>
                <w:color w:val="auto"/>
              </w:rPr>
              <w:t>24</w:t>
            </w:r>
          </w:p>
        </w:tc>
        <w:tc>
          <w:tcPr>
            <w:tcW w:w="3500" w:type="dxa"/>
            <w:vAlign w:val="bottom"/>
            <w:gridSpan w:val="2"/>
          </w:tcPr>
          <w:p>
            <w:pPr>
              <w:ind w:left="200"/>
              <w:spacing w:after="0"/>
              <w:rPr>
                <w:sz w:val="20"/>
                <w:szCs w:val="20"/>
                <w:color w:val="auto"/>
              </w:rPr>
            </w:pPr>
            <w:r>
              <w:rPr>
                <w:rFonts w:ascii="Arial" w:cs="Arial" w:eastAsia="Arial" w:hAnsi="Arial"/>
                <w:sz w:val="17"/>
                <w:szCs w:val="17"/>
                <w:color w:val="auto"/>
              </w:rPr>
              <w:t>Container Store, Inc.</w:t>
            </w:r>
          </w:p>
        </w:tc>
        <w:tc>
          <w:tcPr>
            <w:tcW w:w="138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7"/>
                <w:szCs w:val="17"/>
                <w:color w:val="auto"/>
              </w:rPr>
              <w:t>2,354</w:t>
            </w: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0.69%</w:t>
            </w:r>
          </w:p>
        </w:tc>
        <w:tc>
          <w:tcPr>
            <w:tcW w:w="1400" w:type="dxa"/>
            <w:vAlign w:val="bottom"/>
            <w:gridSpan w:val="2"/>
          </w:tcPr>
          <w:p>
            <w:pPr>
              <w:jc w:val="right"/>
              <w:ind w:right="600"/>
              <w:spacing w:after="0"/>
              <w:rPr>
                <w:sz w:val="20"/>
                <w:szCs w:val="20"/>
                <w:color w:val="auto"/>
              </w:rPr>
            </w:pPr>
            <w:r>
              <w:rPr>
                <w:rFonts w:ascii="Arial" w:cs="Arial" w:eastAsia="Arial" w:hAnsi="Arial"/>
                <w:sz w:val="17"/>
                <w:szCs w:val="17"/>
                <w:color w:val="auto"/>
              </w:rPr>
              <w:t>52</w:t>
            </w:r>
          </w:p>
        </w:tc>
        <w:tc>
          <w:tcPr>
            <w:tcW w:w="1280" w:type="dxa"/>
            <w:vAlign w:val="bottom"/>
            <w:gridSpan w:val="2"/>
          </w:tcPr>
          <w:p>
            <w:pPr>
              <w:jc w:val="right"/>
              <w:ind w:right="400"/>
              <w:spacing w:after="0"/>
              <w:rPr>
                <w:sz w:val="20"/>
                <w:szCs w:val="20"/>
                <w:color w:val="auto"/>
              </w:rPr>
            </w:pPr>
            <w:r>
              <w:rPr>
                <w:rFonts w:ascii="Arial" w:cs="Arial" w:eastAsia="Arial" w:hAnsi="Arial"/>
                <w:sz w:val="17"/>
                <w:szCs w:val="17"/>
                <w:color w:val="auto"/>
              </w:rPr>
              <w:t>0.28%</w:t>
            </w:r>
          </w:p>
        </w:tc>
        <w:tc>
          <w:tcPr>
            <w:tcW w:w="60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6"/>
        </w:trPr>
        <w:tc>
          <w:tcPr>
            <w:tcW w:w="5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25</w:t>
            </w: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Petco Animal Supplies, Inc.</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2,254</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0.67%</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104</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0.55%</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500" w:type="dxa"/>
            <w:vAlign w:val="bottom"/>
            <w:gridSpan w:val="2"/>
            <w:vMerge w:val="restart"/>
          </w:tcPr>
          <w:p>
            <w:pPr>
              <w:ind w:left="200"/>
              <w:spacing w:after="0"/>
              <w:rPr>
                <w:sz w:val="20"/>
                <w:szCs w:val="20"/>
                <w:color w:val="auto"/>
              </w:rPr>
            </w:pPr>
            <w:r>
              <w:rPr>
                <w:rFonts w:ascii="Arial" w:cs="Arial" w:eastAsia="Arial" w:hAnsi="Arial"/>
                <w:sz w:val="17"/>
                <w:szCs w:val="17"/>
                <w:color w:val="auto"/>
              </w:rPr>
              <w:t>Totals - Top 25 Tenants</w:t>
            </w:r>
          </w:p>
        </w:tc>
        <w:tc>
          <w:tcPr>
            <w:tcW w:w="1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0" w:type="dxa"/>
            <w:vAlign w:val="bottom"/>
          </w:tcPr>
          <w:p>
            <w:pPr>
              <w:spacing w:after="0"/>
              <w:rPr>
                <w:sz w:val="18"/>
                <w:szCs w:val="18"/>
                <w:color w:val="auto"/>
              </w:rPr>
            </w:pPr>
          </w:p>
        </w:tc>
        <w:tc>
          <w:tcPr>
            <w:tcW w:w="350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20"/>
              <w:spacing w:after="0"/>
              <w:rPr>
                <w:sz w:val="20"/>
                <w:szCs w:val="20"/>
                <w:color w:val="auto"/>
              </w:rPr>
            </w:pPr>
            <w:r>
              <w:rPr>
                <w:rFonts w:ascii="Arial" w:cs="Arial" w:eastAsia="Arial" w:hAnsi="Arial"/>
                <w:sz w:val="17"/>
                <w:szCs w:val="17"/>
                <w:color w:val="auto"/>
              </w:rPr>
              <w:t>96,782</w:t>
            </w:r>
          </w:p>
        </w:tc>
        <w:tc>
          <w:tcPr>
            <w:tcW w:w="1460" w:type="dxa"/>
            <w:vAlign w:val="bottom"/>
            <w:gridSpan w:val="2"/>
          </w:tcPr>
          <w:p>
            <w:pPr>
              <w:jc w:val="right"/>
              <w:ind w:right="400"/>
              <w:spacing w:after="0"/>
              <w:rPr>
                <w:sz w:val="20"/>
                <w:szCs w:val="20"/>
                <w:color w:val="auto"/>
              </w:rPr>
            </w:pPr>
            <w:r>
              <w:rPr>
                <w:rFonts w:ascii="Arial" w:cs="Arial" w:eastAsia="Arial" w:hAnsi="Arial"/>
                <w:sz w:val="17"/>
                <w:szCs w:val="17"/>
                <w:color w:val="auto"/>
              </w:rPr>
              <w:t>28.55%</w:t>
            </w:r>
          </w:p>
        </w:tc>
        <w:tc>
          <w:tcPr>
            <w:tcW w:w="1400" w:type="dxa"/>
            <w:vAlign w:val="bottom"/>
            <w:gridSpan w:val="2"/>
          </w:tcPr>
          <w:p>
            <w:pPr>
              <w:jc w:val="right"/>
              <w:ind w:right="600"/>
              <w:spacing w:after="0"/>
              <w:rPr>
                <w:sz w:val="20"/>
                <w:szCs w:val="20"/>
                <w:color w:val="auto"/>
              </w:rPr>
            </w:pPr>
            <w:r>
              <w:rPr>
                <w:rFonts w:ascii="Arial" w:cs="Arial" w:eastAsia="Arial" w:hAnsi="Arial"/>
                <w:sz w:val="17"/>
                <w:szCs w:val="17"/>
                <w:color w:val="auto"/>
              </w:rPr>
              <w:t>6,302</w:t>
            </w:r>
          </w:p>
        </w:tc>
        <w:tc>
          <w:tcPr>
            <w:tcW w:w="1280" w:type="dxa"/>
            <w:vAlign w:val="bottom"/>
            <w:gridSpan w:val="2"/>
          </w:tcPr>
          <w:p>
            <w:pPr>
              <w:jc w:val="right"/>
              <w:ind w:right="400"/>
              <w:spacing w:after="0"/>
              <w:rPr>
                <w:sz w:val="20"/>
                <w:szCs w:val="20"/>
                <w:color w:val="auto"/>
              </w:rPr>
            </w:pPr>
            <w:r>
              <w:rPr>
                <w:rFonts w:ascii="Arial" w:cs="Arial" w:eastAsia="Arial" w:hAnsi="Arial"/>
                <w:sz w:val="17"/>
                <w:szCs w:val="17"/>
                <w:color w:val="auto"/>
              </w:rPr>
              <w:t>33.52%</w:t>
            </w:r>
          </w:p>
        </w:tc>
        <w:tc>
          <w:tcPr>
            <w:tcW w:w="600" w:type="dxa"/>
            <w:vAlign w:val="bottom"/>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0" w:type="dxa"/>
            <w:vAlign w:val="bottom"/>
            <w:shd w:val="clear" w:color="auto" w:fill="CCEEFF"/>
          </w:tcPr>
          <w:p>
            <w:pPr>
              <w:spacing w:after="0"/>
              <w:rPr>
                <w:sz w:val="17"/>
                <w:szCs w:val="17"/>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138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338,853(1)</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18,800(2)</w:t>
            </w: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2,349</w:t>
            </w:r>
          </w:p>
        </w:tc>
        <w:tc>
          <w:tcPr>
            <w:tcW w:w="0" w:type="dxa"/>
            <w:vAlign w:val="bottom"/>
          </w:tcPr>
          <w:p>
            <w:pPr>
              <w:spacing w:after="0"/>
              <w:rPr>
                <w:sz w:val="1"/>
                <w:szCs w:val="1"/>
                <w:color w:val="auto"/>
              </w:rPr>
            </w:pPr>
          </w:p>
        </w:tc>
      </w:tr>
      <w:tr>
        <w:trPr>
          <w:trHeight w:val="103"/>
        </w:trPr>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7" w:lineRule="exact"/>
        <w:rPr>
          <w:sz w:val="20"/>
          <w:szCs w:val="20"/>
          <w:color w:val="auto"/>
        </w:rPr>
      </w:pPr>
    </w:p>
    <w:p>
      <w:pPr>
        <w:ind w:left="460" w:hanging="457"/>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Reflects annual in-place contractual (cash-basis) rent as of December 31, 2006.</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Excludes redevelopment square footage not yet placed in service.</w:t>
      </w:r>
    </w:p>
    <w:p>
      <w:pPr>
        <w:sectPr>
          <w:pgSz w:w="11900" w:h="16838" w:orient="portrait"/>
          <w:cols w:equalWidth="0" w:num="1">
            <w:col w:w="11420"/>
          </w:cols>
          <w:pgMar w:left="240" w:top="268"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Income to FFO Guidance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23"/>
              <w:spacing w:after="0"/>
              <w:rPr>
                <w:sz w:val="20"/>
                <w:szCs w:val="20"/>
                <w:color w:val="auto"/>
              </w:rPr>
            </w:pPr>
            <w:r>
              <w:rPr>
                <w:rFonts w:ascii="Arial" w:cs="Arial" w:eastAsia="Arial" w:hAnsi="Arial"/>
                <w:sz w:val="13"/>
                <w:szCs w:val="13"/>
                <w:b w:val="1"/>
                <w:bCs w:val="1"/>
                <w:color w:val="auto"/>
                <w:w w:val="89"/>
              </w:rPr>
              <w:t>2007 Guidance</w:t>
            </w: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gridSpan w:val="5"/>
          </w:tcPr>
          <w:p>
            <w:pPr>
              <w:jc w:val="center"/>
              <w:ind w:right="76"/>
              <w:spacing w:after="0"/>
              <w:rPr>
                <w:sz w:val="20"/>
                <w:szCs w:val="20"/>
                <w:color w:val="auto"/>
              </w:rPr>
            </w:pPr>
            <w:r>
              <w:rPr>
                <w:rFonts w:ascii="Arial" w:cs="Arial" w:eastAsia="Arial" w:hAnsi="Arial"/>
                <w:sz w:val="13"/>
                <w:szCs w:val="13"/>
                <w:b w:val="1"/>
                <w:bCs w:val="1"/>
                <w:color w:val="auto"/>
                <w:w w:val="87"/>
              </w:rPr>
              <w:t>(in millions except per share amounts) (1)</w:t>
            </w:r>
          </w:p>
        </w:tc>
        <w:tc>
          <w:tcPr>
            <w:tcW w:w="0" w:type="dxa"/>
            <w:vAlign w:val="bottom"/>
          </w:tcPr>
          <w:p>
            <w:pPr>
              <w:spacing w:after="0"/>
              <w:rPr>
                <w:sz w:val="1"/>
                <w:szCs w:val="1"/>
                <w:color w:val="auto"/>
              </w:rPr>
            </w:pPr>
          </w:p>
        </w:tc>
      </w:tr>
      <w:tr>
        <w:trPr>
          <w:trHeight w:val="78"/>
        </w:trPr>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9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to</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Gain on sale of real estate</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&amp; joint venture assets</w:t>
            </w: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Amortization of initial direct costs of leases</w:t>
            </w:r>
          </w:p>
        </w:tc>
        <w:tc>
          <w:tcPr>
            <w:tcW w:w="1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Income attributable to operating partnership units</w:t>
            </w:r>
          </w:p>
        </w:tc>
        <w:tc>
          <w:tcPr>
            <w:tcW w:w="1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Funds from operations available for common shareholders</w:t>
            </w:r>
          </w:p>
        </w:tc>
        <w:tc>
          <w:tcPr>
            <w:tcW w:w="13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0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to</w:t>
            </w:r>
          </w:p>
        </w:tc>
        <w:tc>
          <w:tcPr>
            <w:tcW w:w="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0" w:type="dxa"/>
            <w:vAlign w:val="bottom"/>
            <w:gridSpan w:val="2"/>
            <w:vMerge w:val="restart"/>
          </w:tcPr>
          <w:p>
            <w:pPr>
              <w:spacing w:after="0"/>
              <w:rPr>
                <w:sz w:val="20"/>
                <w:szCs w:val="20"/>
                <w:color w:val="auto"/>
              </w:rPr>
            </w:pPr>
            <w:r>
              <w:rPr>
                <w:rFonts w:ascii="Arial" w:cs="Arial" w:eastAsia="Arial" w:hAnsi="Arial"/>
                <w:sz w:val="17"/>
                <w:szCs w:val="17"/>
                <w:color w:val="auto"/>
              </w:rPr>
              <w:t>Weighted Average Shares (diluted)</w:t>
            </w: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0" w:type="dxa"/>
            <w:vAlign w:val="bottom"/>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Funds from operations available for common shareholders per diluted share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0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108"/>
        </w:trPr>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9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20" w:type="dxa"/>
            <w:vAlign w:val="bottom"/>
            <w:gridSpan w:val="2"/>
          </w:tcPr>
          <w:p>
            <w:pPr>
              <w:spacing w:after="0"/>
              <w:rPr>
                <w:sz w:val="20"/>
                <w:szCs w:val="20"/>
                <w:color w:val="auto"/>
              </w:rPr>
            </w:pPr>
            <w:r>
              <w:rPr>
                <w:rFonts w:ascii="Arial" w:cs="Arial" w:eastAsia="Arial" w:hAnsi="Arial"/>
                <w:sz w:val="17"/>
                <w:szCs w:val="17"/>
                <w:color w:val="auto"/>
                <w:w w:val="98"/>
              </w:rPr>
              <w:t>Note:</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c>
          <w:tcPr>
            <w:tcW w:w="6440" w:type="dxa"/>
            <w:vAlign w:val="bottom"/>
            <w:gridSpan w:val="3"/>
          </w:tcPr>
          <w:p>
            <w:pPr>
              <w:ind w:left="40"/>
              <w:spacing w:after="0"/>
              <w:rPr>
                <w:sz w:val="20"/>
                <w:szCs w:val="20"/>
                <w:color w:val="auto"/>
              </w:rPr>
            </w:pPr>
            <w:r>
              <w:rPr>
                <w:rFonts w:ascii="Arial" w:cs="Arial" w:eastAsia="Arial" w:hAnsi="Arial"/>
                <w:sz w:val="17"/>
                <w:szCs w:val="17"/>
                <w:color w:val="auto"/>
              </w:rPr>
              <w:t>Individual items may not add up to total due to rounding.</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68" w:right="69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Venture Disclosure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153" w:lineRule="exact"/>
        <w:rPr>
          <w:sz w:val="20"/>
          <w:szCs w:val="20"/>
          <w:color w:val="auto"/>
        </w:rPr>
      </w:pPr>
    </w:p>
    <w:p>
      <w:pPr>
        <w:jc w:val="right"/>
        <w:ind w:right="3439"/>
        <w:spacing w:after="0"/>
        <w:rPr>
          <w:sz w:val="20"/>
          <w:szCs w:val="20"/>
          <w:color w:val="auto"/>
        </w:rPr>
      </w:pPr>
      <w:r>
        <w:rPr>
          <w:rFonts w:ascii="Arial" w:cs="Arial" w:eastAsia="Arial" w:hAnsi="Arial"/>
          <w:sz w:val="17"/>
          <w:szCs w:val="17"/>
          <w:b w:val="1"/>
          <w:bCs w:val="1"/>
          <w:color w:val="auto"/>
        </w:rPr>
        <w:t>Clarion Lion Properties Fund</w:t>
      </w:r>
    </w:p>
    <w:p>
      <w:pPr>
        <w:sectPr>
          <w:pgSz w:w="11900" w:h="16838" w:orient="portrait"/>
          <w:cols w:equalWidth="0" w:num="1">
            <w:col w:w="10219"/>
          </w:cols>
          <w:pgMar w:left="240" w:top="268" w:right="1440"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Operating Results and Balance Sheets - Joint Venture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80" w:type="dxa"/>
            <w:vAlign w:val="bottom"/>
            <w:vMerge w:val="restart"/>
          </w:tcPr>
          <w:p>
            <w:pPr>
              <w:spacing w:after="0"/>
              <w:rPr>
                <w:sz w:val="20"/>
                <w:szCs w:val="20"/>
                <w:color w:val="auto"/>
              </w:rPr>
            </w:pPr>
            <w:r>
              <w:rPr>
                <w:rFonts w:ascii="Arial" w:cs="Arial" w:eastAsia="Arial" w:hAnsi="Arial"/>
                <w:sz w:val="17"/>
                <w:szCs w:val="17"/>
                <w:b w:val="1"/>
                <w:bCs w:val="1"/>
                <w:color w:val="auto"/>
              </w:rPr>
              <w:t>CONSOLIDATED OPERATING RESULTS</w:t>
            </w:r>
          </w:p>
        </w:tc>
        <w:tc>
          <w:tcPr>
            <w:tcW w:w="90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4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b w:val="1"/>
                <w:bCs w:val="1"/>
                <w:color w:val="auto"/>
                <w:w w:val="89"/>
              </w:rPr>
              <w:t>Twelve months ended</w:t>
            </w:r>
          </w:p>
        </w:tc>
        <w:tc>
          <w:tcPr>
            <w:tcW w:w="0" w:type="dxa"/>
            <w:vAlign w:val="bottom"/>
          </w:tcPr>
          <w:p>
            <w:pPr>
              <w:spacing w:after="0"/>
              <w:rPr>
                <w:sz w:val="1"/>
                <w:szCs w:val="1"/>
                <w:color w:val="auto"/>
              </w:rPr>
            </w:pPr>
          </w:p>
        </w:tc>
      </w:tr>
      <w:tr>
        <w:trPr>
          <w:trHeight w:val="147"/>
        </w:trPr>
        <w:tc>
          <w:tcPr>
            <w:tcW w:w="71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3"/>
          </w:tcPr>
          <w:p>
            <w:pPr>
              <w:jc w:val="center"/>
              <w:ind w:right="520"/>
              <w:spacing w:after="0" w:line="141" w:lineRule="exact"/>
              <w:rPr>
                <w:sz w:val="20"/>
                <w:szCs w:val="20"/>
                <w:color w:val="auto"/>
              </w:rPr>
            </w:pPr>
            <w:r>
              <w:rPr>
                <w:rFonts w:ascii="Arial" w:cs="Arial" w:eastAsia="Arial" w:hAnsi="Arial"/>
                <w:sz w:val="13"/>
                <w:szCs w:val="13"/>
                <w:b w:val="1"/>
                <w:bCs w:val="1"/>
                <w:color w:val="auto"/>
                <w:w w:val="88"/>
              </w:rPr>
              <w:t>December 31, 2006</w:t>
            </w:r>
          </w:p>
        </w:tc>
        <w:tc>
          <w:tcPr>
            <w:tcW w:w="440" w:type="dxa"/>
            <w:vAlign w:val="bottom"/>
          </w:tcPr>
          <w:p>
            <w:pPr>
              <w:spacing w:after="0"/>
              <w:rPr>
                <w:sz w:val="12"/>
                <w:szCs w:val="12"/>
                <w:color w:val="auto"/>
              </w:rPr>
            </w:pPr>
          </w:p>
        </w:tc>
        <w:tc>
          <w:tcPr>
            <w:tcW w:w="1260" w:type="dxa"/>
            <w:vAlign w:val="bottom"/>
            <w:gridSpan w:val="3"/>
          </w:tcPr>
          <w:p>
            <w:pPr>
              <w:jc w:val="center"/>
              <w:ind w:right="60"/>
              <w:spacing w:after="0" w:line="141" w:lineRule="exact"/>
              <w:rPr>
                <w:sz w:val="20"/>
                <w:szCs w:val="20"/>
                <w:color w:val="auto"/>
              </w:rPr>
            </w:pPr>
            <w:r>
              <w:rPr>
                <w:rFonts w:ascii="Arial" w:cs="Arial" w:eastAsia="Arial" w:hAnsi="Arial"/>
                <w:sz w:val="13"/>
                <w:szCs w:val="13"/>
                <w:b w:val="1"/>
                <w:bCs w:val="1"/>
                <w:color w:val="auto"/>
                <w:w w:val="88"/>
              </w:rPr>
              <w:t>December 31, 2006</w:t>
            </w:r>
          </w:p>
        </w:tc>
        <w:tc>
          <w:tcPr>
            <w:tcW w:w="0" w:type="dxa"/>
            <w:vAlign w:val="bottom"/>
          </w:tcPr>
          <w:p>
            <w:pPr>
              <w:spacing w:after="0"/>
              <w:rPr>
                <w:sz w:val="1"/>
                <w:szCs w:val="1"/>
                <w:color w:val="auto"/>
              </w:rPr>
            </w:pPr>
          </w:p>
        </w:tc>
      </w:tr>
      <w:tr>
        <w:trPr>
          <w:trHeight w:val="206"/>
        </w:trPr>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Revenues</w:t>
            </w:r>
          </w:p>
        </w:tc>
        <w:tc>
          <w:tcPr>
            <w:tcW w:w="9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180" w:type="dxa"/>
            <w:vAlign w:val="bottom"/>
          </w:tcPr>
          <w:p>
            <w:pPr>
              <w:ind w:left="420"/>
              <w:spacing w:after="0"/>
              <w:rPr>
                <w:sz w:val="20"/>
                <w:szCs w:val="20"/>
                <w:color w:val="auto"/>
              </w:rPr>
            </w:pPr>
            <w:r>
              <w:rPr>
                <w:rFonts w:ascii="Arial" w:cs="Arial" w:eastAsia="Arial" w:hAnsi="Arial"/>
                <w:sz w:val="17"/>
                <w:szCs w:val="17"/>
                <w:color w:val="auto"/>
              </w:rPr>
              <w:t>Rental income</w:t>
            </w:r>
          </w:p>
        </w:tc>
        <w:tc>
          <w:tcPr>
            <w:tcW w:w="114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2,989</w:t>
            </w:r>
          </w:p>
        </w:tc>
        <w:tc>
          <w:tcPr>
            <w:tcW w:w="72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10,321</w:t>
            </w:r>
          </w:p>
        </w:tc>
        <w:tc>
          <w:tcPr>
            <w:tcW w:w="0" w:type="dxa"/>
            <w:vAlign w:val="bottom"/>
          </w:tcPr>
          <w:p>
            <w:pPr>
              <w:spacing w:after="0"/>
              <w:rPr>
                <w:sz w:val="1"/>
                <w:szCs w:val="1"/>
                <w:color w:val="auto"/>
              </w:rPr>
            </w:pPr>
          </w:p>
        </w:tc>
      </w:tr>
      <w:tr>
        <w:trPr>
          <w:trHeight w:val="206"/>
        </w:trPr>
        <w:tc>
          <w:tcPr>
            <w:tcW w:w="7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45</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3,034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10,523</w:t>
            </w:r>
          </w:p>
        </w:tc>
        <w:tc>
          <w:tcPr>
            <w:tcW w:w="0" w:type="dxa"/>
            <w:vAlign w:val="bottom"/>
          </w:tcPr>
          <w:p>
            <w:pPr>
              <w:spacing w:after="0"/>
              <w:rPr>
                <w:sz w:val="1"/>
                <w:szCs w:val="1"/>
                <w:color w:val="auto"/>
              </w:rPr>
            </w:pPr>
          </w:p>
        </w:tc>
      </w:tr>
      <w:tr>
        <w:trPr>
          <w:trHeight w:val="206"/>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Expenses</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180" w:type="dxa"/>
            <w:vAlign w:val="bottom"/>
          </w:tcPr>
          <w:p>
            <w:pPr>
              <w:ind w:left="420"/>
              <w:spacing w:after="0"/>
              <w:rPr>
                <w:sz w:val="20"/>
                <w:szCs w:val="20"/>
                <w:color w:val="auto"/>
              </w:rPr>
            </w:pPr>
            <w:r>
              <w:rPr>
                <w:rFonts w:ascii="Arial" w:cs="Arial" w:eastAsia="Arial" w:hAnsi="Arial"/>
                <w:sz w:val="17"/>
                <w:szCs w:val="17"/>
                <w:color w:val="auto"/>
              </w:rPr>
              <w:t>Rental</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709</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1,870</w:t>
            </w:r>
          </w:p>
        </w:tc>
        <w:tc>
          <w:tcPr>
            <w:tcW w:w="0" w:type="dxa"/>
            <w:vAlign w:val="bottom"/>
          </w:tcPr>
          <w:p>
            <w:pPr>
              <w:spacing w:after="0"/>
              <w:rPr>
                <w:sz w:val="1"/>
                <w:szCs w:val="1"/>
                <w:color w:val="auto"/>
              </w:rPr>
            </w:pPr>
          </w:p>
        </w:tc>
      </w:tr>
      <w:tr>
        <w:trPr>
          <w:trHeight w:val="206"/>
        </w:trPr>
        <w:tc>
          <w:tcPr>
            <w:tcW w:w="7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Real estate taxes</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283</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958</w:t>
            </w:r>
          </w:p>
        </w:tc>
        <w:tc>
          <w:tcPr>
            <w:tcW w:w="0" w:type="dxa"/>
            <w:vAlign w:val="bottom"/>
          </w:tcPr>
          <w:p>
            <w:pPr>
              <w:spacing w:after="0"/>
              <w:rPr>
                <w:sz w:val="1"/>
                <w:szCs w:val="1"/>
                <w:color w:val="auto"/>
              </w:rPr>
            </w:pPr>
          </w:p>
        </w:tc>
      </w:tr>
      <w:tr>
        <w:trPr>
          <w:trHeight w:val="206"/>
        </w:trPr>
        <w:tc>
          <w:tcPr>
            <w:tcW w:w="718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795</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2,767</w:t>
            </w:r>
          </w:p>
        </w:tc>
        <w:tc>
          <w:tcPr>
            <w:tcW w:w="0" w:type="dxa"/>
            <w:vAlign w:val="bottom"/>
          </w:tcPr>
          <w:p>
            <w:pPr>
              <w:spacing w:after="0"/>
              <w:rPr>
                <w:sz w:val="1"/>
                <w:szCs w:val="1"/>
                <w:color w:val="auto"/>
              </w:rPr>
            </w:pPr>
          </w:p>
        </w:tc>
      </w:tr>
      <w:tr>
        <w:trPr>
          <w:trHeight w:val="26"/>
        </w:trPr>
        <w:tc>
          <w:tcPr>
            <w:tcW w:w="7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1,787</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5,595</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420"/>
              <w:spacing w:after="0"/>
              <w:rPr>
                <w:sz w:val="20"/>
                <w:szCs w:val="20"/>
                <w:color w:val="auto"/>
              </w:rPr>
            </w:pPr>
            <w:r>
              <w:rPr>
                <w:rFonts w:ascii="Arial" w:cs="Arial" w:eastAsia="Arial" w:hAnsi="Arial"/>
                <w:sz w:val="17"/>
                <w:szCs w:val="17"/>
                <w:color w:val="auto"/>
              </w:rPr>
              <w:t>Operating income</w:t>
            </w: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1,247</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4,928</w:t>
            </w:r>
          </w:p>
        </w:tc>
        <w:tc>
          <w:tcPr>
            <w:tcW w:w="0" w:type="dxa"/>
            <w:vAlign w:val="bottom"/>
          </w:tcPr>
          <w:p>
            <w:pPr>
              <w:spacing w:after="0"/>
              <w:rPr>
                <w:sz w:val="1"/>
                <w:szCs w:val="1"/>
                <w:color w:val="auto"/>
              </w:rPr>
            </w:pPr>
          </w:p>
        </w:tc>
      </w:tr>
      <w:tr>
        <w:trPr>
          <w:trHeight w:val="206"/>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(1,073)</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(3,506)</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80" w:type="dxa"/>
            <w:vAlign w:val="bottom"/>
            <w:vMerge w:val="continue"/>
          </w:tcPr>
          <w:p>
            <w:pPr>
              <w:spacing w:after="0"/>
              <w:rPr>
                <w:sz w:val="18"/>
                <w:szCs w:val="18"/>
                <w:color w:val="auto"/>
              </w:rPr>
            </w:pPr>
          </w:p>
        </w:tc>
        <w:tc>
          <w:tcPr>
            <w:tcW w:w="114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174</w:t>
            </w:r>
          </w:p>
        </w:tc>
        <w:tc>
          <w:tcPr>
            <w:tcW w:w="72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1,422</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180" w:type="dxa"/>
            <w:vAlign w:val="bottom"/>
            <w:vMerge w:val="restart"/>
          </w:tcPr>
          <w:p>
            <w:pPr>
              <w:spacing w:after="0"/>
              <w:rPr>
                <w:sz w:val="20"/>
                <w:szCs w:val="20"/>
                <w:color w:val="auto"/>
              </w:rPr>
            </w:pPr>
            <w:r>
              <w:rPr>
                <w:rFonts w:ascii="Arial" w:cs="Arial" w:eastAsia="Arial" w:hAnsi="Arial"/>
                <w:sz w:val="17"/>
                <w:szCs w:val="17"/>
                <w:b w:val="1"/>
                <w:bCs w:val="1"/>
                <w:color w:val="auto"/>
              </w:rPr>
              <w:t>CONSOLIDATED BALANCE SHEETS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center"/>
              <w:ind w:right="760"/>
              <w:spacing w:after="0"/>
              <w:rPr>
                <w:sz w:val="20"/>
                <w:szCs w:val="20"/>
                <w:color w:val="auto"/>
              </w:rPr>
            </w:pPr>
            <w:r>
              <w:rPr>
                <w:rFonts w:ascii="Arial" w:cs="Arial" w:eastAsia="Arial" w:hAnsi="Arial"/>
                <w:sz w:val="13"/>
                <w:szCs w:val="13"/>
                <w:b w:val="1"/>
                <w:bCs w:val="1"/>
                <w:color w:val="auto"/>
                <w:w w:val="86"/>
              </w:rPr>
              <w:t>As of</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As of</w:t>
            </w:r>
          </w:p>
        </w:tc>
        <w:tc>
          <w:tcPr>
            <w:tcW w:w="0" w:type="dxa"/>
            <w:vAlign w:val="bottom"/>
          </w:tcPr>
          <w:p>
            <w:pPr>
              <w:spacing w:after="0"/>
              <w:rPr>
                <w:sz w:val="1"/>
                <w:szCs w:val="1"/>
                <w:color w:val="auto"/>
              </w:rPr>
            </w:pPr>
          </w:p>
        </w:tc>
      </w:tr>
      <w:tr>
        <w:trPr>
          <w:trHeight w:val="160"/>
        </w:trPr>
        <w:tc>
          <w:tcPr>
            <w:tcW w:w="718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64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88"/>
              </w:rPr>
              <w:t>December 31, 2006</w:t>
            </w:r>
          </w:p>
        </w:tc>
        <w:tc>
          <w:tcPr>
            <w:tcW w:w="440" w:type="dxa"/>
            <w:vAlign w:val="bottom"/>
          </w:tcPr>
          <w:p>
            <w:pPr>
              <w:spacing w:after="0"/>
              <w:rPr>
                <w:sz w:val="13"/>
                <w:szCs w:val="13"/>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8"/>
              </w:rPr>
              <w:t>December 31, 2005</w:t>
            </w:r>
          </w:p>
        </w:tc>
        <w:tc>
          <w:tcPr>
            <w:tcW w:w="0" w:type="dxa"/>
            <w:vAlign w:val="bottom"/>
          </w:tcPr>
          <w:p>
            <w:pPr>
              <w:spacing w:after="0"/>
              <w:rPr>
                <w:sz w:val="1"/>
                <w:szCs w:val="1"/>
                <w:color w:val="auto"/>
              </w:rPr>
            </w:pPr>
          </w:p>
        </w:tc>
      </w:tr>
      <w:tr>
        <w:trPr>
          <w:trHeight w:val="206"/>
        </w:trPr>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ASSETS</w:t>
            </w:r>
          </w:p>
        </w:tc>
        <w:tc>
          <w:tcPr>
            <w:tcW w:w="9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7180" w:type="dxa"/>
            <w:vAlign w:val="bottom"/>
          </w:tcPr>
          <w:p>
            <w:pPr>
              <w:spacing w:after="0"/>
              <w:rPr>
                <w:sz w:val="20"/>
                <w:szCs w:val="20"/>
                <w:color w:val="auto"/>
              </w:rPr>
            </w:pPr>
            <w:r>
              <w:rPr>
                <w:rFonts w:ascii="Arial" w:cs="Arial" w:eastAsia="Arial" w:hAnsi="Arial"/>
                <w:sz w:val="17"/>
                <w:szCs w:val="17"/>
                <w:color w:val="auto"/>
              </w:rPr>
              <w:t>Real estate, at cost</w:t>
            </w:r>
          </w:p>
        </w:tc>
        <w:tc>
          <w:tcPr>
            <w:tcW w:w="114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128,946</w:t>
            </w:r>
          </w:p>
        </w:tc>
        <w:tc>
          <w:tcPr>
            <w:tcW w:w="72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81,768</w:t>
            </w:r>
          </w:p>
        </w:tc>
        <w:tc>
          <w:tcPr>
            <w:tcW w:w="0" w:type="dxa"/>
            <w:vAlign w:val="bottom"/>
          </w:tcPr>
          <w:p>
            <w:pPr>
              <w:spacing w:after="0"/>
              <w:rPr>
                <w:sz w:val="1"/>
                <w:szCs w:val="1"/>
                <w:color w:val="auto"/>
              </w:rPr>
            </w:pPr>
          </w:p>
        </w:tc>
      </w:tr>
      <w:tr>
        <w:trPr>
          <w:trHeight w:val="206"/>
        </w:trPr>
        <w:tc>
          <w:tcPr>
            <w:tcW w:w="7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Less accumulated depreciation and amortization</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(5,468)</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(2,718)</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7"/>
                <w:szCs w:val="17"/>
                <w:color w:val="auto"/>
              </w:rPr>
              <w:t>Net real estate investments</w:t>
            </w: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123,478</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79,050</w:t>
            </w:r>
          </w:p>
        </w:tc>
        <w:tc>
          <w:tcPr>
            <w:tcW w:w="0" w:type="dxa"/>
            <w:vAlign w:val="bottom"/>
          </w:tcPr>
          <w:p>
            <w:pPr>
              <w:spacing w:after="0"/>
              <w:rPr>
                <w:sz w:val="1"/>
                <w:szCs w:val="1"/>
                <w:color w:val="auto"/>
              </w:rPr>
            </w:pPr>
          </w:p>
        </w:tc>
      </w:tr>
      <w:tr>
        <w:trPr>
          <w:trHeight w:val="104"/>
        </w:trPr>
        <w:tc>
          <w:tcPr>
            <w:tcW w:w="7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2,116</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1,452</w:t>
            </w:r>
          </w:p>
        </w:tc>
        <w:tc>
          <w:tcPr>
            <w:tcW w:w="0" w:type="dxa"/>
            <w:vAlign w:val="bottom"/>
          </w:tcPr>
          <w:p>
            <w:pPr>
              <w:spacing w:after="0"/>
              <w:rPr>
                <w:sz w:val="1"/>
                <w:szCs w:val="1"/>
                <w:color w:val="auto"/>
              </w:rPr>
            </w:pPr>
          </w:p>
        </w:tc>
      </w:tr>
      <w:tr>
        <w:trPr>
          <w:trHeight w:val="206"/>
        </w:trPr>
        <w:tc>
          <w:tcPr>
            <w:tcW w:w="7180" w:type="dxa"/>
            <w:vAlign w:val="bottom"/>
          </w:tcPr>
          <w:p>
            <w:pPr>
              <w:spacing w:after="0"/>
              <w:rPr>
                <w:sz w:val="20"/>
                <w:szCs w:val="20"/>
                <w:color w:val="auto"/>
              </w:rPr>
            </w:pPr>
            <w:r>
              <w:rPr>
                <w:rFonts w:ascii="Arial" w:cs="Arial" w:eastAsia="Arial" w:hAnsi="Arial"/>
                <w:sz w:val="17"/>
                <w:szCs w:val="17"/>
                <w:color w:val="auto"/>
              </w:rPr>
              <w:t>Accounts receivable and other assets</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4,064</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3,599</w:t>
            </w:r>
          </w:p>
        </w:tc>
        <w:tc>
          <w:tcPr>
            <w:tcW w:w="0" w:type="dxa"/>
            <w:vAlign w:val="bottom"/>
          </w:tcPr>
          <w:p>
            <w:pPr>
              <w:spacing w:after="0"/>
              <w:rPr>
                <w:sz w:val="1"/>
                <w:szCs w:val="1"/>
                <w:color w:val="auto"/>
              </w:rPr>
            </w:pPr>
          </w:p>
        </w:tc>
      </w:tr>
      <w:tr>
        <w:trPr>
          <w:trHeight w:val="26"/>
        </w:trPr>
        <w:tc>
          <w:tcPr>
            <w:tcW w:w="7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129,658</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84,101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LIABILITIES AND PARTNERS’ CAPITAL</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7180" w:type="dxa"/>
            <w:vAlign w:val="bottom"/>
          </w:tcPr>
          <w:p>
            <w:pPr>
              <w:spacing w:after="0"/>
              <w:rPr>
                <w:sz w:val="20"/>
                <w:szCs w:val="20"/>
                <w:color w:val="auto"/>
              </w:rPr>
            </w:pPr>
            <w:r>
              <w:rPr>
                <w:rFonts w:ascii="Arial" w:cs="Arial" w:eastAsia="Arial" w:hAnsi="Arial"/>
                <w:sz w:val="17"/>
                <w:szCs w:val="17"/>
                <w:color w:val="auto"/>
              </w:rPr>
              <w:t>Liabilities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Mortgages</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77,425</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47,225</w:t>
            </w:r>
          </w:p>
        </w:tc>
        <w:tc>
          <w:tcPr>
            <w:tcW w:w="0" w:type="dxa"/>
            <w:vAlign w:val="bottom"/>
          </w:tcPr>
          <w:p>
            <w:pPr>
              <w:spacing w:after="0"/>
              <w:rPr>
                <w:sz w:val="1"/>
                <w:szCs w:val="1"/>
                <w:color w:val="auto"/>
              </w:rPr>
            </w:pPr>
          </w:p>
        </w:tc>
      </w:tr>
      <w:tr>
        <w:trPr>
          <w:trHeight w:val="206"/>
        </w:trPr>
        <w:tc>
          <w:tcPr>
            <w:tcW w:w="7180" w:type="dxa"/>
            <w:vAlign w:val="bottom"/>
          </w:tcPr>
          <w:p>
            <w:pPr>
              <w:ind w:left="420"/>
              <w:spacing w:after="0"/>
              <w:rPr>
                <w:sz w:val="20"/>
                <w:szCs w:val="20"/>
                <w:color w:val="auto"/>
              </w:rPr>
            </w:pPr>
            <w:r>
              <w:rPr>
                <w:rFonts w:ascii="Arial" w:cs="Arial" w:eastAsia="Arial" w:hAnsi="Arial"/>
                <w:sz w:val="17"/>
                <w:szCs w:val="17"/>
                <w:color w:val="auto"/>
              </w:rPr>
              <w:t>Other liabilities</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6,716</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5,506</w:t>
            </w:r>
          </w:p>
        </w:tc>
        <w:tc>
          <w:tcPr>
            <w:tcW w:w="0" w:type="dxa"/>
            <w:vAlign w:val="bottom"/>
          </w:tcPr>
          <w:p>
            <w:pPr>
              <w:spacing w:after="0"/>
              <w:rPr>
                <w:sz w:val="1"/>
                <w:szCs w:val="1"/>
                <w:color w:val="auto"/>
              </w:rPr>
            </w:pPr>
          </w:p>
        </w:tc>
      </w:tr>
      <w:tr>
        <w:trPr>
          <w:trHeight w:val="26"/>
        </w:trPr>
        <w:tc>
          <w:tcPr>
            <w:tcW w:w="7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84,141</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52,731</w:t>
            </w:r>
          </w:p>
        </w:tc>
        <w:tc>
          <w:tcPr>
            <w:tcW w:w="0" w:type="dxa"/>
            <w:vAlign w:val="bottom"/>
          </w:tcPr>
          <w:p>
            <w:pPr>
              <w:spacing w:after="0"/>
              <w:rPr>
                <w:sz w:val="1"/>
                <w:szCs w:val="1"/>
                <w:color w:val="auto"/>
              </w:rPr>
            </w:pPr>
          </w:p>
        </w:tc>
      </w:tr>
      <w:tr>
        <w:trPr>
          <w:trHeight w:val="308"/>
        </w:trPr>
        <w:tc>
          <w:tcPr>
            <w:tcW w:w="7180" w:type="dxa"/>
            <w:vAlign w:val="bottom"/>
          </w:tcPr>
          <w:p>
            <w:pPr>
              <w:spacing w:after="0"/>
              <w:rPr>
                <w:sz w:val="20"/>
                <w:szCs w:val="20"/>
                <w:color w:val="auto"/>
              </w:rPr>
            </w:pPr>
            <w:r>
              <w:rPr>
                <w:rFonts w:ascii="Arial" w:cs="Arial" w:eastAsia="Arial" w:hAnsi="Arial"/>
                <w:sz w:val="17"/>
                <w:szCs w:val="17"/>
                <w:color w:val="auto"/>
              </w:rPr>
              <w:t>Partners’ capital</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45,517</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31,370</w:t>
            </w:r>
          </w:p>
        </w:tc>
        <w:tc>
          <w:tcPr>
            <w:tcW w:w="0" w:type="dxa"/>
            <w:vAlign w:val="bottom"/>
          </w:tcPr>
          <w:p>
            <w:pPr>
              <w:spacing w:after="0"/>
              <w:rPr>
                <w:sz w:val="1"/>
                <w:szCs w:val="1"/>
                <w:color w:val="auto"/>
              </w:rPr>
            </w:pPr>
          </w:p>
        </w:tc>
      </w:tr>
      <w:tr>
        <w:trPr>
          <w:trHeight w:val="26"/>
        </w:trPr>
        <w:tc>
          <w:tcPr>
            <w:tcW w:w="7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PARTNERS’ CAPITAL</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129,658</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84,101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8"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Debt Maturities - Joint Venture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OUTSTANDING DEBT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8"/>
              </w:rPr>
              <w:t>Interest Rate as of</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Mortgage Loans</w:t>
            </w:r>
          </w:p>
        </w:tc>
        <w:tc>
          <w:tcPr>
            <w:tcW w:w="1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Maturity</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7"/>
              </w:rPr>
              <w:t>December 31, 2006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21"/>
        </w:trPr>
        <w:tc>
          <w:tcPr>
            <w:tcW w:w="2800" w:type="dxa"/>
            <w:vAlign w:val="bottom"/>
            <w:gridSpan w:val="2"/>
            <w:vMerge w:val="continue"/>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Borders>
              <w:top w:val="single" w:sz="8" w:color="auto"/>
            </w:tcBorders>
            <w:gridSpan w:val="2"/>
          </w:tcPr>
          <w:p>
            <w:pPr>
              <w:jc w:val="right"/>
              <w:spacing w:after="0" w:line="121" w:lineRule="exact"/>
              <w:rPr>
                <w:sz w:val="20"/>
                <w:szCs w:val="20"/>
                <w:color w:val="auto"/>
              </w:rPr>
            </w:pPr>
            <w:r>
              <w:rPr>
                <w:rFonts w:ascii="Arial" w:cs="Arial" w:eastAsia="Arial" w:hAnsi="Arial"/>
                <w:sz w:val="13"/>
                <w:szCs w:val="13"/>
                <w:b w:val="1"/>
                <w:bCs w:val="1"/>
                <w:color w:val="auto"/>
                <w:w w:val="87"/>
              </w:rPr>
              <w:t>(in thousands)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900" w:type="dxa"/>
            <w:vAlign w:val="bottom"/>
            <w:tcBorders>
              <w:top w:val="single" w:sz="8" w:color="auto"/>
            </w:tcBorders>
          </w:tcPr>
          <w:p>
            <w:pPr>
              <w:spacing w:after="0"/>
              <w:rPr>
                <w:sz w:val="4"/>
                <w:szCs w:val="4"/>
                <w:color w:val="auto"/>
              </w:rPr>
            </w:pPr>
          </w:p>
        </w:tc>
        <w:tc>
          <w:tcPr>
            <w:tcW w:w="1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800" w:type="dxa"/>
            <w:vAlign w:val="bottom"/>
            <w:gridSpan w:val="2"/>
            <w:shd w:val="clear" w:color="auto" w:fill="CCEEFF"/>
          </w:tcPr>
          <w:p>
            <w:pPr>
              <w:ind w:left="420"/>
              <w:spacing w:after="0"/>
              <w:rPr>
                <w:sz w:val="20"/>
                <w:szCs w:val="20"/>
                <w:color w:val="auto"/>
              </w:rPr>
            </w:pPr>
            <w:r>
              <w:rPr>
                <w:rFonts w:ascii="Arial" w:cs="Arial" w:eastAsia="Arial" w:hAnsi="Arial"/>
                <w:sz w:val="17"/>
                <w:szCs w:val="17"/>
                <w:i w:val="1"/>
                <w:iCs w:val="1"/>
                <w:color w:val="auto"/>
              </w:rPr>
              <w:t>Secured Fixed Rate</w:t>
            </w: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2800" w:type="dxa"/>
            <w:vAlign w:val="bottom"/>
            <w:gridSpan w:val="2"/>
          </w:tcPr>
          <w:p>
            <w:pPr>
              <w:ind w:left="420"/>
              <w:spacing w:after="0"/>
              <w:rPr>
                <w:sz w:val="20"/>
                <w:szCs w:val="20"/>
                <w:color w:val="auto"/>
              </w:rPr>
            </w:pPr>
            <w:r>
              <w:rPr>
                <w:rFonts w:ascii="Arial" w:cs="Arial" w:eastAsia="Arial" w:hAnsi="Arial"/>
                <w:sz w:val="17"/>
                <w:szCs w:val="17"/>
                <w:color w:val="auto"/>
              </w:rPr>
              <w:t>Campus Plaza</w:t>
            </w:r>
          </w:p>
        </w:tc>
        <w:tc>
          <w:tcPr>
            <w:tcW w:w="1460" w:type="dxa"/>
            <w:vAlign w:val="bottom"/>
          </w:tcPr>
          <w:p>
            <w:pPr>
              <w:jc w:val="center"/>
              <w:spacing w:after="0"/>
              <w:rPr>
                <w:sz w:val="20"/>
                <w:szCs w:val="20"/>
                <w:color w:val="auto"/>
              </w:rPr>
            </w:pPr>
            <w:r>
              <w:rPr>
                <w:rFonts w:ascii="Arial" w:cs="Arial" w:eastAsia="Arial" w:hAnsi="Arial"/>
                <w:sz w:val="17"/>
                <w:szCs w:val="17"/>
                <w:color w:val="auto"/>
                <w:w w:val="87"/>
              </w:rPr>
              <w:t>12/01/09</w:t>
            </w:r>
          </w:p>
        </w:tc>
        <w:tc>
          <w:tcPr>
            <w:tcW w:w="20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4.530%</w:t>
            </w:r>
          </w:p>
        </w:tc>
        <w:tc>
          <w:tcPr>
            <w:tcW w:w="540" w:type="dxa"/>
            <w:vAlign w:val="bottom"/>
            <w:gridSpan w:val="2"/>
          </w:tcPr>
          <w:p>
            <w:pPr>
              <w:ind w:left="20"/>
              <w:spacing w:after="0"/>
              <w:rPr>
                <w:sz w:val="20"/>
                <w:szCs w:val="20"/>
                <w:color w:val="auto"/>
              </w:rPr>
            </w:pPr>
            <w:r>
              <w:rPr>
                <w:rFonts w:ascii="Arial" w:cs="Arial" w:eastAsia="Arial" w:hAnsi="Arial"/>
                <w:sz w:val="17"/>
                <w:szCs w:val="17"/>
                <w:color w:val="auto"/>
              </w:rPr>
              <w:t>(a)   $</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11,000</w:t>
            </w:r>
          </w:p>
        </w:tc>
        <w:tc>
          <w:tcPr>
            <w:tcW w:w="0" w:type="dxa"/>
            <w:vAlign w:val="bottom"/>
          </w:tcPr>
          <w:p>
            <w:pPr>
              <w:spacing w:after="0"/>
              <w:rPr>
                <w:sz w:val="1"/>
                <w:szCs w:val="1"/>
                <w:color w:val="auto"/>
              </w:rPr>
            </w:pPr>
          </w:p>
        </w:tc>
      </w:tr>
      <w:tr>
        <w:trPr>
          <w:trHeight w:val="207"/>
        </w:trPr>
        <w:tc>
          <w:tcPr>
            <w:tcW w:w="28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Pleasant Shops</w:t>
            </w: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12/01/09</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4.530%</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0" w:type="dxa"/>
            <w:vAlign w:val="bottom"/>
            <w:gridSpan w:val="2"/>
          </w:tcPr>
          <w:p>
            <w:pPr>
              <w:ind w:left="420"/>
              <w:spacing w:after="0"/>
              <w:rPr>
                <w:sz w:val="20"/>
                <w:szCs w:val="20"/>
                <w:color w:val="auto"/>
              </w:rPr>
            </w:pPr>
            <w:r>
              <w:rPr>
                <w:rFonts w:ascii="Arial" w:cs="Arial" w:eastAsia="Arial" w:hAnsi="Arial"/>
                <w:sz w:val="17"/>
                <w:szCs w:val="17"/>
                <w:color w:val="auto"/>
              </w:rPr>
              <w:t>Plaza del Mercado</w:t>
            </w:r>
          </w:p>
        </w:tc>
        <w:tc>
          <w:tcPr>
            <w:tcW w:w="1460" w:type="dxa"/>
            <w:vAlign w:val="bottom"/>
          </w:tcPr>
          <w:p>
            <w:pPr>
              <w:jc w:val="center"/>
              <w:spacing w:after="0"/>
              <w:rPr>
                <w:sz w:val="20"/>
                <w:szCs w:val="20"/>
                <w:color w:val="auto"/>
              </w:rPr>
            </w:pPr>
            <w:r>
              <w:rPr>
                <w:rFonts w:ascii="Arial" w:cs="Arial" w:eastAsia="Arial" w:hAnsi="Arial"/>
                <w:sz w:val="17"/>
                <w:szCs w:val="17"/>
                <w:color w:val="auto"/>
                <w:w w:val="87"/>
              </w:rPr>
              <w:t>07/05/14</w:t>
            </w:r>
          </w:p>
        </w:tc>
        <w:tc>
          <w:tcPr>
            <w:tcW w:w="20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5.770%</w:t>
            </w:r>
          </w:p>
        </w:tc>
        <w:tc>
          <w:tcPr>
            <w:tcW w:w="540" w:type="dxa"/>
            <w:vAlign w:val="bottom"/>
            <w:gridSpan w:val="2"/>
          </w:tcPr>
          <w:p>
            <w:pPr>
              <w:ind w:left="20"/>
              <w:spacing w:after="0"/>
              <w:rPr>
                <w:sz w:val="20"/>
                <w:szCs w:val="20"/>
                <w:color w:val="auto"/>
              </w:rPr>
            </w:pPr>
            <w:r>
              <w:rPr>
                <w:rFonts w:ascii="Arial" w:cs="Arial" w:eastAsia="Arial" w:hAnsi="Arial"/>
                <w:sz w:val="17"/>
                <w:szCs w:val="17"/>
                <w:color w:val="auto"/>
              </w:rPr>
              <w:t>(b)</w:t>
            </w:r>
          </w:p>
        </w:tc>
        <w:tc>
          <w:tcPr>
            <w:tcW w:w="660" w:type="dxa"/>
            <w:vAlign w:val="bottom"/>
          </w:tcPr>
          <w:p>
            <w:pPr>
              <w:jc w:val="right"/>
              <w:spacing w:after="0"/>
              <w:rPr>
                <w:sz w:val="20"/>
                <w:szCs w:val="20"/>
                <w:color w:val="auto"/>
              </w:rPr>
            </w:pPr>
            <w:r>
              <w:rPr>
                <w:rFonts w:ascii="Arial" w:cs="Arial" w:eastAsia="Arial" w:hAnsi="Arial"/>
                <w:sz w:val="17"/>
                <w:szCs w:val="17"/>
                <w:color w:val="auto"/>
              </w:rPr>
              <w:t>13,325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Atlantic Plaza</w:t>
            </w: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12/01/14</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5.120%</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0" w:type="dxa"/>
            <w:vAlign w:val="bottom"/>
            <w:gridSpan w:val="2"/>
          </w:tcPr>
          <w:p>
            <w:pPr>
              <w:ind w:left="420"/>
              <w:spacing w:after="0"/>
              <w:rPr>
                <w:sz w:val="20"/>
                <w:szCs w:val="20"/>
                <w:color w:val="auto"/>
              </w:rPr>
            </w:pPr>
            <w:r>
              <w:rPr>
                <w:rFonts w:ascii="Arial" w:cs="Arial" w:eastAsia="Arial" w:hAnsi="Arial"/>
                <w:sz w:val="17"/>
                <w:szCs w:val="17"/>
                <w:color w:val="auto"/>
              </w:rPr>
              <w:t>Barcroft Plaza</w:t>
            </w:r>
          </w:p>
        </w:tc>
        <w:tc>
          <w:tcPr>
            <w:tcW w:w="1460" w:type="dxa"/>
            <w:vAlign w:val="bottom"/>
          </w:tcPr>
          <w:p>
            <w:pPr>
              <w:jc w:val="center"/>
              <w:spacing w:after="0"/>
              <w:rPr>
                <w:sz w:val="20"/>
                <w:szCs w:val="20"/>
                <w:color w:val="auto"/>
              </w:rPr>
            </w:pPr>
            <w:r>
              <w:rPr>
                <w:rFonts w:ascii="Arial" w:cs="Arial" w:eastAsia="Arial" w:hAnsi="Arial"/>
                <w:sz w:val="17"/>
                <w:szCs w:val="17"/>
                <w:color w:val="auto"/>
                <w:w w:val="87"/>
              </w:rPr>
              <w:t>07/01/16</w:t>
            </w:r>
          </w:p>
        </w:tc>
        <w:tc>
          <w:tcPr>
            <w:tcW w:w="20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6.060%</w:t>
            </w:r>
          </w:p>
        </w:tc>
        <w:tc>
          <w:tcPr>
            <w:tcW w:w="540" w:type="dxa"/>
            <w:vAlign w:val="bottom"/>
            <w:gridSpan w:val="2"/>
          </w:tcPr>
          <w:p>
            <w:pPr>
              <w:ind w:left="20"/>
              <w:spacing w:after="0"/>
              <w:rPr>
                <w:sz w:val="20"/>
                <w:szCs w:val="20"/>
                <w:color w:val="auto"/>
              </w:rPr>
            </w:pPr>
            <w:r>
              <w:rPr>
                <w:rFonts w:ascii="Arial" w:cs="Arial" w:eastAsia="Arial" w:hAnsi="Arial"/>
                <w:sz w:val="17"/>
                <w:szCs w:val="17"/>
                <w:color w:val="auto"/>
              </w:rPr>
              <w:t>(a)</w:t>
            </w:r>
          </w:p>
        </w:tc>
        <w:tc>
          <w:tcPr>
            <w:tcW w:w="660" w:type="dxa"/>
            <w:vAlign w:val="bottom"/>
          </w:tcPr>
          <w:p>
            <w:pPr>
              <w:jc w:val="right"/>
              <w:spacing w:after="0"/>
              <w:rPr>
                <w:sz w:val="20"/>
                <w:szCs w:val="20"/>
                <w:color w:val="auto"/>
              </w:rPr>
            </w:pPr>
            <w:r>
              <w:rPr>
                <w:rFonts w:ascii="Arial" w:cs="Arial" w:eastAsia="Arial" w:hAnsi="Arial"/>
                <w:sz w:val="17"/>
                <w:szCs w:val="17"/>
                <w:color w:val="auto"/>
              </w:rPr>
              <w:t>16,600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Greenlawn Plaza</w:t>
            </w: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07/01/16</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5.900%</w:t>
            </w: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Total Fixed Rate Debt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77,425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Debt Maturities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Cumulative</w:t>
            </w:r>
          </w:p>
        </w:tc>
        <w:tc>
          <w:tcPr>
            <w:tcW w:w="0" w:type="dxa"/>
            <w:vAlign w:val="bottom"/>
          </w:tcPr>
          <w:p>
            <w:pPr>
              <w:spacing w:after="0"/>
              <w:rPr>
                <w:sz w:val="1"/>
                <w:szCs w:val="1"/>
                <w:color w:val="auto"/>
              </w:rPr>
            </w:pPr>
          </w:p>
        </w:tc>
      </w:tr>
      <w:tr>
        <w:trPr>
          <w:trHeight w:val="141"/>
        </w:trPr>
        <w:tc>
          <w:tcPr>
            <w:tcW w:w="1100" w:type="dxa"/>
            <w:vAlign w:val="bottom"/>
            <w:gridSpan w:val="3"/>
            <w:vMerge w:val="restart"/>
          </w:tcPr>
          <w:p>
            <w:pPr>
              <w:jc w:val="right"/>
              <w:ind w:right="760"/>
              <w:spacing w:after="0"/>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2"/>
                <w:szCs w:val="12"/>
                <w:color w:val="auto"/>
              </w:rPr>
            </w:pPr>
          </w:p>
        </w:tc>
        <w:tc>
          <w:tcPr>
            <w:tcW w:w="1040" w:type="dxa"/>
            <w:vAlign w:val="bottom"/>
            <w:gridSpan w:val="2"/>
          </w:tcPr>
          <w:p>
            <w:pPr>
              <w:jc w:val="right"/>
              <w:ind w:right="480"/>
              <w:spacing w:after="0" w:line="141" w:lineRule="exact"/>
              <w:rPr>
                <w:sz w:val="20"/>
                <w:szCs w:val="20"/>
                <w:color w:val="auto"/>
              </w:rPr>
            </w:pPr>
            <w:r>
              <w:rPr>
                <w:rFonts w:ascii="Arial" w:cs="Arial" w:eastAsia="Arial" w:hAnsi="Arial"/>
                <w:sz w:val="13"/>
                <w:szCs w:val="13"/>
                <w:b w:val="1"/>
                <w:bCs w:val="1"/>
                <w:color w:val="auto"/>
                <w:w w:val="82"/>
              </w:rPr>
              <w:t>Scheduled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40" w:type="dxa"/>
            <w:vAlign w:val="bottom"/>
            <w:gridSpan w:val="2"/>
          </w:tcPr>
          <w:p>
            <w:pPr>
              <w:jc w:val="right"/>
              <w:ind w:right="1040"/>
              <w:spacing w:after="0" w:line="141" w:lineRule="exact"/>
              <w:rPr>
                <w:sz w:val="20"/>
                <w:szCs w:val="20"/>
                <w:color w:val="auto"/>
              </w:rPr>
            </w:pPr>
            <w:r>
              <w:rPr>
                <w:rFonts w:ascii="Arial" w:cs="Arial" w:eastAsia="Arial" w:hAnsi="Arial"/>
                <w:sz w:val="13"/>
                <w:szCs w:val="13"/>
                <w:b w:val="1"/>
                <w:bCs w:val="1"/>
                <w:color w:val="auto"/>
              </w:rPr>
              <w:t>Percent of</w:t>
            </w:r>
          </w:p>
        </w:tc>
        <w:tc>
          <w:tcPr>
            <w:tcW w:w="980" w:type="dxa"/>
            <w:vAlign w:val="bottom"/>
            <w:gridSpan w:val="2"/>
          </w:tcPr>
          <w:p>
            <w:pPr>
              <w:jc w:val="center"/>
              <w:ind w:right="140"/>
              <w:spacing w:after="0" w:line="141" w:lineRule="exact"/>
              <w:rPr>
                <w:sz w:val="20"/>
                <w:szCs w:val="20"/>
                <w:color w:val="auto"/>
              </w:rPr>
            </w:pPr>
            <w:r>
              <w:rPr>
                <w:rFonts w:ascii="Arial" w:cs="Arial" w:eastAsia="Arial" w:hAnsi="Arial"/>
                <w:sz w:val="13"/>
                <w:szCs w:val="13"/>
                <w:b w:val="1"/>
                <w:bCs w:val="1"/>
                <w:color w:val="auto"/>
                <w:w w:val="88"/>
              </w:rPr>
              <w:t>Percent of</w:t>
            </w:r>
          </w:p>
        </w:tc>
        <w:tc>
          <w:tcPr>
            <w:tcW w:w="0" w:type="dxa"/>
            <w:vAlign w:val="bottom"/>
          </w:tcPr>
          <w:p>
            <w:pPr>
              <w:spacing w:after="0"/>
              <w:rPr>
                <w:sz w:val="1"/>
                <w:szCs w:val="1"/>
                <w:color w:val="auto"/>
              </w:rPr>
            </w:pPr>
          </w:p>
        </w:tc>
      </w:tr>
      <w:tr>
        <w:trPr>
          <w:trHeight w:val="141"/>
        </w:trPr>
        <w:tc>
          <w:tcPr>
            <w:tcW w:w="1100" w:type="dxa"/>
            <w:vAlign w:val="bottom"/>
            <w:gridSpan w:val="3"/>
            <w:vMerge w:val="continue"/>
          </w:tcPr>
          <w:p>
            <w:pPr>
              <w:spacing w:after="0"/>
              <w:rPr>
                <w:sz w:val="12"/>
                <w:szCs w:val="12"/>
                <w:color w:val="auto"/>
              </w:rPr>
            </w:pPr>
          </w:p>
        </w:tc>
        <w:tc>
          <w:tcPr>
            <w:tcW w:w="1140" w:type="dxa"/>
            <w:vAlign w:val="bottom"/>
            <w:gridSpan w:val="3"/>
          </w:tcPr>
          <w:p>
            <w:pPr>
              <w:ind w:left="20"/>
              <w:spacing w:after="0" w:line="141" w:lineRule="exact"/>
              <w:rPr>
                <w:sz w:val="20"/>
                <w:szCs w:val="20"/>
                <w:color w:val="auto"/>
              </w:rPr>
            </w:pPr>
            <w:r>
              <w:rPr>
                <w:rFonts w:ascii="Arial" w:cs="Arial" w:eastAsia="Arial" w:hAnsi="Arial"/>
                <w:sz w:val="13"/>
                <w:szCs w:val="13"/>
                <w:b w:val="1"/>
                <w:bCs w:val="1"/>
                <w:color w:val="auto"/>
              </w:rPr>
              <w:t>Amortization</w:t>
            </w:r>
          </w:p>
        </w:tc>
        <w:tc>
          <w:tcPr>
            <w:tcW w:w="940" w:type="dxa"/>
            <w:vAlign w:val="bottom"/>
            <w:gridSpan w:val="3"/>
          </w:tcPr>
          <w:p>
            <w:pPr>
              <w:jc w:val="right"/>
              <w:spacing w:after="0" w:line="141" w:lineRule="exact"/>
              <w:rPr>
                <w:sz w:val="20"/>
                <w:szCs w:val="20"/>
                <w:color w:val="auto"/>
              </w:rPr>
            </w:pPr>
            <w:r>
              <w:rPr>
                <w:rFonts w:ascii="Arial" w:cs="Arial" w:eastAsia="Arial" w:hAnsi="Arial"/>
                <w:sz w:val="13"/>
                <w:szCs w:val="13"/>
                <w:b w:val="1"/>
                <w:bCs w:val="1"/>
                <w:color w:val="auto"/>
              </w:rPr>
              <w:t>Maturities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8"/>
              <w:spacing w:after="0" w:line="141" w:lineRule="exact"/>
              <w:rPr>
                <w:sz w:val="20"/>
                <w:szCs w:val="20"/>
                <w:color w:val="auto"/>
              </w:rPr>
            </w:pPr>
            <w:r>
              <w:rPr>
                <w:rFonts w:ascii="Arial" w:cs="Arial" w:eastAsia="Arial" w:hAnsi="Arial"/>
                <w:sz w:val="13"/>
                <w:szCs w:val="13"/>
                <w:b w:val="1"/>
                <w:bCs w:val="1"/>
                <w:color w:val="auto"/>
              </w:rPr>
              <w:t>Total</w:t>
            </w:r>
          </w:p>
        </w:tc>
        <w:tc>
          <w:tcPr>
            <w:tcW w:w="760" w:type="dxa"/>
            <w:vAlign w:val="bottom"/>
          </w:tcPr>
          <w:p>
            <w:pPr>
              <w:spacing w:after="0"/>
              <w:rPr>
                <w:sz w:val="12"/>
                <w:szCs w:val="12"/>
                <w:color w:val="auto"/>
              </w:rPr>
            </w:pPr>
          </w:p>
        </w:tc>
        <w:tc>
          <w:tcPr>
            <w:tcW w:w="1740" w:type="dxa"/>
            <w:vAlign w:val="bottom"/>
            <w:gridSpan w:val="2"/>
          </w:tcPr>
          <w:p>
            <w:pPr>
              <w:jc w:val="right"/>
              <w:ind w:right="900"/>
              <w:spacing w:after="0" w:line="141" w:lineRule="exact"/>
              <w:rPr>
                <w:sz w:val="20"/>
                <w:szCs w:val="20"/>
                <w:color w:val="auto"/>
              </w:rPr>
            </w:pPr>
            <w:r>
              <w:rPr>
                <w:rFonts w:ascii="Arial" w:cs="Arial" w:eastAsia="Arial" w:hAnsi="Arial"/>
                <w:sz w:val="13"/>
                <w:szCs w:val="13"/>
                <w:b w:val="1"/>
                <w:bCs w:val="1"/>
                <w:color w:val="auto"/>
                <w:w w:val="93"/>
              </w:rPr>
              <w:t>Debt Maturing</w:t>
            </w:r>
          </w:p>
        </w:tc>
        <w:tc>
          <w:tcPr>
            <w:tcW w:w="9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3"/>
              </w:rPr>
              <w:t>Debt Maturing</w:t>
            </w:r>
          </w:p>
        </w:tc>
        <w:tc>
          <w:tcPr>
            <w:tcW w:w="0" w:type="dxa"/>
            <w:vAlign w:val="bottom"/>
          </w:tcPr>
          <w:p>
            <w:pPr>
              <w:spacing w:after="0"/>
              <w:rPr>
                <w:sz w:val="1"/>
                <w:szCs w:val="1"/>
                <w:color w:val="auto"/>
              </w:rPr>
            </w:pPr>
          </w:p>
        </w:tc>
      </w:tr>
      <w:tr>
        <w:trPr>
          <w:trHeight w:val="26"/>
        </w:trPr>
        <w:tc>
          <w:tcPr>
            <w:tcW w:w="3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84"/>
              </w:rPr>
              <w:t>2007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500" w:type="dxa"/>
            <w:vAlign w:val="bottom"/>
            <w:gridSpan w:val="3"/>
            <w:shd w:val="clear" w:color="auto" w:fill="CCEEFF"/>
          </w:tcPr>
          <w:p>
            <w:pPr>
              <w:jc w:val="right"/>
              <w:ind w:right="760"/>
              <w:spacing w:after="0"/>
              <w:rPr>
                <w:sz w:val="20"/>
                <w:szCs w:val="20"/>
                <w:color w:val="auto"/>
              </w:rPr>
            </w:pPr>
            <w:r>
              <w:rPr>
                <w:rFonts w:ascii="Arial" w:cs="Arial" w:eastAsia="Arial" w:hAnsi="Arial"/>
                <w:sz w:val="17"/>
                <w:szCs w:val="17"/>
                <w:color w:val="auto"/>
              </w:rPr>
              <w:t>0.1%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6"/>
        </w:trPr>
        <w:tc>
          <w:tcPr>
            <w:tcW w:w="940" w:type="dxa"/>
            <w:vAlign w:val="bottom"/>
            <w:gridSpan w:val="2"/>
          </w:tcPr>
          <w:p>
            <w:pPr>
              <w:jc w:val="right"/>
              <w:ind w:right="600"/>
              <w:spacing w:after="0"/>
              <w:rPr>
                <w:sz w:val="20"/>
                <w:szCs w:val="20"/>
                <w:color w:val="auto"/>
              </w:rPr>
            </w:pPr>
            <w:r>
              <w:rPr>
                <w:rFonts w:ascii="Arial" w:cs="Arial" w:eastAsia="Arial" w:hAnsi="Arial"/>
                <w:sz w:val="17"/>
                <w:szCs w:val="17"/>
                <w:color w:val="auto"/>
                <w:w w:val="84"/>
              </w:rPr>
              <w:t>2008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7"/>
                <w:szCs w:val="17"/>
                <w:color w:val="auto"/>
              </w:rPr>
              <w:t>175</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ind w:left="22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175</w:t>
            </w:r>
          </w:p>
        </w:tc>
        <w:tc>
          <w:tcPr>
            <w:tcW w:w="2500" w:type="dxa"/>
            <w:vAlign w:val="bottom"/>
            <w:gridSpan w:val="3"/>
          </w:tcPr>
          <w:p>
            <w:pPr>
              <w:jc w:val="right"/>
              <w:ind w:right="760"/>
              <w:spacing w:after="0"/>
              <w:rPr>
                <w:sz w:val="20"/>
                <w:szCs w:val="20"/>
                <w:color w:val="auto"/>
              </w:rPr>
            </w:pPr>
            <w:r>
              <w:rPr>
                <w:rFonts w:ascii="Arial" w:cs="Arial" w:eastAsia="Arial" w:hAnsi="Arial"/>
                <w:sz w:val="17"/>
                <w:szCs w:val="17"/>
                <w:color w:val="auto"/>
              </w:rPr>
              <w:t>0.2%</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6"/>
        </w:trPr>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84"/>
              </w:rPr>
              <w:t>2009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185</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23,400</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23,585</w:t>
            </w:r>
          </w:p>
        </w:tc>
        <w:tc>
          <w:tcPr>
            <w:tcW w:w="2500" w:type="dxa"/>
            <w:vAlign w:val="bottom"/>
            <w:gridSpan w:val="3"/>
            <w:shd w:val="clear" w:color="auto" w:fill="CCEEFF"/>
          </w:tcPr>
          <w:p>
            <w:pPr>
              <w:jc w:val="right"/>
              <w:ind w:right="760"/>
              <w:spacing w:after="0"/>
              <w:rPr>
                <w:sz w:val="20"/>
                <w:szCs w:val="20"/>
                <w:color w:val="auto"/>
              </w:rPr>
            </w:pPr>
            <w:r>
              <w:rPr>
                <w:rFonts w:ascii="Arial" w:cs="Arial" w:eastAsia="Arial" w:hAnsi="Arial"/>
                <w:sz w:val="17"/>
                <w:szCs w:val="17"/>
                <w:color w:val="auto"/>
              </w:rPr>
              <w:t>30.5%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06"/>
        </w:trPr>
        <w:tc>
          <w:tcPr>
            <w:tcW w:w="940" w:type="dxa"/>
            <w:vAlign w:val="bottom"/>
            <w:gridSpan w:val="2"/>
          </w:tcPr>
          <w:p>
            <w:pPr>
              <w:jc w:val="right"/>
              <w:ind w:right="600"/>
              <w:spacing w:after="0"/>
              <w:rPr>
                <w:sz w:val="20"/>
                <w:szCs w:val="20"/>
                <w:color w:val="auto"/>
              </w:rPr>
            </w:pPr>
            <w:r>
              <w:rPr>
                <w:rFonts w:ascii="Arial" w:cs="Arial" w:eastAsia="Arial" w:hAnsi="Arial"/>
                <w:sz w:val="17"/>
                <w:szCs w:val="17"/>
                <w:color w:val="auto"/>
                <w:w w:val="84"/>
              </w:rPr>
              <w:t>2010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7"/>
                <w:szCs w:val="17"/>
                <w:color w:val="auto"/>
              </w:rPr>
              <w:t>196</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ind w:left="22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196</w:t>
            </w:r>
          </w:p>
        </w:tc>
        <w:tc>
          <w:tcPr>
            <w:tcW w:w="2500" w:type="dxa"/>
            <w:vAlign w:val="bottom"/>
            <w:gridSpan w:val="3"/>
          </w:tcPr>
          <w:p>
            <w:pPr>
              <w:jc w:val="right"/>
              <w:ind w:right="760"/>
              <w:spacing w:after="0"/>
              <w:rPr>
                <w:sz w:val="20"/>
                <w:szCs w:val="20"/>
                <w:color w:val="auto"/>
              </w:rPr>
            </w:pPr>
            <w:r>
              <w:rPr>
                <w:rFonts w:ascii="Arial" w:cs="Arial" w:eastAsia="Arial" w:hAnsi="Arial"/>
                <w:sz w:val="17"/>
                <w:szCs w:val="17"/>
                <w:color w:val="auto"/>
              </w:rPr>
              <w:t>0.3%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06"/>
        </w:trPr>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84"/>
              </w:rPr>
              <w:t>2011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208</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2500" w:type="dxa"/>
            <w:vAlign w:val="bottom"/>
            <w:gridSpan w:val="3"/>
            <w:shd w:val="clear" w:color="auto" w:fill="CCEEFF"/>
          </w:tcPr>
          <w:p>
            <w:pPr>
              <w:jc w:val="right"/>
              <w:ind w:right="760"/>
              <w:spacing w:after="0"/>
              <w:rPr>
                <w:sz w:val="20"/>
                <w:szCs w:val="20"/>
                <w:color w:val="auto"/>
              </w:rPr>
            </w:pPr>
            <w:r>
              <w:rPr>
                <w:rFonts w:ascii="Arial" w:cs="Arial" w:eastAsia="Arial" w:hAnsi="Arial"/>
                <w:sz w:val="17"/>
                <w:szCs w:val="17"/>
                <w:color w:val="auto"/>
              </w:rPr>
              <w:t>0.3%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06"/>
        </w:trPr>
        <w:tc>
          <w:tcPr>
            <w:tcW w:w="940" w:type="dxa"/>
            <w:vAlign w:val="bottom"/>
            <w:gridSpan w:val="2"/>
          </w:tcPr>
          <w:p>
            <w:pPr>
              <w:jc w:val="right"/>
              <w:ind w:right="600"/>
              <w:spacing w:after="0"/>
              <w:rPr>
                <w:sz w:val="20"/>
                <w:szCs w:val="20"/>
                <w:color w:val="auto"/>
              </w:rPr>
            </w:pPr>
            <w:r>
              <w:rPr>
                <w:rFonts w:ascii="Arial" w:cs="Arial" w:eastAsia="Arial" w:hAnsi="Arial"/>
                <w:sz w:val="17"/>
                <w:szCs w:val="17"/>
                <w:color w:val="auto"/>
                <w:w w:val="84"/>
              </w:rPr>
              <w:t>2012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7"/>
                <w:szCs w:val="17"/>
                <w:color w:val="auto"/>
              </w:rPr>
              <w:t>220</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ind w:left="22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220</w:t>
            </w:r>
          </w:p>
        </w:tc>
        <w:tc>
          <w:tcPr>
            <w:tcW w:w="2500" w:type="dxa"/>
            <w:vAlign w:val="bottom"/>
            <w:gridSpan w:val="3"/>
          </w:tcPr>
          <w:p>
            <w:pPr>
              <w:jc w:val="right"/>
              <w:ind w:right="760"/>
              <w:spacing w:after="0"/>
              <w:rPr>
                <w:sz w:val="20"/>
                <w:szCs w:val="20"/>
                <w:color w:val="auto"/>
              </w:rPr>
            </w:pPr>
            <w:r>
              <w:rPr>
                <w:rFonts w:ascii="Arial" w:cs="Arial" w:eastAsia="Arial" w:hAnsi="Arial"/>
                <w:sz w:val="17"/>
                <w:szCs w:val="17"/>
                <w:color w:val="auto"/>
              </w:rPr>
              <w:t>0.3%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06"/>
        </w:trPr>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84"/>
              </w:rPr>
              <w:t>2013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233</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2500" w:type="dxa"/>
            <w:vAlign w:val="bottom"/>
            <w:gridSpan w:val="3"/>
            <w:shd w:val="clear" w:color="auto" w:fill="CCEEFF"/>
          </w:tcPr>
          <w:p>
            <w:pPr>
              <w:jc w:val="right"/>
              <w:ind w:right="760"/>
              <w:spacing w:after="0"/>
              <w:rPr>
                <w:sz w:val="20"/>
                <w:szCs w:val="20"/>
                <w:color w:val="auto"/>
              </w:rPr>
            </w:pPr>
            <w:r>
              <w:rPr>
                <w:rFonts w:ascii="Arial" w:cs="Arial" w:eastAsia="Arial" w:hAnsi="Arial"/>
                <w:sz w:val="17"/>
                <w:szCs w:val="17"/>
                <w:color w:val="auto"/>
              </w:rPr>
              <w:t>0.3%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06"/>
        </w:trPr>
        <w:tc>
          <w:tcPr>
            <w:tcW w:w="940" w:type="dxa"/>
            <w:vAlign w:val="bottom"/>
            <w:gridSpan w:val="2"/>
          </w:tcPr>
          <w:p>
            <w:pPr>
              <w:jc w:val="right"/>
              <w:ind w:right="600"/>
              <w:spacing w:after="0"/>
              <w:rPr>
                <w:sz w:val="20"/>
                <w:szCs w:val="20"/>
                <w:color w:val="auto"/>
              </w:rPr>
            </w:pPr>
            <w:r>
              <w:rPr>
                <w:rFonts w:ascii="Arial" w:cs="Arial" w:eastAsia="Arial" w:hAnsi="Arial"/>
                <w:sz w:val="17"/>
                <w:szCs w:val="17"/>
                <w:color w:val="auto"/>
                <w:w w:val="84"/>
              </w:rPr>
              <w:t>2014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7"/>
                <w:szCs w:val="17"/>
                <w:color w:val="auto"/>
              </w:rPr>
              <w:t>142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22,396</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22,538</w:t>
            </w:r>
          </w:p>
        </w:tc>
        <w:tc>
          <w:tcPr>
            <w:tcW w:w="2500" w:type="dxa"/>
            <w:vAlign w:val="bottom"/>
            <w:gridSpan w:val="3"/>
          </w:tcPr>
          <w:p>
            <w:pPr>
              <w:jc w:val="right"/>
              <w:ind w:right="760"/>
              <w:spacing w:after="0"/>
              <w:rPr>
                <w:sz w:val="20"/>
                <w:szCs w:val="20"/>
                <w:color w:val="auto"/>
              </w:rPr>
            </w:pPr>
            <w:r>
              <w:rPr>
                <w:rFonts w:ascii="Arial" w:cs="Arial" w:eastAsia="Arial" w:hAnsi="Arial"/>
                <w:sz w:val="17"/>
                <w:szCs w:val="17"/>
                <w:color w:val="auto"/>
              </w:rPr>
              <w:t>29.0%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61.0%</w:t>
            </w:r>
          </w:p>
        </w:tc>
        <w:tc>
          <w:tcPr>
            <w:tcW w:w="0" w:type="dxa"/>
            <w:vAlign w:val="bottom"/>
          </w:tcPr>
          <w:p>
            <w:pPr>
              <w:spacing w:after="0"/>
              <w:rPr>
                <w:sz w:val="1"/>
                <w:szCs w:val="1"/>
                <w:color w:val="auto"/>
              </w:rPr>
            </w:pPr>
          </w:p>
        </w:tc>
      </w:tr>
      <w:tr>
        <w:trPr>
          <w:trHeight w:val="206"/>
        </w:trPr>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84"/>
              </w:rPr>
              <w:t>2015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500" w:type="dxa"/>
            <w:vAlign w:val="bottom"/>
            <w:gridSpan w:val="3"/>
            <w:shd w:val="clear" w:color="auto" w:fill="CCEEFF"/>
          </w:tcPr>
          <w:p>
            <w:pPr>
              <w:jc w:val="right"/>
              <w:ind w:right="760"/>
              <w:spacing w:after="0"/>
              <w:rPr>
                <w:sz w:val="20"/>
                <w:szCs w:val="20"/>
                <w:color w:val="auto"/>
              </w:rPr>
            </w:pPr>
            <w:r>
              <w:rPr>
                <w:rFonts w:ascii="Arial" w:cs="Arial" w:eastAsia="Arial" w:hAnsi="Arial"/>
                <w:sz w:val="17"/>
                <w:szCs w:val="17"/>
                <w:color w:val="auto"/>
              </w:rPr>
              <w:t>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0" w:type="dxa"/>
            <w:vAlign w:val="bottom"/>
          </w:tcPr>
          <w:p>
            <w:pPr>
              <w:spacing w:after="0"/>
              <w:rPr>
                <w:sz w:val="1"/>
                <w:szCs w:val="1"/>
                <w:color w:val="auto"/>
              </w:rPr>
            </w:pPr>
          </w:p>
        </w:tc>
      </w:tr>
      <w:tr>
        <w:trPr>
          <w:trHeight w:val="206"/>
        </w:trPr>
        <w:tc>
          <w:tcPr>
            <w:tcW w:w="940" w:type="dxa"/>
            <w:vAlign w:val="bottom"/>
            <w:gridSpan w:val="2"/>
          </w:tcPr>
          <w:p>
            <w:pPr>
              <w:jc w:val="right"/>
              <w:ind w:right="600"/>
              <w:spacing w:after="0"/>
              <w:rPr>
                <w:sz w:val="20"/>
                <w:szCs w:val="20"/>
                <w:color w:val="auto"/>
              </w:rPr>
            </w:pPr>
            <w:r>
              <w:rPr>
                <w:rFonts w:ascii="Arial" w:cs="Arial" w:eastAsia="Arial" w:hAnsi="Arial"/>
                <w:sz w:val="17"/>
                <w:szCs w:val="17"/>
                <w:color w:val="auto"/>
                <w:w w:val="84"/>
              </w:rPr>
              <w:t>2016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30,200</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30,200</w:t>
            </w:r>
          </w:p>
        </w:tc>
        <w:tc>
          <w:tcPr>
            <w:tcW w:w="760" w:type="dxa"/>
            <w:vAlign w:val="bottom"/>
          </w:tcPr>
          <w:p>
            <w:pPr>
              <w:spacing w:after="0"/>
              <w:rPr>
                <w:sz w:val="17"/>
                <w:szCs w:val="17"/>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7"/>
                <w:szCs w:val="17"/>
                <w:color w:val="auto"/>
              </w:rPr>
              <w:t>39.0%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100" w:type="dxa"/>
            <w:vAlign w:val="bottom"/>
            <w:gridSpan w:val="3"/>
            <w:shd w:val="clear" w:color="auto" w:fill="CCEEFF"/>
          </w:tcPr>
          <w:p>
            <w:pPr>
              <w:jc w:val="right"/>
              <w:ind w:right="740"/>
              <w:spacing w:after="0"/>
              <w:rPr>
                <w:sz w:val="20"/>
                <w:szCs w:val="20"/>
                <w:color w:val="auto"/>
              </w:rPr>
            </w:pPr>
            <w:r>
              <w:rPr>
                <w:rFonts w:ascii="Arial" w:cs="Arial" w:eastAsia="Arial" w:hAnsi="Arial"/>
                <w:sz w:val="17"/>
                <w:szCs w:val="17"/>
                <w:color w:val="auto"/>
                <w:w w:val="89"/>
              </w:rPr>
              <w:t>Total</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w:t>
            </w:r>
          </w:p>
        </w:tc>
        <w:tc>
          <w:tcPr>
            <w:tcW w:w="3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75,996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77,425</w:t>
            </w:r>
          </w:p>
        </w:tc>
        <w:tc>
          <w:tcPr>
            <w:tcW w:w="2500" w:type="dxa"/>
            <w:vAlign w:val="bottom"/>
            <w:gridSpan w:val="3"/>
            <w:shd w:val="clear" w:color="auto" w:fill="CCEEFF"/>
          </w:tcPr>
          <w:p>
            <w:pPr>
              <w:jc w:val="right"/>
              <w:ind w:right="760"/>
              <w:spacing w:after="0"/>
              <w:rPr>
                <w:sz w:val="20"/>
                <w:szCs w:val="20"/>
                <w:color w:val="auto"/>
              </w:rPr>
            </w:pPr>
            <w:r>
              <w:rPr>
                <w:rFonts w:ascii="Arial" w:cs="Arial" w:eastAsia="Arial" w:hAnsi="Arial"/>
                <w:sz w:val="17"/>
                <w:szCs w:val="17"/>
                <w:color w:val="auto"/>
              </w:rPr>
              <w:t>100.0%</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7" w:lineRule="exact"/>
        <w:rPr>
          <w:sz w:val="20"/>
          <w:szCs w:val="20"/>
          <w:color w:val="auto"/>
        </w:rPr>
      </w:pPr>
    </w:p>
    <w:p>
      <w:pPr>
        <w:ind w:left="460" w:hanging="457"/>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Interest only until maturity.</w:t>
      </w:r>
    </w:p>
    <w:p>
      <w:pPr>
        <w:spacing w:after="0" w:line="10" w:lineRule="exact"/>
        <w:rPr>
          <w:rFonts w:ascii="Arial" w:cs="Arial" w:eastAsia="Arial" w:hAnsi="Arial"/>
          <w:sz w:val="17"/>
          <w:szCs w:val="17"/>
          <w:color w:val="auto"/>
        </w:rPr>
      </w:pPr>
    </w:p>
    <w:p>
      <w:pPr>
        <w:ind w:left="460" w:hanging="457"/>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Loan is interest only until July 5, 2007, after which principal and interest payments are due based on a 30-year amortization schedule.</w:t>
      </w:r>
    </w:p>
    <w:p>
      <w:pPr>
        <w:sectPr>
          <w:pgSz w:w="11900" w:h="16838" w:orient="portrait"/>
          <w:cols w:equalWidth="0" w:num="1">
            <w:col w:w="10219"/>
          </w:cols>
          <w:pgMar w:left="240" w:top="268" w:right="1440"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 Significant Acquisitions and Dispositions - Joint Venture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December 31, 2006</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Joint Venture Acquisitions - Unconsolidated (30% owned)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60" w:type="dxa"/>
            <w:vAlign w:val="bottom"/>
            <w:tcBorders>
              <w:top w:val="single" w:sz="8" w:color="auto"/>
              <w:bottom w:val="single" w:sz="8" w:color="auto"/>
            </w:tcBorders>
            <w:gridSpan w:val="2"/>
          </w:tcPr>
          <w:p>
            <w:pPr>
              <w:ind w:left="860"/>
              <w:spacing w:after="0" w:line="148" w:lineRule="exact"/>
              <w:rPr>
                <w:sz w:val="20"/>
                <w:szCs w:val="20"/>
                <w:color w:val="auto"/>
              </w:rPr>
            </w:pPr>
            <w:r>
              <w:rPr>
                <w:rFonts w:ascii="Arial" w:cs="Arial" w:eastAsia="Arial" w:hAnsi="Arial"/>
                <w:sz w:val="13"/>
                <w:szCs w:val="13"/>
                <w:b w:val="1"/>
                <w:bCs w:val="1"/>
                <w:color w:val="auto"/>
              </w:rPr>
              <w:t>Date</w:t>
            </w: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bottom w:val="single" w:sz="8" w:color="auto"/>
            </w:tcBorders>
          </w:tcPr>
          <w:p>
            <w:pPr>
              <w:ind w:left="600"/>
              <w:spacing w:after="0" w:line="148" w:lineRule="exact"/>
              <w:rPr>
                <w:sz w:val="20"/>
                <w:szCs w:val="20"/>
                <w:color w:val="auto"/>
              </w:rPr>
            </w:pPr>
            <w:r>
              <w:rPr>
                <w:rFonts w:ascii="Arial" w:cs="Arial" w:eastAsia="Arial" w:hAnsi="Arial"/>
                <w:sz w:val="13"/>
                <w:szCs w:val="13"/>
                <w:b w:val="1"/>
                <w:bCs w:val="1"/>
                <w:color w:val="auto"/>
              </w:rPr>
              <w:t>Property</w:t>
            </w:r>
          </w:p>
        </w:tc>
        <w:tc>
          <w:tcPr>
            <w:tcW w:w="100" w:type="dxa"/>
            <w:vAlign w:val="bottom"/>
            <w:tcBorders>
              <w:top w:val="single" w:sz="8" w:color="auto"/>
            </w:tcBorders>
          </w:tcPr>
          <w:p>
            <w:pPr>
              <w:spacing w:after="0"/>
              <w:rPr>
                <w:sz w:val="13"/>
                <w:szCs w:val="13"/>
                <w:color w:val="auto"/>
              </w:rPr>
            </w:pPr>
          </w:p>
        </w:tc>
        <w:tc>
          <w:tcPr>
            <w:tcW w:w="1840" w:type="dxa"/>
            <w:vAlign w:val="bottom"/>
            <w:tcBorders>
              <w:top w:val="single" w:sz="8" w:color="auto"/>
              <w:bottom w:val="single" w:sz="8" w:color="auto"/>
            </w:tcBorders>
          </w:tcPr>
          <w:p>
            <w:pPr>
              <w:ind w:left="620"/>
              <w:spacing w:after="0" w:line="148" w:lineRule="exact"/>
              <w:rPr>
                <w:sz w:val="20"/>
                <w:szCs w:val="20"/>
                <w:color w:val="auto"/>
              </w:rPr>
            </w:pPr>
            <w:r>
              <w:rPr>
                <w:rFonts w:ascii="Arial" w:cs="Arial" w:eastAsia="Arial" w:hAnsi="Arial"/>
                <w:sz w:val="13"/>
                <w:szCs w:val="13"/>
                <w:b w:val="1"/>
                <w:bCs w:val="1"/>
                <w:color w:val="auto"/>
              </w:rPr>
              <w:t>City / State</w:t>
            </w:r>
          </w:p>
        </w:tc>
        <w:tc>
          <w:tcPr>
            <w:tcW w:w="120" w:type="dxa"/>
            <w:vAlign w:val="bottom"/>
            <w:tcBorders>
              <w:top w:val="single" w:sz="8" w:color="auto"/>
            </w:tcBorders>
          </w:tcPr>
          <w:p>
            <w:pPr>
              <w:spacing w:after="0"/>
              <w:rPr>
                <w:sz w:val="13"/>
                <w:szCs w:val="13"/>
                <w:color w:val="auto"/>
              </w:rPr>
            </w:pPr>
          </w:p>
        </w:tc>
        <w:tc>
          <w:tcPr>
            <w:tcW w:w="1820" w:type="dxa"/>
            <w:vAlign w:val="bottom"/>
            <w:tcBorders>
              <w:top w:val="single" w:sz="8" w:color="auto"/>
              <w:bottom w:val="single" w:sz="8" w:color="auto"/>
            </w:tcBorders>
          </w:tcPr>
          <w:p>
            <w:pPr>
              <w:jc w:val="right"/>
              <w:ind w:right="686"/>
              <w:spacing w:after="0" w:line="148" w:lineRule="exact"/>
              <w:rPr>
                <w:sz w:val="20"/>
                <w:szCs w:val="20"/>
                <w:color w:val="auto"/>
              </w:rPr>
            </w:pPr>
            <w:r>
              <w:rPr>
                <w:rFonts w:ascii="Arial" w:cs="Arial" w:eastAsia="Arial" w:hAnsi="Arial"/>
                <w:sz w:val="13"/>
                <w:szCs w:val="13"/>
                <w:b w:val="1"/>
                <w:bCs w:val="1"/>
                <w:color w:val="auto"/>
              </w:rPr>
              <w:t>GLA</w:t>
            </w:r>
          </w:p>
        </w:tc>
        <w:tc>
          <w:tcPr>
            <w:tcW w:w="100" w:type="dxa"/>
            <w:vAlign w:val="bottom"/>
            <w:tcBorders>
              <w:top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49"/>
              <w:spacing w:after="0" w:line="148" w:lineRule="exact"/>
              <w:rPr>
                <w:sz w:val="20"/>
                <w:szCs w:val="20"/>
                <w:color w:val="auto"/>
              </w:rPr>
            </w:pPr>
            <w:r>
              <w:rPr>
                <w:rFonts w:ascii="Arial" w:cs="Arial" w:eastAsia="Arial" w:hAnsi="Arial"/>
                <w:sz w:val="13"/>
                <w:szCs w:val="13"/>
                <w:b w:val="1"/>
                <w:bCs w:val="1"/>
                <w:color w:val="auto"/>
              </w:rPr>
              <w:t>Purchase price</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00" w:type="dxa"/>
            <w:vAlign w:val="bottom"/>
            <w:tcBorders>
              <w:top w:val="single" w:sz="8" w:color="auto"/>
              <w:bottom w:val="single" w:sz="8" w:color="auto"/>
            </w:tcBorders>
          </w:tcPr>
          <w:p>
            <w:pPr>
              <w:ind w:left="420"/>
              <w:spacing w:after="0" w:line="148" w:lineRule="exact"/>
              <w:rPr>
                <w:sz w:val="20"/>
                <w:szCs w:val="20"/>
                <w:color w:val="auto"/>
              </w:rPr>
            </w:pPr>
            <w:r>
              <w:rPr>
                <w:rFonts w:ascii="Arial" w:cs="Arial" w:eastAsia="Arial" w:hAnsi="Arial"/>
                <w:sz w:val="13"/>
                <w:szCs w:val="13"/>
                <w:b w:val="1"/>
                <w:bCs w:val="1"/>
                <w:color w:val="auto"/>
              </w:rPr>
              <w:t>Anchor tenants</w:t>
            </w:r>
          </w:p>
        </w:tc>
      </w:tr>
      <w:tr>
        <w:trPr>
          <w:trHeight w:val="141"/>
        </w:trPr>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right"/>
              <w:ind w:right="49"/>
              <w:spacing w:after="0" w:line="141" w:lineRule="exact"/>
              <w:rPr>
                <w:sz w:val="20"/>
                <w:szCs w:val="20"/>
                <w:color w:val="auto"/>
              </w:rPr>
            </w:pPr>
            <w:r>
              <w:rPr>
                <w:rFonts w:ascii="Arial" w:cs="Arial" w:eastAsia="Arial" w:hAnsi="Arial"/>
                <w:sz w:val="13"/>
                <w:szCs w:val="13"/>
                <w:b w:val="1"/>
                <w:bCs w:val="1"/>
                <w:color w:val="auto"/>
              </w:rPr>
              <w:t>(in thousands)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06"/>
        </w:trPr>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5, 2006</w:t>
            </w: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Greenlawn Plaza (1)</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Huntington, NY</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102,000</w:t>
            </w:r>
          </w:p>
        </w:tc>
        <w:tc>
          <w:tcPr>
            <w:tcW w:w="1540" w:type="dxa"/>
            <w:vAlign w:val="bottom"/>
            <w:gridSpan w:val="2"/>
            <w:shd w:val="clear" w:color="auto" w:fill="CCEEFF"/>
          </w:tcPr>
          <w:p>
            <w:pPr>
              <w:jc w:val="right"/>
              <w:ind w:right="709"/>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20.4</w:t>
            </w: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Waldbaum’s</w:t>
            </w:r>
          </w:p>
        </w:tc>
      </w:tr>
      <w:tr>
        <w:trPr>
          <w:trHeight w:val="314"/>
        </w:trPr>
        <w:tc>
          <w:tcPr>
            <w:tcW w:w="1960" w:type="dxa"/>
            <w:vAlign w:val="bottom"/>
            <w:gridSpan w:val="2"/>
          </w:tcPr>
          <w:p>
            <w:pPr>
              <w:spacing w:after="0"/>
              <w:rPr>
                <w:sz w:val="20"/>
                <w:szCs w:val="20"/>
                <w:color w:val="auto"/>
              </w:rPr>
            </w:pPr>
            <w:r>
              <w:rPr>
                <w:rFonts w:ascii="Arial" w:cs="Arial" w:eastAsia="Arial" w:hAnsi="Arial"/>
                <w:sz w:val="17"/>
                <w:szCs w:val="17"/>
                <w:color w:val="auto"/>
              </w:rPr>
              <w:t>June 8, 2006</w:t>
            </w:r>
          </w:p>
        </w:tc>
        <w:tc>
          <w:tcPr>
            <w:tcW w:w="1840" w:type="dxa"/>
            <w:vAlign w:val="bottom"/>
            <w:gridSpan w:val="2"/>
          </w:tcPr>
          <w:p>
            <w:pPr>
              <w:ind w:left="120"/>
              <w:spacing w:after="0"/>
              <w:rPr>
                <w:sz w:val="20"/>
                <w:szCs w:val="20"/>
                <w:color w:val="auto"/>
              </w:rPr>
            </w:pPr>
            <w:r>
              <w:rPr>
                <w:rFonts w:ascii="Arial" w:cs="Arial" w:eastAsia="Arial" w:hAnsi="Arial"/>
                <w:sz w:val="17"/>
                <w:szCs w:val="17"/>
                <w:color w:val="auto"/>
              </w:rPr>
              <w:t>Barcroft Plaza</w:t>
            </w:r>
          </w:p>
        </w:tc>
        <w:tc>
          <w:tcPr>
            <w:tcW w:w="10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Falls Church, VA</w:t>
            </w:r>
          </w:p>
        </w:tc>
        <w:tc>
          <w:tcPr>
            <w:tcW w:w="120" w:type="dxa"/>
            <w:vAlign w:val="bottom"/>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90,000</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ind w:right="709"/>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Harris Teeter</w:t>
            </w:r>
          </w:p>
        </w:tc>
      </w:tr>
      <w:tr>
        <w:trPr>
          <w:trHeight w:val="206"/>
        </w:trPr>
        <w:tc>
          <w:tcPr>
            <w:tcW w:w="9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192,000</w:t>
            </w:r>
          </w:p>
        </w:tc>
        <w:tc>
          <w:tcPr>
            <w:tcW w:w="1540" w:type="dxa"/>
            <w:vAlign w:val="bottom"/>
            <w:gridSpan w:val="2"/>
            <w:shd w:val="clear" w:color="auto" w:fill="CCEEFF"/>
          </w:tcPr>
          <w:p>
            <w:pPr>
              <w:jc w:val="right"/>
              <w:ind w:right="709"/>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45.5</w:t>
            </w:r>
          </w:p>
        </w:tc>
        <w:tc>
          <w:tcPr>
            <w:tcW w:w="1700" w:type="dxa"/>
            <w:vAlign w:val="bottom"/>
            <w:shd w:val="clear" w:color="auto" w:fill="CCEEFF"/>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94"/>
        </w:trPr>
        <w:tc>
          <w:tcPr>
            <w:tcW w:w="94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17" w:lineRule="exact"/>
        <w:rPr>
          <w:sz w:val="20"/>
          <w:szCs w:val="20"/>
          <w:color w:val="auto"/>
        </w:rPr>
      </w:pPr>
    </w:p>
    <w:p>
      <w:pPr>
        <w:ind w:left="460" w:hanging="457"/>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Greenlawn Plaza was acquired by the joint venture from the Trust.</w:t>
      </w:r>
    </w:p>
    <w:p>
      <w:pPr>
        <w:sectPr>
          <w:pgSz w:w="11900" w:h="16838" w:orient="portrait"/>
          <w:cols w:equalWidth="0" w:num="1">
            <w:col w:w="11420"/>
          </w:cols>
          <w:pgMar w:left="240" w:top="268"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3925" cy="2667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 - Joint Venture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5"/>
              </w:rPr>
              <w:t>Mortgage or</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gridSpan w:val="3"/>
          </w:tcPr>
          <w:p>
            <w:pPr>
              <w:ind w:left="20"/>
              <w:spacing w:after="0"/>
              <w:rPr>
                <w:sz w:val="20"/>
                <w:szCs w:val="20"/>
                <w:color w:val="auto"/>
              </w:rPr>
            </w:pPr>
            <w:r>
              <w:rPr>
                <w:rFonts w:ascii="Arial" w:cs="Arial" w:eastAsia="Arial" w:hAnsi="Arial"/>
                <w:sz w:val="13"/>
                <w:szCs w:val="13"/>
                <w:b w:val="1"/>
                <w:bCs w:val="1"/>
                <w:color w:val="auto"/>
              </w:rPr>
              <w:t>Grocery</w:t>
            </w: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41"/>
        </w:trPr>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84"/>
              </w:rPr>
              <w:t>Year</w:t>
            </w: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89"/>
              </w:rPr>
              <w:t>Total</w:t>
            </w:r>
          </w:p>
        </w:tc>
        <w:tc>
          <w:tcPr>
            <w:tcW w:w="20" w:type="dxa"/>
            <w:vAlign w:val="bottom"/>
          </w:tcPr>
          <w:p>
            <w:pPr>
              <w:spacing w:after="0"/>
              <w:rPr>
                <w:sz w:val="12"/>
                <w:szCs w:val="12"/>
                <w:color w:val="auto"/>
              </w:rPr>
            </w:pPr>
          </w:p>
        </w:tc>
        <w:tc>
          <w:tcPr>
            <w:tcW w:w="860" w:type="dxa"/>
            <w:vAlign w:val="bottom"/>
            <w:gridSpan w:val="3"/>
          </w:tcPr>
          <w:p>
            <w:pPr>
              <w:ind w:left="20"/>
              <w:spacing w:after="0" w:line="141" w:lineRule="exact"/>
              <w:rPr>
                <w:sz w:val="20"/>
                <w:szCs w:val="20"/>
                <w:color w:val="auto"/>
              </w:rPr>
            </w:pPr>
            <w:r>
              <w:rPr>
                <w:rFonts w:ascii="Arial" w:cs="Arial" w:eastAsia="Arial" w:hAnsi="Arial"/>
                <w:sz w:val="13"/>
                <w:szCs w:val="13"/>
                <w:b w:val="1"/>
                <w:bCs w:val="1"/>
                <w:color w:val="auto"/>
                <w:w w:val="97"/>
              </w:rPr>
              <w:t>Capital Lease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b w:val="1"/>
                <w:bCs w:val="1"/>
                <w:color w:val="auto"/>
                <w:w w:val="93"/>
              </w:rPr>
              <w:t>Average</w:t>
            </w:r>
          </w:p>
        </w:tc>
        <w:tc>
          <w:tcPr>
            <w:tcW w:w="60" w:type="dxa"/>
            <w:vAlign w:val="bottom"/>
          </w:tcPr>
          <w:p>
            <w:pPr>
              <w:spacing w:after="0"/>
              <w:rPr>
                <w:sz w:val="12"/>
                <w:szCs w:val="12"/>
                <w:color w:val="auto"/>
              </w:rPr>
            </w:pPr>
          </w:p>
        </w:tc>
        <w:tc>
          <w:tcPr>
            <w:tcW w:w="1780" w:type="dxa"/>
            <w:vAlign w:val="bottom"/>
            <w:gridSpan w:val="3"/>
          </w:tcPr>
          <w:p>
            <w:pPr>
              <w:ind w:left="40"/>
              <w:spacing w:after="0" w:line="141" w:lineRule="exact"/>
              <w:rPr>
                <w:sz w:val="20"/>
                <w:szCs w:val="20"/>
                <w:color w:val="auto"/>
              </w:rPr>
            </w:pPr>
            <w:r>
              <w:rPr>
                <w:rFonts w:ascii="Arial" w:cs="Arial" w:eastAsia="Arial" w:hAnsi="Arial"/>
                <w:sz w:val="13"/>
                <w:szCs w:val="13"/>
                <w:b w:val="1"/>
                <w:bCs w:val="1"/>
                <w:color w:val="auto"/>
              </w:rPr>
              <w:t>Anchor</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60"/>
        </w:trPr>
        <w:tc>
          <w:tcPr>
            <w:tcW w:w="1640" w:type="dxa"/>
            <w:vAlign w:val="bottom"/>
            <w:gridSpan w:val="6"/>
          </w:tcPr>
          <w:p>
            <w:pPr>
              <w:spacing w:after="0"/>
              <w:rPr>
                <w:sz w:val="20"/>
                <w:szCs w:val="20"/>
                <w:color w:val="auto"/>
              </w:rPr>
            </w:pPr>
            <w:r>
              <w:rPr>
                <w:rFonts w:ascii="Arial" w:cs="Arial" w:eastAsia="Arial" w:hAnsi="Arial"/>
                <w:sz w:val="13"/>
                <w:szCs w:val="13"/>
                <w:b w:val="1"/>
                <w:bCs w:val="1"/>
                <w:color w:val="auto"/>
              </w:rPr>
              <w:t>Property Name</w:t>
            </w:r>
          </w:p>
        </w:tc>
        <w:tc>
          <w:tcPr>
            <w:tcW w:w="4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3"/>
                <w:szCs w:val="13"/>
                <w:b w:val="1"/>
                <w:bCs w:val="1"/>
                <w:color w:val="auto"/>
                <w:w w:val="94"/>
              </w:rPr>
              <w:t>MSA Description</w:t>
            </w:r>
          </w:p>
        </w:tc>
        <w:tc>
          <w:tcPr>
            <w:tcW w:w="60" w:type="dxa"/>
            <w:vAlign w:val="bottom"/>
          </w:tcPr>
          <w:p>
            <w:pPr>
              <w:spacing w:after="0"/>
              <w:rPr>
                <w:sz w:val="13"/>
                <w:szCs w:val="13"/>
                <w:color w:val="auto"/>
              </w:rPr>
            </w:pPr>
          </w:p>
        </w:tc>
        <w:tc>
          <w:tcPr>
            <w:tcW w:w="5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Acquired</w:t>
            </w:r>
          </w:p>
        </w:tc>
        <w:tc>
          <w:tcPr>
            <w:tcW w:w="10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Investment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0"/>
              </w:rPr>
              <w:t>Obligation</w:t>
            </w:r>
          </w:p>
        </w:tc>
        <w:tc>
          <w:tcPr>
            <w:tcW w:w="5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GLA</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93"/>
              </w:rPr>
              <w:t>% Leased (1)</w:t>
            </w:r>
          </w:p>
        </w:tc>
        <w:tc>
          <w:tcPr>
            <w:tcW w:w="6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3"/>
              </w:rPr>
              <w:t>% Occupied (2)</w:t>
            </w:r>
          </w:p>
        </w:tc>
        <w:tc>
          <w:tcPr>
            <w:tcW w:w="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Rent PSF</w:t>
            </w:r>
          </w:p>
        </w:tc>
        <w:tc>
          <w:tcPr>
            <w:tcW w:w="60" w:type="dxa"/>
            <w:vAlign w:val="bottom"/>
          </w:tcPr>
          <w:p>
            <w:pPr>
              <w:spacing w:after="0"/>
              <w:rPr>
                <w:sz w:val="13"/>
                <w:szCs w:val="13"/>
                <w:color w:val="auto"/>
              </w:rPr>
            </w:pPr>
          </w:p>
        </w:tc>
        <w:tc>
          <w:tcPr>
            <w:tcW w:w="1780" w:type="dxa"/>
            <w:vAlign w:val="bottom"/>
            <w:gridSpan w:val="3"/>
          </w:tcPr>
          <w:p>
            <w:pPr>
              <w:ind w:left="20"/>
              <w:spacing w:after="0"/>
              <w:rPr>
                <w:sz w:val="20"/>
                <w:szCs w:val="20"/>
                <w:color w:val="auto"/>
              </w:rPr>
            </w:pPr>
            <w:r>
              <w:rPr>
                <w:rFonts w:ascii="Arial" w:cs="Arial" w:eastAsia="Arial" w:hAnsi="Arial"/>
                <w:sz w:val="13"/>
                <w:szCs w:val="13"/>
                <w:b w:val="1"/>
                <w:bCs w:val="1"/>
                <w:color w:val="auto"/>
              </w:rPr>
              <w:t>GLA (3)  Grocery Anchor (3)</w:t>
            </w:r>
          </w:p>
        </w:tc>
        <w:tc>
          <w:tcPr>
            <w:tcW w:w="80" w:type="dxa"/>
            <w:vAlign w:val="bottom"/>
          </w:tcPr>
          <w:p>
            <w:pPr>
              <w:spacing w:after="0"/>
              <w:rPr>
                <w:sz w:val="13"/>
                <w:szCs w:val="13"/>
                <w:color w:val="auto"/>
              </w:rPr>
            </w:pPr>
          </w:p>
        </w:tc>
        <w:tc>
          <w:tcPr>
            <w:tcW w:w="1500" w:type="dxa"/>
            <w:vAlign w:val="bottom"/>
          </w:tcPr>
          <w:p>
            <w:pPr>
              <w:ind w:left="100"/>
              <w:spacing w:after="0"/>
              <w:rPr>
                <w:sz w:val="20"/>
                <w:szCs w:val="20"/>
                <w:color w:val="auto"/>
              </w:rPr>
            </w:pPr>
            <w:r>
              <w:rPr>
                <w:rFonts w:ascii="Arial" w:cs="Arial" w:eastAsia="Arial" w:hAnsi="Arial"/>
                <w:sz w:val="13"/>
                <w:szCs w:val="13"/>
                <w:b w:val="1"/>
                <w:bCs w:val="1"/>
                <w:color w:val="auto"/>
                <w:w w:val="94"/>
              </w:rPr>
              <w:t>Other Principal Tenants</w:t>
            </w:r>
          </w:p>
        </w:tc>
      </w:tr>
      <w:tr>
        <w:trPr>
          <w:trHeight w:val="141"/>
        </w:trPr>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w w:val="78"/>
              </w:rPr>
              <w:t>(in thousands)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r>
      <w:tr>
        <w:trPr>
          <w:trHeight w:val="128"/>
        </w:trPr>
        <w:tc>
          <w:tcPr>
            <w:tcW w:w="1640" w:type="dxa"/>
            <w:vAlign w:val="bottom"/>
            <w:gridSpan w:val="6"/>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East Region</w:t>
            </w: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r>
      <w:tr>
        <w:trPr>
          <w:trHeight w:val="224"/>
        </w:trPr>
        <w:tc>
          <w:tcPr>
            <w:tcW w:w="1640" w:type="dxa"/>
            <w:vAlign w:val="bottom"/>
            <w:gridSpan w:val="6"/>
          </w:tcPr>
          <w:p>
            <w:pPr>
              <w:spacing w:after="0"/>
              <w:rPr>
                <w:sz w:val="20"/>
                <w:szCs w:val="20"/>
                <w:color w:val="auto"/>
              </w:rPr>
            </w:pPr>
            <w:r>
              <w:rPr>
                <w:rFonts w:ascii="Arial" w:cs="Arial" w:eastAsia="Arial" w:hAnsi="Arial"/>
                <w:sz w:val="13"/>
                <w:szCs w:val="13"/>
                <w:b w:val="1"/>
                <w:bCs w:val="1"/>
                <w:color w:val="auto"/>
              </w:rPr>
              <w:t>Washington Metropolitan</w:t>
            </w: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121"/>
        </w:trPr>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spacing w:after="0" w:line="121" w:lineRule="exact"/>
              <w:rPr>
                <w:sz w:val="20"/>
                <w:szCs w:val="20"/>
                <w:color w:val="auto"/>
              </w:rPr>
            </w:pPr>
            <w:r>
              <w:rPr>
                <w:rFonts w:ascii="Arial" w:cs="Arial" w:eastAsia="Arial" w:hAnsi="Arial"/>
                <w:sz w:val="13"/>
                <w:szCs w:val="13"/>
                <w:b w:val="1"/>
                <w:bCs w:val="1"/>
                <w:color w:val="auto"/>
                <w:w w:val="89"/>
              </w:rPr>
              <w:t>Area</w:t>
            </w:r>
          </w:p>
        </w:tc>
        <w:tc>
          <w:tcPr>
            <w:tcW w:w="940" w:type="dxa"/>
            <w:vAlign w:val="bottom"/>
            <w:tcBorders>
              <w:top w:val="single" w:sz="8" w:color="auto"/>
            </w:tcBorders>
            <w:gridSpan w:val="3"/>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125"/>
        </w:trPr>
        <w:tc>
          <w:tcPr>
            <w:tcW w:w="1640" w:type="dxa"/>
            <w:vAlign w:val="bottom"/>
            <w:gridSpan w:val="6"/>
            <w:shd w:val="clear" w:color="auto" w:fill="CCEEFF"/>
          </w:tcPr>
          <w:p>
            <w:pPr>
              <w:spacing w:after="0" w:line="126" w:lineRule="exact"/>
              <w:rPr>
                <w:sz w:val="20"/>
                <w:szCs w:val="20"/>
                <w:color w:val="auto"/>
              </w:rPr>
            </w:pPr>
            <w:r>
              <w:rPr>
                <w:rFonts w:ascii="Arial" w:cs="Arial" w:eastAsia="Arial" w:hAnsi="Arial"/>
                <w:sz w:val="13"/>
                <w:szCs w:val="13"/>
                <w:color w:val="auto"/>
              </w:rPr>
              <w:t>Barcroft Plaza</w:t>
            </w:r>
          </w:p>
        </w:tc>
        <w:tc>
          <w:tcPr>
            <w:tcW w:w="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line="126" w:lineRule="exact"/>
              <w:rPr>
                <w:sz w:val="20"/>
                <w:szCs w:val="20"/>
                <w:color w:val="auto"/>
              </w:rPr>
            </w:pPr>
            <w:r>
              <w:rPr>
                <w:rFonts w:ascii="Arial" w:cs="Arial" w:eastAsia="Arial" w:hAnsi="Arial"/>
                <w:sz w:val="13"/>
                <w:szCs w:val="13"/>
                <w:color w:val="auto"/>
              </w:rPr>
              <w:t>Washington, DC-</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r>
      <w:tr>
        <w:trPr>
          <w:trHeight w:val="150"/>
        </w:trPr>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MD-VA</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2006</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27,573</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16,600</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91,000</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18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16.52</w:t>
            </w:r>
          </w:p>
        </w:tc>
        <w:tc>
          <w:tcPr>
            <w:tcW w:w="60" w:type="dxa"/>
            <w:vAlign w:val="bottom"/>
            <w:shd w:val="clear" w:color="auto" w:fill="CCEEFF"/>
          </w:tcPr>
          <w:p>
            <w:pPr>
              <w:spacing w:after="0"/>
              <w:rPr>
                <w:sz w:val="13"/>
                <w:szCs w:val="13"/>
                <w:color w:val="auto"/>
              </w:rPr>
            </w:pPr>
          </w:p>
        </w:tc>
        <w:tc>
          <w:tcPr>
            <w:tcW w:w="178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46,000 Harris Teeter</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32"/>
        </w:trPr>
        <w:tc>
          <w:tcPr>
            <w:tcW w:w="1640" w:type="dxa"/>
            <w:vAlign w:val="bottom"/>
            <w:gridSpan w:val="6"/>
          </w:tcPr>
          <w:p>
            <w:pPr>
              <w:spacing w:after="0" w:line="133" w:lineRule="exact"/>
              <w:rPr>
                <w:sz w:val="20"/>
                <w:szCs w:val="20"/>
                <w:color w:val="auto"/>
              </w:rPr>
            </w:pPr>
            <w:r>
              <w:rPr>
                <w:rFonts w:ascii="Arial" w:cs="Arial" w:eastAsia="Arial" w:hAnsi="Arial"/>
                <w:sz w:val="13"/>
                <w:szCs w:val="13"/>
                <w:color w:val="auto"/>
              </w:rPr>
              <w:t>Plaza del Mercado</w:t>
            </w:r>
          </w:p>
        </w:tc>
        <w:tc>
          <w:tcPr>
            <w:tcW w:w="4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3"/>
                <w:szCs w:val="13"/>
                <w:color w:val="auto"/>
              </w:rPr>
              <w:t>Washington, DC-</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56"/>
        </w:trPr>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MD-VA</w:t>
            </w:r>
          </w:p>
        </w:tc>
        <w:tc>
          <w:tcPr>
            <w:tcW w:w="620" w:type="dxa"/>
            <w:vAlign w:val="bottom"/>
            <w:gridSpan w:val="3"/>
          </w:tcPr>
          <w:p>
            <w:pPr>
              <w:jc w:val="right"/>
              <w:ind w:right="20"/>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20,555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13,325</w:t>
            </w:r>
          </w:p>
        </w:tc>
        <w:tc>
          <w:tcPr>
            <w:tcW w:w="420" w:type="dxa"/>
            <w:vAlign w:val="bottom"/>
          </w:tcPr>
          <w:p>
            <w:pPr>
              <w:jc w:val="right"/>
              <w:spacing w:after="0"/>
              <w:rPr>
                <w:sz w:val="20"/>
                <w:szCs w:val="20"/>
                <w:color w:val="auto"/>
              </w:rPr>
            </w:pPr>
            <w:r>
              <w:rPr>
                <w:rFonts w:ascii="Arial" w:cs="Arial" w:eastAsia="Arial" w:hAnsi="Arial"/>
                <w:sz w:val="13"/>
                <w:szCs w:val="13"/>
                <w:color w:val="auto"/>
              </w:rPr>
              <w:t>96,000</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99%</w:t>
            </w:r>
          </w:p>
        </w:tc>
        <w:tc>
          <w:tcPr>
            <w:tcW w:w="1040" w:type="dxa"/>
            <w:vAlign w:val="bottom"/>
            <w:gridSpan w:val="3"/>
          </w:tcPr>
          <w:p>
            <w:pPr>
              <w:jc w:val="right"/>
              <w:ind w:right="40"/>
              <w:spacing w:after="0"/>
              <w:rPr>
                <w:sz w:val="20"/>
                <w:szCs w:val="20"/>
                <w:color w:val="auto"/>
              </w:rPr>
            </w:pPr>
            <w:r>
              <w:rPr>
                <w:rFonts w:ascii="Arial" w:cs="Arial" w:eastAsia="Arial" w:hAnsi="Arial"/>
                <w:sz w:val="13"/>
                <w:szCs w:val="13"/>
                <w:color w:val="auto"/>
              </w:rPr>
              <w:t>99%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17.04</w:t>
            </w:r>
          </w:p>
        </w:tc>
        <w:tc>
          <w:tcPr>
            <w:tcW w:w="60" w:type="dxa"/>
            <w:vAlign w:val="bottom"/>
          </w:tcPr>
          <w:p>
            <w:pPr>
              <w:spacing w:after="0"/>
              <w:rPr>
                <w:sz w:val="13"/>
                <w:szCs w:val="13"/>
                <w:color w:val="auto"/>
              </w:rPr>
            </w:pPr>
          </w:p>
        </w:tc>
        <w:tc>
          <w:tcPr>
            <w:tcW w:w="1780" w:type="dxa"/>
            <w:vAlign w:val="bottom"/>
            <w:gridSpan w:val="3"/>
          </w:tcPr>
          <w:p>
            <w:pPr>
              <w:ind w:left="160"/>
              <w:spacing w:after="0"/>
              <w:rPr>
                <w:sz w:val="20"/>
                <w:szCs w:val="20"/>
                <w:color w:val="auto"/>
              </w:rPr>
            </w:pPr>
            <w:r>
              <w:rPr>
                <w:rFonts w:ascii="Arial" w:cs="Arial" w:eastAsia="Arial" w:hAnsi="Arial"/>
                <w:sz w:val="13"/>
                <w:szCs w:val="13"/>
                <w:color w:val="auto"/>
              </w:rPr>
              <w:t>25,000 Giant Food</w:t>
            </w:r>
          </w:p>
        </w:tc>
        <w:tc>
          <w:tcPr>
            <w:tcW w:w="80" w:type="dxa"/>
            <w:vAlign w:val="bottom"/>
          </w:tcPr>
          <w:p>
            <w:pPr>
              <w:spacing w:after="0"/>
              <w:rPr>
                <w:sz w:val="13"/>
                <w:szCs w:val="13"/>
                <w:color w:val="auto"/>
              </w:rPr>
            </w:pPr>
          </w:p>
        </w:tc>
        <w:tc>
          <w:tcPr>
            <w:tcW w:w="1500" w:type="dxa"/>
            <w:vAlign w:val="bottom"/>
          </w:tcPr>
          <w:p>
            <w:pPr>
              <w:spacing w:after="0"/>
              <w:rPr>
                <w:sz w:val="20"/>
                <w:szCs w:val="20"/>
                <w:color w:val="auto"/>
              </w:rPr>
            </w:pPr>
            <w:r>
              <w:rPr>
                <w:rFonts w:ascii="Arial" w:cs="Arial" w:eastAsia="Arial" w:hAnsi="Arial"/>
                <w:sz w:val="13"/>
                <w:szCs w:val="13"/>
                <w:color w:val="auto"/>
              </w:rPr>
              <w:t>CVS</w:t>
            </w:r>
          </w:p>
        </w:tc>
      </w:tr>
      <w:tr>
        <w:trPr>
          <w:trHeight w:val="128"/>
        </w:trPr>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5"/>
              </w:rPr>
              <w:t>Total Washington</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r>
      <w:tr>
        <w:trPr>
          <w:trHeight w:val="154"/>
        </w:trPr>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4"/>
              </w:rPr>
              <w:t>Metropolitan Area</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48,128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187,000</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99%</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16.78</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244"/>
        </w:trPr>
        <w:tc>
          <w:tcPr>
            <w:tcW w:w="1640" w:type="dxa"/>
            <w:vAlign w:val="bottom"/>
            <w:gridSpan w:val="6"/>
          </w:tcPr>
          <w:p>
            <w:pPr>
              <w:spacing w:after="0"/>
              <w:rPr>
                <w:sz w:val="20"/>
                <w:szCs w:val="20"/>
                <w:color w:val="auto"/>
              </w:rPr>
            </w:pPr>
            <w:r>
              <w:rPr>
                <w:rFonts w:ascii="Arial" w:cs="Arial" w:eastAsia="Arial" w:hAnsi="Arial"/>
                <w:sz w:val="13"/>
                <w:szCs w:val="13"/>
                <w:b w:val="1"/>
                <w:bCs w:val="1"/>
                <w:color w:val="auto"/>
              </w:rPr>
              <w:t>New York / New Jersey</w:t>
            </w: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141"/>
        </w:trPr>
        <w:tc>
          <w:tcPr>
            <w:tcW w:w="1640" w:type="dxa"/>
            <w:vAlign w:val="bottom"/>
            <w:gridSpan w:val="6"/>
            <w:shd w:val="clear" w:color="auto" w:fill="CCEEFF"/>
          </w:tcPr>
          <w:p>
            <w:pPr>
              <w:spacing w:after="0" w:line="141" w:lineRule="exact"/>
              <w:rPr>
                <w:sz w:val="20"/>
                <w:szCs w:val="20"/>
                <w:color w:val="auto"/>
              </w:rPr>
            </w:pPr>
            <w:r>
              <w:rPr>
                <w:rFonts w:ascii="Arial" w:cs="Arial" w:eastAsia="Arial" w:hAnsi="Arial"/>
                <w:sz w:val="13"/>
                <w:szCs w:val="13"/>
                <w:color w:val="auto"/>
              </w:rPr>
              <w:t>Greenlawn Plaza</w:t>
            </w:r>
          </w:p>
        </w:tc>
        <w:tc>
          <w:tcPr>
            <w:tcW w:w="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91"/>
              </w:rPr>
              <w:t>Nassau-Suffolk, NY</w:t>
            </w:r>
          </w:p>
        </w:tc>
        <w:tc>
          <w:tcPr>
            <w:tcW w:w="620" w:type="dxa"/>
            <w:vAlign w:val="bottom"/>
            <w:gridSpan w:val="3"/>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2006</w:t>
            </w:r>
          </w:p>
        </w:tc>
        <w:tc>
          <w:tcPr>
            <w:tcW w:w="10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19,830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13,600</w:t>
            </w:r>
          </w:p>
        </w:tc>
        <w:tc>
          <w:tcPr>
            <w:tcW w:w="4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5"/>
              </w:rPr>
              <w:t>102,000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100%</w:t>
            </w:r>
          </w:p>
        </w:tc>
        <w:tc>
          <w:tcPr>
            <w:tcW w:w="104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14.48</w:t>
            </w:r>
          </w:p>
        </w:tc>
        <w:tc>
          <w:tcPr>
            <w:tcW w:w="6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ind w:left="160"/>
              <w:spacing w:after="0" w:line="141" w:lineRule="exact"/>
              <w:rPr>
                <w:sz w:val="20"/>
                <w:szCs w:val="20"/>
                <w:color w:val="auto"/>
              </w:rPr>
            </w:pPr>
            <w:r>
              <w:rPr>
                <w:rFonts w:ascii="Arial" w:cs="Arial" w:eastAsia="Arial" w:hAnsi="Arial"/>
                <w:sz w:val="13"/>
                <w:szCs w:val="13"/>
                <w:color w:val="auto"/>
              </w:rPr>
              <w:t>46,000 Waldbaum’s</w:t>
            </w: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Tuesday Morning</w:t>
            </w:r>
          </w:p>
        </w:tc>
      </w:tr>
      <w:tr>
        <w:trPr>
          <w:trHeight w:val="134"/>
        </w:trPr>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line="134" w:lineRule="exact"/>
              <w:rPr>
                <w:sz w:val="20"/>
                <w:szCs w:val="20"/>
                <w:color w:val="auto"/>
              </w:rPr>
            </w:pPr>
            <w:r>
              <w:rPr>
                <w:rFonts w:ascii="Arial" w:cs="Arial" w:eastAsia="Arial" w:hAnsi="Arial"/>
                <w:sz w:val="13"/>
                <w:szCs w:val="13"/>
                <w:b w:val="1"/>
                <w:bCs w:val="1"/>
                <w:color w:val="auto"/>
              </w:rPr>
              <w:t>Total New York /</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66"/>
        </w:trPr>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b w:val="1"/>
                <w:bCs w:val="1"/>
                <w:color w:val="auto"/>
              </w:rPr>
              <w:t>New Jersey</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19,830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85"/>
              </w:rPr>
              <w:t>102,000</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w:t>
            </w:r>
          </w:p>
        </w:tc>
        <w:tc>
          <w:tcPr>
            <w:tcW w:w="1040" w:type="dxa"/>
            <w:vAlign w:val="bottom"/>
            <w:gridSpan w:val="3"/>
          </w:tcPr>
          <w:p>
            <w:pPr>
              <w:jc w:val="right"/>
              <w:ind w:right="40"/>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14.48</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90"/>
        </w:trPr>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Pr>
          <w:p>
            <w:pPr>
              <w:spacing w:after="0"/>
              <w:rPr>
                <w:sz w:val="7"/>
                <w:szCs w:val="7"/>
                <w:color w:val="auto"/>
              </w:rPr>
            </w:pPr>
          </w:p>
        </w:tc>
      </w:tr>
      <w:tr>
        <w:trPr>
          <w:trHeight w:val="141"/>
        </w:trPr>
        <w:tc>
          <w:tcPr>
            <w:tcW w:w="1640" w:type="dxa"/>
            <w:vAlign w:val="bottom"/>
            <w:gridSpan w:val="6"/>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New England</w:t>
            </w:r>
          </w:p>
        </w:tc>
        <w:tc>
          <w:tcPr>
            <w:tcW w:w="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32"/>
        </w:trPr>
        <w:tc>
          <w:tcPr>
            <w:tcW w:w="1640" w:type="dxa"/>
            <w:vAlign w:val="bottom"/>
            <w:gridSpan w:val="6"/>
          </w:tcPr>
          <w:p>
            <w:pPr>
              <w:spacing w:after="0" w:line="133" w:lineRule="exact"/>
              <w:rPr>
                <w:sz w:val="20"/>
                <w:szCs w:val="20"/>
                <w:color w:val="auto"/>
              </w:rPr>
            </w:pPr>
            <w:r>
              <w:rPr>
                <w:rFonts w:ascii="Arial" w:cs="Arial" w:eastAsia="Arial" w:hAnsi="Arial"/>
                <w:sz w:val="13"/>
                <w:szCs w:val="13"/>
                <w:color w:val="auto"/>
              </w:rPr>
              <w:t>Atlantic Plaza</w:t>
            </w:r>
          </w:p>
        </w:tc>
        <w:tc>
          <w:tcPr>
            <w:tcW w:w="4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3"/>
                <w:szCs w:val="13"/>
                <w:color w:val="auto"/>
                <w:w w:val="95"/>
              </w:rPr>
              <w:t>Boston-Worcester-</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41"/>
        </w:trPr>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line="141" w:lineRule="exact"/>
              <w:rPr>
                <w:sz w:val="20"/>
                <w:szCs w:val="20"/>
                <w:color w:val="auto"/>
              </w:rPr>
            </w:pPr>
            <w:r>
              <w:rPr>
                <w:rFonts w:ascii="Arial" w:cs="Arial" w:eastAsia="Arial" w:hAnsi="Arial"/>
                <w:sz w:val="13"/>
                <w:szCs w:val="13"/>
                <w:color w:val="auto"/>
              </w:rPr>
              <w:t>Lawrence-Lowell-</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1"/>
        </w:trPr>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line="141" w:lineRule="exact"/>
              <w:rPr>
                <w:sz w:val="20"/>
                <w:szCs w:val="20"/>
                <w:color w:val="auto"/>
              </w:rPr>
            </w:pPr>
            <w:r>
              <w:rPr>
                <w:rFonts w:ascii="Arial" w:cs="Arial" w:eastAsia="Arial" w:hAnsi="Arial"/>
                <w:sz w:val="13"/>
                <w:szCs w:val="13"/>
                <w:color w:val="auto"/>
              </w:rPr>
              <w:t>Brockton,</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50"/>
        </w:trPr>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MA</w:t>
            </w:r>
          </w:p>
        </w:tc>
        <w:tc>
          <w:tcPr>
            <w:tcW w:w="620" w:type="dxa"/>
            <w:vAlign w:val="bottom"/>
            <w:gridSpan w:val="3"/>
          </w:tcPr>
          <w:p>
            <w:pPr>
              <w:jc w:val="right"/>
              <w:ind w:right="20"/>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16,312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10,500</w:t>
            </w:r>
          </w:p>
        </w:tc>
        <w:tc>
          <w:tcPr>
            <w:tcW w:w="420" w:type="dxa"/>
            <w:vAlign w:val="bottom"/>
          </w:tcPr>
          <w:p>
            <w:pPr>
              <w:jc w:val="right"/>
              <w:spacing w:after="0"/>
              <w:rPr>
                <w:sz w:val="20"/>
                <w:szCs w:val="20"/>
                <w:color w:val="auto"/>
              </w:rPr>
            </w:pPr>
            <w:r>
              <w:rPr>
                <w:rFonts w:ascii="Arial" w:cs="Arial" w:eastAsia="Arial" w:hAnsi="Arial"/>
                <w:sz w:val="13"/>
                <w:szCs w:val="13"/>
                <w:color w:val="auto"/>
                <w:w w:val="85"/>
              </w:rPr>
              <w:t>123,000</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w:t>
            </w:r>
          </w:p>
        </w:tc>
        <w:tc>
          <w:tcPr>
            <w:tcW w:w="1040" w:type="dxa"/>
            <w:vAlign w:val="bottom"/>
            <w:gridSpan w:val="3"/>
          </w:tcPr>
          <w:p>
            <w:pPr>
              <w:jc w:val="right"/>
              <w:ind w:right="40"/>
              <w:spacing w:after="0"/>
              <w:rPr>
                <w:sz w:val="20"/>
                <w:szCs w:val="20"/>
                <w:color w:val="auto"/>
              </w:rPr>
            </w:pPr>
            <w:r>
              <w:rPr>
                <w:rFonts w:ascii="Arial" w:cs="Arial" w:eastAsia="Arial" w:hAnsi="Arial"/>
                <w:sz w:val="13"/>
                <w:szCs w:val="13"/>
                <w:color w:val="auto"/>
              </w:rPr>
              <w:t>97%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12.45</w:t>
            </w:r>
          </w:p>
        </w:tc>
        <w:tc>
          <w:tcPr>
            <w:tcW w:w="60" w:type="dxa"/>
            <w:vAlign w:val="bottom"/>
          </w:tcPr>
          <w:p>
            <w:pPr>
              <w:spacing w:after="0"/>
              <w:rPr>
                <w:sz w:val="13"/>
                <w:szCs w:val="13"/>
                <w:color w:val="auto"/>
              </w:rPr>
            </w:pPr>
          </w:p>
        </w:tc>
        <w:tc>
          <w:tcPr>
            <w:tcW w:w="1780" w:type="dxa"/>
            <w:vAlign w:val="bottom"/>
            <w:gridSpan w:val="3"/>
          </w:tcPr>
          <w:p>
            <w:pPr>
              <w:ind w:left="160"/>
              <w:spacing w:after="0"/>
              <w:rPr>
                <w:sz w:val="20"/>
                <w:szCs w:val="20"/>
                <w:color w:val="auto"/>
              </w:rPr>
            </w:pPr>
            <w:r>
              <w:rPr>
                <w:rFonts w:ascii="Arial" w:cs="Arial" w:eastAsia="Arial" w:hAnsi="Arial"/>
                <w:sz w:val="13"/>
                <w:szCs w:val="13"/>
                <w:color w:val="auto"/>
                <w:w w:val="97"/>
              </w:rPr>
              <w:t>63,000 Shaw’s Supermarket</w:t>
            </w:r>
          </w:p>
        </w:tc>
        <w:tc>
          <w:tcPr>
            <w:tcW w:w="80" w:type="dxa"/>
            <w:vAlign w:val="bottom"/>
          </w:tcPr>
          <w:p>
            <w:pPr>
              <w:spacing w:after="0"/>
              <w:rPr>
                <w:sz w:val="13"/>
                <w:szCs w:val="13"/>
                <w:color w:val="auto"/>
              </w:rPr>
            </w:pPr>
          </w:p>
        </w:tc>
        <w:tc>
          <w:tcPr>
            <w:tcW w:w="1500" w:type="dxa"/>
            <w:vAlign w:val="bottom"/>
          </w:tcPr>
          <w:p>
            <w:pPr>
              <w:spacing w:after="0"/>
              <w:rPr>
                <w:sz w:val="20"/>
                <w:szCs w:val="20"/>
                <w:color w:val="auto"/>
              </w:rPr>
            </w:pPr>
            <w:r>
              <w:rPr>
                <w:rFonts w:ascii="Arial" w:cs="Arial" w:eastAsia="Arial" w:hAnsi="Arial"/>
                <w:sz w:val="13"/>
                <w:szCs w:val="13"/>
                <w:color w:val="auto"/>
              </w:rPr>
              <w:t>Sears</w:t>
            </w:r>
          </w:p>
        </w:tc>
      </w:tr>
      <w:tr>
        <w:trPr>
          <w:trHeight w:val="132"/>
        </w:trPr>
        <w:tc>
          <w:tcPr>
            <w:tcW w:w="1640" w:type="dxa"/>
            <w:vAlign w:val="bottom"/>
            <w:gridSpan w:val="6"/>
            <w:shd w:val="clear" w:color="auto" w:fill="CCEEFF"/>
          </w:tcPr>
          <w:p>
            <w:pPr>
              <w:spacing w:after="0" w:line="133" w:lineRule="exact"/>
              <w:rPr>
                <w:sz w:val="20"/>
                <w:szCs w:val="20"/>
                <w:color w:val="auto"/>
              </w:rPr>
            </w:pPr>
            <w:r>
              <w:rPr>
                <w:rFonts w:ascii="Arial" w:cs="Arial" w:eastAsia="Arial" w:hAnsi="Arial"/>
                <w:sz w:val="13"/>
                <w:szCs w:val="13"/>
                <w:color w:val="auto"/>
              </w:rPr>
              <w:t>Campus Plaza</w:t>
            </w: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w w:val="95"/>
              </w:rPr>
              <w:t>Boston-Worcester-</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r>
      <w:tr>
        <w:trPr>
          <w:trHeight w:val="141"/>
        </w:trPr>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Lawrence-Lowell-</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41"/>
        </w:trPr>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Brockton,</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50"/>
        </w:trPr>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MA</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2004</w:t>
            </w:r>
          </w:p>
        </w:tc>
        <w:tc>
          <w:tcPr>
            <w:tcW w:w="10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21,990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11,000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5"/>
              </w:rPr>
              <w:t>116,000</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w:t>
            </w:r>
          </w:p>
        </w:tc>
        <w:tc>
          <w:tcPr>
            <w:tcW w:w="60" w:type="dxa"/>
            <w:vAlign w:val="bottom"/>
            <w:shd w:val="clear" w:color="auto" w:fill="CCEEFF"/>
          </w:tcPr>
          <w:p>
            <w:pPr>
              <w:spacing w:after="0"/>
              <w:rPr>
                <w:sz w:val="13"/>
                <w:szCs w:val="13"/>
                <w:color w:val="auto"/>
              </w:rPr>
            </w:pPr>
          </w:p>
        </w:tc>
        <w:tc>
          <w:tcPr>
            <w:tcW w:w="178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46,000 Roche Brothers</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3"/>
                <w:szCs w:val="13"/>
                <w:color w:val="auto"/>
              </w:rPr>
              <w:t>Burlington Coat Factory</w:t>
            </w:r>
          </w:p>
        </w:tc>
      </w:tr>
      <w:tr>
        <w:trPr>
          <w:trHeight w:val="132"/>
        </w:trPr>
        <w:tc>
          <w:tcPr>
            <w:tcW w:w="1640" w:type="dxa"/>
            <w:vAlign w:val="bottom"/>
            <w:gridSpan w:val="6"/>
          </w:tcPr>
          <w:p>
            <w:pPr>
              <w:spacing w:after="0" w:line="133" w:lineRule="exact"/>
              <w:rPr>
                <w:sz w:val="20"/>
                <w:szCs w:val="20"/>
                <w:color w:val="auto"/>
              </w:rPr>
            </w:pPr>
            <w:r>
              <w:rPr>
                <w:rFonts w:ascii="Arial" w:cs="Arial" w:eastAsia="Arial" w:hAnsi="Arial"/>
                <w:sz w:val="13"/>
                <w:szCs w:val="13"/>
                <w:color w:val="auto"/>
              </w:rPr>
              <w:t>Pleasant Shops</w:t>
            </w:r>
          </w:p>
        </w:tc>
        <w:tc>
          <w:tcPr>
            <w:tcW w:w="4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3"/>
                <w:szCs w:val="13"/>
                <w:color w:val="auto"/>
                <w:w w:val="95"/>
              </w:rPr>
              <w:t>Boston-Worcester-</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41"/>
        </w:trPr>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line="141" w:lineRule="exact"/>
              <w:rPr>
                <w:sz w:val="20"/>
                <w:szCs w:val="20"/>
                <w:color w:val="auto"/>
              </w:rPr>
            </w:pPr>
            <w:r>
              <w:rPr>
                <w:rFonts w:ascii="Arial" w:cs="Arial" w:eastAsia="Arial" w:hAnsi="Arial"/>
                <w:sz w:val="13"/>
                <w:szCs w:val="13"/>
                <w:color w:val="auto"/>
              </w:rPr>
              <w:t>Lawrence-Lowell-</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1"/>
        </w:trPr>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line="141" w:lineRule="exact"/>
              <w:rPr>
                <w:sz w:val="20"/>
                <w:szCs w:val="20"/>
                <w:color w:val="auto"/>
              </w:rPr>
            </w:pPr>
            <w:r>
              <w:rPr>
                <w:rFonts w:ascii="Arial" w:cs="Arial" w:eastAsia="Arial" w:hAnsi="Arial"/>
                <w:sz w:val="13"/>
                <w:szCs w:val="13"/>
                <w:color w:val="auto"/>
              </w:rPr>
              <w:t>Brockton,</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50"/>
        </w:trPr>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MA</w:t>
            </w:r>
          </w:p>
        </w:tc>
        <w:tc>
          <w:tcPr>
            <w:tcW w:w="620" w:type="dxa"/>
            <w:vAlign w:val="bottom"/>
            <w:gridSpan w:val="3"/>
          </w:tcPr>
          <w:p>
            <w:pPr>
              <w:jc w:val="right"/>
              <w:ind w:right="20"/>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22,686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12,400</w:t>
            </w:r>
          </w:p>
        </w:tc>
        <w:tc>
          <w:tcPr>
            <w:tcW w:w="420" w:type="dxa"/>
            <w:vAlign w:val="bottom"/>
          </w:tcPr>
          <w:p>
            <w:pPr>
              <w:jc w:val="right"/>
              <w:spacing w:after="0"/>
              <w:rPr>
                <w:sz w:val="20"/>
                <w:szCs w:val="20"/>
                <w:color w:val="auto"/>
              </w:rPr>
            </w:pPr>
            <w:r>
              <w:rPr>
                <w:rFonts w:ascii="Arial" w:cs="Arial" w:eastAsia="Arial" w:hAnsi="Arial"/>
                <w:sz w:val="13"/>
                <w:szCs w:val="13"/>
                <w:color w:val="auto"/>
                <w:w w:val="85"/>
              </w:rPr>
              <w:t>130,000</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95%</w:t>
            </w:r>
          </w:p>
        </w:tc>
        <w:tc>
          <w:tcPr>
            <w:tcW w:w="6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95%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11.30</w:t>
            </w:r>
          </w:p>
        </w:tc>
        <w:tc>
          <w:tcPr>
            <w:tcW w:w="60" w:type="dxa"/>
            <w:vAlign w:val="bottom"/>
          </w:tcPr>
          <w:p>
            <w:pPr>
              <w:spacing w:after="0"/>
              <w:rPr>
                <w:sz w:val="13"/>
                <w:szCs w:val="13"/>
                <w:color w:val="auto"/>
              </w:rPr>
            </w:pPr>
          </w:p>
        </w:tc>
        <w:tc>
          <w:tcPr>
            <w:tcW w:w="1780" w:type="dxa"/>
            <w:vAlign w:val="bottom"/>
            <w:gridSpan w:val="3"/>
          </w:tcPr>
          <w:p>
            <w:pPr>
              <w:ind w:left="160"/>
              <w:spacing w:after="0"/>
              <w:rPr>
                <w:sz w:val="20"/>
                <w:szCs w:val="20"/>
                <w:color w:val="auto"/>
              </w:rPr>
            </w:pPr>
            <w:r>
              <w:rPr>
                <w:rFonts w:ascii="Arial" w:cs="Arial" w:eastAsia="Arial" w:hAnsi="Arial"/>
                <w:sz w:val="13"/>
                <w:szCs w:val="13"/>
                <w:color w:val="auto"/>
              </w:rPr>
              <w:t>38,000 Foodmaster</w:t>
            </w:r>
          </w:p>
        </w:tc>
        <w:tc>
          <w:tcPr>
            <w:tcW w:w="80" w:type="dxa"/>
            <w:vAlign w:val="bottom"/>
          </w:tcPr>
          <w:p>
            <w:pPr>
              <w:spacing w:after="0"/>
              <w:rPr>
                <w:sz w:val="13"/>
                <w:szCs w:val="13"/>
                <w:color w:val="auto"/>
              </w:rPr>
            </w:pPr>
          </w:p>
        </w:tc>
        <w:tc>
          <w:tcPr>
            <w:tcW w:w="1500" w:type="dxa"/>
            <w:vAlign w:val="bottom"/>
          </w:tcPr>
          <w:p>
            <w:pPr>
              <w:spacing w:after="0"/>
              <w:rPr>
                <w:sz w:val="20"/>
                <w:szCs w:val="20"/>
                <w:color w:val="auto"/>
              </w:rPr>
            </w:pPr>
            <w:r>
              <w:rPr>
                <w:rFonts w:ascii="Arial" w:cs="Arial" w:eastAsia="Arial" w:hAnsi="Arial"/>
                <w:sz w:val="13"/>
                <w:szCs w:val="13"/>
                <w:color w:val="auto"/>
              </w:rPr>
              <w:t>Marshalls</w:t>
            </w:r>
          </w:p>
        </w:tc>
      </w:tr>
      <w:tr>
        <w:trPr>
          <w:trHeight w:val="26"/>
        </w:trPr>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41"/>
        </w:trPr>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w w:val="89"/>
              </w:rPr>
              <w:t>Total New England</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60,988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5"/>
              </w:rPr>
              <w:t>369,000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98%</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97%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11.77</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244"/>
        </w:trPr>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3"/>
                <w:szCs w:val="13"/>
                <w:b w:val="1"/>
                <w:bCs w:val="1"/>
                <w:color w:val="auto"/>
                <w:w w:val="94"/>
              </w:rPr>
              <w:t>Total East Region</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128,946</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85"/>
              </w:rPr>
              <w:t>658,000</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99%</w:t>
            </w:r>
          </w:p>
        </w:tc>
        <w:tc>
          <w:tcPr>
            <w:tcW w:w="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98%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13.60</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6"/>
        </w:trPr>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r>
      <w:tr>
        <w:trPr>
          <w:trHeight w:val="141"/>
        </w:trPr>
        <w:tc>
          <w:tcPr>
            <w:tcW w:w="1640" w:type="dxa"/>
            <w:vAlign w:val="bottom"/>
            <w:gridSpan w:val="6"/>
            <w:shd w:val="clear" w:color="auto" w:fill="CCEEFF"/>
          </w:tcPr>
          <w:p>
            <w:pPr>
              <w:spacing w:after="0" w:line="141" w:lineRule="exact"/>
              <w:rPr>
                <w:sz w:val="20"/>
                <w:szCs w:val="20"/>
                <w:color w:val="auto"/>
              </w:rPr>
            </w:pPr>
            <w:r>
              <w:rPr>
                <w:rFonts w:ascii="Arial" w:cs="Arial" w:eastAsia="Arial" w:hAnsi="Arial"/>
                <w:sz w:val="13"/>
                <w:szCs w:val="13"/>
                <w:color w:val="auto"/>
              </w:rPr>
              <w:t>Grand Totals</w:t>
            </w:r>
          </w:p>
        </w:tc>
        <w:tc>
          <w:tcPr>
            <w:tcW w:w="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76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128,946</w:t>
            </w:r>
          </w:p>
        </w:tc>
        <w:tc>
          <w:tcPr>
            <w:tcW w:w="10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77,425</w:t>
            </w:r>
          </w:p>
        </w:tc>
        <w:tc>
          <w:tcPr>
            <w:tcW w:w="4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5"/>
              </w:rPr>
              <w:t>658,000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99%</w:t>
            </w:r>
          </w:p>
        </w:tc>
        <w:tc>
          <w:tcPr>
            <w:tcW w:w="104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98%</w:t>
            </w:r>
          </w:p>
        </w:tc>
        <w:tc>
          <w:tcPr>
            <w:tcW w:w="180" w:type="dxa"/>
            <w:vAlign w:val="bottom"/>
            <w:gridSpan w:val="2"/>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13.</w:t>
            </w:r>
            <w:r>
              <w:rPr>
                <w:rFonts w:ascii="Arial" w:cs="Arial" w:eastAsia="Arial" w:hAnsi="Arial"/>
                <w:sz w:val="13"/>
                <w:szCs w:val="13"/>
                <w:u w:val="single" w:color="auto"/>
                <w:color w:val="auto"/>
              </w:rPr>
              <w:t>60</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94"/>
        </w:trPr>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17" w:lineRule="exact"/>
        <w:rPr>
          <w:sz w:val="20"/>
          <w:szCs w:val="20"/>
          <w:color w:val="auto"/>
        </w:rPr>
      </w:pPr>
    </w:p>
    <w:p>
      <w:pPr>
        <w:ind w:left="460" w:hanging="457"/>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purposes of this schedule, “occupied” refers to spaces where the lease term and obligation to pay rent have commenced.</w:t>
      </w:r>
    </w:p>
    <w:p>
      <w:pPr>
        <w:spacing w:after="0" w:line="10" w:lineRule="exact"/>
        <w:rPr>
          <w:rFonts w:ascii="Arial" w:cs="Arial" w:eastAsia="Arial" w:hAnsi="Arial"/>
          <w:sz w:val="17"/>
          <w:szCs w:val="17"/>
          <w:color w:val="auto"/>
        </w:rPr>
      </w:pPr>
    </w:p>
    <w:p>
      <w:pPr>
        <w:ind w:left="460" w:right="480" w:hanging="457"/>
        <w:spacing w:after="0" w:line="252"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Calculated as the aggregate, annualized in-place contractual (cash basis) minimum rent for all occupied spaces divided by the aggregate GLA of all occupied spaces.</w:t>
      </w:r>
    </w:p>
    <w:p>
      <w:pPr>
        <w:ind w:left="460" w:hanging="457"/>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ectPr>
          <w:pgSz w:w="11900" w:h="16838" w:orient="portrait"/>
          <w:cols w:equalWidth="0" w:num="1">
            <w:col w:w="11420"/>
          </w:cols>
          <w:pgMar w:left="240" w:top="26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3925" cy="26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3925" cy="26670"/>
                    </a:xfrm>
                    <a:prstGeom prst="rect">
                      <a:avLst/>
                    </a:prstGeom>
                    <a:noFill/>
                  </pic:spPr>
                </pic:pic>
              </a:graphicData>
            </a:graphic>
          </wp:anchor>
        </w:drawing>
        <w:t>Glossary of Terms</w:t>
      </w:r>
    </w:p>
    <w:p>
      <w:pPr>
        <w:spacing w:after="0" w:line="164"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17"/>
          <w:szCs w:val="17"/>
          <w:color w:val="auto"/>
        </w:rPr>
        <w:t>: Adjusted EBITDA is a non-GAAP measure that means net income or loss plus depreciation and amortization, net interest expense, income taxes,</w:t>
      </w:r>
      <w:r>
        <w:rPr>
          <w:rFonts w:ascii="Arial" w:cs="Arial" w:eastAsia="Arial" w:hAnsi="Arial"/>
          <w:sz w:val="17"/>
          <w:szCs w:val="17"/>
          <w:b w:val="1"/>
          <w:bCs w:val="1"/>
          <w:color w:val="auto"/>
        </w:rPr>
        <w:t xml:space="preserve"> </w:t>
      </w:r>
      <w:r>
        <w:rPr>
          <w:rFonts w:ascii="Arial" w:cs="Arial" w:eastAsia="Arial" w:hAnsi="Arial"/>
          <w:sz w:val="17"/>
          <w:szCs w:val="17"/>
          <w:color w:val="auto"/>
        </w:rPr>
        <w:t>gain or loss on sale of real estate and impairments of real estate, if any.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The reconciliation of Adjusted EBITDA, to net income for the twelve months ended December 31, 2006 and 2005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90"/>
              </w:rPr>
              <w:t>For the Twelve Months Ended</w:t>
            </w:r>
          </w:p>
        </w:tc>
      </w:tr>
      <w:tr>
        <w:trPr>
          <w:trHeight w:val="154"/>
        </w:trPr>
        <w:tc>
          <w:tcPr>
            <w:tcW w:w="5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center"/>
              <w:ind w:left="363"/>
              <w:spacing w:after="0"/>
              <w:rPr>
                <w:sz w:val="20"/>
                <w:szCs w:val="20"/>
                <w:color w:val="auto"/>
              </w:rPr>
            </w:pPr>
            <w:r>
              <w:rPr>
                <w:rFonts w:ascii="Arial" w:cs="Arial" w:eastAsia="Arial" w:hAnsi="Arial"/>
                <w:sz w:val="13"/>
                <w:szCs w:val="13"/>
                <w:b w:val="1"/>
                <w:bCs w:val="1"/>
                <w:color w:val="auto"/>
                <w:w w:val="89"/>
              </w:rPr>
              <w:t>December 31,</w:t>
            </w: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21"/>
        </w:trPr>
        <w:tc>
          <w:tcPr>
            <w:tcW w:w="57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5"/>
          </w:tcPr>
          <w:p>
            <w:pPr>
              <w:jc w:val="center"/>
              <w:spacing w:after="0" w:line="121" w:lineRule="exact"/>
              <w:rPr>
                <w:sz w:val="20"/>
                <w:szCs w:val="20"/>
                <w:color w:val="auto"/>
              </w:rPr>
            </w:pPr>
            <w:r>
              <w:rPr>
                <w:rFonts w:ascii="Arial" w:cs="Arial" w:eastAsia="Arial" w:hAnsi="Arial"/>
                <w:sz w:val="13"/>
                <w:szCs w:val="13"/>
                <w:b w:val="1"/>
                <w:bCs w:val="1"/>
                <w:color w:val="auto"/>
                <w:w w:val="87"/>
              </w:rPr>
              <w:t>(in thousands)</w:t>
            </w:r>
          </w:p>
        </w:tc>
        <w:tc>
          <w:tcPr>
            <w:tcW w:w="60" w:type="dxa"/>
            <w:vAlign w:val="bottom"/>
          </w:tcPr>
          <w:p>
            <w:pPr>
              <w:spacing w:after="0"/>
              <w:rPr>
                <w:sz w:val="10"/>
                <w:szCs w:val="10"/>
                <w:color w:val="auto"/>
              </w:rPr>
            </w:pPr>
          </w:p>
        </w:tc>
      </w:tr>
      <w:tr>
        <w:trPr>
          <w:trHeight w:val="154"/>
        </w:trPr>
        <w:tc>
          <w:tcPr>
            <w:tcW w:w="5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2006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w w:val="89"/>
              </w:rPr>
              <w:t>2005</w:t>
            </w:r>
          </w:p>
        </w:tc>
        <w:tc>
          <w:tcPr>
            <w:tcW w:w="60" w:type="dxa"/>
            <w:vAlign w:val="bottom"/>
          </w:tcPr>
          <w:p>
            <w:pPr>
              <w:spacing w:after="0"/>
              <w:rPr>
                <w:sz w:val="13"/>
                <w:szCs w:val="13"/>
                <w:color w:val="auto"/>
              </w:rPr>
            </w:pPr>
          </w:p>
        </w:tc>
      </w:tr>
      <w:tr>
        <w:trPr>
          <w:trHeight w:val="198"/>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118,712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114,612</w:t>
            </w:r>
          </w:p>
        </w:tc>
      </w:tr>
      <w:tr>
        <w:trPr>
          <w:trHeight w:val="206"/>
        </w:trPr>
        <w:tc>
          <w:tcPr>
            <w:tcW w:w="57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97,879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91,503</w:t>
            </w:r>
          </w:p>
        </w:tc>
      </w:tr>
      <w:tr>
        <w:trPr>
          <w:trHeight w:val="206"/>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3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102,808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88,566</w:t>
            </w:r>
          </w:p>
        </w:tc>
      </w:tr>
      <w:tr>
        <w:trPr>
          <w:trHeight w:val="206"/>
        </w:trPr>
        <w:tc>
          <w:tcPr>
            <w:tcW w:w="5780" w:type="dxa"/>
            <w:vAlign w:val="bottom"/>
          </w:tcPr>
          <w:p>
            <w:pPr>
              <w:spacing w:after="0"/>
              <w:rPr>
                <w:sz w:val="20"/>
                <w:szCs w:val="20"/>
                <w:color w:val="auto"/>
              </w:rPr>
            </w:pPr>
            <w:r>
              <w:rPr>
                <w:rFonts w:ascii="Arial" w:cs="Arial" w:eastAsia="Arial" w:hAnsi="Arial"/>
                <w:sz w:val="17"/>
                <w:szCs w:val="17"/>
                <w:color w:val="auto"/>
              </w:rPr>
              <w:t>Other interest income</w:t>
            </w: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(2,616)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(2,216)</w:t>
            </w:r>
          </w:p>
        </w:tc>
      </w:tr>
      <w:tr>
        <w:trPr>
          <w:trHeight w:val="26"/>
        </w:trPr>
        <w:tc>
          <w:tcPr>
            <w:tcW w:w="57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6"/>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3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316,783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292,465</w:t>
            </w:r>
          </w:p>
        </w:tc>
      </w:tr>
      <w:tr>
        <w:trPr>
          <w:trHeight w:val="206"/>
        </w:trPr>
        <w:tc>
          <w:tcPr>
            <w:tcW w:w="578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(23,956)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w w:val="91"/>
              </w:rPr>
              <w:t>(30,748)</w:t>
            </w:r>
          </w:p>
        </w:tc>
      </w:tr>
      <w:tr>
        <w:trPr>
          <w:trHeight w:val="26"/>
        </w:trPr>
        <w:tc>
          <w:tcPr>
            <w:tcW w:w="57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6"/>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37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292,827</w:t>
            </w:r>
          </w:p>
        </w:tc>
        <w:tc>
          <w:tcPr>
            <w:tcW w:w="1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261,717</w:t>
            </w:r>
          </w:p>
        </w:tc>
      </w:tr>
      <w:tr>
        <w:trPr>
          <w:trHeight w:val="20"/>
        </w:trPr>
        <w:tc>
          <w:tcPr>
            <w:tcW w:w="57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Trusts (“NAREIT”) defines FFO as follows: income available for common shareholders before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25"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Rental income, other property income and mortgage interest income, less rental expenses and real estate taxes and excluding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from discontinued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 Portfolio</w:t>
      </w:r>
      <w:r>
        <w:rPr>
          <w:rFonts w:ascii="Arial" w:cs="Arial" w:eastAsia="Arial" w:hAnsi="Arial"/>
          <w:sz w:val="17"/>
          <w:szCs w:val="17"/>
          <w:color w:val="auto"/>
        </w:rPr>
        <w:t>: Includes all operating properties owned in reporting period.</w:t>
      </w:r>
    </w:p>
    <w:p>
      <w:pPr>
        <w:spacing w:after="0" w:line="164" w:lineRule="exact"/>
        <w:rPr>
          <w:sz w:val="20"/>
          <w:szCs w:val="20"/>
          <w:color w:val="auto"/>
        </w:rPr>
      </w:pPr>
    </w:p>
    <w:p>
      <w:pPr>
        <w:ind w:right="220"/>
        <w:spacing w:after="0" w:line="389" w:lineRule="auto"/>
        <w:rPr>
          <w:sz w:val="20"/>
          <w:szCs w:val="20"/>
          <w:color w:val="auto"/>
        </w:rPr>
      </w:pPr>
      <w:r>
        <w:rPr>
          <w:rFonts w:ascii="Arial" w:cs="Arial" w:eastAsia="Arial" w:hAnsi="Arial"/>
          <w:sz w:val="14"/>
          <w:szCs w:val="14"/>
          <w:b w:val="1"/>
          <w:bCs w:val="1"/>
          <w:color w:val="auto"/>
        </w:rPr>
        <w:t xml:space="preserve">Same Center: </w:t>
      </w:r>
      <w:r>
        <w:rPr>
          <w:rFonts w:ascii="Arial" w:cs="Arial" w:eastAsia="Arial" w:hAnsi="Arial"/>
          <w:sz w:val="14"/>
          <w:szCs w:val="14"/>
          <w:color w:val="auto"/>
        </w:rPr>
        <w:t>Information provided on a same center basis is provided for only those properties that were owned and operated for the entirety of both periods being</w:t>
      </w:r>
      <w:r>
        <w:rPr>
          <w:rFonts w:ascii="Arial" w:cs="Arial" w:eastAsia="Arial" w:hAnsi="Arial"/>
          <w:sz w:val="14"/>
          <w:szCs w:val="14"/>
          <w:b w:val="1"/>
          <w:bCs w:val="1"/>
          <w:color w:val="auto"/>
        </w:rPr>
        <w:t xml:space="preserve"> </w:t>
      </w:r>
      <w:r>
        <w:rPr>
          <w:rFonts w:ascii="Arial" w:cs="Arial" w:eastAsia="Arial" w:hAnsi="Arial"/>
          <w:sz w:val="14"/>
          <w:szCs w:val="14"/>
          <w:color w:val="auto"/>
        </w:rPr>
        <w:t>compared, excludes properties that were redeveloped, expanded or under development and properties purchased or sold at any time during the periods being compared.</w:t>
      </w:r>
    </w:p>
    <w:p>
      <w:pPr>
        <w:spacing w:after="0" w:line="43"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b w:val="1"/>
          <w:bCs w:val="1"/>
          <w:color w:val="auto"/>
        </w:rPr>
        <w:t>Tenant Improvements and Incentives</w:t>
      </w:r>
      <w:r>
        <w:rPr>
          <w:rFonts w:ascii="Arial" w:cs="Arial" w:eastAsia="Arial" w:hAnsi="Arial"/>
          <w:sz w:val="17"/>
          <w:szCs w:val="17"/>
          <w:color w:val="auto"/>
        </w:rPr>
        <w:t>: Represents not only the total dollars committed for the improvement (fit-out) of a space as it relates to a specific lease but may</w:t>
      </w:r>
      <w:r>
        <w:rPr>
          <w:rFonts w:ascii="Arial" w:cs="Arial" w:eastAsia="Arial" w:hAnsi="Arial"/>
          <w:sz w:val="17"/>
          <w:szCs w:val="17"/>
          <w:b w:val="1"/>
          <w:bCs w:val="1"/>
          <w:color w:val="auto"/>
        </w:rPr>
        <w:t xml:space="preserve"> </w:t>
      </w:r>
      <w:r>
        <w:rPr>
          <w:rFonts w:ascii="Arial" w:cs="Arial" w:eastAsia="Arial" w:hAnsi="Arial"/>
          <w:sz w:val="17"/>
          <w:szCs w:val="17"/>
          <w:color w:val="auto"/>
        </w:rPr>
        <w:t>also include base building costs (i.e. expansion, escalators or new entrances) which are required to make the space leasable. Incentives include amounts paid to tenants as an inducement to sign a lease that do not represent building improvements.</w:t>
      </w:r>
    </w:p>
    <w:sectPr>
      <w:pgSz w:w="11900" w:h="16838" w:orient="portrait"/>
      <w:cols w:equalWidth="0" w:num="1">
        <w:col w:w="11420"/>
      </w:cols>
      <w:pgMar w:left="240" w:top="2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3"/>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6"/>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6"/>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2019-12-11T17:09:22Z</dcterms:created>
  <dcterms:modified xsi:type="dcterms:W3CDTF">2019-12-11T17:09:22Z</dcterms:modified>
</cp:coreProperties>
</file>