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August 15,1996</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District of Columbia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1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1-7533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ind w:left="10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ind w:left="1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380" w:space="320"/>
            <w:col w:w="1580" w:space="420"/>
            <w:col w:w="4519"/>
          </w:cols>
          <w:pgMar w:left="240" w:top="649"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4800 Hampden Lane, Suite 500, Bethesda, 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20814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600" w:space="720"/>
            <w:col w:w="3899"/>
          </w:cols>
          <w:pgMar w:left="240" w:top="649"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301/652-3360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200"/>
            <w:col w:w="4739"/>
          </w:cols>
          <w:pgMar w:left="240" w:top="649"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Exhibits are filed herewith in connection with Federal Realty Investment Trust's final prospectus supplement dated August 13, 1996 to its final prospectus dated November 7, 1995 (Registration No. 33-63687) filed with the Securities and Exchange Commission on August 14, 1996 and relating to the Trust's issuance of $50,000,000 principal amount of 7.48% Debentures due August 15, 2026 (the "Debentures"). Attached as Exhibit 5 hereto is an opinion from Kirkpatrick &amp; Lockhart LLP regarding the legality of the Debentures. The consent of Kirkpatrick &amp; Lockhart LLP to the inclusion of such opinion in this Form 8-K is included in the opinion.</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FEDERAL REALTY INVESTMENT TRUST</w:t>
      </w:r>
    </w:p>
    <w:p>
      <w:pPr>
        <w:ind w:left="3800"/>
        <w:spacing w:after="0" w:line="238" w:lineRule="auto"/>
        <w:rPr>
          <w:sz w:val="20"/>
          <w:szCs w:val="20"/>
          <w:color w:val="auto"/>
        </w:rPr>
      </w:pPr>
      <w:r>
        <w:rPr>
          <w:rFonts w:ascii="Courier New" w:cs="Courier New" w:eastAsia="Courier New" w:hAnsi="Courier New"/>
          <w:sz w:val="18"/>
          <w:szCs w:val="18"/>
          <w:color w:val="auto"/>
        </w:rPr>
        <w:t>/s/ Cecily A. Ward</w:t>
      </w: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line="237" w:lineRule="auto"/>
        <w:rPr>
          <w:sz w:val="20"/>
          <w:szCs w:val="20"/>
          <w:color w:val="auto"/>
        </w:rPr>
      </w:pPr>
      <w:r>
        <w:rPr>
          <w:rFonts w:ascii="Courier New" w:cs="Courier New" w:eastAsia="Courier New" w:hAnsi="Courier New"/>
          <w:sz w:val="18"/>
          <w:szCs w:val="18"/>
          <w:color w:val="auto"/>
        </w:rPr>
        <w:t>Cecily A. Ward</w:t>
      </w:r>
    </w:p>
    <w:p>
      <w:pPr>
        <w:ind w:left="3800"/>
        <w:spacing w:after="0" w:line="238" w:lineRule="auto"/>
        <w:rPr>
          <w:sz w:val="20"/>
          <w:szCs w:val="20"/>
          <w:color w:val="auto"/>
        </w:rPr>
      </w:pPr>
      <w:r>
        <w:rPr>
          <w:rFonts w:ascii="Courier New" w:cs="Courier New" w:eastAsia="Courier New" w:hAnsi="Courier New"/>
          <w:sz w:val="18"/>
          <w:szCs w:val="18"/>
          <w:color w:val="auto"/>
        </w:rPr>
        <w:t>Controller (Principal Accounting</w:t>
      </w:r>
    </w:p>
    <w:p>
      <w:pPr>
        <w:ind w:left="380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1996</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717" w:right="1440"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NO.</w:t>
      </w:r>
    </w:p>
    <w:p>
      <w:pPr>
        <w:spacing w:after="0" w:line="201" w:lineRule="exact"/>
        <w:rPr>
          <w:sz w:val="20"/>
          <w:szCs w:val="20"/>
          <w:color w:val="auto"/>
        </w:rPr>
      </w:pPr>
    </w:p>
    <w:p>
      <w:pPr>
        <w:ind w:left="1160" w:hanging="851"/>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4" w:lineRule="exact"/>
        <w:rPr>
          <w:sz w:val="20"/>
          <w:szCs w:val="20"/>
          <w:color w:val="auto"/>
        </w:rPr>
      </w:pPr>
    </w:p>
    <w:p>
      <w:pPr>
        <w:ind w:left="1160" w:hanging="851"/>
        <w:spacing w:after="0"/>
        <w:tabs>
          <w:tab w:leader="none" w:pos="11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Counsel (included in the opinion)</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000" w:hanging="214"/>
        <w:spacing w:after="0"/>
        <w:tabs>
          <w:tab w:leader="none" w:pos="40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099"/>
          </w:cols>
          <w:pgMar w:left="36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Kirkpatrick &amp; Lockhart LLP</w:t>
      </w:r>
    </w:p>
    <w:p>
      <w:pPr>
        <w:ind w:left="2540"/>
        <w:spacing w:after="0" w:line="238" w:lineRule="auto"/>
        <w:rPr>
          <w:sz w:val="20"/>
          <w:szCs w:val="20"/>
          <w:color w:val="auto"/>
        </w:rPr>
      </w:pPr>
      <w:r>
        <w:rPr>
          <w:rFonts w:ascii="Courier New" w:cs="Courier New" w:eastAsia="Courier New" w:hAnsi="Courier New"/>
          <w:sz w:val="18"/>
          <w:szCs w:val="18"/>
          <w:color w:val="auto"/>
        </w:rPr>
        <w:t>1800 Massachusetts Avenue, N.W.</w:t>
      </w:r>
    </w:p>
    <w:p>
      <w:pPr>
        <w:ind w:left="3480"/>
        <w:spacing w:after="0"/>
        <w:rPr>
          <w:sz w:val="20"/>
          <w:szCs w:val="20"/>
          <w:color w:val="auto"/>
        </w:rPr>
      </w:pPr>
      <w:r>
        <w:rPr>
          <w:rFonts w:ascii="Courier New" w:cs="Courier New" w:eastAsia="Courier New" w:hAnsi="Courier New"/>
          <w:sz w:val="18"/>
          <w:szCs w:val="18"/>
          <w:color w:val="auto"/>
        </w:rPr>
        <w:t>Second Floor</w:t>
      </w: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20036-1800</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August 15,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 Suite 500</w:t>
      </w:r>
    </w:p>
    <w:p>
      <w:pPr>
        <w:spacing w:after="0"/>
        <w:rPr>
          <w:sz w:val="20"/>
          <w:szCs w:val="20"/>
          <w:color w:val="auto"/>
        </w:rPr>
      </w:pPr>
      <w:r>
        <w:rPr>
          <w:rFonts w:ascii="Courier New" w:cs="Courier New" w:eastAsia="Courier New" w:hAnsi="Courier New"/>
          <w:sz w:val="18"/>
          <w:szCs w:val="18"/>
          <w:color w:val="auto"/>
        </w:rPr>
        <w:t>Bethesda, Maryland 20814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Bethesda, Maryland ("Trust"), in connection with a Prospectus Supplement, dated August 13, 1996 to the Trust's Prospectus, dated November 7, 1995 (registration statement No. 33-63687) ("Registration Statement") relating to the Trust's issuance and sale of $50,000,000 principal amount of 7.48% Debentures due August 15, 2026 (the "Debentures"), pursuant to an underwriting agreement and a pricing agreement, each dated August 13, 1996 (together, the "Underwriting Agreement") between the Trust and Goldman, Sachs &amp; Co.</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Debentures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w:t>
      </w:r>
    </w:p>
    <w:p>
      <w:pPr>
        <w:sectPr>
          <w:pgSz w:w="11900" w:h="16838" w:orient="portrait"/>
          <w:cols w:equalWidth="0" w:num="1">
            <w:col w:w="10219"/>
          </w:cols>
          <w:pgMar w:left="240" w:top="339"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have been duly authorized and executed by the Trust and delivered by the Trust, authenticated in accordance with the terms of the Indenture, and when delivered against payment therefor as contemplated in the Underwriting Agreement, the Debentures will constitute valid and legally binding obligations of the Trust enforceable in accordance with their terms, except to the extent that enforcement thereof may be limited by bankruptcy, insolvency, reorganization or other laws relating to or affecting enforcement of creditors' rights or by general equity principles.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that the obligations of the Trust under the Indenture may be dependent upon such matters, we assume for purposes of this opinion that the Trustee is duly organized validly existing and in good standing under the applicable laws of the jurisdiction of organization of the Trustee; that the Trustee is in compliance generally with respect to acting as a trustee under the Indenture, and with all applicable laws and regulations; and that the Trustee has the requisite organizational and legal power and authority to perform its obligation under the Indenture.</w:t>
      </w:r>
    </w:p>
    <w:p>
      <w:pPr>
        <w:spacing w:after="0" w:line="212"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August 15, 1996.</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Thomas F. Cooney, III</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Thomas F. Cooney, III</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5"/>
      <w:numFmt w:val="bullet"/>
      <w:start w:val="1"/>
    </w:lvl>
  </w:abstractNum>
  <w:abstractNum w:abstractNumId="1">
    <w:nsid w:val="66334873"/>
    <w:multiLevelType w:val="hybridMultilevel"/>
    <w:lvl w:ilvl="0">
      <w:lvlJc w:val="left"/>
      <w:lvlText w:val="%1"/>
      <w:numFmt w:val="decimal"/>
      <w:start w:val="23"/>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2019-12-13T01:02:04Z</dcterms:created>
  <dcterms:modified xsi:type="dcterms:W3CDTF">2019-12-13T01:02:04Z</dcterms:modified>
</cp:coreProperties>
</file>