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ANNUAL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15(d) OF THE SECURITIES EXCHANGE ACT OF 1934 [NO FEE REQUIRED, EFFECTIVE OCTOBER 7, 1996].</w:t>
      </w:r>
    </w:p>
    <w:p>
      <w:pPr>
        <w:spacing w:after="0" w:line="12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2003</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 [NO</w:t>
      </w:r>
    </w:p>
    <w:p>
      <w:pPr>
        <w:spacing w:after="0" w:line="25" w:lineRule="exact"/>
        <w:rPr>
          <w:rFonts w:ascii="MS PGothic" w:cs="MS PGothic" w:eastAsia="MS PGothic" w:hAnsi="MS PGothic"/>
          <w:sz w:val="21"/>
          <w:szCs w:val="21"/>
          <w:color w:val="auto"/>
        </w:rPr>
      </w:pPr>
    </w:p>
    <w:p>
      <w:pPr>
        <w:ind w:left="58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FEES REQUIRED].</w:t>
      </w:r>
    </w:p>
    <w:p>
      <w:pPr>
        <w:spacing w:after="0" w:line="128" w:lineRule="exact"/>
        <w:rPr>
          <w:sz w:val="24"/>
          <w:szCs w:val="24"/>
          <w:color w:val="auto"/>
        </w:rPr>
      </w:pPr>
    </w:p>
    <w:p>
      <w:pPr>
        <w:ind w:left="580"/>
        <w:spacing w:after="0"/>
        <w:tabs>
          <w:tab w:leader="none" w:pos="3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1808480</wp:posOffset>
            </wp:positionH>
            <wp:positionV relativeFrom="paragraph">
              <wp:posOffset>-10160</wp:posOffset>
            </wp:positionV>
            <wp:extent cx="1263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A. Full title of the plan and the address of the plan, if different from that of the issuer named below:</w:t>
      </w:r>
    </w:p>
    <w:p>
      <w:pPr>
        <w:spacing w:after="0" w:line="129" w:lineRule="exact"/>
        <w:rPr>
          <w:sz w:val="24"/>
          <w:szCs w:val="24"/>
          <w:color w:val="auto"/>
        </w:rPr>
      </w:pPr>
    </w:p>
    <w:p>
      <w:pPr>
        <w:jc w:val="center"/>
        <w:ind w:left="260" w:right="460"/>
        <w:spacing w:after="0" w:line="276" w:lineRule="auto"/>
        <w:rPr>
          <w:sz w:val="20"/>
          <w:szCs w:val="20"/>
          <w:color w:val="auto"/>
        </w:rPr>
      </w:pPr>
      <w:r>
        <w:rPr>
          <w:rFonts w:ascii="Arial" w:cs="Arial" w:eastAsia="Arial" w:hAnsi="Arial"/>
          <w:sz w:val="43"/>
          <w:szCs w:val="43"/>
          <w:b w:val="1"/>
          <w:bCs w:val="1"/>
          <w:color w:val="auto"/>
        </w:rPr>
        <w:t>FEDERAL REALTY INVESTMENT TRUST SAVINGS AND RETIREMENT 401(K)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102870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9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B. Name of issuer of the securities held pursuant to the plan and the address of its principal executive office:</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1626 EAST JEFFERSON STREET</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ROCKVILLE, MARYLAND 20852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Information</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Financial statements and schedules for the Federal Realty Investment Trust Savings And Retirement 401(k) Plan, prepared in accordance with the financial reporting requirements of the Employee Retirement Income Security Act of 1974, are contained in this Annual Report on Form 11-K.</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Exhibits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is listed in the Index to Exhibits.</w:t>
      </w:r>
    </w:p>
    <w:p>
      <w:pPr>
        <w:sectPr>
          <w:pgSz w:w="11900" w:h="16838" w:orient="portrait"/>
          <w:cols w:equalWidth="0" w:num="1">
            <w:col w:w="11360"/>
          </w:cols>
          <w:pgMar w:left="240" w:top="27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Savings and Retirement 401(k) Plan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2003 and 2002</w:t>
      </w:r>
    </w:p>
    <w:p>
      <w:pPr>
        <w:sectPr>
          <w:pgSz w:w="11900" w:h="16838" w:orient="portrait"/>
          <w:cols w:equalWidth="0" w:num="1">
            <w:col w:w="9019"/>
          </w:cols>
          <w:pgMar w:left="1440" w:top="27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920" w:type="dxa"/>
            <w:vAlign w:val="bottom"/>
            <w:gridSpan w:val="5"/>
          </w:tcPr>
          <w:p>
            <w:pPr>
              <w:ind w:left="180"/>
              <w:spacing w:after="0"/>
              <w:rPr>
                <w:sz w:val="20"/>
                <w:szCs w:val="20"/>
                <w:color w:val="auto"/>
              </w:rPr>
            </w:pPr>
            <w:r>
              <w:rPr>
                <w:rFonts w:ascii="Arial" w:cs="Arial" w:eastAsia="Arial" w:hAnsi="Arial"/>
                <w:sz w:val="18"/>
                <w:szCs w:val="18"/>
                <w:b w:val="1"/>
                <w:bCs w:val="1"/>
                <w:color w:val="auto"/>
              </w:rPr>
              <w:t>Federal Realty Investment Trust Savings and Retirement 401(k) Plan</w:t>
            </w:r>
          </w:p>
        </w:tc>
        <w:tc>
          <w:tcPr>
            <w:tcW w:w="1920" w:type="dxa"/>
            <w:vAlign w:val="bottom"/>
          </w:tcPr>
          <w:p>
            <w:pPr>
              <w:spacing w:after="0"/>
              <w:rPr>
                <w:sz w:val="19"/>
                <w:szCs w:val="19"/>
                <w:color w:val="auto"/>
              </w:rPr>
            </w:pPr>
          </w:p>
        </w:tc>
      </w:tr>
      <w:tr>
        <w:trPr>
          <w:trHeight w:val="432"/>
        </w:trPr>
        <w:tc>
          <w:tcPr>
            <w:tcW w:w="9460" w:type="dxa"/>
            <w:vAlign w:val="bottom"/>
            <w:gridSpan w:val="7"/>
          </w:tcPr>
          <w:p>
            <w:pPr>
              <w:spacing w:after="0"/>
              <w:rPr>
                <w:sz w:val="20"/>
                <w:szCs w:val="20"/>
                <w:color w:val="auto"/>
              </w:rPr>
            </w:pPr>
            <w:r>
              <w:rPr>
                <w:rFonts w:ascii="Arial" w:cs="Arial" w:eastAsia="Arial" w:hAnsi="Arial"/>
                <w:sz w:val="18"/>
                <w:szCs w:val="18"/>
                <w:b w:val="1"/>
                <w:bCs w:val="1"/>
                <w:color w:val="auto"/>
              </w:rPr>
              <w:t>Index to Financial Statements and Supplemental Schedules</w:t>
            </w:r>
          </w:p>
        </w:tc>
        <w:tc>
          <w:tcPr>
            <w:tcW w:w="1920" w:type="dxa"/>
            <w:vAlign w:val="bottom"/>
          </w:tcPr>
          <w:p>
            <w:pPr>
              <w:spacing w:after="0"/>
              <w:rPr>
                <w:sz w:val="24"/>
                <w:szCs w:val="24"/>
                <w:color w:val="auto"/>
              </w:rPr>
            </w:pPr>
          </w:p>
        </w:tc>
      </w:tr>
      <w:tr>
        <w:trPr>
          <w:trHeight w:val="286"/>
        </w:trPr>
        <w:tc>
          <w:tcPr>
            <w:tcW w:w="394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Report of Independent Certified Public Accountants</w:t>
              </w:r>
            </w:hyperlink>
          </w:p>
        </w:tc>
        <w:tc>
          <w:tcPr>
            <w:tcW w:w="5520" w:type="dxa"/>
            <w:vAlign w:val="bottom"/>
            <w:gridSpan w:val="3"/>
          </w:tcPr>
          <w:p>
            <w:pPr>
              <w:spacing w:after="0"/>
              <w:rPr>
                <w:sz w:val="24"/>
                <w:szCs w:val="24"/>
                <w:color w:val="auto"/>
              </w:rPr>
            </w:pPr>
          </w:p>
        </w:tc>
        <w:tc>
          <w:tcPr>
            <w:tcW w:w="1920" w:type="dxa"/>
            <w:vAlign w:val="bottom"/>
          </w:tcPr>
          <w:p>
            <w:pPr>
              <w:jc w:val="center"/>
              <w:ind w:left="1472"/>
              <w:spacing w:after="0"/>
              <w:rPr>
                <w:sz w:val="20"/>
                <w:szCs w:val="20"/>
                <w:color w:val="auto"/>
              </w:rPr>
            </w:pPr>
            <w:r>
              <w:rPr>
                <w:rFonts w:ascii="Arial" w:cs="Arial" w:eastAsia="Arial" w:hAnsi="Arial"/>
                <w:sz w:val="18"/>
                <w:szCs w:val="18"/>
                <w:color w:val="auto"/>
                <w:w w:val="79"/>
              </w:rPr>
              <w:t>4</w:t>
            </w:r>
          </w:p>
        </w:tc>
      </w:tr>
      <w:tr>
        <w:trPr>
          <w:trHeight w:val="343"/>
        </w:trPr>
        <w:tc>
          <w:tcPr>
            <w:tcW w:w="9460" w:type="dxa"/>
            <w:vAlign w:val="bottom"/>
            <w:gridSpan w:val="7"/>
          </w:tcPr>
          <w:p>
            <w:pPr>
              <w:spacing w:after="0"/>
              <w:rPr>
                <w:sz w:val="20"/>
                <w:szCs w:val="20"/>
                <w:color w:val="auto"/>
              </w:rPr>
            </w:pPr>
            <w:r>
              <w:rPr>
                <w:rFonts w:ascii="Arial" w:cs="Arial" w:eastAsia="Arial" w:hAnsi="Arial"/>
                <w:sz w:val="18"/>
                <w:szCs w:val="18"/>
                <w:b w:val="1"/>
                <w:bCs w:val="1"/>
                <w:color w:val="auto"/>
              </w:rPr>
              <w:t>Financial Statements</w:t>
            </w:r>
          </w:p>
        </w:tc>
        <w:tc>
          <w:tcPr>
            <w:tcW w:w="192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9020" w:type="dxa"/>
            <w:vAlign w:val="bottom"/>
            <w:gridSpan w:val="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Statements of Net Assets Available for Plan Benefits</w:t>
              </w:r>
            </w:hyperlink>
          </w:p>
        </w:tc>
        <w:tc>
          <w:tcPr>
            <w:tcW w:w="1920" w:type="dxa"/>
            <w:vAlign w:val="bottom"/>
          </w:tcPr>
          <w:p>
            <w:pPr>
              <w:jc w:val="center"/>
              <w:ind w:left="1472"/>
              <w:spacing w:after="0"/>
              <w:rPr>
                <w:sz w:val="20"/>
                <w:szCs w:val="20"/>
                <w:color w:val="auto"/>
              </w:rPr>
            </w:pPr>
            <w:r>
              <w:rPr>
                <w:rFonts w:ascii="Arial" w:cs="Arial" w:eastAsia="Arial" w:hAnsi="Arial"/>
                <w:sz w:val="18"/>
                <w:szCs w:val="18"/>
                <w:color w:val="auto"/>
                <w:w w:val="79"/>
              </w:rPr>
              <w:t>5</w:t>
            </w: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9020" w:type="dxa"/>
            <w:vAlign w:val="bottom"/>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Statement of Changes in Net Assets Available for Plan Benefits</w:t>
              </w:r>
            </w:hyperlink>
          </w:p>
        </w:tc>
        <w:tc>
          <w:tcPr>
            <w:tcW w:w="1920" w:type="dxa"/>
            <w:vAlign w:val="bottom"/>
          </w:tcPr>
          <w:p>
            <w:pPr>
              <w:jc w:val="center"/>
              <w:ind w:left="1472"/>
              <w:spacing w:after="0"/>
              <w:rPr>
                <w:sz w:val="20"/>
                <w:szCs w:val="20"/>
                <w:color w:val="auto"/>
              </w:rPr>
            </w:pPr>
            <w:r>
              <w:rPr>
                <w:rFonts w:ascii="Arial" w:cs="Arial" w:eastAsia="Arial" w:hAnsi="Arial"/>
                <w:sz w:val="18"/>
                <w:szCs w:val="18"/>
                <w:color w:val="auto"/>
                <w:w w:val="79"/>
              </w:rPr>
              <w:t>6</w:t>
            </w:r>
          </w:p>
        </w:tc>
      </w:tr>
      <w:tr>
        <w:trPr>
          <w:trHeight w:val="304"/>
        </w:trPr>
        <w:tc>
          <w:tcPr>
            <w:tcW w:w="440" w:type="dxa"/>
            <w:vAlign w:val="bottom"/>
          </w:tcPr>
          <w:p>
            <w:pPr>
              <w:spacing w:after="0"/>
              <w:rPr>
                <w:sz w:val="24"/>
                <w:szCs w:val="24"/>
                <w:color w:val="auto"/>
              </w:rPr>
            </w:pPr>
          </w:p>
        </w:tc>
        <w:tc>
          <w:tcPr>
            <w:tcW w:w="4460" w:type="dxa"/>
            <w:vAlign w:val="bottom"/>
            <w:tcBorders>
              <w:top w:val="single" w:sz="8" w:color="0000EE"/>
            </w:tcBorders>
            <w:gridSpan w:val="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4560" w:type="dxa"/>
            <w:vAlign w:val="bottom"/>
          </w:tcPr>
          <w:p>
            <w:pPr>
              <w:spacing w:after="0"/>
              <w:rPr>
                <w:sz w:val="24"/>
                <w:szCs w:val="24"/>
                <w:color w:val="auto"/>
              </w:rPr>
            </w:pPr>
          </w:p>
        </w:tc>
        <w:tc>
          <w:tcPr>
            <w:tcW w:w="1920" w:type="dxa"/>
            <w:vAlign w:val="bottom"/>
          </w:tcPr>
          <w:p>
            <w:pPr>
              <w:jc w:val="center"/>
              <w:ind w:left="1472"/>
              <w:spacing w:after="0"/>
              <w:rPr>
                <w:sz w:val="20"/>
                <w:szCs w:val="20"/>
                <w:color w:val="auto"/>
              </w:rPr>
            </w:pPr>
            <w:r>
              <w:rPr>
                <w:rFonts w:ascii="Arial" w:cs="Arial" w:eastAsia="Arial" w:hAnsi="Arial"/>
                <w:sz w:val="18"/>
                <w:szCs w:val="18"/>
                <w:color w:val="auto"/>
                <w:w w:val="89"/>
              </w:rPr>
              <w:t>7–10</w:t>
            </w: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43"/>
        </w:trPr>
        <w:tc>
          <w:tcPr>
            <w:tcW w:w="9460" w:type="dxa"/>
            <w:vAlign w:val="bottom"/>
            <w:gridSpan w:val="7"/>
          </w:tcPr>
          <w:p>
            <w:pPr>
              <w:spacing w:after="0"/>
              <w:rPr>
                <w:sz w:val="20"/>
                <w:szCs w:val="20"/>
                <w:color w:val="auto"/>
              </w:rPr>
            </w:pPr>
            <w:r>
              <w:rPr>
                <w:rFonts w:ascii="Arial" w:cs="Arial" w:eastAsia="Arial" w:hAnsi="Arial"/>
                <w:sz w:val="18"/>
                <w:szCs w:val="18"/>
                <w:b w:val="1"/>
                <w:bCs w:val="1"/>
                <w:color w:val="auto"/>
              </w:rPr>
              <w:t>Supplemental Schedule</w:t>
            </w:r>
          </w:p>
        </w:tc>
        <w:tc>
          <w:tcPr>
            <w:tcW w:w="192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34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Schedule of Assets Held for Investment Purposes</w:t>
              </w:r>
            </w:hyperlink>
          </w:p>
        </w:tc>
        <w:tc>
          <w:tcPr>
            <w:tcW w:w="5540" w:type="dxa"/>
            <w:vAlign w:val="bottom"/>
            <w:gridSpan w:val="4"/>
          </w:tcPr>
          <w:p>
            <w:pPr>
              <w:spacing w:after="0"/>
              <w:rPr>
                <w:sz w:val="24"/>
                <w:szCs w:val="24"/>
                <w:color w:val="auto"/>
              </w:rPr>
            </w:pPr>
          </w:p>
        </w:tc>
        <w:tc>
          <w:tcPr>
            <w:tcW w:w="1920" w:type="dxa"/>
            <w:vAlign w:val="bottom"/>
          </w:tcPr>
          <w:p>
            <w:pPr>
              <w:jc w:val="center"/>
              <w:ind w:left="1472"/>
              <w:spacing w:after="0"/>
              <w:rPr>
                <w:sz w:val="20"/>
                <w:szCs w:val="20"/>
                <w:color w:val="auto"/>
              </w:rPr>
            </w:pPr>
            <w:r>
              <w:rPr>
                <w:rFonts w:ascii="Arial" w:cs="Arial" w:eastAsia="Arial" w:hAnsi="Arial"/>
                <w:sz w:val="18"/>
                <w:szCs w:val="18"/>
                <w:color w:val="auto"/>
                <w:w w:val="79"/>
              </w:rPr>
              <w:t>11</w:t>
            </w:r>
          </w:p>
        </w:tc>
      </w:tr>
    </w:tbl>
    <w:p>
      <w:pPr>
        <w:jc w:val="center"/>
        <w:ind w:left="1472"/>
        <w:spacing w:after="0"/>
        <w:rPr>
          <w:sz w:val="20"/>
          <w:szCs w:val="20"/>
          <w:color w:val="auto"/>
        </w:rPr>
        <w:sectPr>
          <w:pgSz w:w="11900" w:h="16838" w:orient="portrait"/>
          <w:cols w:equalWidth="0" w:num="1">
            <w:col w:w="11380"/>
          </w:cols>
          <w:pgMar w:left="240" w:top="274" w:right="27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Certified Public Accountants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Participants and Administrator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Federal Realty Investment Trust Savings and Retirement 401(k) Plan:</w:t>
      </w:r>
    </w:p>
    <w:p>
      <w:pPr>
        <w:spacing w:after="0" w:line="7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We have audited the accompanying statements of net assets available for plan benefits of Federal Realty Investment Trust Savings and Retirement 401(k) Plan (the Plan) as of December 31, 2003 and 2002, and the related statement of changes in net assets available for plan benefits for the year ended December 31, 2003 and the supplemental schedule of assets held for investment purposes as of December 31, 2003. These financial statements and the schedule referred to below are the responsibility of the Plan’s management. Our responsibility is to express an opinion on these financial statements based on our audit.</w:t>
      </w:r>
    </w:p>
    <w:p>
      <w:pPr>
        <w:spacing w:after="0" w:line="8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of the U.S.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29"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net assets available for plan benefits of the Federal Realty Investment Trust Savings and Retirement 401(k) Plan as of December 31, 2003 and 2002, and the changes in net assets available for plan benefits for the year ended December 31, 2003 in conformity with accounting principles generally accepted in the United States of America.</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audit of the Plan’s financial statements as of December 31, 2003 and 2002, and for the year ended December 31, 2003, was made for the purpose of forming an opinion on the financial statements taken as a whole. The supplemental schedule of assets held for investment purposes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supplemental schedule is the responsibility of the Plan’s management. The supplemental schedule has been subjected to the auditing procedures applied in the audit of the basic financial statements for the year ended December 31, 2003 and, in our opinion, is fairly stated in all material respects in relation to the basic financial statements taken as a whole.</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 Thornton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Vienna, Virginia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10, 2004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Savings and Retirement 401(k) Plan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Net Assets Available for Plan Benefits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38"/>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Investments, at fair value</w:t>
            </w:r>
          </w:p>
        </w:tc>
        <w:tc>
          <w:tcPr>
            <w:tcW w:w="3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9,677,310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6,858,734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to participants</w:t>
            </w: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77,493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Contributions receivable</w:t>
            </w: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9,754,803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6,929,391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Available for Plan Benefits</w:t>
            </w:r>
          </w:p>
        </w:tc>
        <w:tc>
          <w:tcPr>
            <w:tcW w:w="3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9,754,803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6,929,391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500" w:type="dxa"/>
            <w:vAlign w:val="bottom"/>
          </w:tcPr>
          <w:p>
            <w:pPr>
              <w:jc w:val="center"/>
              <w:ind w:left="792"/>
              <w:spacing w:after="0"/>
              <w:rPr>
                <w:sz w:val="20"/>
                <w:szCs w:val="20"/>
                <w:color w:val="auto"/>
              </w:rPr>
            </w:pPr>
            <w:r>
              <w:rPr>
                <w:rFonts w:ascii="Arial" w:cs="Arial" w:eastAsia="Arial" w:hAnsi="Arial"/>
                <w:sz w:val="18"/>
                <w:szCs w:val="18"/>
                <w:b w:val="1"/>
                <w:bCs w:val="1"/>
                <w:color w:val="auto"/>
                <w:w w:val="88"/>
              </w:rPr>
              <w:t>Federal Realty Investment Trust Savings and Retirement 401(k) Plan</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0500" w:type="dxa"/>
            <w:vAlign w:val="bottom"/>
          </w:tcPr>
          <w:p>
            <w:pPr>
              <w:jc w:val="center"/>
              <w:ind w:left="792"/>
              <w:spacing w:after="0"/>
              <w:rPr>
                <w:sz w:val="20"/>
                <w:szCs w:val="20"/>
                <w:color w:val="auto"/>
              </w:rPr>
            </w:pPr>
            <w:r>
              <w:rPr>
                <w:rFonts w:ascii="Arial" w:cs="Arial" w:eastAsia="Arial" w:hAnsi="Arial"/>
                <w:sz w:val="18"/>
                <w:szCs w:val="18"/>
                <w:b w:val="1"/>
                <w:bCs w:val="1"/>
                <w:color w:val="auto"/>
                <w:w w:val="86"/>
              </w:rPr>
              <w:t>Statement of Changes in Net Assets Available for Plan Benefits</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500" w:type="dxa"/>
            <w:vAlign w:val="bottom"/>
          </w:tcPr>
          <w:p>
            <w:pPr>
              <w:jc w:val="center"/>
              <w:ind w:left="792"/>
              <w:spacing w:after="0"/>
              <w:rPr>
                <w:sz w:val="20"/>
                <w:szCs w:val="20"/>
                <w:color w:val="auto"/>
              </w:rPr>
            </w:pPr>
            <w:r>
              <w:rPr>
                <w:rFonts w:ascii="Arial" w:cs="Arial" w:eastAsia="Arial" w:hAnsi="Arial"/>
                <w:sz w:val="18"/>
                <w:szCs w:val="18"/>
                <w:b w:val="1"/>
                <w:bCs w:val="1"/>
                <w:color w:val="auto"/>
                <w:w w:val="87"/>
              </w:rPr>
              <w:t>Year ended December 31, 2003</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20" w:type="dxa"/>
            <w:vAlign w:val="bottom"/>
            <w:vMerge w:val="restart"/>
          </w:tcPr>
          <w:p>
            <w:pPr>
              <w:spacing w:after="0"/>
              <w:rPr>
                <w:sz w:val="24"/>
                <w:szCs w:val="24"/>
                <w:color w:val="auto"/>
              </w:rPr>
            </w:pPr>
          </w:p>
        </w:tc>
        <w:tc>
          <w:tcPr>
            <w:tcW w:w="10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Additions to Net Assets Attributed to:</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 contributions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tcPr>
          <w:p>
            <w:pPr>
              <w:ind w:left="860"/>
              <w:spacing w:after="0"/>
              <w:rPr>
                <w:sz w:val="20"/>
                <w:szCs w:val="20"/>
                <w:color w:val="auto"/>
              </w:rPr>
            </w:pPr>
            <w:r>
              <w:rPr>
                <w:rFonts w:ascii="Arial" w:cs="Arial" w:eastAsia="Arial" w:hAnsi="Arial"/>
                <w:sz w:val="18"/>
                <w:szCs w:val="18"/>
                <w:color w:val="auto"/>
              </w:rPr>
              <w:t>Employer contributions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234,397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Rollover contributions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contributions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1,462,052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income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tcPr>
          <w:p>
            <w:pPr>
              <w:ind w:left="860"/>
              <w:spacing w:after="0"/>
              <w:rPr>
                <w:sz w:val="20"/>
                <w:szCs w:val="20"/>
                <w:color w:val="auto"/>
              </w:rPr>
            </w:pPr>
            <w:r>
              <w:rPr>
                <w:rFonts w:ascii="Arial" w:cs="Arial" w:eastAsia="Arial" w:hAnsi="Arial"/>
                <w:sz w:val="18"/>
                <w:szCs w:val="18"/>
                <w:color w:val="auto"/>
              </w:rPr>
              <w:t>Interest and dividends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appreciation in fair value of investments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1,933,260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 income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2,114,152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Additions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3,576,204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Deductions from Net Assets Attributed to:</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Benefits paid to participants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750,792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expenses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Deductions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2,825,412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5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Net Assets Available for Plan Benefits, </w:t>
            </w:r>
            <w:r>
              <w:rPr>
                <w:rFonts w:ascii="Arial" w:cs="Arial" w:eastAsia="Arial" w:hAnsi="Arial"/>
                <w:sz w:val="18"/>
                <w:szCs w:val="18"/>
                <w:color w:val="auto"/>
              </w:rPr>
              <w:t>beginning of year</w:t>
            </w:r>
          </w:p>
        </w:tc>
        <w:tc>
          <w:tcPr>
            <w:tcW w:w="1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6,929,391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Net Assets Available for Plan Benefits, </w:t>
            </w:r>
            <w:r>
              <w:rPr>
                <w:rFonts w:ascii="Arial" w:cs="Arial" w:eastAsia="Arial" w:hAnsi="Arial"/>
                <w:sz w:val="18"/>
                <w:szCs w:val="18"/>
                <w:color w:val="auto"/>
              </w:rPr>
              <w:t>end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9,754,803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7" w:name="page8"/>
    <w:bookmarkEnd w:id="7"/>
    <w:p>
      <w:pPr>
        <w:ind w:left="3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Savings and Retirement 401(k) Plan</w:t>
      </w:r>
    </w:p>
    <w:p>
      <w:pPr>
        <w:spacing w:after="0" w:line="7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A—SIGNIFICANT ACCOUNTING POLICIES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significant accounting policies of Federal Realty Investment Trust Savings and Retirement 401(k) Plan (the Plan) is as follows: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statements of the Plan were prepared under the accrual method of accounting.</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and changes therein, and disclosure of contingent assets and liabilities. Actual results could differ from those estimates.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Plan’s investments are stated at fair value. Fluctuations in fair value are charged to participant’s accounts.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Benefit Payments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Benefits are recorded when paid.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B—DESCRIPTION OF THE PLAN</w:t>
      </w:r>
    </w:p>
    <w:p>
      <w:pPr>
        <w:spacing w:after="0" w:line="8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description of the Plan provides only general information. Participants should refer to the Plan agreement for a more comprehensive description of the Plan’s provisions.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Plan is a defined contribution plan of Federal realty Investment Trust (the Trust) in accordance with the provisions of the Employee Retirement Income Security Act of 1974 (ERISA) and of Section 401(k) of the Internal Revenue Code of 1986, as amended. The Plan was established on January 1, 1985, restated effective January 1, 1997, and was most recently amended effective October 1, 2002. The most recent amendment altered the allocation of forfeitures so that they reduce employer-matching contributions.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Eligibility</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All employees, except members of collective bargaining units, may participate in the elective deferrals portion of the Plan immediately upon employment. There are no members of a collective bargaining unit as of December 31, 2003. Effective August 1, 2003, employees must work 1,000 hours or more in a Plan year to be eligible to participate.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8" w:name="page9"/>
    <w:bookmarkEnd w:id="8"/>
    <w:p>
      <w:pPr>
        <w:ind w:left="3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Savings and Retirement 401(k) Plan</w:t>
      </w:r>
    </w:p>
    <w:p>
      <w:pPr>
        <w:spacing w:after="0" w:line="7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2003</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Contributions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Participants make contributions to the Plan by means of a salary deferral agreement. Participants may defer between 1 percent and 20 percent of their compensation. The dollar value of participant contributions may not exceed $12,000 for calendar year 2003. Certain participants meeting age requirements may contribute an additional $2,000 catch-up contribution for the calendar year 2003.</w:t>
      </w:r>
    </w:p>
    <w:p>
      <w:pPr>
        <w:spacing w:after="0" w:line="127"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The Trust will make employer-matching contributions to the Plan on behalf of all qualified participants. The amount of employer matching contributions for each eligible participant will be 50 percent of elective deferrals up to 5 percent of earnings. Employer matching and discretionary contributions will be made after one year of service is rendered with 1,000 or more hours completed by the participant, or if the participant retires, dies, or becomes disabled during the Plan year.</w:t>
      </w:r>
    </w:p>
    <w:p>
      <w:pPr>
        <w:spacing w:after="0" w:line="130"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Additionally, the Plan allows for discretionary contributions to be made at the end of the Plan year in an amount to be determined by the Trust. There were no such contributions made for the year ended December 31, 2003.</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Vesting</w:t>
      </w:r>
    </w:p>
    <w:p>
      <w:pPr>
        <w:spacing w:after="0" w:line="77"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Participants are always vested in elective deferral, employer matching, and rollover contributions. Discretionary contributions are vested based on years of service, with 100 percent vesting after five years of credited service.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Participant Loans</w:t>
      </w:r>
    </w:p>
    <w:p>
      <w:pPr>
        <w:spacing w:after="0" w:line="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Participants may borrow from their accounts a maximum equal to the lesser of $50,000 or 50 percent of their vested account balance. Loan transactions are treated as a transfer to (from) the investment fund from (to) the Participant Loan Fund. Loan terms range from one to five years or up to a reasonable time for the purchase of a principal residence. The loans are secured by 50 percent of the vested balance in the participant’s accounts and bear interest at a rate determined by the Trust based on prevailing market conditions. At December 31, 2003, interest rates ranged from 5.0 percent to 10.5 percent.</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 of Benefits</w:t>
      </w:r>
    </w:p>
    <w:p>
      <w:pPr>
        <w:spacing w:after="0" w:line="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Upon termination of services for reasons other than death, retirement, or disability, a participant will receive the vested percentage of his or her account balance plus earnings. The distribution can be a lump-sum distribution or may be in the form of an annuity beginning at retirement age if requested by the participant.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Participants should refer to their summary plan description for more information regarding payment of benefits.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Administrative Expense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 pays the majority of the administrative expenses associated with the Plan.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9" w:name="page10"/>
    <w:bookmarkEnd w:id="9"/>
    <w:p>
      <w:pPr>
        <w:ind w:left="3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Savings and Retirement 401(k) Plan</w:t>
      </w:r>
    </w:p>
    <w:p>
      <w:pPr>
        <w:spacing w:after="0" w:line="7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2003</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Prudential Retirement Services (Prudential) is the trustee for the Plan portfolio. All investments are self-directed by participants.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Options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Participants may select from 18 different investment options offered by Prudential and also shares of Federal Realty Investment Trust.</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At December 31, 2003 and 2002, the fair market values of individual investments that represent 5 percent or more of the Plan’s net assets were as follows: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2003</w:t>
            </w:r>
          </w:p>
        </w:tc>
        <w:tc>
          <w:tcPr>
            <w:tcW w:w="14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 Kampen Growth &amp; Income Fund</w:t>
            </w:r>
          </w:p>
        </w:tc>
        <w:tc>
          <w:tcPr>
            <w:tcW w:w="3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1,726,315</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1,198,398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AIM Mid Cap Equity Fund</w:t>
            </w:r>
          </w:p>
        </w:tc>
        <w:tc>
          <w:tcPr>
            <w:tcW w:w="3300" w:type="dxa"/>
            <w:vAlign w:val="bottom"/>
            <w:gridSpan w:val="2"/>
          </w:tcPr>
          <w:p>
            <w:pPr>
              <w:jc w:val="right"/>
              <w:ind w:right="20"/>
              <w:spacing w:after="0"/>
              <w:rPr>
                <w:sz w:val="20"/>
                <w:szCs w:val="20"/>
                <w:color w:val="auto"/>
              </w:rPr>
            </w:pPr>
            <w:r>
              <w:rPr>
                <w:rFonts w:ascii="Arial" w:cs="Arial" w:eastAsia="Arial" w:hAnsi="Arial"/>
                <w:sz w:val="18"/>
                <w:szCs w:val="18"/>
                <w:color w:val="auto"/>
              </w:rPr>
              <w:t>1,411,221</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1,023,726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Growth Fund of America</w:t>
            </w:r>
          </w:p>
        </w:tc>
        <w:tc>
          <w:tcPr>
            <w:tcW w:w="3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1,324,897</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Euro Pacific Growth Fund</w:t>
            </w:r>
          </w:p>
        </w:tc>
        <w:tc>
          <w:tcPr>
            <w:tcW w:w="3300" w:type="dxa"/>
            <w:vAlign w:val="bottom"/>
            <w:gridSpan w:val="2"/>
          </w:tcPr>
          <w:p>
            <w:pPr>
              <w:jc w:val="right"/>
              <w:ind w:right="20"/>
              <w:spacing w:after="0"/>
              <w:rPr>
                <w:sz w:val="20"/>
                <w:szCs w:val="20"/>
                <w:color w:val="auto"/>
              </w:rPr>
            </w:pPr>
            <w:r>
              <w:rPr>
                <w:rFonts w:ascii="Arial" w:cs="Arial" w:eastAsia="Arial" w:hAnsi="Arial"/>
                <w:sz w:val="18"/>
                <w:szCs w:val="18"/>
                <w:color w:val="auto"/>
              </w:rPr>
              <w:t>921,048</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753,191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Prudential Dryden Government Income Fund</w:t>
            </w:r>
          </w:p>
        </w:tc>
        <w:tc>
          <w:tcPr>
            <w:tcW w:w="3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587,549</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Prudential Stable Value Fund</w:t>
            </w:r>
          </w:p>
        </w:tc>
        <w:tc>
          <w:tcPr>
            <w:tcW w:w="3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455,005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of Federal Realty Investment Trust</w:t>
            </w:r>
          </w:p>
        </w:tc>
        <w:tc>
          <w:tcPr>
            <w:tcW w:w="3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2,467,345</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1,663,311</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Less than 5% of net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C—TAX STATUS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Plan obtained a determination letter on November 4, 1994, in which the Internal Revenue Service stated that the Plan, as designed, was in compliance with the applicable requirements of the Internal Revenue Code (IRC) under Section 401(a). The Plan has been amended since receiving its determination letter. The Plan’s trustees believe that the Plan is currently designed and operated in compliance with IRC and ERISA requirements.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D—PARTY-IN-INTEREST TRANSACTIONS</w:t>
      </w:r>
    </w:p>
    <w:p>
      <w:pPr>
        <w:spacing w:after="0" w:line="8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Party-in-interest transactions include those with fiduciaries or employees of the Plan, any person who provided services to the Plan, an employer whose employees were covered by the Plan, an employee organization whose members were covered by the Plan, a person who owned 50 percent or more of such an employer or employee association, or relatives of such persons.</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Plan invests in shares of Federal Realty Investment Trust and funds managed by Prudential; therefore these transactions qualify as parties-in-interest transactions.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274" w:right="359" w:bottom="1440" w:gutter="0" w:footer="0" w:header="0"/>
        </w:sectPr>
      </w:pPr>
    </w:p>
    <w:bookmarkStart w:id="10" w:name="page11"/>
    <w:bookmarkEnd w:id="10"/>
    <w:p>
      <w:pPr>
        <w:ind w:left="3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Savings and Retirement 401(k) Plan</w:t>
      </w:r>
    </w:p>
    <w:p>
      <w:pPr>
        <w:spacing w:after="0" w:line="7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2003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E—PLAN TERMINATION</w:t>
      </w:r>
    </w:p>
    <w:p>
      <w:pPr>
        <w:spacing w:after="0" w:line="83"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Although it has not expressed any intent to do so, Federal Realty Investment Trust has the right under the Plan to discontinue its contributions at any time and to terminate the Plan subject to the provisions of ERISA. In the event of the Plan termination, participants will become 100 percent vested in their accounts.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F—SUBSEQUENT EVENT</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2004, the Plan Administrator of the Plan intends to discontinue the Plan’s investment in Federal Realty Investment Trust shares (Trust shares). Also in 2004, one new investment option, the Strategic Partner Real Estate Fund A will be added to the Plan. Participants will have the opportunity to move their investment in Trust shares to the investment option of their choice. Effective June 25, 2004 all remaining assets in and contributions to Trust shares will automatically be transferred to the Strategic Partners Real Estate Fund 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G—RECONCILIATION OF FINANCIAL STATEMENTS TO FORM 5500</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additions per the financial statements to the Form 5500:</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60325</wp:posOffset>
            </wp:positionV>
            <wp:extent cx="909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per the financial statements</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3,576,204</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Add: classification differences</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income per the Form 5500</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3,577,976</w:t>
            </w:r>
          </w:p>
        </w:tc>
        <w:tc>
          <w:tcPr>
            <w:tcW w:w="0" w:type="dxa"/>
            <w:vAlign w:val="bottom"/>
          </w:tcPr>
          <w:p>
            <w:pPr>
              <w:spacing w:after="0"/>
              <w:rPr>
                <w:sz w:val="1"/>
                <w:szCs w:val="1"/>
                <w:color w:val="auto"/>
              </w:rPr>
            </w:pPr>
          </w:p>
        </w:tc>
      </w:tr>
      <w:tr>
        <w:trPr>
          <w:trHeight w:val="108"/>
        </w:trPr>
        <w:tc>
          <w:tcPr>
            <w:tcW w:w="8020" w:type="dxa"/>
            <w:vAlign w:val="bottom"/>
            <w:gridSpan w:val="3"/>
            <w:vMerge w:val="restart"/>
          </w:tcPr>
          <w:p>
            <w:pPr>
              <w:jc w:val="right"/>
              <w:ind w:right="1460"/>
              <w:spacing w:after="0"/>
              <w:rPr>
                <w:sz w:val="20"/>
                <w:szCs w:val="20"/>
                <w:color w:val="auto"/>
              </w:rPr>
            </w:pPr>
            <w:r>
              <w:rPr>
                <w:rFonts w:ascii="Arial" w:cs="Arial" w:eastAsia="Arial" w:hAnsi="Arial"/>
                <w:sz w:val="18"/>
                <w:szCs w:val="18"/>
                <w:color w:val="auto"/>
                <w:w w:val="89"/>
              </w:rPr>
              <w:t>The following is a reconciliation of deductions per the financial statements to the Form 5500:</w:t>
            </w:r>
          </w:p>
        </w:tc>
        <w:tc>
          <w:tcPr>
            <w:tcW w:w="1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8020" w:type="dxa"/>
            <w:vAlign w:val="bottom"/>
            <w:gridSpan w:val="3"/>
            <w:vMerge w:val="continue"/>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020" w:type="dxa"/>
            <w:vAlign w:val="bottom"/>
            <w:gridSpan w:val="3"/>
          </w:tcPr>
          <w:p>
            <w:pPr>
              <w:ind w:left="120"/>
              <w:spacing w:after="0"/>
              <w:rPr>
                <w:sz w:val="20"/>
                <w:szCs w:val="20"/>
                <w:color w:val="auto"/>
              </w:rPr>
            </w:pPr>
            <w:r>
              <w:rPr>
                <w:rFonts w:ascii="Arial" w:cs="Arial" w:eastAsia="Arial" w:hAnsi="Arial"/>
                <w:sz w:val="14"/>
                <w:szCs w:val="14"/>
                <w:b w:val="1"/>
                <w:bCs w:val="1"/>
                <w:color w:val="auto"/>
              </w:rPr>
              <w:t>Year Ended</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020" w:type="dxa"/>
            <w:vAlign w:val="bottom"/>
            <w:gridSpan w:val="3"/>
          </w:tcPr>
          <w:p>
            <w:pPr>
              <w:ind w:left="120"/>
              <w:spacing w:after="0"/>
              <w:rPr>
                <w:sz w:val="20"/>
                <w:szCs w:val="20"/>
                <w:color w:val="auto"/>
              </w:rPr>
            </w:pPr>
            <w:r>
              <w:rPr>
                <w:rFonts w:ascii="Arial" w:cs="Arial" w:eastAsia="Arial" w:hAnsi="Arial"/>
                <w:sz w:val="14"/>
                <w:szCs w:val="14"/>
                <w:b w:val="1"/>
                <w:bCs w:val="1"/>
                <w:color w:val="auto"/>
              </w:rPr>
              <w:t>December 31, 2003</w:t>
            </w: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Deductions per the financial statements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$ 750,792</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Add: classification differences</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per the Form 5500</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$ 752,564</w:t>
            </w:r>
          </w:p>
        </w:tc>
        <w:tc>
          <w:tcPr>
            <w:tcW w:w="0" w:type="dxa"/>
            <w:vAlign w:val="bottom"/>
          </w:tcPr>
          <w:p>
            <w:pPr>
              <w:spacing w:after="0"/>
              <w:rPr>
                <w:sz w:val="1"/>
                <w:szCs w:val="1"/>
                <w:color w:val="auto"/>
              </w:rPr>
            </w:pPr>
          </w:p>
        </w:tc>
      </w:tr>
      <w:tr>
        <w:trPr>
          <w:trHeight w:val="108"/>
        </w:trPr>
        <w:tc>
          <w:tcPr>
            <w:tcW w:w="8020" w:type="dxa"/>
            <w:vAlign w:val="bottom"/>
            <w:gridSpan w:val="3"/>
            <w:vMerge w:val="restart"/>
          </w:tcPr>
          <w:p>
            <w:pPr>
              <w:jc w:val="right"/>
              <w:ind w:right="2680"/>
              <w:spacing w:after="0"/>
              <w:rPr>
                <w:sz w:val="20"/>
                <w:szCs w:val="20"/>
                <w:color w:val="auto"/>
              </w:rPr>
            </w:pPr>
            <w:r>
              <w:rPr>
                <w:rFonts w:ascii="Arial" w:cs="Arial" w:eastAsia="Arial" w:hAnsi="Arial"/>
                <w:sz w:val="18"/>
                <w:szCs w:val="18"/>
                <w:color w:val="auto"/>
              </w:rPr>
              <w:t>10</w:t>
            </w: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13"/>
        </w:trPr>
        <w:tc>
          <w:tcPr>
            <w:tcW w:w="8020" w:type="dxa"/>
            <w:vAlign w:val="bottom"/>
            <w:gridSpan w:val="3"/>
            <w:vMerge w:val="continue"/>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274" w:right="39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340" w:type="dxa"/>
            <w:vAlign w:val="bottom"/>
          </w:tcPr>
          <w:p>
            <w:pPr>
              <w:jc w:val="center"/>
              <w:ind w:right="192"/>
              <w:spacing w:after="0"/>
              <w:rPr>
                <w:sz w:val="20"/>
                <w:szCs w:val="20"/>
                <w:color w:val="auto"/>
              </w:rPr>
            </w:pPr>
            <w:r>
              <w:rPr>
                <w:rFonts w:ascii="Arial" w:cs="Arial" w:eastAsia="Arial" w:hAnsi="Arial"/>
                <w:sz w:val="18"/>
                <w:szCs w:val="18"/>
                <w:b w:val="1"/>
                <w:bCs w:val="1"/>
                <w:color w:val="auto"/>
                <w:w w:val="88"/>
              </w:rPr>
              <w:t>Federal Realty Investment Trust Savings and Retirement 401(k) Plan</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340" w:type="dxa"/>
            <w:vAlign w:val="bottom"/>
          </w:tcPr>
          <w:p>
            <w:pPr>
              <w:jc w:val="center"/>
              <w:ind w:right="192"/>
              <w:spacing w:after="0"/>
              <w:rPr>
                <w:sz w:val="20"/>
                <w:szCs w:val="20"/>
                <w:color w:val="auto"/>
              </w:rPr>
            </w:pPr>
            <w:r>
              <w:rPr>
                <w:rFonts w:ascii="Arial" w:cs="Arial" w:eastAsia="Arial" w:hAnsi="Arial"/>
                <w:sz w:val="18"/>
                <w:szCs w:val="18"/>
                <w:b w:val="1"/>
                <w:bCs w:val="1"/>
                <w:color w:val="auto"/>
                <w:w w:val="85"/>
              </w:rPr>
              <w:t>Schedule of Assets Held for Investment Purposes</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340" w:type="dxa"/>
            <w:vAlign w:val="bottom"/>
          </w:tcPr>
          <w:p>
            <w:pPr>
              <w:jc w:val="center"/>
              <w:ind w:right="192"/>
              <w:spacing w:after="0"/>
              <w:rPr>
                <w:sz w:val="20"/>
                <w:szCs w:val="20"/>
                <w:color w:val="auto"/>
              </w:rPr>
            </w:pPr>
            <w:r>
              <w:rPr>
                <w:rFonts w:ascii="Arial" w:cs="Arial" w:eastAsia="Arial" w:hAnsi="Arial"/>
                <w:sz w:val="18"/>
                <w:szCs w:val="18"/>
                <w:b w:val="1"/>
                <w:bCs w:val="1"/>
                <w:color w:val="auto"/>
                <w:w w:val="87"/>
              </w:rPr>
              <w:t>December 31, 2003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052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9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of Federal Realty Investment Trust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2,467,345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tcPr>
          <w:p>
            <w:pPr>
              <w:ind w:left="80"/>
              <w:spacing w:after="0"/>
              <w:rPr>
                <w:sz w:val="20"/>
                <w:szCs w:val="20"/>
                <w:color w:val="auto"/>
              </w:rPr>
            </w:pPr>
            <w:r>
              <w:rPr>
                <w:rFonts w:ascii="Arial" w:cs="Arial" w:eastAsia="Arial" w:hAnsi="Arial"/>
                <w:sz w:val="18"/>
                <w:szCs w:val="18"/>
                <w:color w:val="auto"/>
              </w:rPr>
              <w:t>Van Kampen Growth &amp; Income Fund</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1,726,315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AIM Mid Cap Equity Fund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1,411,221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tcPr>
          <w:p>
            <w:pPr>
              <w:ind w:left="80"/>
              <w:spacing w:after="0"/>
              <w:rPr>
                <w:sz w:val="20"/>
                <w:szCs w:val="20"/>
                <w:color w:val="auto"/>
              </w:rPr>
            </w:pPr>
            <w:r>
              <w:rPr>
                <w:rFonts w:ascii="Arial" w:cs="Arial" w:eastAsia="Arial" w:hAnsi="Arial"/>
                <w:sz w:val="18"/>
                <w:szCs w:val="18"/>
                <w:color w:val="auto"/>
              </w:rPr>
              <w:t>Growth Fund of America</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1,324,897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Euro Pacific Growth Fund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rPr>
              <w:t>*Prudential Dryden Government Income Fund</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587,549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*Prudential Stable Value Fund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tcPr>
          <w:p>
            <w:pPr>
              <w:ind w:left="80"/>
              <w:spacing w:after="0"/>
              <w:rPr>
                <w:sz w:val="20"/>
                <w:szCs w:val="20"/>
                <w:color w:val="auto"/>
              </w:rPr>
            </w:pPr>
            <w:r>
              <w:rPr>
                <w:rFonts w:ascii="Arial" w:cs="Arial" w:eastAsia="Arial" w:hAnsi="Arial"/>
                <w:sz w:val="18"/>
                <w:szCs w:val="18"/>
                <w:color w:val="auto"/>
              </w:rPr>
              <w:t>Lord Abbett Mid Cap Value Fund</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AIM Small Growth Fund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rPr>
              <w:t>*Prudential Dryden Stock Index Fund</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*Goldman Sachs Small Cap Value Fund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rPr>
              <w:t>*Prudential Jennison Health Sciences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*Prudential Dryden Total Return Bond Fund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tcPr>
          <w:p>
            <w:pPr>
              <w:ind w:left="80"/>
              <w:spacing w:after="0"/>
              <w:rPr>
                <w:sz w:val="20"/>
                <w:szCs w:val="20"/>
                <w:color w:val="auto"/>
              </w:rPr>
            </w:pPr>
            <w:r>
              <w:rPr>
                <w:rFonts w:ascii="Arial" w:cs="Arial" w:eastAsia="Arial" w:hAnsi="Arial"/>
                <w:sz w:val="18"/>
                <w:szCs w:val="18"/>
                <w:color w:val="auto"/>
              </w:rPr>
              <w:t>Van Kampen Real Estate Securities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*Prudential Jennison Technology</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rPr>
              <w:t>*Prudential Jennison Natural Resourses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Self Directed Brokerage Account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rPr>
              <w:t>*Prudential Jennison Utility Fund</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*Participant Loans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9,754,803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 Denotes Party-in-interest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2" w:name="page13"/>
    <w:bookmarkEnd w:id="12"/>
    <w:p>
      <w:pPr>
        <w:ind w:left="3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SAVINGS AND RETIREMENT 401(k) PLAN</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Pursuant to the requirements of the Securities Exchange Act of 1934, the trustees (or other persons who administer the employee benefit plans) have duly caused this annual report to be signed on its behalf by the undersigned thereunto duly authorized, on the 28th day of June, 2004.</w:t>
      </w:r>
    </w:p>
    <w:p>
      <w:pPr>
        <w:spacing w:after="0" w:line="1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EDERAL</w:t>
      </w:r>
      <w:r>
        <w:rPr>
          <w:rFonts w:ascii="Arial" w:cs="Arial" w:eastAsia="Arial" w:hAnsi="Arial"/>
          <w:sz w:val="18"/>
          <w:szCs w:val="18"/>
          <w:color w:val="auto"/>
        </w:rPr>
        <w:t xml:space="preserve"> R</w:t>
      </w:r>
      <w:r>
        <w:rPr>
          <w:rFonts w:ascii="Arial" w:cs="Arial" w:eastAsia="Arial" w:hAnsi="Arial"/>
          <w:sz w:val="14"/>
          <w:szCs w:val="14"/>
          <w:color w:val="auto"/>
        </w:rPr>
        <w:t>EALTY</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T</w:t>
      </w:r>
      <w:r>
        <w:rPr>
          <w:rFonts w:ascii="Arial" w:cs="Arial" w:eastAsia="Arial" w:hAnsi="Arial"/>
          <w:sz w:val="14"/>
          <w:szCs w:val="14"/>
          <w:color w:val="auto"/>
        </w:rPr>
        <w:t>RUST</w:t>
      </w:r>
      <w:r>
        <w:rPr>
          <w:rFonts w:ascii="Arial" w:cs="Arial" w:eastAsia="Arial" w:hAnsi="Arial"/>
          <w:sz w:val="18"/>
          <w:szCs w:val="18"/>
          <w:color w:val="auto"/>
        </w:rPr>
        <w:t xml:space="preserve"> S</w:t>
      </w:r>
      <w:r>
        <w:rPr>
          <w:rFonts w:ascii="Arial" w:cs="Arial" w:eastAsia="Arial" w:hAnsi="Arial"/>
          <w:sz w:val="14"/>
          <w:szCs w:val="14"/>
          <w:color w:val="auto"/>
        </w:rPr>
        <w:t>AVINGS AND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ETIREMENT</w:t>
      </w:r>
      <w:r>
        <w:rPr>
          <w:rFonts w:ascii="Arial" w:cs="Arial" w:eastAsia="Arial" w:hAnsi="Arial"/>
          <w:sz w:val="18"/>
          <w:szCs w:val="18"/>
          <w:color w:val="auto"/>
        </w:rPr>
        <w:t xml:space="preserve"> 401(</w:t>
      </w:r>
      <w:r>
        <w:rPr>
          <w:rFonts w:ascii="Arial" w:cs="Arial" w:eastAsia="Arial" w:hAnsi="Arial"/>
          <w:sz w:val="14"/>
          <w:szCs w:val="14"/>
          <w:color w:val="auto"/>
        </w:rPr>
        <w:t>K</w:t>
      </w:r>
      <w:r>
        <w:rPr>
          <w:rFonts w:ascii="Arial" w:cs="Arial" w:eastAsia="Arial" w:hAnsi="Arial"/>
          <w:sz w:val="18"/>
          <w:szCs w:val="18"/>
          <w:color w:val="auto"/>
        </w:rPr>
        <w:t>) P</w:t>
      </w:r>
      <w:r>
        <w:rPr>
          <w:rFonts w:ascii="Arial" w:cs="Arial" w:eastAsia="Arial" w:hAnsi="Arial"/>
          <w:sz w:val="14"/>
          <w:szCs w:val="14"/>
          <w:color w:val="auto"/>
        </w:rPr>
        <w:t>LAN</w:t>
      </w:r>
    </w:p>
    <w:p>
      <w:pPr>
        <w:spacing w:after="0" w:line="219" w:lineRule="exact"/>
        <w:rPr>
          <w:sz w:val="20"/>
          <w:szCs w:val="20"/>
          <w:color w:val="auto"/>
        </w:rPr>
      </w:pPr>
    </w:p>
    <w:p>
      <w:pPr>
        <w:jc w:val="center"/>
        <w:ind w:left="6700"/>
        <w:spacing w:after="0"/>
        <w:tabs>
          <w:tab w:leader="none" w:pos="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ARRY</w:t>
      </w:r>
      <w:r>
        <w:rPr>
          <w:rFonts w:ascii="Arial" w:cs="Arial" w:eastAsia="Arial" w:hAnsi="Arial"/>
          <w:sz w:val="18"/>
          <w:szCs w:val="18"/>
          <w:color w:val="auto"/>
        </w:rPr>
        <w:t xml:space="preserve"> E. F</w:t>
      </w:r>
      <w:r>
        <w:rPr>
          <w:rFonts w:ascii="Arial" w:cs="Arial" w:eastAsia="Arial" w:hAnsi="Arial"/>
          <w:sz w:val="14"/>
          <w:szCs w:val="14"/>
          <w:color w:val="auto"/>
        </w:rPr>
        <w: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6073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7400"/>
        <w:spacing w:after="0"/>
        <w:rPr>
          <w:sz w:val="20"/>
          <w:szCs w:val="20"/>
          <w:color w:val="auto"/>
        </w:rPr>
      </w:pPr>
      <w:r>
        <w:rPr>
          <w:rFonts w:ascii="Arial" w:cs="Arial" w:eastAsia="Arial" w:hAnsi="Arial"/>
          <w:sz w:val="14"/>
          <w:szCs w:val="14"/>
          <w:b w:val="1"/>
          <w:bCs w:val="1"/>
          <w:color w:val="auto"/>
        </w:rPr>
        <w:t>Larry E. Finger,</w:t>
      </w:r>
    </w:p>
    <w:p>
      <w:pPr>
        <w:ind w:left="7400"/>
        <w:spacing w:after="0" w:line="223" w:lineRule="auto"/>
        <w:rPr>
          <w:sz w:val="20"/>
          <w:szCs w:val="20"/>
          <w:color w:val="auto"/>
        </w:rPr>
      </w:pPr>
      <w:r>
        <w:rPr>
          <w:rFonts w:ascii="Arial" w:cs="Arial" w:eastAsia="Arial" w:hAnsi="Arial"/>
          <w:sz w:val="14"/>
          <w:szCs w:val="14"/>
          <w:b w:val="1"/>
          <w:bCs w:val="1"/>
          <w:color w:val="auto"/>
        </w:rPr>
        <w:t>Senior Vice President, Chief Financial Officer</w:t>
      </w:r>
    </w:p>
    <w:p>
      <w:pPr>
        <w:ind w:left="7400"/>
        <w:spacing w:after="0"/>
        <w:rPr>
          <w:sz w:val="20"/>
          <w:szCs w:val="20"/>
          <w:color w:val="auto"/>
        </w:rPr>
      </w:pPr>
      <w:r>
        <w:rPr>
          <w:rFonts w:ascii="Arial" w:cs="Arial" w:eastAsia="Arial" w:hAnsi="Arial"/>
          <w:sz w:val="14"/>
          <w:szCs w:val="14"/>
          <w:b w:val="1"/>
          <w:bCs w:val="1"/>
          <w:color w:val="auto"/>
        </w:rPr>
        <w:t>and Treasurer, Federal Realty Investment Trust</w:t>
      </w: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274" w:right="399" w:bottom="1440" w:gutter="0" w:footer="0" w:header="0"/>
        </w:sectPr>
      </w:pPr>
    </w:p>
    <w:bookmarkStart w:id="13" w:name="page14"/>
    <w:bookmarkEnd w:id="1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14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60325</wp:posOffset>
            </wp:positionV>
            <wp:extent cx="394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60325</wp:posOffset>
            </wp:positionV>
            <wp:extent cx="5746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188" w:lineRule="exact"/>
        <w:rPr>
          <w:sz w:val="20"/>
          <w:szCs w:val="20"/>
          <w:color w:val="auto"/>
        </w:rPr>
      </w:pPr>
    </w:p>
    <w:p>
      <w:pPr>
        <w:ind w:left="240"/>
        <w:spacing w:after="0"/>
        <w:tabs>
          <w:tab w:leader="none" w:pos="14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Certified Public Accountants</w:t>
      </w:r>
    </w:p>
    <w:p>
      <w:pPr>
        <w:sectPr>
          <w:pgSz w:w="11900" w:h="16838" w:orient="portrait"/>
          <w:cols w:equalWidth="0" w:num="1">
            <w:col w:w="10139"/>
          </w:cols>
          <w:pgMar w:left="320" w:top="274" w:right="1440"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23.1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CERTIFIED PUBLIC ACCOUNTANTS</w:t>
      </w:r>
    </w:p>
    <w:p>
      <w:pPr>
        <w:spacing w:after="0" w:line="16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issued our report dated June 10, 2004, accompanying the financial statements and schedule incorporated by reference in the Annual Report of Federal Realty Investment Trust Savings and Retirement 401(k) Plan on Form 11-K for the year ended December 31, 2003. We hereby consent to the incorporation by reference of said report in the Registration Statement of Federal Realty Investment Trust Savings and Retirement 401(k) Plan on Form S-8 (File No. 333-63986, effective June 27, 2001).</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 Thornton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Vienna, Virginia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10, 2004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2019-12-13T00:59:00Z</dcterms:created>
  <dcterms:modified xsi:type="dcterms:W3CDTF">2019-12-13T00:59:00Z</dcterms:modified>
</cp:coreProperties>
</file>